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4A10C8" w14:textId="7927198B" w:rsidR="00B43883" w:rsidRDefault="00B43883" w:rsidP="008D7D7F">
      <w:pPr>
        <w:ind w:left="1814" w:firstLine="58"/>
        <w:rPr>
          <w:rFonts w:ascii="Arial" w:hAnsi="Arial" w:cs="Arial"/>
          <w:noProof/>
          <w:color w:val="5F5F5F"/>
          <w:sz w:val="28"/>
          <w:szCs w:val="28"/>
        </w:rPr>
      </w:pPr>
      <w:r>
        <w:rPr>
          <w:rFonts w:ascii="Arial" w:hAnsi="Arial" w:cs="Arial"/>
          <w:noProof/>
          <w:color w:val="5F5F5F"/>
          <w:sz w:val="28"/>
          <w:szCs w:val="28"/>
        </w:rPr>
        <mc:AlternateContent>
          <mc:Choice Requires="wps">
            <w:drawing>
              <wp:anchor distT="0" distB="0" distL="114300" distR="114300" simplePos="0" relativeHeight="251656192" behindDoc="0" locked="0" layoutInCell="1" allowOverlap="1" wp14:anchorId="7F386679" wp14:editId="6D6CDF9E">
                <wp:simplePos x="0" y="0"/>
                <wp:positionH relativeFrom="column">
                  <wp:posOffset>3780790</wp:posOffset>
                </wp:positionH>
                <wp:positionV relativeFrom="paragraph">
                  <wp:posOffset>-593090</wp:posOffset>
                </wp:positionV>
                <wp:extent cx="1305560" cy="261620"/>
                <wp:effectExtent l="0" t="0" r="8890" b="5080"/>
                <wp:wrapNone/>
                <wp:docPr id="2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560" cy="261620"/>
                        </a:xfrm>
                        <a:prstGeom prst="rect">
                          <a:avLst/>
                        </a:prstGeom>
                        <a:solidFill>
                          <a:srgbClr val="FFFFFF"/>
                        </a:solidFill>
                        <a:ln w="9525">
                          <a:solidFill>
                            <a:srgbClr val="FFFFFF"/>
                          </a:solidFill>
                          <a:miter lim="800000"/>
                          <a:headEnd/>
                          <a:tailEnd/>
                        </a:ln>
                      </wps:spPr>
                      <wps:txbx>
                        <w:txbxContent>
                          <w:p w14:paraId="2C41FE31" w14:textId="08F9F854" w:rsidR="001A02BF" w:rsidRPr="00BC0AFE" w:rsidRDefault="001A02BF" w:rsidP="00AE6AE5">
                            <w:pPr>
                              <w:jc w:val="right"/>
                              <w:rPr>
                                <w:rFonts w:ascii="Arial Narrow" w:hAnsi="Arial Narrow"/>
                                <w:b/>
                                <w:color w:val="5F5F5F"/>
                                <w:sz w:val="26"/>
                                <w:szCs w:val="26"/>
                              </w:rPr>
                            </w:pPr>
                            <w:r>
                              <w:rPr>
                                <w:rFonts w:ascii="Arial Narrow" w:hAnsi="Arial Narrow"/>
                                <w:b/>
                                <w:color w:val="5F5F5F"/>
                                <w:sz w:val="26"/>
                                <w:szCs w:val="26"/>
                              </w:rPr>
                              <w:t xml:space="preserve">17 </w:t>
                            </w:r>
                            <w:proofErr w:type="gramStart"/>
                            <w:r>
                              <w:rPr>
                                <w:rFonts w:ascii="Arial Narrow" w:hAnsi="Arial Narrow"/>
                                <w:b/>
                                <w:color w:val="5F5F5F"/>
                                <w:sz w:val="26"/>
                                <w:szCs w:val="26"/>
                              </w:rPr>
                              <w:t>Novembre</w:t>
                            </w:r>
                            <w:proofErr w:type="gramEnd"/>
                            <w:r>
                              <w:rPr>
                                <w:rFonts w:ascii="Arial Narrow" w:hAnsi="Arial Narrow"/>
                                <w:b/>
                                <w:color w:val="5F5F5F"/>
                                <w:sz w:val="26"/>
                                <w:szCs w:val="26"/>
                              </w:rPr>
                              <w:t xml:space="preserve"> 2022</w:t>
                            </w:r>
                            <w:r w:rsidRPr="00BC0AFE">
                              <w:rPr>
                                <w:rFonts w:ascii="Arial Narrow" w:hAnsi="Arial Narrow"/>
                                <w:b/>
                                <w:color w:val="5F5F5F"/>
                                <w:sz w:val="26"/>
                                <w:szCs w:val="26"/>
                              </w:rPr>
                              <w:t xml:space="preserve"> </w:t>
                            </w:r>
                          </w:p>
                          <w:p w14:paraId="7AC159D1" w14:textId="77777777" w:rsidR="001A02BF" w:rsidRPr="00884ED9" w:rsidRDefault="001A02BF" w:rsidP="00AE6AE5">
                            <w:pPr>
                              <w:jc w:val="right"/>
                              <w:rPr>
                                <w:rFonts w:ascii="Arial Narrow" w:hAnsi="Arial Narrow"/>
                                <w:b/>
                                <w:color w:val="2298D1"/>
                                <w:sz w:val="26"/>
                                <w:szCs w:val="2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386679" id="_x0000_t202" coordsize="21600,21600" o:spt="202" path="m,l,21600r21600,l21600,xe">
                <v:stroke joinstyle="miter"/>
                <v:path gradientshapeok="t" o:connecttype="rect"/>
              </v:shapetype>
              <v:shape id="Casella di testo 2" o:spid="_x0000_s1026" type="#_x0000_t202" style="position:absolute;left:0;text-align:left;margin-left:297.7pt;margin-top:-46.7pt;width:102.8pt;height:20.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" strokecolor="white">
                <v:textbox inset="0,0,0,0">
                  <w:txbxContent>
                    <w:p w14:paraId="2C41FE31" w14:textId="08F9F854" w:rsidR="001A02BF" w:rsidRPr="00BC0AFE" w:rsidRDefault="001A02BF" w:rsidP="00AE6AE5">
                      <w:pPr>
                        <w:jc w:val="right"/>
                        <w:rPr>
                          <w:rFonts w:ascii="Arial Narrow" w:hAnsi="Arial Narrow"/>
                          <w:b/>
                          <w:color w:val="5F5F5F"/>
                          <w:sz w:val="26"/>
                          <w:szCs w:val="26"/>
                        </w:rPr>
                      </w:pPr>
                      <w:r>
                        <w:rPr>
                          <w:rFonts w:ascii="Arial Narrow" w:hAnsi="Arial Narrow"/>
                          <w:b/>
                          <w:color w:val="5F5F5F"/>
                          <w:sz w:val="26"/>
                          <w:szCs w:val="26"/>
                        </w:rPr>
                        <w:t>17 Novembre 2022</w:t>
                      </w:r>
                      <w:r w:rsidRPr="00BC0AFE">
                        <w:rPr>
                          <w:rFonts w:ascii="Arial Narrow" w:hAnsi="Arial Narrow"/>
                          <w:b/>
                          <w:color w:val="5F5F5F"/>
                          <w:sz w:val="26"/>
                          <w:szCs w:val="26"/>
                        </w:rPr>
                        <w:t xml:space="preserve"> </w:t>
                      </w:r>
                    </w:p>
                    <w:p w14:paraId="7AC159D1" w14:textId="77777777" w:rsidR="001A02BF" w:rsidRPr="00884ED9" w:rsidRDefault="001A02BF" w:rsidP="00AE6AE5">
                      <w:pPr>
                        <w:jc w:val="right"/>
                        <w:rPr>
                          <w:rFonts w:ascii="Arial Narrow" w:hAnsi="Arial Narrow"/>
                          <w:b/>
                          <w:color w:val="2298D1"/>
                          <w:sz w:val="26"/>
                          <w:szCs w:val="26"/>
                        </w:rPr>
                      </w:pPr>
                    </w:p>
                  </w:txbxContent>
                </v:textbox>
              </v:shape>
            </w:pict>
          </mc:Fallback>
        </mc:AlternateContent>
      </w:r>
    </w:p>
    <w:p w14:paraId="75303D0C" w14:textId="77777777" w:rsidR="004342C5" w:rsidRDefault="004342C5" w:rsidP="008D7D7F">
      <w:pPr>
        <w:ind w:left="1814" w:firstLine="58"/>
        <w:rPr>
          <w:rFonts w:ascii="Arial" w:hAnsi="Arial" w:cs="Arial"/>
          <w:noProof/>
          <w:color w:val="5F5F5F"/>
          <w:sz w:val="28"/>
          <w:szCs w:val="28"/>
        </w:rPr>
      </w:pPr>
    </w:p>
    <w:p w14:paraId="472D74AE" w14:textId="2152CD58" w:rsidR="008D7D7F" w:rsidRPr="00D134E3" w:rsidRDefault="005F4885" w:rsidP="008D7D7F">
      <w:pPr>
        <w:ind w:left="1814" w:firstLine="58"/>
        <w:rPr>
          <w:rFonts w:ascii="Arial" w:hAnsi="Arial" w:cs="Arial"/>
          <w:color w:val="5F5F5F"/>
          <w:sz w:val="28"/>
          <w:szCs w:val="28"/>
        </w:rPr>
      </w:pPr>
      <w:r>
        <w:rPr>
          <w:rFonts w:ascii="Arial" w:hAnsi="Arial" w:cs="Arial"/>
          <w:noProof/>
          <w:color w:val="5F5F5F"/>
          <w:sz w:val="28"/>
          <w:szCs w:val="28"/>
        </w:rPr>
        <w:t>Settembre</w:t>
      </w:r>
      <w:r w:rsidR="00601954">
        <w:rPr>
          <w:rFonts w:ascii="Arial" w:hAnsi="Arial" w:cs="Arial"/>
          <w:color w:val="5F5F5F"/>
          <w:sz w:val="28"/>
          <w:szCs w:val="28"/>
        </w:rPr>
        <w:t xml:space="preserve"> 2022</w:t>
      </w:r>
    </w:p>
    <w:p w14:paraId="35E21BC4" w14:textId="50BD6B23" w:rsidR="00A8222C" w:rsidRPr="00191F98" w:rsidRDefault="00AE6AE5" w:rsidP="00D134E3">
      <w:pPr>
        <w:ind w:left="1814" w:firstLine="58"/>
        <w:rPr>
          <w:rFonts w:ascii="Calibri" w:hAnsi="Calibri" w:cs="Arial"/>
          <w:b/>
          <w:color w:val="5F5F5F"/>
          <w:sz w:val="44"/>
          <w:szCs w:val="28"/>
        </w:rPr>
      </w:pPr>
      <w:r w:rsidRPr="00191F98">
        <w:rPr>
          <w:rFonts w:ascii="Calibri" w:hAnsi="Calibri" w:cs="Arial"/>
          <w:b/>
          <w:color w:val="5F5F5F"/>
          <w:sz w:val="44"/>
          <w:szCs w:val="28"/>
        </w:rPr>
        <w:t>CO</w:t>
      </w:r>
      <w:r w:rsidR="00284F38" w:rsidRPr="00191F98">
        <w:rPr>
          <w:rFonts w:ascii="Calibri" w:hAnsi="Calibri" w:cs="Arial"/>
          <w:b/>
          <w:color w:val="5F5F5F"/>
          <w:sz w:val="44"/>
          <w:szCs w:val="28"/>
        </w:rPr>
        <w:t>M</w:t>
      </w:r>
      <w:r w:rsidR="00A8222C" w:rsidRPr="00191F98">
        <w:rPr>
          <w:rFonts w:ascii="Calibri" w:hAnsi="Calibri" w:cs="Arial"/>
          <w:b/>
          <w:color w:val="5F5F5F"/>
          <w:sz w:val="44"/>
          <w:szCs w:val="28"/>
        </w:rPr>
        <w:t>MER</w:t>
      </w:r>
      <w:r w:rsidR="00284F38" w:rsidRPr="00191F98">
        <w:rPr>
          <w:rFonts w:ascii="Calibri" w:hAnsi="Calibri" w:cs="Arial"/>
          <w:b/>
          <w:color w:val="5F5F5F"/>
          <w:sz w:val="44"/>
          <w:szCs w:val="28"/>
        </w:rPr>
        <w:t>CI</w:t>
      </w:r>
      <w:r w:rsidR="00A8222C" w:rsidRPr="00191F98">
        <w:rPr>
          <w:rFonts w:ascii="Calibri" w:hAnsi="Calibri" w:cs="Arial"/>
          <w:b/>
          <w:color w:val="5F5F5F"/>
          <w:sz w:val="44"/>
          <w:szCs w:val="28"/>
        </w:rPr>
        <w:t>O CON L’ESTERO</w:t>
      </w:r>
    </w:p>
    <w:p w14:paraId="3E4FFEE7" w14:textId="675337CA" w:rsidR="00A8222C" w:rsidRDefault="00793BF4" w:rsidP="00D66C47">
      <w:pPr>
        <w:ind w:left="1814" w:firstLine="57"/>
        <w:rPr>
          <w:rFonts w:ascii="Calibri" w:hAnsi="Calibri" w:cs="Arial"/>
          <w:b/>
          <w:color w:val="5F5F5F"/>
          <w:sz w:val="44"/>
          <w:szCs w:val="28"/>
        </w:rPr>
      </w:pPr>
      <w:r>
        <w:rPr>
          <w:rFonts w:ascii="Calibri" w:hAnsi="Calibri" w:cs="Arial"/>
          <w:b/>
          <w:color w:val="5F5F5F"/>
          <w:sz w:val="44"/>
          <w:szCs w:val="28"/>
        </w:rPr>
        <w:t xml:space="preserve">E </w:t>
      </w:r>
      <w:r w:rsidR="00A8222C" w:rsidRPr="00191F98">
        <w:rPr>
          <w:rFonts w:ascii="Calibri" w:hAnsi="Calibri" w:cs="Arial"/>
          <w:b/>
          <w:color w:val="5F5F5F"/>
          <w:sz w:val="44"/>
          <w:szCs w:val="28"/>
        </w:rPr>
        <w:t>PREZZI ALL’IMPORT</w:t>
      </w:r>
    </w:p>
    <w:p w14:paraId="32215862" w14:textId="77777777" w:rsidR="004E4512" w:rsidRPr="00F14685" w:rsidRDefault="004E4512" w:rsidP="00D66C47">
      <w:pPr>
        <w:ind w:left="1814" w:firstLine="57"/>
        <w:rPr>
          <w:rFonts w:ascii="Calibri" w:hAnsi="Calibri" w:cs="Arial"/>
          <w:b/>
          <w:color w:val="5F5F5F"/>
          <w:sz w:val="2"/>
          <w:szCs w:val="2"/>
        </w:rPr>
      </w:pPr>
    </w:p>
    <w:p w14:paraId="1DF2AF73" w14:textId="77777777" w:rsidR="00A8222C" w:rsidRPr="000D42CA" w:rsidRDefault="00A8222C" w:rsidP="00E15738">
      <w:pPr>
        <w:tabs>
          <w:tab w:val="left" w:pos="1843"/>
        </w:tabs>
        <w:spacing w:line="216" w:lineRule="auto"/>
        <w:ind w:left="1814"/>
        <w:rPr>
          <w:rFonts w:ascii="Calibri" w:hAnsi="Calibri" w:cs="Arial"/>
          <w:b/>
          <w:bCs/>
          <w:color w:val="5F5F5F"/>
          <w:w w:val="95"/>
          <w:sz w:val="10"/>
          <w:szCs w:val="10"/>
        </w:rPr>
      </w:pPr>
    </w:p>
    <w:p w14:paraId="42D385F2" w14:textId="41C6E868" w:rsidR="00FC2A8B" w:rsidRPr="00B05E2A" w:rsidRDefault="00BD0F94" w:rsidP="00C85F71">
      <w:pPr>
        <w:numPr>
          <w:ilvl w:val="0"/>
          <w:numId w:val="22"/>
        </w:numPr>
        <w:tabs>
          <w:tab w:val="left" w:pos="426"/>
          <w:tab w:val="left" w:pos="1843"/>
        </w:tabs>
        <w:spacing w:after="120" w:line="230" w:lineRule="exact"/>
        <w:jc w:val="both"/>
        <w:rPr>
          <w:rFonts w:ascii="Arial" w:hAnsi="Arial" w:cs="Arial"/>
          <w:bCs/>
          <w:sz w:val="21"/>
          <w:szCs w:val="21"/>
          <w:lang w:eastAsia="en-US"/>
        </w:rPr>
      </w:pPr>
      <w:r w:rsidRPr="00B05E2A">
        <w:rPr>
          <w:rFonts w:ascii="Arial" w:hAnsi="Arial" w:cs="Arial"/>
          <w:bCs/>
          <w:sz w:val="21"/>
          <w:szCs w:val="21"/>
          <w:lang w:eastAsia="en-US"/>
        </w:rPr>
        <w:t>A settembre</w:t>
      </w:r>
      <w:r w:rsidR="00A63E97" w:rsidRPr="00B05E2A">
        <w:rPr>
          <w:rFonts w:ascii="Arial" w:hAnsi="Arial" w:cs="Arial"/>
          <w:bCs/>
          <w:sz w:val="21"/>
          <w:szCs w:val="21"/>
          <w:lang w:eastAsia="en-US"/>
        </w:rPr>
        <w:t xml:space="preserve"> </w:t>
      </w:r>
      <w:r w:rsidR="00FC2A8B" w:rsidRPr="00B05E2A">
        <w:rPr>
          <w:rFonts w:ascii="Arial" w:hAnsi="Arial" w:cs="Arial"/>
          <w:bCs/>
          <w:sz w:val="21"/>
          <w:szCs w:val="21"/>
          <w:lang w:eastAsia="en-US"/>
        </w:rPr>
        <w:t xml:space="preserve">2022 </w:t>
      </w:r>
      <w:r w:rsidR="00C85F71" w:rsidRPr="00B05E2A">
        <w:rPr>
          <w:rFonts w:ascii="Arial" w:hAnsi="Arial" w:cs="Arial"/>
          <w:bCs/>
          <w:sz w:val="21"/>
          <w:szCs w:val="21"/>
          <w:lang w:eastAsia="en-US"/>
        </w:rPr>
        <w:t xml:space="preserve">si stima una </w:t>
      </w:r>
      <w:r w:rsidR="004E3C60" w:rsidRPr="00B05E2A">
        <w:rPr>
          <w:rFonts w:ascii="Arial" w:hAnsi="Arial" w:cs="Arial"/>
          <w:bCs/>
          <w:sz w:val="21"/>
          <w:szCs w:val="21"/>
          <w:lang w:eastAsia="en-US"/>
        </w:rPr>
        <w:t>crescita congiunturale per le es</w:t>
      </w:r>
      <w:r w:rsidR="00C85F71" w:rsidRPr="00B05E2A">
        <w:rPr>
          <w:rFonts w:ascii="Arial" w:hAnsi="Arial" w:cs="Arial"/>
          <w:bCs/>
          <w:sz w:val="21"/>
          <w:szCs w:val="21"/>
          <w:lang w:eastAsia="en-US"/>
        </w:rPr>
        <w:t>portazioni (+</w:t>
      </w:r>
      <w:r w:rsidR="004E3C60" w:rsidRPr="00B05E2A">
        <w:rPr>
          <w:rFonts w:ascii="Arial" w:hAnsi="Arial" w:cs="Arial"/>
          <w:bCs/>
          <w:sz w:val="21"/>
          <w:szCs w:val="21"/>
          <w:lang w:eastAsia="en-US"/>
        </w:rPr>
        <w:t>1,6</w:t>
      </w:r>
      <w:r w:rsidR="00C85F71" w:rsidRPr="00B05E2A">
        <w:rPr>
          <w:rFonts w:ascii="Arial" w:hAnsi="Arial" w:cs="Arial"/>
          <w:bCs/>
          <w:sz w:val="21"/>
          <w:szCs w:val="21"/>
          <w:lang w:eastAsia="en-US"/>
        </w:rPr>
        <w:t xml:space="preserve">%) e una flessione per </w:t>
      </w:r>
      <w:r w:rsidR="004E3C60" w:rsidRPr="00B05E2A">
        <w:rPr>
          <w:rFonts w:ascii="Arial" w:hAnsi="Arial" w:cs="Arial"/>
          <w:bCs/>
          <w:sz w:val="21"/>
          <w:szCs w:val="21"/>
          <w:lang w:eastAsia="en-US"/>
        </w:rPr>
        <w:t>le im</w:t>
      </w:r>
      <w:r w:rsidR="00C85F71" w:rsidRPr="00B05E2A">
        <w:rPr>
          <w:rFonts w:ascii="Arial" w:hAnsi="Arial" w:cs="Arial"/>
          <w:bCs/>
          <w:sz w:val="21"/>
          <w:szCs w:val="21"/>
          <w:lang w:eastAsia="en-US"/>
        </w:rPr>
        <w:t>portazioni (-</w:t>
      </w:r>
      <w:r w:rsidR="004E3C60" w:rsidRPr="00B05E2A">
        <w:rPr>
          <w:rFonts w:ascii="Arial" w:hAnsi="Arial" w:cs="Arial"/>
          <w:bCs/>
          <w:sz w:val="21"/>
          <w:szCs w:val="21"/>
          <w:lang w:eastAsia="en-US"/>
        </w:rPr>
        <w:t>1</w:t>
      </w:r>
      <w:r w:rsidR="00C85F71" w:rsidRPr="00B05E2A">
        <w:rPr>
          <w:rFonts w:ascii="Arial" w:hAnsi="Arial" w:cs="Arial"/>
          <w:bCs/>
          <w:sz w:val="21"/>
          <w:szCs w:val="21"/>
          <w:lang w:eastAsia="en-US"/>
        </w:rPr>
        <w:t>,</w:t>
      </w:r>
      <w:r w:rsidR="004E3C60" w:rsidRPr="00B05E2A">
        <w:rPr>
          <w:rFonts w:ascii="Arial" w:hAnsi="Arial" w:cs="Arial"/>
          <w:bCs/>
          <w:sz w:val="21"/>
          <w:szCs w:val="21"/>
          <w:lang w:eastAsia="en-US"/>
        </w:rPr>
        <w:t>7</w:t>
      </w:r>
      <w:r w:rsidR="00C85F71" w:rsidRPr="00B05E2A">
        <w:rPr>
          <w:rFonts w:ascii="Arial" w:hAnsi="Arial" w:cs="Arial"/>
          <w:bCs/>
          <w:sz w:val="21"/>
          <w:szCs w:val="21"/>
          <w:lang w:eastAsia="en-US"/>
        </w:rPr>
        <w:t>%)</w:t>
      </w:r>
      <w:r w:rsidR="00B05E2A" w:rsidRPr="00B05E2A">
        <w:rPr>
          <w:rFonts w:ascii="Arial" w:hAnsi="Arial" w:cs="Arial"/>
          <w:bCs/>
          <w:sz w:val="21"/>
          <w:szCs w:val="21"/>
          <w:lang w:eastAsia="en-US"/>
        </w:rPr>
        <w:t xml:space="preserve">. </w:t>
      </w:r>
      <w:r w:rsidR="00B05E2A" w:rsidRPr="00B05E2A">
        <w:rPr>
          <w:rFonts w:ascii="Arial" w:hAnsi="Arial" w:cs="Arial"/>
          <w:bCs/>
          <w:sz w:val="21"/>
          <w:szCs w:val="21"/>
        </w:rPr>
        <w:t xml:space="preserve">L’aumento </w:t>
      </w:r>
      <w:r w:rsidR="00B05E2A" w:rsidRPr="00B05E2A">
        <w:rPr>
          <w:rFonts w:ascii="Arial" w:hAnsi="Arial" w:cs="Arial"/>
          <w:bCs/>
          <w:sz w:val="21"/>
          <w:szCs w:val="21"/>
          <w:lang w:eastAsia="en-US"/>
        </w:rPr>
        <w:t>su base mensile dell’export è dovuto all’incremento delle vendite verso</w:t>
      </w:r>
      <w:r w:rsidR="00B075FE" w:rsidRPr="00B05E2A">
        <w:rPr>
          <w:rFonts w:ascii="Arial" w:hAnsi="Arial" w:cs="Arial"/>
          <w:bCs/>
          <w:sz w:val="21"/>
          <w:szCs w:val="21"/>
          <w:lang w:eastAsia="en-US"/>
        </w:rPr>
        <w:t xml:space="preserve"> </w:t>
      </w:r>
      <w:r w:rsidR="00B05E2A" w:rsidRPr="00B05E2A">
        <w:rPr>
          <w:rFonts w:ascii="Arial" w:hAnsi="Arial" w:cs="Arial"/>
          <w:bCs/>
          <w:sz w:val="21"/>
          <w:szCs w:val="21"/>
          <w:lang w:eastAsia="en-US"/>
        </w:rPr>
        <w:t xml:space="preserve">i mercati extra Ue (+6,0%), mentre </w:t>
      </w:r>
      <w:r w:rsidR="007E417B">
        <w:rPr>
          <w:rFonts w:ascii="Arial" w:hAnsi="Arial" w:cs="Arial"/>
          <w:bCs/>
          <w:sz w:val="21"/>
          <w:szCs w:val="21"/>
          <w:lang w:eastAsia="en-US"/>
        </w:rPr>
        <w:t>le esportazioni</w:t>
      </w:r>
      <w:r w:rsidR="00B05E2A" w:rsidRPr="00B05E2A">
        <w:rPr>
          <w:rFonts w:ascii="Arial" w:hAnsi="Arial" w:cs="Arial"/>
          <w:bCs/>
          <w:sz w:val="21"/>
          <w:szCs w:val="21"/>
          <w:lang w:eastAsia="en-US"/>
        </w:rPr>
        <w:t xml:space="preserve"> verso l’area Ue </w:t>
      </w:r>
      <w:r w:rsidR="007E417B">
        <w:rPr>
          <w:rFonts w:ascii="Arial" w:hAnsi="Arial" w:cs="Arial"/>
          <w:bCs/>
          <w:sz w:val="21"/>
          <w:szCs w:val="21"/>
          <w:lang w:eastAsia="en-US"/>
        </w:rPr>
        <w:t>sono</w:t>
      </w:r>
      <w:r w:rsidR="00B05E2A" w:rsidRPr="00B05E2A">
        <w:rPr>
          <w:rFonts w:ascii="Arial" w:hAnsi="Arial" w:cs="Arial"/>
          <w:bCs/>
          <w:sz w:val="21"/>
          <w:szCs w:val="21"/>
          <w:lang w:eastAsia="en-US"/>
        </w:rPr>
        <w:t xml:space="preserve"> in diminuzione (-2,2%).</w:t>
      </w:r>
    </w:p>
    <w:p w14:paraId="47C66769" w14:textId="6A1DA838" w:rsidR="00FC2A8B" w:rsidRPr="0014539F" w:rsidRDefault="00FC2A8B" w:rsidP="00743B5C">
      <w:pPr>
        <w:numPr>
          <w:ilvl w:val="0"/>
          <w:numId w:val="22"/>
        </w:numPr>
        <w:tabs>
          <w:tab w:val="left" w:pos="426"/>
          <w:tab w:val="left" w:pos="1843"/>
        </w:tabs>
        <w:spacing w:after="120" w:line="230" w:lineRule="exact"/>
        <w:jc w:val="both"/>
        <w:rPr>
          <w:rFonts w:ascii="Arial" w:hAnsi="Arial" w:cs="Arial"/>
          <w:bCs/>
          <w:sz w:val="21"/>
          <w:szCs w:val="21"/>
          <w:lang w:eastAsia="en-US"/>
        </w:rPr>
      </w:pPr>
      <w:r w:rsidRPr="0014539F">
        <w:rPr>
          <w:rFonts w:ascii="Arial" w:hAnsi="Arial" w:cs="Arial"/>
          <w:bCs/>
          <w:sz w:val="21"/>
          <w:szCs w:val="21"/>
          <w:lang w:eastAsia="en-US"/>
        </w:rPr>
        <w:t xml:space="preserve">Nel </w:t>
      </w:r>
      <w:r w:rsidR="004E3C60" w:rsidRPr="0014539F">
        <w:rPr>
          <w:rFonts w:ascii="Arial" w:hAnsi="Arial" w:cs="Arial"/>
          <w:bCs/>
          <w:sz w:val="21"/>
          <w:szCs w:val="21"/>
          <w:lang w:eastAsia="en-US"/>
        </w:rPr>
        <w:t xml:space="preserve">terzo </w:t>
      </w:r>
      <w:r w:rsidRPr="0014539F">
        <w:rPr>
          <w:rFonts w:ascii="Arial" w:hAnsi="Arial" w:cs="Arial"/>
          <w:bCs/>
          <w:sz w:val="21"/>
          <w:szCs w:val="21"/>
          <w:lang w:eastAsia="en-US"/>
        </w:rPr>
        <w:t xml:space="preserve">trimestre </w:t>
      </w:r>
      <w:r w:rsidR="00596464" w:rsidRPr="0014539F">
        <w:rPr>
          <w:rFonts w:ascii="Arial" w:hAnsi="Arial" w:cs="Arial"/>
          <w:bCs/>
          <w:sz w:val="21"/>
          <w:szCs w:val="21"/>
          <w:lang w:eastAsia="en-US"/>
        </w:rPr>
        <w:t>del 2022</w:t>
      </w:r>
      <w:r w:rsidRPr="0014539F">
        <w:rPr>
          <w:rFonts w:ascii="Arial" w:hAnsi="Arial" w:cs="Arial"/>
          <w:bCs/>
          <w:sz w:val="21"/>
          <w:szCs w:val="21"/>
          <w:lang w:eastAsia="en-US"/>
        </w:rPr>
        <w:t xml:space="preserve">, rispetto al precedente, l’export cresce del </w:t>
      </w:r>
      <w:r w:rsidR="004E3C60" w:rsidRPr="0014539F">
        <w:rPr>
          <w:rFonts w:ascii="Arial" w:hAnsi="Arial" w:cs="Arial"/>
          <w:bCs/>
          <w:sz w:val="21"/>
          <w:szCs w:val="21"/>
          <w:lang w:eastAsia="en-US"/>
        </w:rPr>
        <w:t>2</w:t>
      </w:r>
      <w:r w:rsidR="00C85F71" w:rsidRPr="0014539F">
        <w:rPr>
          <w:rFonts w:ascii="Arial" w:hAnsi="Arial" w:cs="Arial"/>
          <w:bCs/>
          <w:sz w:val="21"/>
          <w:szCs w:val="21"/>
          <w:lang w:eastAsia="en-US"/>
        </w:rPr>
        <w:t>,</w:t>
      </w:r>
      <w:r w:rsidR="004E3C60" w:rsidRPr="0014539F">
        <w:rPr>
          <w:rFonts w:ascii="Arial" w:hAnsi="Arial" w:cs="Arial"/>
          <w:bCs/>
          <w:sz w:val="21"/>
          <w:szCs w:val="21"/>
          <w:lang w:eastAsia="en-US"/>
        </w:rPr>
        <w:t>7</w:t>
      </w:r>
      <w:r w:rsidR="00C85F71" w:rsidRPr="0014539F">
        <w:rPr>
          <w:rFonts w:ascii="Arial" w:hAnsi="Arial" w:cs="Arial"/>
          <w:bCs/>
          <w:sz w:val="21"/>
          <w:szCs w:val="21"/>
          <w:lang w:eastAsia="en-US"/>
        </w:rPr>
        <w:t xml:space="preserve">%, l’import del </w:t>
      </w:r>
      <w:r w:rsidR="004E3C60" w:rsidRPr="0014539F">
        <w:rPr>
          <w:rFonts w:ascii="Arial" w:hAnsi="Arial" w:cs="Arial"/>
          <w:bCs/>
          <w:sz w:val="21"/>
          <w:szCs w:val="21"/>
          <w:lang w:eastAsia="en-US"/>
        </w:rPr>
        <w:t>7</w:t>
      </w:r>
      <w:r w:rsidRPr="0014539F">
        <w:rPr>
          <w:rFonts w:ascii="Arial" w:hAnsi="Arial" w:cs="Arial"/>
          <w:bCs/>
          <w:sz w:val="21"/>
          <w:szCs w:val="21"/>
          <w:lang w:eastAsia="en-US"/>
        </w:rPr>
        <w:t>,</w:t>
      </w:r>
      <w:r w:rsidR="00C85F71" w:rsidRPr="0014539F">
        <w:rPr>
          <w:rFonts w:ascii="Arial" w:hAnsi="Arial" w:cs="Arial"/>
          <w:bCs/>
          <w:sz w:val="21"/>
          <w:szCs w:val="21"/>
          <w:lang w:eastAsia="en-US"/>
        </w:rPr>
        <w:t>5</w:t>
      </w:r>
      <w:r w:rsidRPr="0014539F">
        <w:rPr>
          <w:rFonts w:ascii="Arial" w:hAnsi="Arial" w:cs="Arial"/>
          <w:bCs/>
          <w:sz w:val="21"/>
          <w:szCs w:val="21"/>
          <w:lang w:eastAsia="en-US"/>
        </w:rPr>
        <w:t>%.</w:t>
      </w:r>
    </w:p>
    <w:p w14:paraId="217A0076" w14:textId="1C7EBCBE" w:rsidR="00FC2A8B" w:rsidRPr="0014539F" w:rsidRDefault="00596464" w:rsidP="007A7DCF">
      <w:pPr>
        <w:numPr>
          <w:ilvl w:val="0"/>
          <w:numId w:val="22"/>
        </w:numPr>
        <w:tabs>
          <w:tab w:val="left" w:pos="426"/>
          <w:tab w:val="left" w:pos="1843"/>
        </w:tabs>
        <w:spacing w:after="120" w:line="230" w:lineRule="exact"/>
        <w:jc w:val="both"/>
        <w:rPr>
          <w:rFonts w:ascii="Arial" w:hAnsi="Arial" w:cs="Arial"/>
          <w:bCs/>
          <w:sz w:val="21"/>
          <w:szCs w:val="21"/>
          <w:lang w:eastAsia="en-US"/>
        </w:rPr>
      </w:pPr>
      <w:r w:rsidRPr="0014539F">
        <w:rPr>
          <w:rFonts w:ascii="Arial" w:hAnsi="Arial" w:cs="Arial"/>
          <w:bCs/>
          <w:sz w:val="21"/>
          <w:szCs w:val="21"/>
          <w:lang w:eastAsia="en-US"/>
        </w:rPr>
        <w:t xml:space="preserve">A settembre </w:t>
      </w:r>
      <w:r w:rsidR="007A7DCF" w:rsidRPr="0014539F">
        <w:rPr>
          <w:rFonts w:ascii="Arial" w:hAnsi="Arial" w:cs="Arial"/>
          <w:bCs/>
          <w:sz w:val="21"/>
          <w:szCs w:val="21"/>
          <w:lang w:eastAsia="en-US"/>
        </w:rPr>
        <w:t xml:space="preserve">2022, l’export </w:t>
      </w:r>
      <w:r w:rsidR="0065696F" w:rsidRPr="0014539F">
        <w:rPr>
          <w:rFonts w:ascii="Arial" w:hAnsi="Arial" w:cs="Arial"/>
          <w:bCs/>
          <w:sz w:val="21"/>
          <w:szCs w:val="21"/>
          <w:lang w:eastAsia="en-US"/>
        </w:rPr>
        <w:t xml:space="preserve">cresce </w:t>
      </w:r>
      <w:r w:rsidR="007A7DCF" w:rsidRPr="0014539F">
        <w:rPr>
          <w:rFonts w:ascii="Arial" w:hAnsi="Arial" w:cs="Arial"/>
          <w:bCs/>
          <w:sz w:val="21"/>
          <w:szCs w:val="21"/>
          <w:lang w:eastAsia="en-US"/>
        </w:rPr>
        <w:t>su base annua</w:t>
      </w:r>
      <w:r w:rsidR="007A7DCF" w:rsidRPr="0014539F">
        <w:rPr>
          <w:rFonts w:ascii="Arial" w:hAnsi="Arial" w:cs="Arial"/>
          <w:bCs/>
          <w:sz w:val="21"/>
          <w:szCs w:val="21"/>
        </w:rPr>
        <w:t xml:space="preserve"> </w:t>
      </w:r>
      <w:r w:rsidR="0065696F" w:rsidRPr="0014539F">
        <w:rPr>
          <w:rFonts w:ascii="Arial" w:hAnsi="Arial" w:cs="Arial"/>
          <w:bCs/>
          <w:sz w:val="21"/>
          <w:szCs w:val="21"/>
        </w:rPr>
        <w:t xml:space="preserve">del </w:t>
      </w:r>
      <w:r w:rsidR="00E17446" w:rsidRPr="0014539F">
        <w:rPr>
          <w:rFonts w:ascii="Arial" w:hAnsi="Arial" w:cs="Arial"/>
          <w:bCs/>
          <w:sz w:val="21"/>
          <w:szCs w:val="21"/>
          <w:lang w:eastAsia="en-US"/>
        </w:rPr>
        <w:t>2</w:t>
      </w:r>
      <w:r w:rsidRPr="0014539F">
        <w:rPr>
          <w:rFonts w:ascii="Arial" w:hAnsi="Arial" w:cs="Arial"/>
          <w:bCs/>
          <w:sz w:val="21"/>
          <w:szCs w:val="21"/>
          <w:lang w:eastAsia="en-US"/>
        </w:rPr>
        <w:t>1</w:t>
      </w:r>
      <w:r w:rsidR="00E17446" w:rsidRPr="0014539F">
        <w:rPr>
          <w:rFonts w:ascii="Arial" w:hAnsi="Arial" w:cs="Arial"/>
          <w:bCs/>
          <w:sz w:val="21"/>
          <w:szCs w:val="21"/>
          <w:lang w:eastAsia="en-US"/>
        </w:rPr>
        <w:t>,</w:t>
      </w:r>
      <w:r w:rsidRPr="0014539F">
        <w:rPr>
          <w:rFonts w:ascii="Arial" w:hAnsi="Arial" w:cs="Arial"/>
          <w:bCs/>
          <w:sz w:val="21"/>
          <w:szCs w:val="21"/>
          <w:lang w:eastAsia="en-US"/>
        </w:rPr>
        <w:t>6</w:t>
      </w:r>
      <w:r w:rsidR="00E17446" w:rsidRPr="0014539F">
        <w:rPr>
          <w:rFonts w:ascii="Arial" w:hAnsi="Arial" w:cs="Arial"/>
          <w:bCs/>
          <w:sz w:val="21"/>
          <w:szCs w:val="21"/>
          <w:lang w:eastAsia="en-US"/>
        </w:rPr>
        <w:t xml:space="preserve">% </w:t>
      </w:r>
      <w:r w:rsidR="007A7DCF" w:rsidRPr="0014539F">
        <w:rPr>
          <w:rFonts w:ascii="Arial" w:hAnsi="Arial" w:cs="Arial"/>
          <w:bCs/>
          <w:sz w:val="21"/>
          <w:szCs w:val="21"/>
          <w:lang w:eastAsia="en-US"/>
        </w:rPr>
        <w:t xml:space="preserve">in termini monetari e </w:t>
      </w:r>
      <w:r w:rsidRPr="0014539F">
        <w:rPr>
          <w:rFonts w:ascii="Arial" w:hAnsi="Arial" w:cs="Arial"/>
          <w:bCs/>
          <w:sz w:val="21"/>
          <w:szCs w:val="21"/>
          <w:lang w:eastAsia="en-US"/>
        </w:rPr>
        <w:t>del 2</w:t>
      </w:r>
      <w:r w:rsidR="007A7DCF" w:rsidRPr="0014539F">
        <w:rPr>
          <w:rFonts w:ascii="Arial" w:hAnsi="Arial" w:cs="Arial"/>
          <w:bCs/>
          <w:sz w:val="21"/>
          <w:szCs w:val="21"/>
          <w:lang w:eastAsia="en-US"/>
        </w:rPr>
        <w:t>,</w:t>
      </w:r>
      <w:r w:rsidRPr="0014539F">
        <w:rPr>
          <w:rFonts w:ascii="Arial" w:hAnsi="Arial" w:cs="Arial"/>
          <w:bCs/>
          <w:sz w:val="21"/>
          <w:szCs w:val="21"/>
          <w:lang w:eastAsia="en-US"/>
        </w:rPr>
        <w:t>1</w:t>
      </w:r>
      <w:r w:rsidR="007A7DCF" w:rsidRPr="0014539F">
        <w:rPr>
          <w:rFonts w:ascii="Arial" w:hAnsi="Arial" w:cs="Arial"/>
          <w:bCs/>
          <w:sz w:val="21"/>
          <w:szCs w:val="21"/>
          <w:lang w:eastAsia="en-US"/>
        </w:rPr>
        <w:t xml:space="preserve">% in volume. </w:t>
      </w:r>
      <w:r w:rsidR="008F224F" w:rsidRPr="0014539F">
        <w:rPr>
          <w:rFonts w:ascii="Arial" w:hAnsi="Arial" w:cs="Arial"/>
          <w:bCs/>
          <w:sz w:val="21"/>
          <w:szCs w:val="21"/>
        </w:rPr>
        <w:t>La crescita</w:t>
      </w:r>
      <w:r w:rsidR="007A7DCF" w:rsidRPr="0014539F">
        <w:rPr>
          <w:rFonts w:ascii="Arial" w:hAnsi="Arial" w:cs="Arial"/>
          <w:bCs/>
          <w:sz w:val="21"/>
          <w:szCs w:val="21"/>
          <w:lang w:eastAsia="en-US"/>
        </w:rPr>
        <w:t xml:space="preserve"> dell’export in valore </w:t>
      </w:r>
      <w:r w:rsidR="008F224F" w:rsidRPr="0014539F">
        <w:rPr>
          <w:rFonts w:ascii="Arial" w:hAnsi="Arial" w:cs="Arial"/>
          <w:bCs/>
          <w:sz w:val="21"/>
          <w:szCs w:val="21"/>
          <w:lang w:eastAsia="en-US"/>
        </w:rPr>
        <w:t>è più sostenuta verso i mercati extra Ue (+27,2%) rispetto</w:t>
      </w:r>
      <w:r w:rsidR="007A7DCF" w:rsidRPr="0014539F">
        <w:rPr>
          <w:rFonts w:ascii="Arial" w:hAnsi="Arial" w:cs="Arial"/>
          <w:bCs/>
          <w:sz w:val="21"/>
          <w:szCs w:val="21"/>
          <w:lang w:eastAsia="en-US"/>
        </w:rPr>
        <w:t xml:space="preserve"> </w:t>
      </w:r>
      <w:r w:rsidR="008F224F" w:rsidRPr="0014539F">
        <w:rPr>
          <w:rFonts w:ascii="Arial" w:hAnsi="Arial" w:cs="Arial"/>
          <w:bCs/>
          <w:sz w:val="21"/>
          <w:szCs w:val="21"/>
          <w:lang w:eastAsia="en-US"/>
        </w:rPr>
        <w:t>al</w:t>
      </w:r>
      <w:r w:rsidR="007A7DCF" w:rsidRPr="0014539F">
        <w:rPr>
          <w:rFonts w:ascii="Arial" w:hAnsi="Arial" w:cs="Arial"/>
          <w:bCs/>
          <w:sz w:val="21"/>
          <w:szCs w:val="21"/>
          <w:lang w:eastAsia="en-US"/>
        </w:rPr>
        <w:t>l’area Ue (+</w:t>
      </w:r>
      <w:r w:rsidRPr="0014539F">
        <w:rPr>
          <w:rFonts w:ascii="Arial" w:hAnsi="Arial" w:cs="Arial"/>
          <w:bCs/>
          <w:sz w:val="21"/>
          <w:szCs w:val="21"/>
          <w:lang w:eastAsia="en-US"/>
        </w:rPr>
        <w:t>17,1</w:t>
      </w:r>
      <w:r w:rsidR="007A7DCF" w:rsidRPr="0014539F">
        <w:rPr>
          <w:rFonts w:ascii="Arial" w:hAnsi="Arial" w:cs="Arial"/>
          <w:bCs/>
          <w:sz w:val="21"/>
          <w:szCs w:val="21"/>
          <w:lang w:eastAsia="en-US"/>
        </w:rPr>
        <w:t xml:space="preserve">%). L’import </w:t>
      </w:r>
      <w:r w:rsidR="00EC1D26">
        <w:rPr>
          <w:rFonts w:ascii="Arial" w:hAnsi="Arial" w:cs="Arial"/>
          <w:bCs/>
          <w:sz w:val="21"/>
          <w:szCs w:val="21"/>
          <w:lang w:eastAsia="en-US"/>
        </w:rPr>
        <w:t xml:space="preserve">in valore </w:t>
      </w:r>
      <w:r w:rsidR="007A7DCF" w:rsidRPr="0014539F">
        <w:rPr>
          <w:rFonts w:ascii="Arial" w:hAnsi="Arial" w:cs="Arial"/>
          <w:bCs/>
          <w:sz w:val="21"/>
          <w:szCs w:val="21"/>
          <w:lang w:eastAsia="en-US"/>
        </w:rPr>
        <w:t>registra</w:t>
      </w:r>
      <w:r w:rsidRPr="0014539F">
        <w:rPr>
          <w:rFonts w:ascii="Arial" w:hAnsi="Arial" w:cs="Arial"/>
          <w:bCs/>
          <w:sz w:val="21"/>
          <w:szCs w:val="21"/>
          <w:lang w:eastAsia="en-US"/>
        </w:rPr>
        <w:t xml:space="preserve"> un incremento tendenziale del 40</w:t>
      </w:r>
      <w:r w:rsidR="007A7DCF" w:rsidRPr="0014539F">
        <w:rPr>
          <w:rFonts w:ascii="Arial" w:hAnsi="Arial" w:cs="Arial"/>
          <w:bCs/>
          <w:sz w:val="21"/>
          <w:szCs w:val="21"/>
          <w:lang w:eastAsia="en-US"/>
        </w:rPr>
        <w:t>,</w:t>
      </w:r>
      <w:r w:rsidRPr="0014539F">
        <w:rPr>
          <w:rFonts w:ascii="Arial" w:hAnsi="Arial" w:cs="Arial"/>
          <w:bCs/>
          <w:sz w:val="21"/>
          <w:szCs w:val="21"/>
          <w:lang w:eastAsia="en-US"/>
        </w:rPr>
        <w:t>4</w:t>
      </w:r>
      <w:r w:rsidR="007A7DCF" w:rsidRPr="0014539F">
        <w:rPr>
          <w:rFonts w:ascii="Arial" w:hAnsi="Arial" w:cs="Arial"/>
          <w:bCs/>
          <w:sz w:val="21"/>
          <w:szCs w:val="21"/>
          <w:lang w:eastAsia="en-US"/>
        </w:rPr>
        <w:t>%</w:t>
      </w:r>
      <w:r w:rsidR="004003B9">
        <w:rPr>
          <w:rFonts w:ascii="Arial" w:hAnsi="Arial" w:cs="Arial"/>
          <w:bCs/>
          <w:sz w:val="21"/>
          <w:szCs w:val="21"/>
          <w:lang w:eastAsia="en-US"/>
        </w:rPr>
        <w:t xml:space="preserve"> </w:t>
      </w:r>
      <w:r w:rsidR="008B61C8" w:rsidRPr="00C21B33">
        <w:rPr>
          <w:rFonts w:ascii="Arial" w:hAnsi="Arial" w:cs="Arial"/>
          <w:sz w:val="20"/>
          <w:szCs w:val="20"/>
        </w:rPr>
        <w:t>–</w:t>
      </w:r>
      <w:r w:rsidR="007A7DCF" w:rsidRPr="0014539F">
        <w:rPr>
          <w:rFonts w:ascii="Arial" w:hAnsi="Arial" w:cs="Arial"/>
          <w:bCs/>
          <w:sz w:val="21"/>
          <w:szCs w:val="21"/>
          <w:lang w:eastAsia="en-US"/>
        </w:rPr>
        <w:t xml:space="preserve"> </w:t>
      </w:r>
      <w:r w:rsidR="002946D7" w:rsidRPr="0014539F">
        <w:rPr>
          <w:rFonts w:ascii="Arial" w:hAnsi="Arial" w:cs="Arial"/>
          <w:bCs/>
          <w:sz w:val="21"/>
          <w:szCs w:val="21"/>
          <w:lang w:eastAsia="en-US"/>
        </w:rPr>
        <w:t>molto più intenso per</w:t>
      </w:r>
      <w:r w:rsidRPr="0014539F">
        <w:rPr>
          <w:rFonts w:ascii="Arial" w:hAnsi="Arial" w:cs="Arial"/>
          <w:bCs/>
          <w:sz w:val="21"/>
          <w:szCs w:val="21"/>
          <w:lang w:eastAsia="en-US"/>
        </w:rPr>
        <w:t xml:space="preserve"> l’area extra Ue (+59,0%) rispetto all’area Ue (+25</w:t>
      </w:r>
      <w:r w:rsidR="007A7DCF" w:rsidRPr="0014539F">
        <w:rPr>
          <w:rFonts w:ascii="Arial" w:hAnsi="Arial" w:cs="Arial"/>
          <w:bCs/>
          <w:sz w:val="21"/>
          <w:szCs w:val="21"/>
          <w:lang w:eastAsia="en-US"/>
        </w:rPr>
        <w:t>,</w:t>
      </w:r>
      <w:r w:rsidRPr="0014539F">
        <w:rPr>
          <w:rFonts w:ascii="Arial" w:hAnsi="Arial" w:cs="Arial"/>
          <w:bCs/>
          <w:sz w:val="21"/>
          <w:szCs w:val="21"/>
          <w:lang w:eastAsia="en-US"/>
        </w:rPr>
        <w:t>2</w:t>
      </w:r>
      <w:r w:rsidR="007A7DCF" w:rsidRPr="0014539F">
        <w:rPr>
          <w:rFonts w:ascii="Arial" w:hAnsi="Arial" w:cs="Arial"/>
          <w:bCs/>
          <w:sz w:val="21"/>
          <w:szCs w:val="21"/>
          <w:lang w:eastAsia="en-US"/>
        </w:rPr>
        <w:t>%)</w:t>
      </w:r>
      <w:r w:rsidR="004003B9">
        <w:rPr>
          <w:rFonts w:ascii="Arial" w:hAnsi="Arial" w:cs="Arial"/>
          <w:bCs/>
          <w:sz w:val="21"/>
          <w:szCs w:val="21"/>
          <w:lang w:eastAsia="en-US"/>
        </w:rPr>
        <w:t xml:space="preserve"> </w:t>
      </w:r>
      <w:r w:rsidR="008B61C8" w:rsidRPr="00C21B33">
        <w:rPr>
          <w:rFonts w:ascii="Arial" w:hAnsi="Arial" w:cs="Arial"/>
          <w:sz w:val="20"/>
          <w:szCs w:val="20"/>
        </w:rPr>
        <w:t>–</w:t>
      </w:r>
      <w:r w:rsidR="00EC1D26">
        <w:rPr>
          <w:rFonts w:ascii="Arial" w:hAnsi="Arial" w:cs="Arial"/>
          <w:bCs/>
          <w:sz w:val="21"/>
          <w:szCs w:val="21"/>
          <w:lang w:eastAsia="en-US"/>
        </w:rPr>
        <w:t xml:space="preserve"> </w:t>
      </w:r>
      <w:r w:rsidR="004003B9">
        <w:rPr>
          <w:rFonts w:ascii="Arial" w:hAnsi="Arial" w:cs="Arial"/>
          <w:bCs/>
          <w:sz w:val="21"/>
          <w:szCs w:val="21"/>
          <w:lang w:eastAsia="en-US"/>
        </w:rPr>
        <w:t>m</w:t>
      </w:r>
      <w:r w:rsidR="00EC1D26">
        <w:rPr>
          <w:rFonts w:ascii="Arial" w:hAnsi="Arial" w:cs="Arial"/>
          <w:bCs/>
          <w:sz w:val="21"/>
          <w:szCs w:val="21"/>
          <w:lang w:eastAsia="en-US"/>
        </w:rPr>
        <w:t xml:space="preserve">entre </w:t>
      </w:r>
      <w:r w:rsidR="00AC43CC">
        <w:rPr>
          <w:rFonts w:ascii="Arial" w:hAnsi="Arial" w:cs="Arial"/>
          <w:bCs/>
          <w:sz w:val="21"/>
          <w:szCs w:val="21"/>
          <w:lang w:eastAsia="en-US"/>
        </w:rPr>
        <w:t xml:space="preserve">in volume </w:t>
      </w:r>
      <w:r w:rsidR="00EC1D26">
        <w:rPr>
          <w:rFonts w:ascii="Arial" w:hAnsi="Arial" w:cs="Arial"/>
          <w:bCs/>
          <w:sz w:val="21"/>
          <w:szCs w:val="21"/>
          <w:lang w:eastAsia="en-US"/>
        </w:rPr>
        <w:t>r</w:t>
      </w:r>
      <w:r w:rsidR="004003B9">
        <w:rPr>
          <w:rFonts w:ascii="Arial" w:hAnsi="Arial" w:cs="Arial"/>
          <w:bCs/>
          <w:sz w:val="21"/>
          <w:szCs w:val="21"/>
          <w:lang w:eastAsia="en-US"/>
        </w:rPr>
        <w:t>esta</w:t>
      </w:r>
      <w:r w:rsidR="00EC1D26">
        <w:rPr>
          <w:rFonts w:ascii="Arial" w:hAnsi="Arial" w:cs="Arial"/>
          <w:bCs/>
          <w:sz w:val="21"/>
          <w:szCs w:val="21"/>
          <w:lang w:eastAsia="en-US"/>
        </w:rPr>
        <w:t xml:space="preserve"> sostanzialmente invariato (-0,5%).</w:t>
      </w:r>
    </w:p>
    <w:p w14:paraId="6070761F" w14:textId="6737845B" w:rsidR="00FC2A8B" w:rsidRPr="00AF10AC" w:rsidRDefault="00FC2A8B" w:rsidP="00743B5C">
      <w:pPr>
        <w:numPr>
          <w:ilvl w:val="0"/>
          <w:numId w:val="22"/>
        </w:numPr>
        <w:tabs>
          <w:tab w:val="left" w:pos="426"/>
          <w:tab w:val="left" w:pos="1843"/>
        </w:tabs>
        <w:spacing w:after="120" w:line="230" w:lineRule="exact"/>
        <w:jc w:val="both"/>
        <w:rPr>
          <w:rFonts w:ascii="Arial" w:hAnsi="Arial" w:cs="Arial"/>
          <w:bCs/>
          <w:sz w:val="21"/>
          <w:szCs w:val="21"/>
          <w:lang w:eastAsia="en-US"/>
        </w:rPr>
      </w:pPr>
      <w:r w:rsidRPr="00AF10AC">
        <w:rPr>
          <w:rFonts w:ascii="Arial" w:hAnsi="Arial" w:cs="Arial"/>
          <w:bCs/>
          <w:sz w:val="21"/>
          <w:szCs w:val="21"/>
          <w:lang w:eastAsia="en-US"/>
        </w:rPr>
        <w:t xml:space="preserve">Tra i settori che contribuiscono maggiormente all’aumento tendenziale dell’export si segnalano: articoli </w:t>
      </w:r>
      <w:bookmarkStart w:id="0" w:name="_GoBack"/>
      <w:bookmarkEnd w:id="0"/>
      <w:r w:rsidRPr="00AF10AC">
        <w:rPr>
          <w:rFonts w:ascii="Arial" w:hAnsi="Arial" w:cs="Arial"/>
          <w:bCs/>
          <w:sz w:val="21"/>
          <w:szCs w:val="21"/>
          <w:lang w:eastAsia="en-US"/>
        </w:rPr>
        <w:t>farmaceutici, c</w:t>
      </w:r>
      <w:r w:rsidR="005816B9" w:rsidRPr="00AF10AC">
        <w:rPr>
          <w:rFonts w:ascii="Arial" w:hAnsi="Arial" w:cs="Arial"/>
          <w:bCs/>
          <w:sz w:val="21"/>
          <w:szCs w:val="21"/>
          <w:lang w:eastAsia="en-US"/>
        </w:rPr>
        <w:t>himico-medicinali e botanici (+36</w:t>
      </w:r>
      <w:r w:rsidRPr="00AF10AC">
        <w:rPr>
          <w:rFonts w:ascii="Arial" w:hAnsi="Arial" w:cs="Arial"/>
          <w:bCs/>
          <w:sz w:val="21"/>
          <w:szCs w:val="21"/>
          <w:lang w:eastAsia="en-US"/>
        </w:rPr>
        <w:t>,</w:t>
      </w:r>
      <w:r w:rsidR="005816B9" w:rsidRPr="00AF10AC">
        <w:rPr>
          <w:rFonts w:ascii="Arial" w:hAnsi="Arial" w:cs="Arial"/>
          <w:bCs/>
          <w:sz w:val="21"/>
          <w:szCs w:val="21"/>
          <w:lang w:eastAsia="en-US"/>
        </w:rPr>
        <w:t>2</w:t>
      </w:r>
      <w:r w:rsidRPr="00AF10AC">
        <w:rPr>
          <w:rFonts w:ascii="Arial" w:hAnsi="Arial" w:cs="Arial"/>
          <w:bCs/>
          <w:sz w:val="21"/>
          <w:szCs w:val="21"/>
          <w:lang w:eastAsia="en-US"/>
        </w:rPr>
        <w:t xml:space="preserve">%), </w:t>
      </w:r>
      <w:r w:rsidR="005816B9" w:rsidRPr="00AF10AC">
        <w:rPr>
          <w:rFonts w:ascii="Arial" w:hAnsi="Arial" w:cs="Arial"/>
          <w:bCs/>
          <w:sz w:val="21"/>
          <w:szCs w:val="21"/>
          <w:lang w:eastAsia="en-US"/>
        </w:rPr>
        <w:t>macchinari e apparecchi (+13,9%), metalli di base e prodotti in metallo, esclu</w:t>
      </w:r>
      <w:r w:rsidR="00BE1B31">
        <w:rPr>
          <w:rFonts w:ascii="Arial" w:hAnsi="Arial" w:cs="Arial"/>
          <w:bCs/>
          <w:sz w:val="21"/>
          <w:szCs w:val="21"/>
          <w:lang w:eastAsia="en-US"/>
        </w:rPr>
        <w:t>si macchine e impianti (+15,5%) e</w:t>
      </w:r>
      <w:r w:rsidR="005816B9" w:rsidRPr="00AF10AC">
        <w:rPr>
          <w:rFonts w:ascii="Arial" w:hAnsi="Arial" w:cs="Arial"/>
          <w:bCs/>
          <w:sz w:val="21"/>
          <w:szCs w:val="21"/>
          <w:lang w:eastAsia="en-US"/>
        </w:rPr>
        <w:t xml:space="preserve"> </w:t>
      </w:r>
      <w:r w:rsidR="001F4743" w:rsidRPr="00AF10AC">
        <w:rPr>
          <w:rFonts w:ascii="Arial" w:hAnsi="Arial" w:cs="Arial"/>
          <w:bCs/>
          <w:sz w:val="21"/>
          <w:szCs w:val="21"/>
          <w:lang w:eastAsia="en-US"/>
        </w:rPr>
        <w:t>prodotti a</w:t>
      </w:r>
      <w:r w:rsidR="005816B9" w:rsidRPr="00AF10AC">
        <w:rPr>
          <w:rFonts w:ascii="Arial" w:hAnsi="Arial" w:cs="Arial"/>
          <w:bCs/>
          <w:sz w:val="21"/>
          <w:szCs w:val="21"/>
          <w:lang w:eastAsia="en-US"/>
        </w:rPr>
        <w:t>limentari, bevande e tabacco (+19</w:t>
      </w:r>
      <w:r w:rsidR="001F4743" w:rsidRPr="00AF10AC">
        <w:rPr>
          <w:rFonts w:ascii="Arial" w:hAnsi="Arial" w:cs="Arial"/>
          <w:bCs/>
          <w:sz w:val="21"/>
          <w:szCs w:val="21"/>
          <w:lang w:eastAsia="en-US"/>
        </w:rPr>
        <w:t>,</w:t>
      </w:r>
      <w:r w:rsidR="005816B9" w:rsidRPr="00AF10AC">
        <w:rPr>
          <w:rFonts w:ascii="Arial" w:hAnsi="Arial" w:cs="Arial"/>
          <w:bCs/>
          <w:sz w:val="21"/>
          <w:szCs w:val="21"/>
          <w:lang w:eastAsia="en-US"/>
        </w:rPr>
        <w:t>8</w:t>
      </w:r>
      <w:r w:rsidR="00BE1B31">
        <w:rPr>
          <w:rFonts w:ascii="Arial" w:hAnsi="Arial" w:cs="Arial"/>
          <w:bCs/>
          <w:sz w:val="21"/>
          <w:szCs w:val="21"/>
          <w:lang w:eastAsia="en-US"/>
        </w:rPr>
        <w:t>%)</w:t>
      </w:r>
      <w:r w:rsidRPr="00AF10AC">
        <w:rPr>
          <w:rFonts w:ascii="Arial" w:hAnsi="Arial" w:cs="Arial"/>
          <w:bCs/>
          <w:sz w:val="21"/>
          <w:szCs w:val="21"/>
          <w:lang w:eastAsia="en-US"/>
        </w:rPr>
        <w:t>.</w:t>
      </w:r>
    </w:p>
    <w:p w14:paraId="5570797F" w14:textId="3617AADE" w:rsidR="00FC2A8B" w:rsidRPr="00AF10AC" w:rsidRDefault="00FC2A8B" w:rsidP="00743B5C">
      <w:pPr>
        <w:numPr>
          <w:ilvl w:val="0"/>
          <w:numId w:val="22"/>
        </w:numPr>
        <w:tabs>
          <w:tab w:val="left" w:pos="426"/>
          <w:tab w:val="left" w:pos="1843"/>
        </w:tabs>
        <w:spacing w:after="120" w:line="230" w:lineRule="exact"/>
        <w:jc w:val="both"/>
        <w:rPr>
          <w:rFonts w:ascii="Arial" w:hAnsi="Arial" w:cs="Arial"/>
          <w:bCs/>
          <w:sz w:val="21"/>
          <w:szCs w:val="21"/>
          <w:lang w:eastAsia="en-US"/>
        </w:rPr>
      </w:pPr>
      <w:r w:rsidRPr="00AF10AC">
        <w:rPr>
          <w:rFonts w:ascii="Arial" w:hAnsi="Arial" w:cs="Arial"/>
          <w:bCs/>
          <w:sz w:val="21"/>
          <w:szCs w:val="21"/>
          <w:lang w:eastAsia="en-US"/>
        </w:rPr>
        <w:t>Su base annua, i paesi che forniscono i contributi maggiori all’incremento dell’export nazionale sono</w:t>
      </w:r>
      <w:r w:rsidR="00670338" w:rsidRPr="00AF10AC">
        <w:rPr>
          <w:rFonts w:ascii="Arial" w:hAnsi="Arial" w:cs="Arial"/>
          <w:bCs/>
          <w:sz w:val="21"/>
          <w:szCs w:val="21"/>
          <w:lang w:eastAsia="en-US"/>
        </w:rPr>
        <w:t>:</w:t>
      </w:r>
      <w:r w:rsidRPr="00AF10AC">
        <w:rPr>
          <w:rFonts w:ascii="Arial" w:hAnsi="Arial" w:cs="Arial"/>
          <w:bCs/>
          <w:sz w:val="21"/>
          <w:szCs w:val="21"/>
          <w:lang w:eastAsia="en-US"/>
        </w:rPr>
        <w:t xml:space="preserve"> </w:t>
      </w:r>
      <w:r w:rsidR="005816B9" w:rsidRPr="00AF10AC">
        <w:rPr>
          <w:rFonts w:ascii="Arial" w:hAnsi="Arial" w:cs="Arial"/>
          <w:bCs/>
          <w:sz w:val="21"/>
          <w:szCs w:val="21"/>
          <w:lang w:eastAsia="en-US"/>
        </w:rPr>
        <w:t>Stati Uniti (+48,6%), Francia (+18</w:t>
      </w:r>
      <w:r w:rsidR="001F4743" w:rsidRPr="00AF10AC">
        <w:rPr>
          <w:rFonts w:ascii="Arial" w:hAnsi="Arial" w:cs="Arial"/>
          <w:bCs/>
          <w:sz w:val="21"/>
          <w:szCs w:val="21"/>
          <w:lang w:eastAsia="en-US"/>
        </w:rPr>
        <w:t>,</w:t>
      </w:r>
      <w:r w:rsidR="005816B9" w:rsidRPr="00AF10AC">
        <w:rPr>
          <w:rFonts w:ascii="Arial" w:hAnsi="Arial" w:cs="Arial"/>
          <w:bCs/>
          <w:sz w:val="21"/>
          <w:szCs w:val="21"/>
          <w:lang w:eastAsia="en-US"/>
        </w:rPr>
        <w:t>8</w:t>
      </w:r>
      <w:r w:rsidR="001F4743" w:rsidRPr="00AF10AC">
        <w:rPr>
          <w:rFonts w:ascii="Arial" w:hAnsi="Arial" w:cs="Arial"/>
          <w:bCs/>
          <w:sz w:val="21"/>
          <w:szCs w:val="21"/>
          <w:lang w:eastAsia="en-US"/>
        </w:rPr>
        <w:t>%), Germania (+1</w:t>
      </w:r>
      <w:r w:rsidR="005816B9" w:rsidRPr="00AF10AC">
        <w:rPr>
          <w:rFonts w:ascii="Arial" w:hAnsi="Arial" w:cs="Arial"/>
          <w:bCs/>
          <w:sz w:val="21"/>
          <w:szCs w:val="21"/>
          <w:lang w:eastAsia="en-US"/>
        </w:rPr>
        <w:t>4</w:t>
      </w:r>
      <w:r w:rsidR="001F4743" w:rsidRPr="00AF10AC">
        <w:rPr>
          <w:rFonts w:ascii="Arial" w:hAnsi="Arial" w:cs="Arial"/>
          <w:bCs/>
          <w:sz w:val="21"/>
          <w:szCs w:val="21"/>
          <w:lang w:eastAsia="en-US"/>
        </w:rPr>
        <w:t>,</w:t>
      </w:r>
      <w:r w:rsidR="005816B9" w:rsidRPr="00AF10AC">
        <w:rPr>
          <w:rFonts w:ascii="Arial" w:hAnsi="Arial" w:cs="Arial"/>
          <w:bCs/>
          <w:sz w:val="21"/>
          <w:szCs w:val="21"/>
          <w:lang w:eastAsia="en-US"/>
        </w:rPr>
        <w:t>8</w:t>
      </w:r>
      <w:r w:rsidR="001F4743" w:rsidRPr="00AF10AC">
        <w:rPr>
          <w:rFonts w:ascii="Arial" w:hAnsi="Arial" w:cs="Arial"/>
          <w:bCs/>
          <w:sz w:val="21"/>
          <w:szCs w:val="21"/>
          <w:lang w:eastAsia="en-US"/>
        </w:rPr>
        <w:t>%)</w:t>
      </w:r>
      <w:r w:rsidR="009C4C39">
        <w:rPr>
          <w:rFonts w:ascii="Arial" w:hAnsi="Arial" w:cs="Arial"/>
          <w:bCs/>
          <w:sz w:val="21"/>
          <w:szCs w:val="21"/>
          <w:lang w:eastAsia="en-US"/>
        </w:rPr>
        <w:t xml:space="preserve"> e</w:t>
      </w:r>
      <w:r w:rsidR="001F4743" w:rsidRPr="00AF10AC">
        <w:rPr>
          <w:rFonts w:ascii="Arial" w:hAnsi="Arial" w:cs="Arial"/>
          <w:bCs/>
          <w:sz w:val="21"/>
          <w:szCs w:val="21"/>
          <w:lang w:eastAsia="en-US"/>
        </w:rPr>
        <w:t xml:space="preserve"> </w:t>
      </w:r>
      <w:r w:rsidR="005816B9" w:rsidRPr="00AF10AC">
        <w:rPr>
          <w:rFonts w:ascii="Arial" w:hAnsi="Arial" w:cs="Arial"/>
          <w:bCs/>
          <w:sz w:val="21"/>
          <w:szCs w:val="21"/>
          <w:lang w:eastAsia="en-US"/>
        </w:rPr>
        <w:t>paesi OPEC (+49,1%)</w:t>
      </w:r>
      <w:r w:rsidRPr="00AF10AC">
        <w:rPr>
          <w:rFonts w:ascii="Arial" w:hAnsi="Arial" w:cs="Arial"/>
          <w:bCs/>
          <w:sz w:val="21"/>
          <w:szCs w:val="21"/>
          <w:lang w:eastAsia="en-US"/>
        </w:rPr>
        <w:t xml:space="preserve">. </w:t>
      </w:r>
      <w:r w:rsidR="009C4C39">
        <w:rPr>
          <w:rFonts w:ascii="Arial" w:hAnsi="Arial" w:cs="Arial"/>
          <w:bCs/>
          <w:sz w:val="21"/>
          <w:szCs w:val="21"/>
          <w:lang w:eastAsia="en-US"/>
        </w:rPr>
        <w:t xml:space="preserve">Si accentua </w:t>
      </w:r>
      <w:r w:rsidR="00B075FE" w:rsidRPr="00AF10AC">
        <w:rPr>
          <w:rFonts w:ascii="Arial" w:hAnsi="Arial" w:cs="Arial"/>
          <w:bCs/>
          <w:sz w:val="21"/>
          <w:szCs w:val="21"/>
          <w:lang w:eastAsia="en-US"/>
        </w:rPr>
        <w:t xml:space="preserve">la flessione dell’export </w:t>
      </w:r>
      <w:r w:rsidR="001F4743" w:rsidRPr="00AF10AC">
        <w:rPr>
          <w:rFonts w:ascii="Arial" w:hAnsi="Arial" w:cs="Arial"/>
          <w:bCs/>
          <w:sz w:val="21"/>
          <w:szCs w:val="21"/>
          <w:lang w:eastAsia="en-US"/>
        </w:rPr>
        <w:t>verso la Russia</w:t>
      </w:r>
      <w:r w:rsidR="00B075FE" w:rsidRPr="00AF10AC">
        <w:rPr>
          <w:rFonts w:ascii="Arial" w:hAnsi="Arial" w:cs="Arial"/>
          <w:bCs/>
          <w:sz w:val="21"/>
          <w:szCs w:val="21"/>
          <w:lang w:eastAsia="en-US"/>
        </w:rPr>
        <w:t xml:space="preserve"> </w:t>
      </w:r>
      <w:r w:rsidR="005816B9" w:rsidRPr="00AF10AC">
        <w:rPr>
          <w:rFonts w:ascii="Arial" w:hAnsi="Arial" w:cs="Arial"/>
          <w:bCs/>
          <w:sz w:val="21"/>
          <w:szCs w:val="21"/>
          <w:lang w:eastAsia="en-US"/>
        </w:rPr>
        <w:t>(-34</w:t>
      </w:r>
      <w:r w:rsidRPr="00AF10AC">
        <w:rPr>
          <w:rFonts w:ascii="Arial" w:hAnsi="Arial" w:cs="Arial"/>
          <w:bCs/>
          <w:sz w:val="21"/>
          <w:szCs w:val="21"/>
          <w:lang w:eastAsia="en-US"/>
        </w:rPr>
        <w:t>,</w:t>
      </w:r>
      <w:r w:rsidR="005816B9" w:rsidRPr="00AF10AC">
        <w:rPr>
          <w:rFonts w:ascii="Arial" w:hAnsi="Arial" w:cs="Arial"/>
          <w:bCs/>
          <w:sz w:val="21"/>
          <w:szCs w:val="21"/>
          <w:lang w:eastAsia="en-US"/>
        </w:rPr>
        <w:t>6</w:t>
      </w:r>
      <w:r w:rsidRPr="00AF10AC">
        <w:rPr>
          <w:rFonts w:ascii="Arial" w:hAnsi="Arial" w:cs="Arial"/>
          <w:bCs/>
          <w:sz w:val="21"/>
          <w:szCs w:val="21"/>
          <w:lang w:eastAsia="en-US"/>
        </w:rPr>
        <w:t>%)</w:t>
      </w:r>
      <w:r w:rsidR="005816B9" w:rsidRPr="00AF10AC">
        <w:rPr>
          <w:rFonts w:ascii="Arial" w:hAnsi="Arial" w:cs="Arial"/>
          <w:bCs/>
          <w:sz w:val="21"/>
          <w:szCs w:val="21"/>
          <w:lang w:eastAsia="en-US"/>
        </w:rPr>
        <w:t xml:space="preserve"> e </w:t>
      </w:r>
      <w:r w:rsidR="009C4C39">
        <w:rPr>
          <w:rFonts w:ascii="Arial" w:hAnsi="Arial" w:cs="Arial"/>
          <w:bCs/>
          <w:sz w:val="21"/>
          <w:szCs w:val="21"/>
          <w:lang w:eastAsia="en-US"/>
        </w:rPr>
        <w:t>diminuiscono</w:t>
      </w:r>
      <w:r w:rsidR="005816B9" w:rsidRPr="00AF10AC">
        <w:rPr>
          <w:rFonts w:ascii="Arial" w:hAnsi="Arial" w:cs="Arial"/>
          <w:bCs/>
          <w:sz w:val="21"/>
          <w:szCs w:val="21"/>
          <w:lang w:eastAsia="en-US"/>
        </w:rPr>
        <w:t xml:space="preserve"> anche le vendite verso il Belgio (-5,7%)</w:t>
      </w:r>
      <w:r w:rsidRPr="00AF10AC">
        <w:rPr>
          <w:rFonts w:ascii="Arial" w:hAnsi="Arial" w:cs="Arial"/>
          <w:bCs/>
          <w:sz w:val="21"/>
          <w:szCs w:val="21"/>
          <w:lang w:eastAsia="en-US"/>
        </w:rPr>
        <w:t xml:space="preserve">. </w:t>
      </w:r>
    </w:p>
    <w:p w14:paraId="56F1EF1A" w14:textId="4B6A3CC6" w:rsidR="00FC2A8B" w:rsidRPr="00AF10AC" w:rsidRDefault="00FC2A8B" w:rsidP="00743B5C">
      <w:pPr>
        <w:numPr>
          <w:ilvl w:val="0"/>
          <w:numId w:val="22"/>
        </w:numPr>
        <w:tabs>
          <w:tab w:val="left" w:pos="426"/>
          <w:tab w:val="left" w:pos="1843"/>
        </w:tabs>
        <w:spacing w:after="120" w:line="230" w:lineRule="exact"/>
        <w:jc w:val="both"/>
        <w:rPr>
          <w:rFonts w:ascii="Arial" w:hAnsi="Arial" w:cs="Arial"/>
          <w:bCs/>
          <w:sz w:val="21"/>
          <w:szCs w:val="21"/>
          <w:lang w:eastAsia="en-US"/>
        </w:rPr>
      </w:pPr>
      <w:r w:rsidRPr="00AF10AC">
        <w:rPr>
          <w:rFonts w:ascii="Arial" w:hAnsi="Arial" w:cs="Arial"/>
          <w:bCs/>
          <w:sz w:val="21"/>
          <w:szCs w:val="21"/>
          <w:lang w:eastAsia="en-US"/>
        </w:rPr>
        <w:t xml:space="preserve">Nei primi </w:t>
      </w:r>
      <w:r w:rsidR="005816B9" w:rsidRPr="00AF10AC">
        <w:rPr>
          <w:rFonts w:ascii="Arial" w:hAnsi="Arial" w:cs="Arial"/>
          <w:bCs/>
          <w:sz w:val="21"/>
          <w:szCs w:val="21"/>
          <w:lang w:eastAsia="en-US"/>
        </w:rPr>
        <w:t>nove</w:t>
      </w:r>
      <w:r w:rsidRPr="00AF10AC">
        <w:rPr>
          <w:rFonts w:ascii="Arial" w:hAnsi="Arial" w:cs="Arial"/>
          <w:bCs/>
          <w:sz w:val="21"/>
          <w:szCs w:val="21"/>
          <w:lang w:eastAsia="en-US"/>
        </w:rPr>
        <w:t xml:space="preserve"> mesi del 2022, la crescita te</w:t>
      </w:r>
      <w:r w:rsidR="001F4743" w:rsidRPr="00AF10AC">
        <w:rPr>
          <w:rFonts w:ascii="Arial" w:hAnsi="Arial" w:cs="Arial"/>
          <w:bCs/>
          <w:sz w:val="21"/>
          <w:szCs w:val="21"/>
          <w:lang w:eastAsia="en-US"/>
        </w:rPr>
        <w:t>n</w:t>
      </w:r>
      <w:r w:rsidR="005816B9" w:rsidRPr="00AF10AC">
        <w:rPr>
          <w:rFonts w:ascii="Arial" w:hAnsi="Arial" w:cs="Arial"/>
          <w:bCs/>
          <w:sz w:val="21"/>
          <w:szCs w:val="21"/>
          <w:lang w:eastAsia="en-US"/>
        </w:rPr>
        <w:t>denziale delle esportazioni (+21</w:t>
      </w:r>
      <w:r w:rsidRPr="00AF10AC">
        <w:rPr>
          <w:rFonts w:ascii="Arial" w:hAnsi="Arial" w:cs="Arial"/>
          <w:bCs/>
          <w:sz w:val="21"/>
          <w:szCs w:val="21"/>
          <w:lang w:eastAsia="en-US"/>
        </w:rPr>
        <w:t>,</w:t>
      </w:r>
      <w:r w:rsidR="001F4743" w:rsidRPr="00AF10AC">
        <w:rPr>
          <w:rFonts w:ascii="Arial" w:hAnsi="Arial" w:cs="Arial"/>
          <w:bCs/>
          <w:sz w:val="21"/>
          <w:szCs w:val="21"/>
          <w:lang w:eastAsia="en-US"/>
        </w:rPr>
        <w:t>1</w:t>
      </w:r>
      <w:r w:rsidRPr="00AF10AC">
        <w:rPr>
          <w:rFonts w:ascii="Arial" w:hAnsi="Arial" w:cs="Arial"/>
          <w:bCs/>
          <w:sz w:val="21"/>
          <w:szCs w:val="21"/>
          <w:lang w:eastAsia="en-US"/>
        </w:rPr>
        <w:t xml:space="preserve">%) è dovuta in particolare all’aumento delle vendite di </w:t>
      </w:r>
      <w:r w:rsidR="001F4743" w:rsidRPr="00AF10AC">
        <w:rPr>
          <w:rFonts w:ascii="Arial" w:hAnsi="Arial" w:cs="Arial"/>
          <w:bCs/>
          <w:sz w:val="21"/>
          <w:szCs w:val="21"/>
          <w:lang w:eastAsia="en-US"/>
        </w:rPr>
        <w:t>articoli farmaceutici, chimico-medicinali e botanici (+4</w:t>
      </w:r>
      <w:r w:rsidR="005816B9" w:rsidRPr="00AF10AC">
        <w:rPr>
          <w:rFonts w:ascii="Arial" w:hAnsi="Arial" w:cs="Arial"/>
          <w:bCs/>
          <w:sz w:val="21"/>
          <w:szCs w:val="21"/>
          <w:lang w:eastAsia="en-US"/>
        </w:rPr>
        <w:t>5</w:t>
      </w:r>
      <w:r w:rsidR="001F4743" w:rsidRPr="00AF10AC">
        <w:rPr>
          <w:rFonts w:ascii="Arial" w:hAnsi="Arial" w:cs="Arial"/>
          <w:bCs/>
          <w:sz w:val="21"/>
          <w:szCs w:val="21"/>
          <w:lang w:eastAsia="en-US"/>
        </w:rPr>
        <w:t>,</w:t>
      </w:r>
      <w:r w:rsidR="005816B9" w:rsidRPr="00AF10AC">
        <w:rPr>
          <w:rFonts w:ascii="Arial" w:hAnsi="Arial" w:cs="Arial"/>
          <w:bCs/>
          <w:sz w:val="21"/>
          <w:szCs w:val="21"/>
          <w:lang w:eastAsia="en-US"/>
        </w:rPr>
        <w:t>8</w:t>
      </w:r>
      <w:r w:rsidR="001F4743" w:rsidRPr="00AF10AC">
        <w:rPr>
          <w:rFonts w:ascii="Arial" w:hAnsi="Arial" w:cs="Arial"/>
          <w:bCs/>
          <w:sz w:val="21"/>
          <w:szCs w:val="21"/>
          <w:lang w:eastAsia="en-US"/>
        </w:rPr>
        <w:t xml:space="preserve">%), </w:t>
      </w:r>
      <w:r w:rsidRPr="00AF10AC">
        <w:rPr>
          <w:rFonts w:ascii="Arial" w:hAnsi="Arial" w:cs="Arial"/>
          <w:bCs/>
          <w:sz w:val="21"/>
          <w:szCs w:val="21"/>
          <w:lang w:eastAsia="en-US"/>
        </w:rPr>
        <w:t>metalli di base e prodotti in metallo, esclusi macchine e impianti (+2</w:t>
      </w:r>
      <w:r w:rsidR="005816B9" w:rsidRPr="00AF10AC">
        <w:rPr>
          <w:rFonts w:ascii="Arial" w:hAnsi="Arial" w:cs="Arial"/>
          <w:bCs/>
          <w:sz w:val="21"/>
          <w:szCs w:val="21"/>
          <w:lang w:eastAsia="en-US"/>
        </w:rPr>
        <w:t>0</w:t>
      </w:r>
      <w:r w:rsidR="001F4743" w:rsidRPr="00AF10AC">
        <w:rPr>
          <w:rFonts w:ascii="Arial" w:hAnsi="Arial" w:cs="Arial"/>
          <w:bCs/>
          <w:sz w:val="21"/>
          <w:szCs w:val="21"/>
          <w:lang w:eastAsia="en-US"/>
        </w:rPr>
        <w:t>,</w:t>
      </w:r>
      <w:r w:rsidR="005816B9" w:rsidRPr="00AF10AC">
        <w:rPr>
          <w:rFonts w:ascii="Arial" w:hAnsi="Arial" w:cs="Arial"/>
          <w:bCs/>
          <w:sz w:val="21"/>
          <w:szCs w:val="21"/>
          <w:lang w:eastAsia="en-US"/>
        </w:rPr>
        <w:t>2</w:t>
      </w:r>
      <w:r w:rsidRPr="00AF10AC">
        <w:rPr>
          <w:rFonts w:ascii="Arial" w:hAnsi="Arial" w:cs="Arial"/>
          <w:bCs/>
          <w:sz w:val="21"/>
          <w:szCs w:val="21"/>
          <w:lang w:eastAsia="en-US"/>
        </w:rPr>
        <w:t>%), pro</w:t>
      </w:r>
      <w:r w:rsidR="001F4743" w:rsidRPr="00AF10AC">
        <w:rPr>
          <w:rFonts w:ascii="Arial" w:hAnsi="Arial" w:cs="Arial"/>
          <w:bCs/>
          <w:sz w:val="21"/>
          <w:szCs w:val="21"/>
          <w:lang w:eastAsia="en-US"/>
        </w:rPr>
        <w:t>dotti petroliferi raffinati (+10</w:t>
      </w:r>
      <w:r w:rsidR="005816B9" w:rsidRPr="00AF10AC">
        <w:rPr>
          <w:rFonts w:ascii="Arial" w:hAnsi="Arial" w:cs="Arial"/>
          <w:bCs/>
          <w:sz w:val="21"/>
          <w:szCs w:val="21"/>
          <w:lang w:eastAsia="en-US"/>
        </w:rPr>
        <w:t>0</w:t>
      </w:r>
      <w:r w:rsidRPr="00AF10AC">
        <w:rPr>
          <w:rFonts w:ascii="Arial" w:hAnsi="Arial" w:cs="Arial"/>
          <w:bCs/>
          <w:sz w:val="21"/>
          <w:szCs w:val="21"/>
          <w:lang w:eastAsia="en-US"/>
        </w:rPr>
        <w:t>,</w:t>
      </w:r>
      <w:r w:rsidR="005816B9" w:rsidRPr="00AF10AC">
        <w:rPr>
          <w:rFonts w:ascii="Arial" w:hAnsi="Arial" w:cs="Arial"/>
          <w:bCs/>
          <w:sz w:val="21"/>
          <w:szCs w:val="21"/>
          <w:lang w:eastAsia="en-US"/>
        </w:rPr>
        <w:t>6</w:t>
      </w:r>
      <w:r w:rsidRPr="00AF10AC">
        <w:rPr>
          <w:rFonts w:ascii="Arial" w:hAnsi="Arial" w:cs="Arial"/>
          <w:bCs/>
          <w:sz w:val="21"/>
          <w:szCs w:val="21"/>
          <w:lang w:eastAsia="en-US"/>
        </w:rPr>
        <w:t>%)</w:t>
      </w:r>
      <w:r w:rsidR="000506A1" w:rsidRPr="00AF10AC">
        <w:rPr>
          <w:rFonts w:ascii="Arial" w:hAnsi="Arial" w:cs="Arial"/>
          <w:bCs/>
          <w:sz w:val="21"/>
          <w:szCs w:val="21"/>
          <w:lang w:eastAsia="en-US"/>
        </w:rPr>
        <w:t>,</w:t>
      </w:r>
      <w:r w:rsidRPr="00AF10AC">
        <w:rPr>
          <w:rFonts w:ascii="Arial" w:hAnsi="Arial" w:cs="Arial"/>
          <w:bCs/>
          <w:sz w:val="21"/>
          <w:szCs w:val="21"/>
          <w:lang w:eastAsia="en-US"/>
        </w:rPr>
        <w:t xml:space="preserve"> sostanze e prodotti chimici (+2</w:t>
      </w:r>
      <w:r w:rsidR="005816B9" w:rsidRPr="00AF10AC">
        <w:rPr>
          <w:rFonts w:ascii="Arial" w:hAnsi="Arial" w:cs="Arial"/>
          <w:bCs/>
          <w:sz w:val="21"/>
          <w:szCs w:val="21"/>
          <w:lang w:eastAsia="en-US"/>
        </w:rPr>
        <w:t>4</w:t>
      </w:r>
      <w:r w:rsidRPr="00AF10AC">
        <w:rPr>
          <w:rFonts w:ascii="Arial" w:hAnsi="Arial" w:cs="Arial"/>
          <w:bCs/>
          <w:sz w:val="21"/>
          <w:szCs w:val="21"/>
          <w:lang w:eastAsia="en-US"/>
        </w:rPr>
        <w:t>,</w:t>
      </w:r>
      <w:r w:rsidR="005816B9" w:rsidRPr="00AF10AC">
        <w:rPr>
          <w:rFonts w:ascii="Arial" w:hAnsi="Arial" w:cs="Arial"/>
          <w:bCs/>
          <w:sz w:val="21"/>
          <w:szCs w:val="21"/>
          <w:lang w:eastAsia="en-US"/>
        </w:rPr>
        <w:t>3</w:t>
      </w:r>
      <w:r w:rsidRPr="00AF10AC">
        <w:rPr>
          <w:rFonts w:ascii="Arial" w:hAnsi="Arial" w:cs="Arial"/>
          <w:bCs/>
          <w:sz w:val="21"/>
          <w:szCs w:val="21"/>
          <w:lang w:eastAsia="en-US"/>
        </w:rPr>
        <w:t>%)</w:t>
      </w:r>
      <w:r w:rsidR="000506A1" w:rsidRPr="00AF10AC">
        <w:rPr>
          <w:rFonts w:ascii="Arial" w:hAnsi="Arial" w:cs="Arial"/>
          <w:bCs/>
          <w:sz w:val="21"/>
          <w:szCs w:val="21"/>
          <w:lang w:eastAsia="en-US"/>
        </w:rPr>
        <w:t xml:space="preserve"> e prodotti a</w:t>
      </w:r>
      <w:r w:rsidR="005816B9" w:rsidRPr="00AF10AC">
        <w:rPr>
          <w:rFonts w:ascii="Arial" w:hAnsi="Arial" w:cs="Arial"/>
          <w:bCs/>
          <w:sz w:val="21"/>
          <w:szCs w:val="21"/>
          <w:lang w:eastAsia="en-US"/>
        </w:rPr>
        <w:t>limentari, bevande e tabacco (+18</w:t>
      </w:r>
      <w:r w:rsidR="000506A1" w:rsidRPr="00AF10AC">
        <w:rPr>
          <w:rFonts w:ascii="Arial" w:hAnsi="Arial" w:cs="Arial"/>
          <w:bCs/>
          <w:sz w:val="21"/>
          <w:szCs w:val="21"/>
          <w:lang w:eastAsia="en-US"/>
        </w:rPr>
        <w:t>,</w:t>
      </w:r>
      <w:r w:rsidR="005816B9" w:rsidRPr="00AF10AC">
        <w:rPr>
          <w:rFonts w:ascii="Arial" w:hAnsi="Arial" w:cs="Arial"/>
          <w:bCs/>
          <w:sz w:val="21"/>
          <w:szCs w:val="21"/>
          <w:lang w:eastAsia="en-US"/>
        </w:rPr>
        <w:t>6</w:t>
      </w:r>
      <w:r w:rsidR="000506A1" w:rsidRPr="00AF10AC">
        <w:rPr>
          <w:rFonts w:ascii="Arial" w:hAnsi="Arial" w:cs="Arial"/>
          <w:bCs/>
          <w:sz w:val="21"/>
          <w:szCs w:val="21"/>
          <w:lang w:eastAsia="en-US"/>
        </w:rPr>
        <w:t>%)</w:t>
      </w:r>
      <w:r w:rsidRPr="00AF10AC">
        <w:rPr>
          <w:rFonts w:ascii="Arial" w:hAnsi="Arial" w:cs="Arial"/>
          <w:bCs/>
          <w:sz w:val="21"/>
          <w:szCs w:val="21"/>
          <w:lang w:eastAsia="en-US"/>
        </w:rPr>
        <w:t>.</w:t>
      </w:r>
    </w:p>
    <w:p w14:paraId="2B21023B" w14:textId="435D2764" w:rsidR="00705188" w:rsidRPr="00AF10AC" w:rsidRDefault="00C67E50" w:rsidP="00576910">
      <w:pPr>
        <w:numPr>
          <w:ilvl w:val="0"/>
          <w:numId w:val="22"/>
        </w:numPr>
        <w:tabs>
          <w:tab w:val="left" w:pos="426"/>
          <w:tab w:val="left" w:pos="1843"/>
        </w:tabs>
        <w:spacing w:after="100" w:line="230" w:lineRule="exact"/>
        <w:jc w:val="both"/>
        <w:rPr>
          <w:rFonts w:ascii="Arial" w:hAnsi="Arial" w:cs="Arial"/>
          <w:bCs/>
          <w:sz w:val="21"/>
          <w:szCs w:val="21"/>
          <w:lang w:eastAsia="en-US"/>
        </w:rPr>
      </w:pPr>
      <w:r w:rsidRPr="00AF10AC">
        <w:rPr>
          <w:rFonts w:ascii="Arial" w:hAnsi="Arial" w:cs="Arial"/>
          <w:bCs/>
          <w:sz w:val="21"/>
          <w:szCs w:val="21"/>
          <w:lang w:eastAsia="en-US"/>
        </w:rPr>
        <w:t xml:space="preserve">A settembre </w:t>
      </w:r>
      <w:r w:rsidR="00F066F2" w:rsidRPr="00AF10AC">
        <w:rPr>
          <w:rFonts w:ascii="Arial" w:hAnsi="Arial" w:cs="Arial"/>
          <w:bCs/>
          <w:sz w:val="21"/>
          <w:szCs w:val="21"/>
          <w:lang w:eastAsia="en-US"/>
        </w:rPr>
        <w:t>2022 il disavanzo commerciale è pari a -</w:t>
      </w:r>
      <w:r w:rsidRPr="00AF10AC">
        <w:rPr>
          <w:rFonts w:ascii="Arial" w:hAnsi="Arial" w:cs="Arial"/>
          <w:bCs/>
          <w:sz w:val="21"/>
          <w:szCs w:val="21"/>
          <w:lang w:eastAsia="en-US"/>
        </w:rPr>
        <w:t>6.454</w:t>
      </w:r>
      <w:r w:rsidR="00F066F2" w:rsidRPr="00AF10AC">
        <w:rPr>
          <w:rFonts w:ascii="Arial" w:hAnsi="Arial" w:cs="Arial"/>
          <w:bCs/>
          <w:sz w:val="21"/>
          <w:szCs w:val="21"/>
          <w:lang w:eastAsia="en-US"/>
        </w:rPr>
        <w:t xml:space="preserve"> milioni di euro, a fronte di un avanzo di 1.</w:t>
      </w:r>
      <w:r w:rsidRPr="00AF10AC">
        <w:rPr>
          <w:rFonts w:ascii="Arial" w:hAnsi="Arial" w:cs="Arial"/>
          <w:bCs/>
          <w:sz w:val="21"/>
          <w:szCs w:val="21"/>
          <w:lang w:eastAsia="en-US"/>
        </w:rPr>
        <w:t xml:space="preserve">440 </w:t>
      </w:r>
      <w:r w:rsidR="00F066F2" w:rsidRPr="00AF10AC">
        <w:rPr>
          <w:rFonts w:ascii="Arial" w:hAnsi="Arial" w:cs="Arial"/>
          <w:bCs/>
          <w:sz w:val="21"/>
          <w:szCs w:val="21"/>
          <w:lang w:eastAsia="en-US"/>
        </w:rPr>
        <w:t xml:space="preserve">milioni </w:t>
      </w:r>
      <w:r w:rsidR="00F066F2" w:rsidRPr="00AF10AC">
        <w:rPr>
          <w:rFonts w:ascii="Arial" w:hAnsi="Arial" w:cs="Arial"/>
          <w:bCs/>
          <w:sz w:val="21"/>
          <w:szCs w:val="21"/>
        </w:rPr>
        <w:t xml:space="preserve">dello stesso mese del </w:t>
      </w:r>
      <w:r w:rsidR="00F066F2" w:rsidRPr="00AF10AC">
        <w:rPr>
          <w:rFonts w:ascii="Arial" w:hAnsi="Arial" w:cs="Arial"/>
          <w:bCs/>
          <w:sz w:val="21"/>
          <w:szCs w:val="21"/>
          <w:lang w:eastAsia="en-US"/>
        </w:rPr>
        <w:t>2021. Il deficit energetico raggiunge</w:t>
      </w:r>
      <w:r w:rsidR="00266C19" w:rsidRPr="00AF10AC">
        <w:rPr>
          <w:rFonts w:ascii="Arial" w:hAnsi="Arial" w:cs="Arial"/>
          <w:bCs/>
          <w:sz w:val="21"/>
          <w:szCs w:val="21"/>
          <w:lang w:eastAsia="en-US"/>
        </w:rPr>
        <w:t>, in valore assoluto,</w:t>
      </w:r>
      <w:r w:rsidR="00F066F2" w:rsidRPr="00AF10AC">
        <w:rPr>
          <w:rFonts w:ascii="Arial" w:hAnsi="Arial" w:cs="Arial"/>
          <w:bCs/>
          <w:sz w:val="21"/>
          <w:szCs w:val="21"/>
          <w:lang w:eastAsia="en-US"/>
        </w:rPr>
        <w:t xml:space="preserve"> </w:t>
      </w:r>
      <w:r w:rsidRPr="00AF10AC">
        <w:rPr>
          <w:rFonts w:ascii="Arial" w:hAnsi="Arial" w:cs="Arial"/>
          <w:bCs/>
          <w:sz w:val="21"/>
          <w:szCs w:val="21"/>
          <w:lang w:eastAsia="en-US"/>
        </w:rPr>
        <w:t>i 12</w:t>
      </w:r>
      <w:r w:rsidR="00F066F2" w:rsidRPr="00AF10AC">
        <w:rPr>
          <w:rFonts w:ascii="Arial" w:hAnsi="Arial" w:cs="Arial"/>
          <w:bCs/>
          <w:sz w:val="21"/>
          <w:szCs w:val="21"/>
          <w:lang w:eastAsia="en-US"/>
        </w:rPr>
        <w:t>.4</w:t>
      </w:r>
      <w:r w:rsidRPr="00AF10AC">
        <w:rPr>
          <w:rFonts w:ascii="Arial" w:hAnsi="Arial" w:cs="Arial"/>
          <w:bCs/>
          <w:sz w:val="21"/>
          <w:szCs w:val="21"/>
          <w:lang w:eastAsia="en-US"/>
        </w:rPr>
        <w:t>35</w:t>
      </w:r>
      <w:r w:rsidR="00F066F2" w:rsidRPr="00AF10AC">
        <w:rPr>
          <w:rFonts w:ascii="Arial" w:hAnsi="Arial" w:cs="Arial"/>
          <w:bCs/>
          <w:sz w:val="21"/>
          <w:szCs w:val="21"/>
          <w:lang w:eastAsia="en-US"/>
        </w:rPr>
        <w:t xml:space="preserve"> milioni (</w:t>
      </w:r>
      <w:proofErr w:type="gramStart"/>
      <w:r w:rsidR="00F066F2" w:rsidRPr="00AF10AC">
        <w:rPr>
          <w:rFonts w:ascii="Arial" w:hAnsi="Arial" w:cs="Arial"/>
          <w:bCs/>
          <w:sz w:val="21"/>
          <w:szCs w:val="21"/>
          <w:lang w:eastAsia="en-US"/>
        </w:rPr>
        <w:t xml:space="preserve">era </w:t>
      </w:r>
      <w:r w:rsidR="005B6D99" w:rsidRPr="00AF10AC">
        <w:rPr>
          <w:rFonts w:ascii="Arial" w:hAnsi="Arial" w:cs="Arial"/>
          <w:bCs/>
          <w:sz w:val="21"/>
          <w:szCs w:val="21"/>
          <w:lang w:eastAsia="en-US"/>
        </w:rPr>
        <w:t xml:space="preserve"> </w:t>
      </w:r>
      <w:r w:rsidR="00266C19" w:rsidRPr="00AF10AC">
        <w:rPr>
          <w:rFonts w:ascii="Arial" w:hAnsi="Arial" w:cs="Arial"/>
          <w:bCs/>
          <w:sz w:val="21"/>
          <w:szCs w:val="21"/>
          <w:lang w:eastAsia="en-US"/>
        </w:rPr>
        <w:t>-</w:t>
      </w:r>
      <w:proofErr w:type="gramEnd"/>
      <w:r w:rsidRPr="00AF10AC">
        <w:rPr>
          <w:rFonts w:ascii="Arial" w:hAnsi="Arial" w:cs="Arial"/>
          <w:bCs/>
          <w:sz w:val="21"/>
          <w:szCs w:val="21"/>
          <w:lang w:eastAsia="en-US"/>
        </w:rPr>
        <w:t>4</w:t>
      </w:r>
      <w:r w:rsidR="00F066F2" w:rsidRPr="00AF10AC">
        <w:rPr>
          <w:rFonts w:ascii="Arial" w:hAnsi="Arial" w:cs="Arial"/>
          <w:bCs/>
          <w:sz w:val="21"/>
          <w:szCs w:val="21"/>
          <w:lang w:eastAsia="en-US"/>
        </w:rPr>
        <w:t>.</w:t>
      </w:r>
      <w:r w:rsidRPr="00AF10AC">
        <w:rPr>
          <w:rFonts w:ascii="Arial" w:hAnsi="Arial" w:cs="Arial"/>
          <w:bCs/>
          <w:sz w:val="21"/>
          <w:szCs w:val="21"/>
          <w:lang w:eastAsia="en-US"/>
        </w:rPr>
        <w:t>529</w:t>
      </w:r>
      <w:r w:rsidR="00F066F2" w:rsidRPr="00AF10AC">
        <w:rPr>
          <w:rFonts w:ascii="Arial" w:hAnsi="Arial" w:cs="Arial"/>
          <w:bCs/>
          <w:sz w:val="21"/>
          <w:szCs w:val="21"/>
          <w:lang w:eastAsia="en-US"/>
        </w:rPr>
        <w:t xml:space="preserve"> milioni un anno prima) </w:t>
      </w:r>
      <w:r w:rsidR="00576910" w:rsidRPr="00AF10AC">
        <w:rPr>
          <w:rFonts w:ascii="Arial" w:hAnsi="Arial" w:cs="Arial"/>
          <w:bCs/>
          <w:sz w:val="21"/>
          <w:szCs w:val="21"/>
          <w:lang w:eastAsia="en-US"/>
        </w:rPr>
        <w:t>ma l’avanzo nell’interscambio di prodotti non energetici, pari a 5.982 milioni, è elevato e sul livello di settembre 2021 (5.969 milioni).</w:t>
      </w:r>
      <w:r w:rsidR="00F066F2" w:rsidRPr="00AF10AC">
        <w:rPr>
          <w:rFonts w:ascii="Arial" w:hAnsi="Arial" w:cs="Arial"/>
          <w:bCs/>
          <w:sz w:val="21"/>
          <w:szCs w:val="21"/>
        </w:rPr>
        <w:t xml:space="preserve"> </w:t>
      </w:r>
    </w:p>
    <w:p w14:paraId="4A5787E3" w14:textId="77777777" w:rsidR="00402935" w:rsidRPr="00402935" w:rsidRDefault="00402935" w:rsidP="00402935">
      <w:pPr>
        <w:numPr>
          <w:ilvl w:val="0"/>
          <w:numId w:val="22"/>
        </w:numPr>
        <w:tabs>
          <w:tab w:val="left" w:pos="426"/>
        </w:tabs>
        <w:spacing w:after="120"/>
        <w:ind w:left="357" w:hanging="357"/>
        <w:jc w:val="both"/>
        <w:rPr>
          <w:rFonts w:ascii="Arial" w:hAnsi="Arial" w:cs="Arial"/>
          <w:bCs/>
          <w:sz w:val="21"/>
          <w:szCs w:val="21"/>
          <w:lang w:eastAsia="en-US"/>
        </w:rPr>
      </w:pPr>
      <w:r w:rsidRPr="00402935">
        <w:rPr>
          <w:rFonts w:ascii="Arial" w:hAnsi="Arial" w:cs="Arial"/>
          <w:bCs/>
          <w:sz w:val="21"/>
          <w:szCs w:val="21"/>
          <w:lang w:eastAsia="en-US"/>
        </w:rPr>
        <w:t>Nel mese di settembre 2022 i prezzi all’importazione crescono dello 0,1% su base mensile e del 20,3% su base annua (era +21,5% ad agosto).</w:t>
      </w:r>
    </w:p>
    <w:p w14:paraId="3E593E2C" w14:textId="1B04F9A5" w:rsidR="00710291" w:rsidRPr="000B6801" w:rsidRDefault="00402935" w:rsidP="007E417B">
      <w:pPr>
        <w:pStyle w:val="Paragrafoelenco"/>
        <w:numPr>
          <w:ilvl w:val="0"/>
          <w:numId w:val="22"/>
        </w:numPr>
        <w:ind w:left="357" w:hanging="357"/>
        <w:contextualSpacing w:val="0"/>
        <w:rPr>
          <w:rFonts w:ascii="Arial" w:hAnsi="Arial" w:cs="Arial"/>
          <w:bCs/>
          <w:color w:val="auto"/>
          <w:sz w:val="21"/>
          <w:szCs w:val="21"/>
          <w:lang w:eastAsia="en-US"/>
        </w:rPr>
      </w:pPr>
      <w:r w:rsidRPr="000B6801">
        <w:rPr>
          <w:rFonts w:ascii="Arial" w:hAnsi="Arial" w:cs="Arial"/>
          <w:bCs/>
          <w:color w:val="auto"/>
          <w:sz w:val="21"/>
          <w:szCs w:val="21"/>
          <w:lang w:eastAsia="en-US"/>
        </w:rPr>
        <w:t xml:space="preserve">Si comunica che i dati del 2021 del commercio con l’estero sono stati resi definitivi. Contestualmente sono stati revisionati anche i dati dei primi tre mesi del 2022. L’entità delle revisioni è riportata nell’apposita sezione del comunicato. La banca dati on line www.coeweb.istat.it è stata aggiornata per quanto riguarda i dati grezzi, le serie destagionalizzate e i numeri indice. </w:t>
      </w:r>
      <w:r w:rsidR="00710291" w:rsidRPr="000B6801">
        <w:rPr>
          <w:rFonts w:ascii="Arial" w:hAnsi="Arial" w:cs="Arial"/>
          <w:bCs/>
          <w:color w:val="auto"/>
          <w:sz w:val="21"/>
          <w:szCs w:val="21"/>
          <w:lang w:eastAsia="en-US"/>
        </w:rPr>
        <w:t xml:space="preserve"> </w:t>
      </w:r>
    </w:p>
    <w:p w14:paraId="353C6678" w14:textId="41338203" w:rsidR="00710291" w:rsidRPr="00710291" w:rsidRDefault="007E417B" w:rsidP="00710291">
      <w:pPr>
        <w:pStyle w:val="Paragrafoelenco"/>
        <w:ind w:left="360"/>
        <w:rPr>
          <w:rFonts w:ascii="Arial" w:hAnsi="Arial" w:cs="Arial"/>
          <w:bCs/>
          <w:color w:val="auto"/>
          <w:sz w:val="8"/>
          <w:szCs w:val="21"/>
          <w:lang w:eastAsia="en-US"/>
        </w:rPr>
      </w:pPr>
      <w:r w:rsidRPr="004F13FA">
        <w:rPr>
          <w:noProof/>
          <w:highlight w:val="yellow"/>
          <w:lang w:eastAsia="it-IT"/>
        </w:rPr>
        <w:drawing>
          <wp:anchor distT="0" distB="0" distL="114300" distR="114300" simplePos="0" relativeHeight="251658240" behindDoc="0" locked="0" layoutInCell="1" allowOverlap="1" wp14:anchorId="325B255E" wp14:editId="53C3A28F">
            <wp:simplePos x="0" y="0"/>
            <wp:positionH relativeFrom="column">
              <wp:posOffset>12065</wp:posOffset>
            </wp:positionH>
            <wp:positionV relativeFrom="paragraph">
              <wp:posOffset>5715</wp:posOffset>
            </wp:positionV>
            <wp:extent cx="647700" cy="647700"/>
            <wp:effectExtent l="0" t="0" r="0" b="0"/>
            <wp:wrapNone/>
            <wp:docPr id="260" name="Immagin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pic:spPr>
                </pic:pic>
              </a:graphicData>
            </a:graphic>
            <wp14:sizeRelH relativeFrom="margin">
              <wp14:pctWidth>0</wp14:pctWidth>
            </wp14:sizeRelH>
            <wp14:sizeRelV relativeFrom="margin">
              <wp14:pctHeight>0</wp14:pctHeight>
            </wp14:sizeRelV>
          </wp:anchor>
        </w:drawing>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6"/>
        <w:gridCol w:w="3290"/>
      </w:tblGrid>
      <w:tr w:rsidR="00F527AD" w:rsidRPr="002578CE" w14:paraId="78C8AE30" w14:textId="77777777" w:rsidTr="00053850">
        <w:trPr>
          <w:trHeight w:val="115"/>
        </w:trPr>
        <w:tc>
          <w:tcPr>
            <w:tcW w:w="6916" w:type="dxa"/>
            <w:vMerge w:val="restart"/>
            <w:tcBorders>
              <w:top w:val="nil"/>
              <w:left w:val="single" w:sz="4" w:space="0" w:color="FFFFFF"/>
              <w:right w:val="single" w:sz="48" w:space="0" w:color="FFFFFF"/>
            </w:tcBorders>
            <w:shd w:val="clear" w:color="auto" w:fill="D9D9D9"/>
          </w:tcPr>
          <w:p w14:paraId="232A7A30" w14:textId="16A7DF70" w:rsidR="00016974" w:rsidRDefault="005301CF" w:rsidP="00711FD1">
            <w:pPr>
              <w:pStyle w:val="Paragrafobase"/>
              <w:spacing w:before="120" w:line="140" w:lineRule="atLeast"/>
              <w:rPr>
                <w:rFonts w:ascii="Arial" w:hAnsi="Arial" w:cs="Arial"/>
                <w:sz w:val="21"/>
                <w:szCs w:val="21"/>
              </w:rPr>
            </w:pPr>
            <w:r>
              <w:rPr>
                <w:noProof/>
              </w:rPr>
              <w:drawing>
                <wp:anchor distT="0" distB="0" distL="114300" distR="114300" simplePos="0" relativeHeight="251659264" behindDoc="0" locked="0" layoutInCell="1" allowOverlap="1" wp14:anchorId="613FC820" wp14:editId="66ED5D32">
                  <wp:simplePos x="0" y="0"/>
                  <wp:positionH relativeFrom="column">
                    <wp:posOffset>5989320</wp:posOffset>
                  </wp:positionH>
                  <wp:positionV relativeFrom="paragraph">
                    <wp:posOffset>44450</wp:posOffset>
                  </wp:positionV>
                  <wp:extent cx="657225" cy="638175"/>
                  <wp:effectExtent l="0" t="0" r="0" b="0"/>
                  <wp:wrapNone/>
                  <wp:docPr id="259" name="Immagine 3" descr="Descrizione: iconeComunicati-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Descrizione: iconeComunicati-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225" cy="638175"/>
                          </a:xfrm>
                          <a:prstGeom prst="rect">
                            <a:avLst/>
                          </a:prstGeom>
                          <a:noFill/>
                          <a:ln>
                            <a:noFill/>
                          </a:ln>
                        </pic:spPr>
                      </pic:pic>
                    </a:graphicData>
                  </a:graphic>
                </wp:anchor>
              </w:drawing>
            </w:r>
            <w:r w:rsidR="00F527AD" w:rsidRPr="002578CE">
              <w:rPr>
                <w:rFonts w:ascii="Arial" w:hAnsi="Arial" w:cs="Arial"/>
                <w:sz w:val="22"/>
                <w:szCs w:val="22"/>
              </w:rPr>
              <w:t xml:space="preserve">                 </w:t>
            </w:r>
            <w:r w:rsidR="00F527AD">
              <w:rPr>
                <w:rFonts w:ascii="Arial" w:hAnsi="Arial" w:cs="Arial"/>
                <w:sz w:val="22"/>
                <w:szCs w:val="22"/>
              </w:rPr>
              <w:t xml:space="preserve"> </w:t>
            </w:r>
            <w:r w:rsidR="00F527AD" w:rsidRPr="00AF6380">
              <w:rPr>
                <w:rFonts w:ascii="Calibri" w:hAnsi="Calibri" w:cs="Arial"/>
                <w:color w:val="E41C18"/>
                <w:sz w:val="56"/>
                <w:szCs w:val="56"/>
              </w:rPr>
              <w:t>Il commento</w:t>
            </w:r>
          </w:p>
          <w:p w14:paraId="1756416F" w14:textId="77777777" w:rsidR="00166759" w:rsidRPr="000077FA" w:rsidRDefault="00166759" w:rsidP="00166759">
            <w:pPr>
              <w:jc w:val="both"/>
              <w:rPr>
                <w:rFonts w:ascii="Arial" w:hAnsi="Arial" w:cs="Arial"/>
                <w:sz w:val="6"/>
                <w:szCs w:val="6"/>
              </w:rPr>
            </w:pPr>
          </w:p>
          <w:p w14:paraId="795C976D" w14:textId="2A436ACC" w:rsidR="007F15DC" w:rsidRDefault="007F15DC" w:rsidP="007F15DC">
            <w:pPr>
              <w:jc w:val="both"/>
              <w:rPr>
                <w:rFonts w:ascii="Arial" w:hAnsi="Arial" w:cs="Arial"/>
                <w:sz w:val="21"/>
                <w:szCs w:val="21"/>
              </w:rPr>
            </w:pPr>
            <w:r w:rsidRPr="00A82F41">
              <w:rPr>
                <w:rFonts w:ascii="Arial" w:hAnsi="Arial" w:cs="Arial"/>
                <w:sz w:val="21"/>
                <w:szCs w:val="21"/>
              </w:rPr>
              <w:t>A settembre, l’export torna a crescere su base mensile, trainato dalle vendite verso i paesi extra Ue</w:t>
            </w:r>
            <w:r w:rsidR="00E73C46">
              <w:rPr>
                <w:rFonts w:ascii="Arial" w:hAnsi="Arial" w:cs="Arial"/>
                <w:sz w:val="21"/>
                <w:szCs w:val="21"/>
              </w:rPr>
              <w:t>. Nella media d</w:t>
            </w:r>
            <w:r>
              <w:rPr>
                <w:rFonts w:ascii="Arial" w:hAnsi="Arial" w:cs="Arial"/>
                <w:sz w:val="21"/>
                <w:szCs w:val="21"/>
              </w:rPr>
              <w:t xml:space="preserve">el terzo trimestre 2022, </w:t>
            </w:r>
            <w:r w:rsidRPr="00FD15C4">
              <w:rPr>
                <w:rFonts w:ascii="Arial" w:hAnsi="Arial" w:cs="Arial"/>
                <w:sz w:val="21"/>
                <w:szCs w:val="21"/>
              </w:rPr>
              <w:t>la dinamica congiunturale</w:t>
            </w:r>
            <w:r>
              <w:rPr>
                <w:rFonts w:ascii="Arial" w:hAnsi="Arial" w:cs="Arial"/>
                <w:sz w:val="21"/>
                <w:szCs w:val="21"/>
              </w:rPr>
              <w:t xml:space="preserve"> </w:t>
            </w:r>
            <w:r w:rsidR="00624DFE">
              <w:rPr>
                <w:rFonts w:ascii="Arial" w:hAnsi="Arial" w:cs="Arial"/>
                <w:sz w:val="21"/>
                <w:szCs w:val="21"/>
              </w:rPr>
              <w:t>è</w:t>
            </w:r>
            <w:r>
              <w:rPr>
                <w:rFonts w:ascii="Arial" w:hAnsi="Arial" w:cs="Arial"/>
                <w:sz w:val="21"/>
                <w:szCs w:val="21"/>
              </w:rPr>
              <w:t xml:space="preserve"> </w:t>
            </w:r>
            <w:r w:rsidRPr="00FD15C4">
              <w:rPr>
                <w:rFonts w:ascii="Arial" w:hAnsi="Arial" w:cs="Arial"/>
                <w:sz w:val="21"/>
                <w:szCs w:val="21"/>
              </w:rPr>
              <w:t>positiva</w:t>
            </w:r>
            <w:r>
              <w:rPr>
                <w:rFonts w:ascii="Arial" w:hAnsi="Arial" w:cs="Arial"/>
                <w:sz w:val="21"/>
                <w:szCs w:val="21"/>
              </w:rPr>
              <w:t xml:space="preserve"> sebbene in decelerazione (+2,7%, da +6,0% del secondo trimestre)</w:t>
            </w:r>
            <w:r w:rsidRPr="00B96513">
              <w:rPr>
                <w:rFonts w:ascii="Arial" w:hAnsi="Arial" w:cs="Arial"/>
                <w:sz w:val="21"/>
                <w:szCs w:val="21"/>
              </w:rPr>
              <w:t>.</w:t>
            </w:r>
          </w:p>
          <w:p w14:paraId="702A1A8B" w14:textId="52EC4F8D" w:rsidR="007F15DC" w:rsidRDefault="007F15DC" w:rsidP="00206B94">
            <w:pPr>
              <w:tabs>
                <w:tab w:val="left" w:pos="426"/>
                <w:tab w:val="left" w:pos="1843"/>
              </w:tabs>
              <w:spacing w:after="40" w:line="230" w:lineRule="exact"/>
              <w:jc w:val="both"/>
              <w:rPr>
                <w:rFonts w:ascii="Arial" w:hAnsi="Arial" w:cs="Arial"/>
                <w:sz w:val="21"/>
                <w:szCs w:val="21"/>
              </w:rPr>
            </w:pPr>
            <w:r w:rsidRPr="00B96513">
              <w:rPr>
                <w:rFonts w:ascii="Arial" w:hAnsi="Arial" w:cs="Arial"/>
                <w:sz w:val="21"/>
                <w:szCs w:val="21"/>
              </w:rPr>
              <w:t>Su base annua, l</w:t>
            </w:r>
            <w:r>
              <w:rPr>
                <w:rFonts w:ascii="Arial" w:hAnsi="Arial" w:cs="Arial"/>
                <w:sz w:val="21"/>
                <w:szCs w:val="21"/>
              </w:rPr>
              <w:t>a crescita</w:t>
            </w:r>
            <w:r w:rsidRPr="00B96513">
              <w:rPr>
                <w:rFonts w:ascii="Arial" w:hAnsi="Arial" w:cs="Arial"/>
                <w:sz w:val="21"/>
                <w:szCs w:val="21"/>
              </w:rPr>
              <w:t xml:space="preserve"> dell</w:t>
            </w:r>
            <w:r>
              <w:rPr>
                <w:rFonts w:ascii="Arial" w:hAnsi="Arial" w:cs="Arial"/>
                <w:sz w:val="21"/>
                <w:szCs w:val="21"/>
              </w:rPr>
              <w:t>’export</w:t>
            </w:r>
            <w:r w:rsidRPr="00B96513">
              <w:rPr>
                <w:rFonts w:ascii="Arial" w:hAnsi="Arial" w:cs="Arial"/>
                <w:sz w:val="21"/>
                <w:szCs w:val="21"/>
              </w:rPr>
              <w:t xml:space="preserve"> </w:t>
            </w:r>
            <w:r>
              <w:rPr>
                <w:rFonts w:ascii="Arial" w:hAnsi="Arial" w:cs="Arial"/>
                <w:sz w:val="21"/>
                <w:szCs w:val="21"/>
              </w:rPr>
              <w:t xml:space="preserve">interessa </w:t>
            </w:r>
            <w:r w:rsidRPr="00B96513">
              <w:rPr>
                <w:rFonts w:ascii="Arial" w:hAnsi="Arial" w:cs="Arial"/>
                <w:sz w:val="21"/>
                <w:szCs w:val="21"/>
              </w:rPr>
              <w:t xml:space="preserve">tutti i settori </w:t>
            </w:r>
            <w:r>
              <w:rPr>
                <w:rFonts w:ascii="Arial" w:hAnsi="Arial" w:cs="Arial"/>
                <w:sz w:val="21"/>
                <w:szCs w:val="21"/>
              </w:rPr>
              <w:t>e</w:t>
            </w:r>
            <w:r w:rsidRPr="00B96513">
              <w:rPr>
                <w:rFonts w:ascii="Arial" w:hAnsi="Arial" w:cs="Arial"/>
                <w:sz w:val="21"/>
                <w:szCs w:val="21"/>
              </w:rPr>
              <w:t xml:space="preserve"> </w:t>
            </w:r>
            <w:r w:rsidR="00F26F70">
              <w:rPr>
                <w:rFonts w:ascii="Arial" w:hAnsi="Arial" w:cs="Arial"/>
                <w:sz w:val="21"/>
                <w:szCs w:val="21"/>
              </w:rPr>
              <w:t>quasi tutti i</w:t>
            </w:r>
            <w:r w:rsidRPr="00B96513">
              <w:rPr>
                <w:rFonts w:ascii="Arial" w:hAnsi="Arial" w:cs="Arial"/>
                <w:sz w:val="21"/>
                <w:szCs w:val="21"/>
              </w:rPr>
              <w:t xml:space="preserve"> principali paesi partner</w:t>
            </w:r>
            <w:r w:rsidR="00624DFE">
              <w:rPr>
                <w:rFonts w:ascii="Arial" w:hAnsi="Arial" w:cs="Arial"/>
                <w:sz w:val="21"/>
                <w:szCs w:val="21"/>
              </w:rPr>
              <w:t xml:space="preserve">; quella </w:t>
            </w:r>
            <w:r w:rsidR="001D7807">
              <w:rPr>
                <w:rFonts w:ascii="Arial" w:hAnsi="Arial" w:cs="Arial"/>
                <w:sz w:val="21"/>
                <w:szCs w:val="21"/>
              </w:rPr>
              <w:t>dell’import</w:t>
            </w:r>
            <w:r w:rsidR="00FD0FE3">
              <w:rPr>
                <w:rFonts w:ascii="Arial" w:hAnsi="Arial" w:cs="Arial"/>
                <w:sz w:val="21"/>
                <w:szCs w:val="21"/>
              </w:rPr>
              <w:t>,</w:t>
            </w:r>
            <w:r w:rsidR="00B773BA">
              <w:rPr>
                <w:rFonts w:ascii="Arial" w:hAnsi="Arial" w:cs="Arial"/>
                <w:sz w:val="21"/>
                <w:szCs w:val="21"/>
              </w:rPr>
              <w:t xml:space="preserve"> </w:t>
            </w:r>
            <w:r>
              <w:rPr>
                <w:rFonts w:ascii="Arial" w:hAnsi="Arial" w:cs="Arial"/>
                <w:sz w:val="21"/>
                <w:szCs w:val="21"/>
              </w:rPr>
              <w:t>per metà</w:t>
            </w:r>
            <w:r w:rsidRPr="00F95BD9">
              <w:rPr>
                <w:rFonts w:ascii="Arial" w:hAnsi="Arial" w:cs="Arial"/>
                <w:sz w:val="21"/>
                <w:szCs w:val="21"/>
              </w:rPr>
              <w:t xml:space="preserve"> </w:t>
            </w:r>
            <w:r w:rsidR="005130D9">
              <w:rPr>
                <w:rFonts w:ascii="Arial" w:hAnsi="Arial" w:cs="Arial"/>
                <w:sz w:val="21"/>
                <w:szCs w:val="21"/>
              </w:rPr>
              <w:t>dovut</w:t>
            </w:r>
            <w:r w:rsidR="00624DFE">
              <w:rPr>
                <w:rFonts w:ascii="Arial" w:hAnsi="Arial" w:cs="Arial"/>
                <w:sz w:val="21"/>
                <w:szCs w:val="21"/>
              </w:rPr>
              <w:t>a</w:t>
            </w:r>
            <w:r w:rsidR="005130D9">
              <w:rPr>
                <w:rFonts w:ascii="Arial" w:hAnsi="Arial" w:cs="Arial"/>
                <w:sz w:val="21"/>
                <w:szCs w:val="21"/>
              </w:rPr>
              <w:t xml:space="preserve"> </w:t>
            </w:r>
            <w:r w:rsidRPr="00F95BD9">
              <w:rPr>
                <w:rFonts w:ascii="Arial" w:hAnsi="Arial" w:cs="Arial"/>
                <w:sz w:val="21"/>
                <w:szCs w:val="21"/>
              </w:rPr>
              <w:t>alla componente energetica</w:t>
            </w:r>
            <w:r w:rsidR="00FD0FE3">
              <w:rPr>
                <w:rFonts w:ascii="Arial" w:hAnsi="Arial" w:cs="Arial"/>
                <w:sz w:val="21"/>
                <w:szCs w:val="21"/>
              </w:rPr>
              <w:t>,</w:t>
            </w:r>
            <w:r w:rsidRPr="00F95BD9">
              <w:rPr>
                <w:rFonts w:ascii="Arial" w:hAnsi="Arial" w:cs="Arial"/>
                <w:sz w:val="21"/>
                <w:szCs w:val="21"/>
              </w:rPr>
              <w:t xml:space="preserve"> </w:t>
            </w:r>
            <w:r>
              <w:rPr>
                <w:rFonts w:ascii="Arial" w:hAnsi="Arial" w:cs="Arial"/>
                <w:sz w:val="21"/>
                <w:szCs w:val="21"/>
              </w:rPr>
              <w:t>r</w:t>
            </w:r>
            <w:r w:rsidRPr="00F95BD9">
              <w:rPr>
                <w:rFonts w:ascii="Arial" w:hAnsi="Arial" w:cs="Arial"/>
                <w:sz w:val="21"/>
                <w:szCs w:val="21"/>
              </w:rPr>
              <w:t>allenta</w:t>
            </w:r>
            <w:r w:rsidR="00206B94">
              <w:rPr>
                <w:rFonts w:ascii="Arial" w:hAnsi="Arial" w:cs="Arial"/>
                <w:sz w:val="21"/>
                <w:szCs w:val="21"/>
              </w:rPr>
              <w:t xml:space="preserve"> e si </w:t>
            </w:r>
            <w:r w:rsidR="00FD0FE3">
              <w:rPr>
                <w:rFonts w:ascii="Arial" w:hAnsi="Arial" w:cs="Arial"/>
                <w:sz w:val="21"/>
                <w:szCs w:val="21"/>
              </w:rPr>
              <w:t xml:space="preserve">riporta </w:t>
            </w:r>
            <w:r w:rsidRPr="00F95BD9">
              <w:rPr>
                <w:rFonts w:ascii="Arial" w:hAnsi="Arial" w:cs="Arial"/>
                <w:sz w:val="21"/>
                <w:szCs w:val="21"/>
              </w:rPr>
              <w:t>sui livelli di aprile.</w:t>
            </w:r>
            <w:r>
              <w:rPr>
                <w:rFonts w:ascii="Arial" w:hAnsi="Arial" w:cs="Arial"/>
                <w:sz w:val="21"/>
                <w:szCs w:val="21"/>
              </w:rPr>
              <w:t xml:space="preserve"> </w:t>
            </w:r>
          </w:p>
          <w:p w14:paraId="1A4940B5" w14:textId="2543B00D" w:rsidR="007F15DC" w:rsidRPr="00152C93" w:rsidRDefault="007F15DC" w:rsidP="007F15DC">
            <w:pPr>
              <w:jc w:val="both"/>
              <w:rPr>
                <w:rFonts w:ascii="Arial" w:hAnsi="Arial" w:cs="Arial"/>
                <w:sz w:val="21"/>
                <w:szCs w:val="21"/>
              </w:rPr>
            </w:pPr>
            <w:r w:rsidRPr="00152C93">
              <w:rPr>
                <w:rFonts w:ascii="Arial" w:hAnsi="Arial" w:cs="Arial"/>
                <w:sz w:val="21"/>
                <w:szCs w:val="21"/>
              </w:rPr>
              <w:t xml:space="preserve">Nei primi nove mesi </w:t>
            </w:r>
            <w:r w:rsidR="00624DFE">
              <w:rPr>
                <w:rFonts w:ascii="Arial" w:hAnsi="Arial" w:cs="Arial"/>
                <w:sz w:val="21"/>
                <w:szCs w:val="21"/>
              </w:rPr>
              <w:t>dell’anno</w:t>
            </w:r>
            <w:r w:rsidRPr="00152C93">
              <w:rPr>
                <w:rFonts w:ascii="Arial" w:hAnsi="Arial" w:cs="Arial"/>
                <w:sz w:val="21"/>
                <w:szCs w:val="21"/>
              </w:rPr>
              <w:t xml:space="preserve">, il disavanzo commerciale supera i 31 miliardi, condizionato da un deficit </w:t>
            </w:r>
            <w:r w:rsidR="00FD0FE3">
              <w:rPr>
                <w:rFonts w:ascii="Arial" w:hAnsi="Arial" w:cs="Arial"/>
                <w:sz w:val="21"/>
                <w:szCs w:val="21"/>
              </w:rPr>
              <w:t>energetico di oltre 85 miliardi; un contributo negativo deriva anche dai beni intermedi, con un d</w:t>
            </w:r>
            <w:r w:rsidR="00624DFE">
              <w:rPr>
                <w:rFonts w:ascii="Arial" w:hAnsi="Arial" w:cs="Arial"/>
                <w:sz w:val="21"/>
                <w:szCs w:val="21"/>
              </w:rPr>
              <w:t>eficit</w:t>
            </w:r>
            <w:r w:rsidR="00FD0FE3">
              <w:rPr>
                <w:rFonts w:ascii="Arial" w:hAnsi="Arial" w:cs="Arial"/>
                <w:sz w:val="21"/>
                <w:szCs w:val="21"/>
              </w:rPr>
              <w:t xml:space="preserve"> di quasi 19 miliardi. </w:t>
            </w:r>
          </w:p>
          <w:p w14:paraId="082F83DB" w14:textId="619483D4" w:rsidR="004E7A1D" w:rsidRPr="00B16945" w:rsidRDefault="005130D9" w:rsidP="00624DFE">
            <w:pPr>
              <w:tabs>
                <w:tab w:val="left" w:pos="426"/>
                <w:tab w:val="left" w:pos="1843"/>
              </w:tabs>
              <w:spacing w:before="60" w:after="60" w:line="230" w:lineRule="exact"/>
              <w:jc w:val="both"/>
              <w:rPr>
                <w:rFonts w:ascii="Arial" w:hAnsi="Arial" w:cstheme="minorBidi"/>
                <w:kern w:val="28"/>
                <w:sz w:val="21"/>
                <w:szCs w:val="21"/>
              </w:rPr>
            </w:pPr>
            <w:r>
              <w:rPr>
                <w:rFonts w:ascii="Arial" w:hAnsi="Arial" w:cs="Arial"/>
                <w:bCs/>
                <w:sz w:val="21"/>
                <w:szCs w:val="21"/>
              </w:rPr>
              <w:t xml:space="preserve">Sono le dinamiche in attenuazione dei prezzi dei prodotti energetici e dei beni intermedi a </w:t>
            </w:r>
            <w:r w:rsidR="00624DFE">
              <w:rPr>
                <w:rFonts w:ascii="Arial" w:hAnsi="Arial" w:cs="Arial"/>
                <w:bCs/>
                <w:sz w:val="21"/>
                <w:szCs w:val="21"/>
              </w:rPr>
              <w:t>spiegare il</w:t>
            </w:r>
            <w:r w:rsidR="001D7807">
              <w:rPr>
                <w:rFonts w:ascii="Arial" w:hAnsi="Arial" w:cs="Arial"/>
                <w:bCs/>
                <w:sz w:val="21"/>
                <w:szCs w:val="21"/>
              </w:rPr>
              <w:t xml:space="preserve"> rallentamento della crescita </w:t>
            </w:r>
            <w:r w:rsidR="00624DFE">
              <w:rPr>
                <w:rFonts w:ascii="Arial" w:hAnsi="Arial" w:cs="Arial"/>
                <w:bCs/>
                <w:sz w:val="21"/>
                <w:szCs w:val="21"/>
              </w:rPr>
              <w:t>tendenziale</w:t>
            </w:r>
            <w:r w:rsidR="001D7807">
              <w:rPr>
                <w:rFonts w:ascii="Arial" w:hAnsi="Arial" w:cs="Arial"/>
                <w:bCs/>
                <w:sz w:val="21"/>
                <w:szCs w:val="21"/>
              </w:rPr>
              <w:t xml:space="preserve"> dei prezzi </w:t>
            </w:r>
            <w:r>
              <w:rPr>
                <w:rFonts w:ascii="Arial" w:hAnsi="Arial" w:cs="Arial"/>
                <w:bCs/>
                <w:sz w:val="21"/>
                <w:szCs w:val="21"/>
              </w:rPr>
              <w:t>all’import</w:t>
            </w:r>
            <w:r w:rsidR="007E417B" w:rsidRPr="007E417B">
              <w:rPr>
                <w:rFonts w:ascii="Arial" w:hAnsi="Arial" w:cs="Arial"/>
                <w:bCs/>
                <w:sz w:val="21"/>
                <w:szCs w:val="21"/>
              </w:rPr>
              <w:t>.</w:t>
            </w:r>
          </w:p>
        </w:tc>
        <w:tc>
          <w:tcPr>
            <w:tcW w:w="3290" w:type="dxa"/>
            <w:tcBorders>
              <w:top w:val="nil"/>
              <w:left w:val="single" w:sz="48" w:space="0" w:color="FFFFFF"/>
              <w:bottom w:val="single" w:sz="36" w:space="0" w:color="FFFFFF"/>
              <w:right w:val="single" w:sz="36" w:space="0" w:color="FFFFFF"/>
            </w:tcBorders>
            <w:shd w:val="clear" w:color="auto" w:fill="E31C18"/>
          </w:tcPr>
          <w:p w14:paraId="21E22E65" w14:textId="77777777" w:rsidR="00F527AD" w:rsidRPr="00AC2483" w:rsidRDefault="00F527AD" w:rsidP="00FB50EB">
            <w:pPr>
              <w:pStyle w:val="Paragrafobase"/>
              <w:spacing w:before="200" w:line="320" w:lineRule="exact"/>
              <w:ind w:left="176"/>
              <w:rPr>
                <w:rFonts w:ascii="Calibri" w:hAnsi="Calibri" w:cs="Arial"/>
                <w:b/>
                <w:color w:val="FFFFFF"/>
                <w:sz w:val="28"/>
                <w:szCs w:val="28"/>
              </w:rPr>
            </w:pPr>
            <w:r w:rsidRPr="00AC2483">
              <w:rPr>
                <w:rFonts w:ascii="Calibri" w:hAnsi="Calibri" w:cs="Arial"/>
                <w:b/>
                <w:color w:val="FFFFFF"/>
                <w:sz w:val="28"/>
                <w:szCs w:val="28"/>
              </w:rPr>
              <w:t>PROSSIMA</w:t>
            </w:r>
          </w:p>
          <w:p w14:paraId="7D1A9741" w14:textId="77777777" w:rsidR="00F527AD" w:rsidRDefault="00F527AD" w:rsidP="00FB50EB">
            <w:pPr>
              <w:pStyle w:val="Paragrafobase"/>
              <w:spacing w:line="320" w:lineRule="exact"/>
              <w:ind w:left="175"/>
              <w:rPr>
                <w:rFonts w:ascii="Calibri" w:hAnsi="Calibri" w:cs="Arial"/>
                <w:b/>
                <w:color w:val="FFFFFF"/>
                <w:sz w:val="28"/>
                <w:szCs w:val="28"/>
              </w:rPr>
            </w:pPr>
            <w:r w:rsidRPr="00AC2483">
              <w:rPr>
                <w:rFonts w:ascii="Calibri" w:hAnsi="Calibri" w:cs="Arial"/>
                <w:b/>
                <w:color w:val="FFFFFF"/>
                <w:sz w:val="28"/>
                <w:szCs w:val="28"/>
              </w:rPr>
              <w:t>DIFFUSIONE</w:t>
            </w:r>
          </w:p>
          <w:p w14:paraId="00298C28" w14:textId="77777777" w:rsidR="00F527AD" w:rsidRPr="00C32401" w:rsidRDefault="00F527AD" w:rsidP="00FB50EB">
            <w:pPr>
              <w:pStyle w:val="Paragrafobase"/>
              <w:spacing w:line="320" w:lineRule="exact"/>
              <w:ind w:left="175"/>
              <w:rPr>
                <w:rStyle w:val="Collegamentoipertestuale"/>
                <w:rFonts w:ascii="Arial" w:hAnsi="Arial" w:cs="Arial"/>
                <w:color w:val="FFFFFF"/>
                <w:sz w:val="20"/>
                <w:szCs w:val="20"/>
              </w:rPr>
            </w:pPr>
          </w:p>
          <w:p w14:paraId="54F2919A" w14:textId="4272B177" w:rsidR="00F527AD" w:rsidRPr="002578CE" w:rsidRDefault="00236734" w:rsidP="005F4885">
            <w:pPr>
              <w:pStyle w:val="Paragrafobase"/>
              <w:spacing w:before="120" w:after="120" w:line="160" w:lineRule="atLeast"/>
              <w:ind w:left="176"/>
              <w:rPr>
                <w:rFonts w:ascii="Arial" w:hAnsi="Arial" w:cs="Arial"/>
                <w:sz w:val="21"/>
                <w:szCs w:val="21"/>
              </w:rPr>
            </w:pPr>
            <w:r>
              <w:rPr>
                <w:rFonts w:ascii="Arial Narrow" w:hAnsi="Arial Narrow" w:cs="Arial"/>
                <w:color w:val="FFFFFF"/>
                <w:sz w:val="22"/>
                <w:szCs w:val="22"/>
              </w:rPr>
              <w:t>1</w:t>
            </w:r>
            <w:r w:rsidR="005F4885">
              <w:rPr>
                <w:rFonts w:ascii="Arial Narrow" w:hAnsi="Arial Narrow" w:cs="Arial"/>
                <w:color w:val="FFFFFF"/>
                <w:sz w:val="22"/>
                <w:szCs w:val="22"/>
              </w:rPr>
              <w:t>6</w:t>
            </w:r>
            <w:r w:rsidR="006C7BC0">
              <w:rPr>
                <w:rFonts w:ascii="Arial Narrow" w:hAnsi="Arial Narrow" w:cs="Arial"/>
                <w:color w:val="FFFFFF"/>
                <w:sz w:val="22"/>
                <w:szCs w:val="22"/>
              </w:rPr>
              <w:t xml:space="preserve"> </w:t>
            </w:r>
            <w:r w:rsidR="005F4885">
              <w:rPr>
                <w:rFonts w:ascii="Arial Narrow" w:hAnsi="Arial Narrow" w:cs="Arial"/>
                <w:color w:val="FFFFFF"/>
                <w:sz w:val="22"/>
                <w:szCs w:val="22"/>
              </w:rPr>
              <w:t>Dicem</w:t>
            </w:r>
            <w:r w:rsidR="00A45B6E">
              <w:rPr>
                <w:rFonts w:ascii="Arial Narrow" w:hAnsi="Arial Narrow" w:cs="Arial"/>
                <w:color w:val="FFFFFF"/>
                <w:sz w:val="22"/>
                <w:szCs w:val="22"/>
              </w:rPr>
              <w:t>bre</w:t>
            </w:r>
            <w:r w:rsidR="00A45FC3">
              <w:rPr>
                <w:rFonts w:ascii="Arial Narrow" w:hAnsi="Arial Narrow" w:cs="Arial"/>
                <w:color w:val="FFFFFF"/>
                <w:sz w:val="22"/>
                <w:szCs w:val="22"/>
              </w:rPr>
              <w:t xml:space="preserve"> </w:t>
            </w:r>
            <w:r w:rsidR="009C7615">
              <w:rPr>
                <w:rFonts w:ascii="Arial Narrow" w:hAnsi="Arial Narrow" w:cs="Arial"/>
                <w:color w:val="FFFFFF"/>
                <w:sz w:val="22"/>
                <w:szCs w:val="22"/>
              </w:rPr>
              <w:t>202</w:t>
            </w:r>
            <w:r w:rsidR="00CB7383">
              <w:rPr>
                <w:rFonts w:ascii="Arial Narrow" w:hAnsi="Arial Narrow" w:cs="Arial"/>
                <w:color w:val="FFFFFF"/>
                <w:sz w:val="22"/>
                <w:szCs w:val="22"/>
              </w:rPr>
              <w:t>2</w:t>
            </w:r>
          </w:p>
        </w:tc>
      </w:tr>
      <w:tr w:rsidR="00F527AD" w:rsidRPr="002578CE" w14:paraId="75B7B8EB" w14:textId="77777777" w:rsidTr="00053850">
        <w:trPr>
          <w:trHeight w:val="115"/>
        </w:trPr>
        <w:tc>
          <w:tcPr>
            <w:tcW w:w="6916" w:type="dxa"/>
            <w:vMerge/>
            <w:tcBorders>
              <w:left w:val="single" w:sz="4" w:space="0" w:color="FFFFFF"/>
              <w:right w:val="single" w:sz="48" w:space="0" w:color="FFFFFF"/>
            </w:tcBorders>
            <w:shd w:val="clear" w:color="auto" w:fill="D9D9D9"/>
          </w:tcPr>
          <w:p w14:paraId="45CF6F95" w14:textId="77777777" w:rsidR="00F527AD" w:rsidRPr="002578CE" w:rsidRDefault="00F527AD" w:rsidP="00FB50EB">
            <w:pPr>
              <w:tabs>
                <w:tab w:val="left" w:pos="284"/>
                <w:tab w:val="left" w:pos="709"/>
              </w:tabs>
              <w:spacing w:after="120" w:line="230" w:lineRule="exact"/>
              <w:jc w:val="both"/>
              <w:rPr>
                <w:rFonts w:ascii="Arial" w:hAnsi="Arial" w:cs="Arial"/>
                <w:sz w:val="21"/>
                <w:szCs w:val="21"/>
              </w:rPr>
            </w:pPr>
          </w:p>
        </w:tc>
        <w:tc>
          <w:tcPr>
            <w:tcW w:w="3290" w:type="dxa"/>
            <w:tcBorders>
              <w:top w:val="single" w:sz="36" w:space="0" w:color="FFFFFF"/>
              <w:left w:val="single" w:sz="48" w:space="0" w:color="FFFFFF"/>
              <w:bottom w:val="single" w:sz="36" w:space="0" w:color="FFFFFF"/>
              <w:right w:val="single" w:sz="36" w:space="0" w:color="FFFFFF"/>
            </w:tcBorders>
            <w:shd w:val="clear" w:color="auto" w:fill="auto"/>
          </w:tcPr>
          <w:p w14:paraId="41F8829E" w14:textId="77777777" w:rsidR="00F527AD" w:rsidRPr="002578CE" w:rsidRDefault="005301CF" w:rsidP="0056309F">
            <w:pPr>
              <w:pStyle w:val="Paragrafobase"/>
              <w:spacing w:before="120" w:line="240" w:lineRule="exact"/>
              <w:rPr>
                <w:rFonts w:ascii="Arial" w:hAnsi="Arial" w:cs="Arial"/>
                <w:sz w:val="21"/>
                <w:szCs w:val="21"/>
              </w:rPr>
            </w:pPr>
            <w:r>
              <w:rPr>
                <w:rFonts w:ascii="Arial" w:hAnsi="Arial" w:cs="Arial"/>
                <w:noProof/>
                <w:sz w:val="21"/>
                <w:szCs w:val="21"/>
              </w:rPr>
              <w:drawing>
                <wp:anchor distT="0" distB="0" distL="114300" distR="114300" simplePos="0" relativeHeight="251657216" behindDoc="0" locked="0" layoutInCell="1" allowOverlap="1" wp14:anchorId="3B1D44BF" wp14:editId="6CE31758">
                  <wp:simplePos x="0" y="0"/>
                  <wp:positionH relativeFrom="column">
                    <wp:posOffset>1497330</wp:posOffset>
                  </wp:positionH>
                  <wp:positionV relativeFrom="paragraph">
                    <wp:posOffset>49530</wp:posOffset>
                  </wp:positionV>
                  <wp:extent cx="647700" cy="628650"/>
                  <wp:effectExtent l="0" t="0" r="0" b="0"/>
                  <wp:wrapNone/>
                  <wp:docPr id="258" name="Immagine 9" descr="Descrizione: iconeComunicati-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Descrizione: iconeComunicati-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628650"/>
                          </a:xfrm>
                          <a:prstGeom prst="rect">
                            <a:avLst/>
                          </a:prstGeom>
                          <a:noFill/>
                          <a:ln>
                            <a:noFill/>
                          </a:ln>
                        </pic:spPr>
                      </pic:pic>
                    </a:graphicData>
                  </a:graphic>
                </wp:anchor>
              </w:drawing>
            </w:r>
          </w:p>
        </w:tc>
      </w:tr>
      <w:tr w:rsidR="00F527AD" w:rsidRPr="004003B9" w14:paraId="7DA5D134" w14:textId="77777777" w:rsidTr="00053850">
        <w:trPr>
          <w:trHeight w:val="115"/>
        </w:trPr>
        <w:tc>
          <w:tcPr>
            <w:tcW w:w="6916" w:type="dxa"/>
            <w:vMerge/>
            <w:tcBorders>
              <w:left w:val="single" w:sz="4" w:space="0" w:color="FFFFFF"/>
              <w:bottom w:val="nil"/>
              <w:right w:val="single" w:sz="48" w:space="0" w:color="FFFFFF"/>
            </w:tcBorders>
            <w:shd w:val="clear" w:color="auto" w:fill="D9D9D9"/>
          </w:tcPr>
          <w:p w14:paraId="243E0130" w14:textId="77777777" w:rsidR="00F527AD" w:rsidRPr="002578CE" w:rsidRDefault="00F527AD" w:rsidP="00FB50EB">
            <w:pPr>
              <w:tabs>
                <w:tab w:val="left" w:pos="284"/>
                <w:tab w:val="left" w:pos="709"/>
              </w:tabs>
              <w:spacing w:after="120" w:line="230" w:lineRule="exact"/>
              <w:jc w:val="both"/>
              <w:rPr>
                <w:rFonts w:ascii="Arial" w:hAnsi="Arial" w:cs="Arial"/>
                <w:sz w:val="21"/>
                <w:szCs w:val="21"/>
              </w:rPr>
            </w:pPr>
          </w:p>
        </w:tc>
        <w:tc>
          <w:tcPr>
            <w:tcW w:w="3290" w:type="dxa"/>
            <w:tcBorders>
              <w:top w:val="single" w:sz="36" w:space="0" w:color="FFFFFF"/>
              <w:left w:val="single" w:sz="48" w:space="0" w:color="FFFFFF"/>
              <w:bottom w:val="single" w:sz="36" w:space="0" w:color="FFFFFF"/>
              <w:right w:val="single" w:sz="36" w:space="0" w:color="FFFFFF"/>
            </w:tcBorders>
            <w:shd w:val="clear" w:color="auto" w:fill="E31C18"/>
          </w:tcPr>
          <w:p w14:paraId="79C064FA" w14:textId="50AF6CF6" w:rsidR="00F527AD" w:rsidRPr="00793BF4" w:rsidRDefault="00F527AD" w:rsidP="00FB50EB">
            <w:pPr>
              <w:pStyle w:val="Paragrafobase"/>
              <w:spacing w:before="160" w:line="320" w:lineRule="exact"/>
              <w:ind w:left="175"/>
              <w:rPr>
                <w:rFonts w:ascii="Calibri" w:hAnsi="Calibri" w:cs="Arial"/>
                <w:b/>
                <w:color w:val="FFFFFF"/>
                <w:sz w:val="28"/>
                <w:szCs w:val="28"/>
                <w:lang w:val="en-GB"/>
              </w:rPr>
            </w:pPr>
            <w:r w:rsidRPr="00793BF4">
              <w:rPr>
                <w:rFonts w:ascii="Calibri" w:hAnsi="Calibri" w:cs="Arial"/>
                <w:b/>
                <w:color w:val="FFFFFF"/>
                <w:sz w:val="28"/>
                <w:szCs w:val="28"/>
                <w:lang w:val="en-GB"/>
              </w:rPr>
              <w:t xml:space="preserve">Link </w:t>
            </w:r>
            <w:proofErr w:type="spellStart"/>
            <w:r w:rsidRPr="00793BF4">
              <w:rPr>
                <w:rFonts w:ascii="Calibri" w:hAnsi="Calibri" w:cs="Arial"/>
                <w:b/>
                <w:color w:val="FFFFFF"/>
                <w:sz w:val="28"/>
                <w:szCs w:val="28"/>
                <w:lang w:val="en-GB"/>
              </w:rPr>
              <w:t>utili</w:t>
            </w:r>
            <w:proofErr w:type="spellEnd"/>
          </w:p>
          <w:p w14:paraId="74F3F47A" w14:textId="77777777" w:rsidR="004E7A1D" w:rsidRPr="00793BF4" w:rsidRDefault="004E7A1D" w:rsidP="004E7A1D">
            <w:pPr>
              <w:pStyle w:val="Paragrafobase"/>
              <w:spacing w:line="320" w:lineRule="exact"/>
              <w:ind w:left="176"/>
              <w:rPr>
                <w:rFonts w:ascii="Calibri" w:hAnsi="Calibri" w:cs="Arial"/>
                <w:b/>
                <w:color w:val="FFFFFF"/>
                <w:sz w:val="10"/>
                <w:szCs w:val="10"/>
                <w:lang w:val="en-GB"/>
              </w:rPr>
            </w:pPr>
          </w:p>
          <w:p w14:paraId="36DE46D0" w14:textId="77777777" w:rsidR="000876D8" w:rsidRPr="00793BF4" w:rsidRDefault="00455EA4" w:rsidP="000876D8">
            <w:pPr>
              <w:pStyle w:val="Paragrafobase"/>
              <w:spacing w:before="120" w:line="240" w:lineRule="exact"/>
              <w:ind w:left="176"/>
              <w:rPr>
                <w:rStyle w:val="Collegamentoipertestuale"/>
                <w:rFonts w:ascii="Arial Narrow" w:hAnsi="Arial Narrow" w:cs="Arial"/>
                <w:color w:val="FFFFFF"/>
                <w:sz w:val="22"/>
                <w:szCs w:val="22"/>
                <w:lang w:val="en-GB"/>
              </w:rPr>
            </w:pPr>
            <w:hyperlink r:id="rId16" w:history="1">
              <w:r w:rsidR="000876D8" w:rsidRPr="00793BF4">
                <w:rPr>
                  <w:rStyle w:val="Collegamentoipertestuale"/>
                  <w:rFonts w:ascii="Arial Narrow" w:hAnsi="Arial Narrow" w:cs="Arial"/>
                  <w:color w:val="FFFFFF"/>
                  <w:sz w:val="22"/>
                  <w:szCs w:val="22"/>
                  <w:lang w:val="en-GB"/>
                </w:rPr>
                <w:t>http://dati.istat.it/</w:t>
              </w:r>
            </w:hyperlink>
          </w:p>
          <w:p w14:paraId="084F61B9" w14:textId="77777777" w:rsidR="000876D8" w:rsidRPr="00AF6380" w:rsidRDefault="00455EA4" w:rsidP="000876D8">
            <w:pPr>
              <w:pStyle w:val="Paragrafobase"/>
              <w:spacing w:before="120" w:line="240" w:lineRule="exact"/>
              <w:ind w:left="175"/>
              <w:rPr>
                <w:rStyle w:val="Collegamentoipertestuale"/>
                <w:rFonts w:ascii="Arial Narrow" w:hAnsi="Arial Narrow" w:cs="Arial"/>
                <w:color w:val="FFFFFF"/>
                <w:sz w:val="22"/>
                <w:szCs w:val="22"/>
                <w:lang w:val="en-US"/>
              </w:rPr>
            </w:pPr>
            <w:hyperlink r:id="rId17" w:history="1">
              <w:r w:rsidR="000876D8" w:rsidRPr="00AF6380">
                <w:rPr>
                  <w:rStyle w:val="Collegamentoipertestuale"/>
                  <w:rFonts w:ascii="Arial Narrow" w:hAnsi="Arial Narrow" w:cs="Arial"/>
                  <w:color w:val="FFFFFF"/>
                  <w:sz w:val="22"/>
                  <w:szCs w:val="22"/>
                  <w:lang w:val="en-US"/>
                </w:rPr>
                <w:t>http://www.istat.it/it/congiuntura</w:t>
              </w:r>
            </w:hyperlink>
          </w:p>
          <w:p w14:paraId="3DD3B3CF" w14:textId="1FD42BFE" w:rsidR="004E7A1D" w:rsidRPr="000077FA" w:rsidRDefault="00455EA4" w:rsidP="000077FA">
            <w:pPr>
              <w:pStyle w:val="Paragrafobase"/>
              <w:spacing w:before="120" w:line="240" w:lineRule="exact"/>
              <w:ind w:left="176"/>
              <w:rPr>
                <w:rFonts w:ascii="Arial Narrow" w:hAnsi="Arial Narrow" w:cs="Arial"/>
                <w:color w:val="FFFFFF"/>
                <w:sz w:val="22"/>
                <w:szCs w:val="22"/>
                <w:u w:val="single"/>
                <w:lang w:val="en-US"/>
              </w:rPr>
            </w:pPr>
            <w:hyperlink r:id="rId18" w:history="1">
              <w:r w:rsidR="000876D8" w:rsidRPr="00AF6380">
                <w:rPr>
                  <w:rStyle w:val="Collegamentoipertestuale"/>
                  <w:rFonts w:ascii="Arial Narrow" w:hAnsi="Arial Narrow" w:cs="Arial"/>
                  <w:color w:val="FFFFFF"/>
                  <w:sz w:val="22"/>
                  <w:szCs w:val="22"/>
                  <w:lang w:val="en-US"/>
                </w:rPr>
                <w:t>https://www.coeweb.istat.it</w:t>
              </w:r>
            </w:hyperlink>
          </w:p>
        </w:tc>
      </w:tr>
    </w:tbl>
    <w:p w14:paraId="79930BD0" w14:textId="77777777" w:rsidR="00F26F70" w:rsidRPr="006472BD" w:rsidRDefault="00F26F70" w:rsidP="00DC76B3">
      <w:pPr>
        <w:tabs>
          <w:tab w:val="left" w:pos="284"/>
        </w:tabs>
        <w:rPr>
          <w:rFonts w:ascii="Arial Narrow" w:hAnsi="Arial Narrow" w:cs="Arial"/>
          <w:b/>
          <w:color w:val="E42618"/>
          <w:sz w:val="22"/>
          <w:szCs w:val="22"/>
          <w:lang w:val="en-US"/>
        </w:rPr>
      </w:pPr>
    </w:p>
    <w:p w14:paraId="6381716D" w14:textId="7894A536" w:rsidR="00787294" w:rsidRDefault="00833A77" w:rsidP="00DC76B3">
      <w:pPr>
        <w:tabs>
          <w:tab w:val="left" w:pos="284"/>
        </w:tabs>
        <w:rPr>
          <w:sz w:val="22"/>
          <w:szCs w:val="22"/>
        </w:rPr>
      </w:pPr>
      <w:r w:rsidRPr="007939D9">
        <w:rPr>
          <w:rFonts w:ascii="Arial Narrow" w:hAnsi="Arial Narrow" w:cs="Arial"/>
          <w:b/>
          <w:color w:val="E42618"/>
          <w:sz w:val="22"/>
          <w:szCs w:val="22"/>
        </w:rPr>
        <w:lastRenderedPageBreak/>
        <w:t xml:space="preserve">FIGURA </w:t>
      </w:r>
      <w:r w:rsidR="00BE55AA">
        <w:rPr>
          <w:rFonts w:ascii="Arial Narrow" w:hAnsi="Arial Narrow" w:cs="Arial"/>
          <w:b/>
          <w:color w:val="E42618"/>
          <w:sz w:val="22"/>
          <w:szCs w:val="22"/>
        </w:rPr>
        <w:t>1</w:t>
      </w:r>
      <w:r w:rsidRPr="007939D9">
        <w:rPr>
          <w:rFonts w:ascii="Arial Narrow" w:hAnsi="Arial Narrow" w:cs="Arial"/>
          <w:b/>
          <w:color w:val="E42618"/>
          <w:sz w:val="22"/>
          <w:szCs w:val="22"/>
        </w:rPr>
        <w:t>.</w:t>
      </w:r>
      <w:r w:rsidRPr="007939D9">
        <w:rPr>
          <w:sz w:val="22"/>
          <w:szCs w:val="22"/>
        </w:rPr>
        <w:t xml:space="preserve"> </w:t>
      </w:r>
      <w:r w:rsidR="00787294" w:rsidRPr="00787294">
        <w:rPr>
          <w:rFonts w:ascii="Arial Narrow" w:hAnsi="Arial Narrow" w:cs="Arial"/>
          <w:b/>
          <w:caps/>
          <w:color w:val="5F5F5F"/>
          <w:sz w:val="22"/>
          <w:szCs w:val="22"/>
        </w:rPr>
        <w:t>FLUSSI COMMERCIALI CON L’ESTERO</w:t>
      </w:r>
      <w:r w:rsidR="00787294">
        <w:rPr>
          <w:sz w:val="22"/>
          <w:szCs w:val="22"/>
        </w:rPr>
        <w:t xml:space="preserve"> </w:t>
      </w:r>
    </w:p>
    <w:p w14:paraId="77E94247" w14:textId="7D2E8385" w:rsidR="00833A77" w:rsidRPr="0071152F" w:rsidRDefault="00787294" w:rsidP="007939D9">
      <w:pPr>
        <w:tabs>
          <w:tab w:val="left" w:pos="284"/>
        </w:tabs>
        <w:spacing w:after="120"/>
        <w:rPr>
          <w:rFonts w:ascii="Arial Narrow" w:hAnsi="Arial Narrow" w:cs="Arial"/>
          <w:color w:val="5F5F5F"/>
          <w:sz w:val="20"/>
        </w:rPr>
      </w:pPr>
      <w:r w:rsidRPr="0071152F">
        <w:rPr>
          <w:rFonts w:ascii="Arial Narrow" w:hAnsi="Arial Narrow" w:cs="Arial"/>
          <w:color w:val="5F5F5F"/>
          <w:sz w:val="20"/>
        </w:rPr>
        <w:t>Gennaio 201</w:t>
      </w:r>
      <w:r w:rsidR="00060073">
        <w:rPr>
          <w:rFonts w:ascii="Arial Narrow" w:hAnsi="Arial Narrow" w:cs="Arial"/>
          <w:color w:val="5F5F5F"/>
          <w:sz w:val="20"/>
        </w:rPr>
        <w:t>7</w:t>
      </w:r>
      <w:r w:rsidR="004D5E96" w:rsidRPr="0071152F">
        <w:rPr>
          <w:rFonts w:ascii="Arial Narrow" w:hAnsi="Arial Narrow" w:cs="Arial"/>
          <w:color w:val="5F5F5F"/>
          <w:sz w:val="20"/>
        </w:rPr>
        <w:t xml:space="preserve"> </w:t>
      </w:r>
      <w:r w:rsidRPr="0071152F">
        <w:rPr>
          <w:rFonts w:ascii="Arial Narrow" w:hAnsi="Arial Narrow" w:cs="Arial"/>
          <w:color w:val="5F5F5F"/>
          <w:sz w:val="20"/>
        </w:rPr>
        <w:t xml:space="preserve">- </w:t>
      </w:r>
      <w:r w:rsidR="005F4885">
        <w:rPr>
          <w:rFonts w:ascii="Arial Narrow" w:hAnsi="Arial Narrow" w:cs="Arial"/>
          <w:color w:val="5F5F5F"/>
          <w:sz w:val="20"/>
        </w:rPr>
        <w:t>settembre</w:t>
      </w:r>
      <w:r w:rsidR="00C60507" w:rsidRPr="0071152F">
        <w:rPr>
          <w:rFonts w:ascii="Arial Narrow" w:hAnsi="Arial Narrow" w:cs="Arial"/>
          <w:color w:val="5F5F5F"/>
          <w:sz w:val="20"/>
        </w:rPr>
        <w:t xml:space="preserve"> </w:t>
      </w:r>
      <w:r w:rsidRPr="0071152F">
        <w:rPr>
          <w:rFonts w:ascii="Arial Narrow" w:hAnsi="Arial Narrow" w:cs="Arial"/>
          <w:color w:val="5F5F5F"/>
          <w:sz w:val="20"/>
        </w:rPr>
        <w:t>20</w:t>
      </w:r>
      <w:r w:rsidR="00060073">
        <w:rPr>
          <w:rFonts w:ascii="Arial Narrow" w:hAnsi="Arial Narrow" w:cs="Arial"/>
          <w:color w:val="5F5F5F"/>
          <w:sz w:val="20"/>
        </w:rPr>
        <w:t>22</w:t>
      </w:r>
      <w:r w:rsidRPr="0071152F">
        <w:rPr>
          <w:rFonts w:ascii="Arial Narrow" w:hAnsi="Arial Narrow" w:cs="Arial"/>
          <w:color w:val="5F5F5F"/>
          <w:sz w:val="20"/>
        </w:rPr>
        <w:t xml:space="preserve">, </w:t>
      </w:r>
      <w:r w:rsidR="000B7E0D" w:rsidRPr="0071152F">
        <w:rPr>
          <w:rFonts w:ascii="Arial Narrow" w:hAnsi="Arial Narrow" w:cs="Arial"/>
          <w:color w:val="5F5F5F"/>
          <w:sz w:val="20"/>
        </w:rPr>
        <w:t xml:space="preserve">dati mensili e medie mobili a tre mesi, </w:t>
      </w:r>
      <w:r w:rsidR="00D36CA1" w:rsidRPr="0071152F">
        <w:rPr>
          <w:rFonts w:ascii="Arial Narrow" w:hAnsi="Arial Narrow" w:cs="Arial"/>
          <w:color w:val="5F5F5F"/>
          <w:sz w:val="20"/>
        </w:rPr>
        <w:t>dati destagionalizzati e saldi in</w:t>
      </w:r>
      <w:r w:rsidR="00516EEC" w:rsidRPr="0071152F">
        <w:rPr>
          <w:rFonts w:ascii="Arial Narrow" w:hAnsi="Arial Narrow" w:cs="Arial"/>
          <w:color w:val="5F5F5F"/>
          <w:sz w:val="20"/>
        </w:rPr>
        <w:t xml:space="preserve"> miliardi</w:t>
      </w:r>
      <w:r w:rsidRPr="0071152F">
        <w:rPr>
          <w:rFonts w:ascii="Arial Narrow" w:hAnsi="Arial Narrow" w:cs="Arial"/>
          <w:color w:val="5F5F5F"/>
          <w:sz w:val="20"/>
        </w:rPr>
        <w:t xml:space="preserve"> di eur</w:t>
      </w:r>
      <w:r w:rsidR="00D36CA1" w:rsidRPr="0071152F">
        <w:rPr>
          <w:rFonts w:ascii="Arial Narrow" w:hAnsi="Arial Narrow" w:cs="Arial"/>
          <w:color w:val="5F5F5F"/>
          <w:sz w:val="20"/>
        </w:rPr>
        <w:t>o</w:t>
      </w:r>
    </w:p>
    <w:p w14:paraId="4AA09C46" w14:textId="76B65BB1" w:rsidR="003D65F6" w:rsidRDefault="00124D62" w:rsidP="007939D9">
      <w:pPr>
        <w:tabs>
          <w:tab w:val="left" w:pos="284"/>
        </w:tabs>
        <w:spacing w:after="120"/>
        <w:rPr>
          <w:rFonts w:ascii="Arial Narrow" w:hAnsi="Arial Narrow" w:cs="Arial"/>
          <w:color w:val="5F5F5F"/>
        </w:rPr>
      </w:pPr>
      <w:r>
        <w:rPr>
          <w:noProof/>
        </w:rPr>
        <w:drawing>
          <wp:inline distT="0" distB="0" distL="0" distR="0" wp14:anchorId="4CE8914F" wp14:editId="653AEC9E">
            <wp:extent cx="6480000" cy="3240000"/>
            <wp:effectExtent l="0" t="0" r="0" b="0"/>
            <wp:docPr id="12" name="Gra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E97F449" w14:textId="77777777" w:rsidR="00104132" w:rsidRPr="006448AE" w:rsidRDefault="00104132" w:rsidP="00D36CA1">
      <w:pPr>
        <w:rPr>
          <w:rFonts w:ascii="Arial Narrow" w:hAnsi="Arial Narrow" w:cs="Arial"/>
          <w:b/>
          <w:color w:val="E42618"/>
          <w:sz w:val="14"/>
          <w:szCs w:val="14"/>
        </w:rPr>
      </w:pPr>
    </w:p>
    <w:p w14:paraId="7683599A" w14:textId="77777777" w:rsidR="00833A77" w:rsidRDefault="00F00744" w:rsidP="00D36CA1">
      <w:pPr>
        <w:rPr>
          <w:rFonts w:ascii="Arial Narrow" w:hAnsi="Arial Narrow" w:cs="Arial"/>
          <w:b/>
          <w:caps/>
          <w:color w:val="5F5F5F"/>
          <w:sz w:val="22"/>
          <w:szCs w:val="22"/>
        </w:rPr>
      </w:pPr>
      <w:r w:rsidRPr="007939D9">
        <w:rPr>
          <w:rFonts w:ascii="Arial Narrow" w:hAnsi="Arial Narrow" w:cs="Arial"/>
          <w:b/>
          <w:color w:val="E42618"/>
          <w:sz w:val="22"/>
          <w:szCs w:val="22"/>
        </w:rPr>
        <w:t xml:space="preserve">FIGURA </w:t>
      </w:r>
      <w:r>
        <w:rPr>
          <w:rFonts w:ascii="Arial Narrow" w:hAnsi="Arial Narrow" w:cs="Arial"/>
          <w:b/>
          <w:color w:val="E42618"/>
          <w:sz w:val="22"/>
          <w:szCs w:val="22"/>
        </w:rPr>
        <w:t>2</w:t>
      </w:r>
      <w:r w:rsidRPr="007939D9">
        <w:rPr>
          <w:rFonts w:ascii="Arial Narrow" w:hAnsi="Arial Narrow" w:cs="Arial"/>
          <w:b/>
          <w:color w:val="E42618"/>
          <w:sz w:val="22"/>
          <w:szCs w:val="22"/>
        </w:rPr>
        <w:t>.</w:t>
      </w:r>
      <w:r w:rsidR="00D36CA1">
        <w:rPr>
          <w:rFonts w:ascii="Arial Narrow" w:hAnsi="Arial Narrow" w:cs="Arial"/>
          <w:b/>
          <w:color w:val="E42618"/>
          <w:sz w:val="22"/>
          <w:szCs w:val="22"/>
        </w:rPr>
        <w:t xml:space="preserve"> </w:t>
      </w:r>
      <w:r w:rsidR="00605103" w:rsidRPr="00D36CA1">
        <w:rPr>
          <w:rFonts w:ascii="Arial Narrow" w:hAnsi="Arial Narrow" w:cs="Arial"/>
          <w:b/>
          <w:caps/>
          <w:color w:val="5F5F5F"/>
          <w:sz w:val="22"/>
          <w:szCs w:val="22"/>
        </w:rPr>
        <w:t>ESPORTAZIO</w:t>
      </w:r>
      <w:r w:rsidR="00605103">
        <w:rPr>
          <w:rFonts w:ascii="Arial Narrow" w:hAnsi="Arial Narrow" w:cs="Arial"/>
          <w:b/>
          <w:caps/>
          <w:color w:val="5F5F5F"/>
          <w:sz w:val="22"/>
          <w:szCs w:val="22"/>
        </w:rPr>
        <w:t xml:space="preserve">NI E IMPORTAZIONI </w:t>
      </w:r>
      <w:r w:rsidR="008014ED" w:rsidRPr="007C052D">
        <w:rPr>
          <w:rFonts w:ascii="Arial Narrow" w:hAnsi="Arial Narrow" w:cs="Arial"/>
          <w:b/>
          <w:caps/>
          <w:color w:val="5F5F5F"/>
          <w:sz w:val="22"/>
          <w:szCs w:val="22"/>
        </w:rPr>
        <w:t>CON L’</w:t>
      </w:r>
      <w:r w:rsidR="00D36CA1" w:rsidRPr="007C052D">
        <w:rPr>
          <w:rFonts w:ascii="Arial Narrow" w:hAnsi="Arial Narrow" w:cs="Arial"/>
          <w:b/>
          <w:caps/>
          <w:color w:val="5F5F5F"/>
          <w:sz w:val="22"/>
          <w:szCs w:val="22"/>
        </w:rPr>
        <w:t>AREA Ue</w:t>
      </w:r>
      <w:r w:rsidR="00E56E72" w:rsidRPr="007C052D">
        <w:rPr>
          <w:rFonts w:ascii="Arial Narrow" w:hAnsi="Arial Narrow" w:cs="Arial"/>
          <w:b/>
          <w:caps/>
          <w:color w:val="5F5F5F"/>
          <w:sz w:val="22"/>
          <w:szCs w:val="22"/>
        </w:rPr>
        <w:t>27</w:t>
      </w:r>
      <w:r w:rsidR="00D36CA1" w:rsidRPr="00D36CA1">
        <w:rPr>
          <w:rFonts w:ascii="Arial Narrow" w:hAnsi="Arial Narrow" w:cs="Arial"/>
          <w:b/>
          <w:caps/>
          <w:color w:val="5F5F5F"/>
          <w:sz w:val="22"/>
          <w:szCs w:val="22"/>
        </w:rPr>
        <w:t xml:space="preserve"> </w:t>
      </w:r>
    </w:p>
    <w:p w14:paraId="281154EB" w14:textId="1A5E8795" w:rsidR="00516EEC" w:rsidRPr="0071152F" w:rsidRDefault="008D7D7F" w:rsidP="006448AE">
      <w:pPr>
        <w:tabs>
          <w:tab w:val="left" w:pos="284"/>
        </w:tabs>
        <w:spacing w:after="60"/>
        <w:rPr>
          <w:rFonts w:ascii="Arial Narrow" w:hAnsi="Arial Narrow" w:cs="Arial"/>
          <w:color w:val="5F5F5F"/>
          <w:sz w:val="20"/>
        </w:rPr>
      </w:pPr>
      <w:r w:rsidRPr="0071152F">
        <w:rPr>
          <w:rFonts w:ascii="Arial Narrow" w:hAnsi="Arial Narrow" w:cs="Arial"/>
          <w:color w:val="5F5F5F"/>
          <w:sz w:val="20"/>
        </w:rPr>
        <w:t>Gennaio 201</w:t>
      </w:r>
      <w:r w:rsidR="00060073">
        <w:rPr>
          <w:rFonts w:ascii="Arial Narrow" w:hAnsi="Arial Narrow" w:cs="Arial"/>
          <w:color w:val="5F5F5F"/>
          <w:sz w:val="20"/>
        </w:rPr>
        <w:t>7</w:t>
      </w:r>
      <w:r w:rsidRPr="0071152F">
        <w:rPr>
          <w:rFonts w:ascii="Arial Narrow" w:hAnsi="Arial Narrow" w:cs="Arial"/>
          <w:color w:val="5F5F5F"/>
          <w:sz w:val="20"/>
        </w:rPr>
        <w:t xml:space="preserve"> - </w:t>
      </w:r>
      <w:r w:rsidR="005F4885">
        <w:rPr>
          <w:rFonts w:ascii="Arial Narrow" w:hAnsi="Arial Narrow" w:cs="Arial"/>
          <w:color w:val="5F5F5F"/>
          <w:sz w:val="20"/>
        </w:rPr>
        <w:t>settembre</w:t>
      </w:r>
      <w:r w:rsidR="005F4885" w:rsidRPr="0071152F">
        <w:rPr>
          <w:rFonts w:ascii="Arial Narrow" w:hAnsi="Arial Narrow" w:cs="Arial"/>
          <w:color w:val="5F5F5F"/>
          <w:sz w:val="20"/>
        </w:rPr>
        <w:t xml:space="preserve"> </w:t>
      </w:r>
      <w:r w:rsidRPr="0071152F">
        <w:rPr>
          <w:rFonts w:ascii="Arial Narrow" w:hAnsi="Arial Narrow" w:cs="Arial"/>
          <w:color w:val="5F5F5F"/>
          <w:sz w:val="20"/>
        </w:rPr>
        <w:t>20</w:t>
      </w:r>
      <w:r w:rsidR="00060073">
        <w:rPr>
          <w:rFonts w:ascii="Arial Narrow" w:hAnsi="Arial Narrow" w:cs="Arial"/>
          <w:color w:val="5F5F5F"/>
          <w:sz w:val="20"/>
        </w:rPr>
        <w:t>22</w:t>
      </w:r>
      <w:r w:rsidR="00516EEC" w:rsidRPr="0071152F">
        <w:rPr>
          <w:rFonts w:ascii="Arial Narrow" w:hAnsi="Arial Narrow" w:cs="Arial"/>
          <w:color w:val="5F5F5F"/>
          <w:sz w:val="20"/>
        </w:rPr>
        <w:t xml:space="preserve">, </w:t>
      </w:r>
      <w:r w:rsidR="0063317A" w:rsidRPr="0071152F">
        <w:rPr>
          <w:rFonts w:ascii="Arial Narrow" w:hAnsi="Arial Narrow" w:cs="Arial"/>
          <w:color w:val="5F5F5F"/>
          <w:sz w:val="20"/>
        </w:rPr>
        <w:t xml:space="preserve">dati mensili e medie mobili a tre mesi, </w:t>
      </w:r>
      <w:r w:rsidR="00516EEC" w:rsidRPr="0071152F">
        <w:rPr>
          <w:rFonts w:ascii="Arial Narrow" w:hAnsi="Arial Narrow" w:cs="Arial"/>
          <w:color w:val="5F5F5F"/>
          <w:sz w:val="20"/>
        </w:rPr>
        <w:t>dati destagionalizzati in miliardi di euro</w:t>
      </w:r>
    </w:p>
    <w:p w14:paraId="3BF38B78" w14:textId="7A82AFEA" w:rsidR="002F6355" w:rsidRPr="007939D9" w:rsidRDefault="00124D62" w:rsidP="00D36CA1">
      <w:pPr>
        <w:rPr>
          <w:rFonts w:ascii="Arial Narrow" w:hAnsi="Arial Narrow" w:cs="Arial"/>
          <w:b/>
          <w:caps/>
          <w:color w:val="5F5F5F"/>
          <w:spacing w:val="-2"/>
          <w:sz w:val="22"/>
          <w:szCs w:val="22"/>
        </w:rPr>
      </w:pPr>
      <w:r>
        <w:rPr>
          <w:noProof/>
        </w:rPr>
        <w:drawing>
          <wp:inline distT="0" distB="0" distL="0" distR="0" wp14:anchorId="02A3A929" wp14:editId="578ED793">
            <wp:extent cx="6660000" cy="2160000"/>
            <wp:effectExtent l="0" t="0" r="7620" b="0"/>
            <wp:docPr id="14" name="Gra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DDAEE92" w14:textId="77777777" w:rsidR="0003608C" w:rsidRPr="0003608C" w:rsidRDefault="0003608C" w:rsidP="000B7E0D">
      <w:pPr>
        <w:rPr>
          <w:rFonts w:ascii="Arial Narrow" w:hAnsi="Arial Narrow" w:cs="Arial"/>
          <w:b/>
          <w:color w:val="E42618"/>
          <w:sz w:val="14"/>
          <w:szCs w:val="14"/>
        </w:rPr>
      </w:pPr>
    </w:p>
    <w:p w14:paraId="1EC5CC7D" w14:textId="00628026" w:rsidR="000B7E0D" w:rsidRDefault="000B7E0D" w:rsidP="000B7E0D">
      <w:pPr>
        <w:rPr>
          <w:rFonts w:ascii="Arial Narrow" w:hAnsi="Arial Narrow" w:cs="Arial"/>
          <w:b/>
          <w:caps/>
          <w:color w:val="5F5F5F"/>
          <w:sz w:val="22"/>
          <w:szCs w:val="22"/>
        </w:rPr>
      </w:pPr>
      <w:r w:rsidRPr="007939D9">
        <w:rPr>
          <w:rFonts w:ascii="Arial Narrow" w:hAnsi="Arial Narrow" w:cs="Arial"/>
          <w:b/>
          <w:color w:val="E42618"/>
          <w:sz w:val="22"/>
          <w:szCs w:val="22"/>
        </w:rPr>
        <w:t xml:space="preserve">FIGURA </w:t>
      </w:r>
      <w:r w:rsidR="00CF30A4">
        <w:rPr>
          <w:rFonts w:ascii="Arial Narrow" w:hAnsi="Arial Narrow" w:cs="Arial"/>
          <w:b/>
          <w:color w:val="E42618"/>
          <w:sz w:val="22"/>
          <w:szCs w:val="22"/>
        </w:rPr>
        <w:t>3</w:t>
      </w:r>
      <w:r w:rsidRPr="007939D9">
        <w:rPr>
          <w:rFonts w:ascii="Arial Narrow" w:hAnsi="Arial Narrow" w:cs="Arial"/>
          <w:b/>
          <w:color w:val="E42618"/>
          <w:sz w:val="22"/>
          <w:szCs w:val="22"/>
        </w:rPr>
        <w:t>.</w:t>
      </w:r>
      <w:r>
        <w:rPr>
          <w:rFonts w:ascii="Arial Narrow" w:hAnsi="Arial Narrow" w:cs="Arial"/>
          <w:b/>
          <w:color w:val="E42618"/>
          <w:sz w:val="22"/>
          <w:szCs w:val="22"/>
        </w:rPr>
        <w:t xml:space="preserve"> </w:t>
      </w:r>
      <w:r w:rsidRPr="00D36CA1">
        <w:rPr>
          <w:rFonts w:ascii="Arial Narrow" w:hAnsi="Arial Narrow" w:cs="Arial"/>
          <w:b/>
          <w:caps/>
          <w:color w:val="5F5F5F"/>
          <w:sz w:val="22"/>
          <w:szCs w:val="22"/>
        </w:rPr>
        <w:t>ESPORTAZIO</w:t>
      </w:r>
      <w:r w:rsidR="00CF30A4">
        <w:rPr>
          <w:rFonts w:ascii="Arial Narrow" w:hAnsi="Arial Narrow" w:cs="Arial"/>
          <w:b/>
          <w:caps/>
          <w:color w:val="5F5F5F"/>
          <w:sz w:val="22"/>
          <w:szCs w:val="22"/>
        </w:rPr>
        <w:t xml:space="preserve">NI E IMPORTAZIONI </w:t>
      </w:r>
      <w:r w:rsidR="008014ED">
        <w:rPr>
          <w:rFonts w:ascii="Arial Narrow" w:hAnsi="Arial Narrow" w:cs="Arial"/>
          <w:b/>
          <w:caps/>
          <w:color w:val="5F5F5F"/>
          <w:sz w:val="22"/>
          <w:szCs w:val="22"/>
        </w:rPr>
        <w:t xml:space="preserve">CON </w:t>
      </w:r>
      <w:r w:rsidR="008014ED" w:rsidRPr="007C052D">
        <w:rPr>
          <w:rFonts w:ascii="Arial Narrow" w:hAnsi="Arial Narrow" w:cs="Arial"/>
          <w:b/>
          <w:caps/>
          <w:color w:val="5F5F5F"/>
          <w:sz w:val="22"/>
          <w:szCs w:val="22"/>
        </w:rPr>
        <w:t>L’</w:t>
      </w:r>
      <w:r w:rsidR="00CF30A4" w:rsidRPr="007C052D">
        <w:rPr>
          <w:rFonts w:ascii="Arial Narrow" w:hAnsi="Arial Narrow" w:cs="Arial"/>
          <w:b/>
          <w:caps/>
          <w:color w:val="5F5F5F"/>
          <w:sz w:val="22"/>
          <w:szCs w:val="22"/>
        </w:rPr>
        <w:t>AREA</w:t>
      </w:r>
      <w:r w:rsidRPr="007C052D">
        <w:rPr>
          <w:rFonts w:ascii="Arial Narrow" w:hAnsi="Arial Narrow" w:cs="Arial"/>
          <w:b/>
          <w:caps/>
          <w:color w:val="5F5F5F"/>
          <w:sz w:val="22"/>
          <w:szCs w:val="22"/>
        </w:rPr>
        <w:t xml:space="preserve"> extra Ue</w:t>
      </w:r>
      <w:r w:rsidR="00E56E72" w:rsidRPr="007C052D">
        <w:rPr>
          <w:rFonts w:ascii="Arial Narrow" w:hAnsi="Arial Narrow" w:cs="Arial"/>
          <w:b/>
          <w:caps/>
          <w:color w:val="5F5F5F"/>
          <w:sz w:val="22"/>
          <w:szCs w:val="22"/>
        </w:rPr>
        <w:t>27</w:t>
      </w:r>
    </w:p>
    <w:p w14:paraId="25429B4C" w14:textId="580FD0EF" w:rsidR="00CF30A4" w:rsidRPr="005B110A" w:rsidRDefault="008D7D7F" w:rsidP="0003608C">
      <w:pPr>
        <w:tabs>
          <w:tab w:val="left" w:pos="284"/>
        </w:tabs>
        <w:spacing w:after="60"/>
        <w:rPr>
          <w:rFonts w:ascii="Arial Narrow" w:hAnsi="Arial Narrow" w:cs="Arial"/>
          <w:color w:val="5F5F5F"/>
          <w:sz w:val="20"/>
        </w:rPr>
      </w:pPr>
      <w:r w:rsidRPr="0071152F">
        <w:rPr>
          <w:rFonts w:ascii="Arial Narrow" w:hAnsi="Arial Narrow" w:cs="Arial"/>
          <w:color w:val="5F5F5F"/>
          <w:sz w:val="20"/>
        </w:rPr>
        <w:t>Gennaio 201</w:t>
      </w:r>
      <w:r w:rsidR="00060073">
        <w:rPr>
          <w:rFonts w:ascii="Arial Narrow" w:hAnsi="Arial Narrow" w:cs="Arial"/>
          <w:color w:val="5F5F5F"/>
          <w:sz w:val="20"/>
        </w:rPr>
        <w:t>7</w:t>
      </w:r>
      <w:r w:rsidRPr="0071152F">
        <w:rPr>
          <w:rFonts w:ascii="Arial Narrow" w:hAnsi="Arial Narrow" w:cs="Arial"/>
          <w:color w:val="5F5F5F"/>
          <w:sz w:val="20"/>
        </w:rPr>
        <w:t xml:space="preserve"> - </w:t>
      </w:r>
      <w:r w:rsidR="005F4885">
        <w:rPr>
          <w:rFonts w:ascii="Arial Narrow" w:hAnsi="Arial Narrow" w:cs="Arial"/>
          <w:color w:val="5F5F5F"/>
          <w:sz w:val="20"/>
        </w:rPr>
        <w:t>settembre</w:t>
      </w:r>
      <w:r w:rsidR="005F4885" w:rsidRPr="0071152F">
        <w:rPr>
          <w:rFonts w:ascii="Arial Narrow" w:hAnsi="Arial Narrow" w:cs="Arial"/>
          <w:color w:val="5F5F5F"/>
          <w:sz w:val="20"/>
        </w:rPr>
        <w:t xml:space="preserve"> </w:t>
      </w:r>
      <w:r w:rsidRPr="0071152F">
        <w:rPr>
          <w:rFonts w:ascii="Arial Narrow" w:hAnsi="Arial Narrow" w:cs="Arial"/>
          <w:color w:val="5F5F5F"/>
          <w:sz w:val="20"/>
        </w:rPr>
        <w:t>20</w:t>
      </w:r>
      <w:r w:rsidR="00060073">
        <w:rPr>
          <w:rFonts w:ascii="Arial Narrow" w:hAnsi="Arial Narrow" w:cs="Arial"/>
          <w:color w:val="5F5F5F"/>
          <w:sz w:val="20"/>
        </w:rPr>
        <w:t>22</w:t>
      </w:r>
      <w:r w:rsidR="00CF30A4" w:rsidRPr="005B110A">
        <w:rPr>
          <w:rFonts w:ascii="Arial Narrow" w:hAnsi="Arial Narrow" w:cs="Arial"/>
          <w:color w:val="5F5F5F"/>
          <w:sz w:val="20"/>
        </w:rPr>
        <w:t xml:space="preserve">, </w:t>
      </w:r>
      <w:r w:rsidR="0063317A" w:rsidRPr="005B110A">
        <w:rPr>
          <w:rFonts w:ascii="Arial Narrow" w:hAnsi="Arial Narrow" w:cs="Arial"/>
          <w:color w:val="5F5F5F"/>
          <w:sz w:val="20"/>
        </w:rPr>
        <w:t xml:space="preserve">dati mensili e medie mobili a tre mesi, </w:t>
      </w:r>
      <w:r w:rsidR="00CF30A4" w:rsidRPr="005B110A">
        <w:rPr>
          <w:rFonts w:ascii="Arial Narrow" w:hAnsi="Arial Narrow" w:cs="Arial"/>
          <w:color w:val="5F5F5F"/>
          <w:sz w:val="20"/>
        </w:rPr>
        <w:t>dati destagionalizzati in miliardi di euro</w:t>
      </w:r>
    </w:p>
    <w:p w14:paraId="074C7BD1" w14:textId="4C99599B" w:rsidR="00F31459" w:rsidRDefault="00124D62" w:rsidP="00A43169">
      <w:pPr>
        <w:tabs>
          <w:tab w:val="left" w:pos="284"/>
        </w:tabs>
        <w:spacing w:after="120"/>
        <w:rPr>
          <w:rFonts w:ascii="Arial" w:hAnsi="Arial" w:cs="Arial"/>
          <w:b/>
          <w:color w:val="000000"/>
        </w:rPr>
      </w:pPr>
      <w:r>
        <w:rPr>
          <w:noProof/>
        </w:rPr>
        <w:drawing>
          <wp:inline distT="0" distB="0" distL="0" distR="0" wp14:anchorId="320F5EF5" wp14:editId="083F1587">
            <wp:extent cx="6660000" cy="2160000"/>
            <wp:effectExtent l="0" t="0" r="7620" b="0"/>
            <wp:docPr id="16" name="Gra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C5CE670" w14:textId="77777777" w:rsidR="00516EEC" w:rsidRDefault="00516EEC" w:rsidP="00516EEC">
      <w:pPr>
        <w:tabs>
          <w:tab w:val="left" w:pos="284"/>
        </w:tabs>
        <w:rPr>
          <w:sz w:val="22"/>
          <w:szCs w:val="22"/>
        </w:rPr>
      </w:pPr>
      <w:r w:rsidRPr="007939D9">
        <w:rPr>
          <w:rFonts w:ascii="Arial Narrow" w:hAnsi="Arial Narrow" w:cs="Arial"/>
          <w:b/>
          <w:color w:val="E42618"/>
          <w:sz w:val="22"/>
          <w:szCs w:val="22"/>
        </w:rPr>
        <w:lastRenderedPageBreak/>
        <w:t xml:space="preserve">FIGURA </w:t>
      </w:r>
      <w:r w:rsidR="006D02F3">
        <w:rPr>
          <w:rFonts w:ascii="Arial Narrow" w:hAnsi="Arial Narrow" w:cs="Arial"/>
          <w:b/>
          <w:color w:val="E42618"/>
          <w:sz w:val="22"/>
          <w:szCs w:val="22"/>
        </w:rPr>
        <w:t>4</w:t>
      </w:r>
      <w:r w:rsidRPr="007939D9">
        <w:rPr>
          <w:rFonts w:ascii="Arial Narrow" w:hAnsi="Arial Narrow" w:cs="Arial"/>
          <w:b/>
          <w:color w:val="E42618"/>
          <w:sz w:val="22"/>
          <w:szCs w:val="22"/>
        </w:rPr>
        <w:t>.</w:t>
      </w:r>
      <w:r w:rsidRPr="007939D9">
        <w:rPr>
          <w:sz w:val="22"/>
          <w:szCs w:val="22"/>
        </w:rPr>
        <w:t xml:space="preserve"> </w:t>
      </w:r>
      <w:r w:rsidRPr="00787294">
        <w:rPr>
          <w:rFonts w:ascii="Arial Narrow" w:hAnsi="Arial Narrow" w:cs="Arial"/>
          <w:b/>
          <w:caps/>
          <w:color w:val="5F5F5F"/>
          <w:sz w:val="22"/>
          <w:szCs w:val="22"/>
        </w:rPr>
        <w:t>FLUSSI COMMERCIALI CON L’ESTERO</w:t>
      </w:r>
      <w:r w:rsidR="00B827C7">
        <w:rPr>
          <w:sz w:val="22"/>
          <w:szCs w:val="22"/>
        </w:rPr>
        <w:t>,</w:t>
      </w:r>
      <w:r w:rsidR="008014ED">
        <w:rPr>
          <w:sz w:val="22"/>
          <w:szCs w:val="22"/>
        </w:rPr>
        <w:t xml:space="preserve"> </w:t>
      </w:r>
      <w:r>
        <w:rPr>
          <w:rFonts w:ascii="Arial Narrow" w:hAnsi="Arial Narrow" w:cs="Arial"/>
          <w:b/>
          <w:caps/>
          <w:color w:val="5F5F5F"/>
          <w:sz w:val="22"/>
          <w:szCs w:val="22"/>
        </w:rPr>
        <w:t xml:space="preserve">VARIAZIONI </w:t>
      </w:r>
      <w:r w:rsidR="00146099">
        <w:rPr>
          <w:rFonts w:ascii="Arial Narrow" w:hAnsi="Arial Narrow" w:cs="Arial"/>
          <w:b/>
          <w:caps/>
          <w:color w:val="5F5F5F"/>
          <w:sz w:val="22"/>
          <w:szCs w:val="22"/>
        </w:rPr>
        <w:t xml:space="preserve">PERCENTUALI </w:t>
      </w:r>
      <w:r w:rsidRPr="00516EEC">
        <w:rPr>
          <w:rFonts w:ascii="Arial Narrow" w:hAnsi="Arial Narrow" w:cs="Arial"/>
          <w:b/>
          <w:caps/>
          <w:color w:val="5F5F5F"/>
          <w:sz w:val="22"/>
          <w:szCs w:val="22"/>
        </w:rPr>
        <w:t>TENDENZIALI</w:t>
      </w:r>
    </w:p>
    <w:p w14:paraId="130144D6" w14:textId="3498B2F4" w:rsidR="00516EEC" w:rsidRPr="00787294" w:rsidRDefault="008D7D7F" w:rsidP="00516EEC">
      <w:pPr>
        <w:tabs>
          <w:tab w:val="left" w:pos="284"/>
        </w:tabs>
        <w:spacing w:after="120"/>
        <w:rPr>
          <w:rFonts w:ascii="Arial Narrow" w:hAnsi="Arial Narrow" w:cs="Arial"/>
          <w:color w:val="5F5F5F"/>
        </w:rPr>
      </w:pPr>
      <w:r w:rsidRPr="0071152F">
        <w:rPr>
          <w:rFonts w:ascii="Arial Narrow" w:hAnsi="Arial Narrow" w:cs="Arial"/>
          <w:color w:val="5F5F5F"/>
          <w:sz w:val="20"/>
        </w:rPr>
        <w:t>Gennaio 201</w:t>
      </w:r>
      <w:r w:rsidR="00CF288F">
        <w:rPr>
          <w:rFonts w:ascii="Arial Narrow" w:hAnsi="Arial Narrow" w:cs="Arial"/>
          <w:color w:val="5F5F5F"/>
          <w:sz w:val="20"/>
        </w:rPr>
        <w:t>8</w:t>
      </w:r>
      <w:r w:rsidRPr="0071152F">
        <w:rPr>
          <w:rFonts w:ascii="Arial Narrow" w:hAnsi="Arial Narrow" w:cs="Arial"/>
          <w:color w:val="5F5F5F"/>
          <w:sz w:val="20"/>
        </w:rPr>
        <w:t xml:space="preserve"> - </w:t>
      </w:r>
      <w:r w:rsidR="005F4885">
        <w:rPr>
          <w:rFonts w:ascii="Arial Narrow" w:hAnsi="Arial Narrow" w:cs="Arial"/>
          <w:color w:val="5F5F5F"/>
          <w:sz w:val="20"/>
        </w:rPr>
        <w:t>settembre</w:t>
      </w:r>
      <w:r w:rsidR="005F4885" w:rsidRPr="0071152F">
        <w:rPr>
          <w:rFonts w:ascii="Arial Narrow" w:hAnsi="Arial Narrow" w:cs="Arial"/>
          <w:color w:val="5F5F5F"/>
          <w:sz w:val="20"/>
        </w:rPr>
        <w:t xml:space="preserve"> </w:t>
      </w:r>
      <w:r w:rsidRPr="0071152F">
        <w:rPr>
          <w:rFonts w:ascii="Arial Narrow" w:hAnsi="Arial Narrow" w:cs="Arial"/>
          <w:color w:val="5F5F5F"/>
          <w:sz w:val="20"/>
        </w:rPr>
        <w:t>20</w:t>
      </w:r>
      <w:r w:rsidR="00CF288F">
        <w:rPr>
          <w:rFonts w:ascii="Arial Narrow" w:hAnsi="Arial Narrow" w:cs="Arial"/>
          <w:color w:val="5F5F5F"/>
          <w:sz w:val="20"/>
        </w:rPr>
        <w:t>22</w:t>
      </w:r>
      <w:r w:rsidR="0063317A" w:rsidRPr="00EE5993">
        <w:rPr>
          <w:rFonts w:ascii="Arial Narrow" w:hAnsi="Arial Narrow" w:cs="Arial"/>
          <w:color w:val="5F5F5F"/>
          <w:sz w:val="20"/>
        </w:rPr>
        <w:t>,</w:t>
      </w:r>
      <w:r w:rsidR="00516EEC" w:rsidRPr="00EE5993">
        <w:rPr>
          <w:rFonts w:ascii="Arial Narrow" w:hAnsi="Arial Narrow" w:cs="Arial"/>
          <w:color w:val="5F5F5F"/>
          <w:sz w:val="20"/>
        </w:rPr>
        <w:t xml:space="preserve"> dati grezzi</w:t>
      </w:r>
      <w:r w:rsidR="00516EEC" w:rsidRPr="00EE5993">
        <w:rPr>
          <w:noProof/>
          <w:sz w:val="20"/>
        </w:rPr>
        <w:t xml:space="preserve"> </w:t>
      </w:r>
      <w:r w:rsidR="00124D62">
        <w:rPr>
          <w:noProof/>
        </w:rPr>
        <w:drawing>
          <wp:inline distT="0" distB="0" distL="0" distR="0" wp14:anchorId="61160BA3" wp14:editId="466B144B">
            <wp:extent cx="6660000" cy="2160000"/>
            <wp:effectExtent l="0" t="0" r="7620" b="0"/>
            <wp:docPr id="17" name="Gra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2BA79D2" w14:textId="77777777" w:rsidR="00F31459" w:rsidRDefault="00F31459" w:rsidP="00833A77">
      <w:pPr>
        <w:spacing w:line="240" w:lineRule="exact"/>
        <w:rPr>
          <w:rFonts w:ascii="Arial" w:hAnsi="Arial" w:cs="Arial"/>
          <w:b/>
          <w:color w:val="000000"/>
        </w:rPr>
      </w:pPr>
    </w:p>
    <w:p w14:paraId="36E029FB" w14:textId="77777777" w:rsidR="00FE069A" w:rsidRDefault="00FE069A" w:rsidP="00516EEC">
      <w:pPr>
        <w:tabs>
          <w:tab w:val="left" w:pos="284"/>
        </w:tabs>
        <w:rPr>
          <w:rFonts w:ascii="Arial Narrow" w:hAnsi="Arial Narrow" w:cs="Arial"/>
          <w:b/>
          <w:color w:val="E42618"/>
          <w:sz w:val="22"/>
          <w:szCs w:val="22"/>
        </w:rPr>
      </w:pPr>
    </w:p>
    <w:p w14:paraId="50B760F8" w14:textId="374EA42D" w:rsidR="00516EEC" w:rsidRPr="007801C1" w:rsidRDefault="00516EEC" w:rsidP="00516EEC">
      <w:pPr>
        <w:tabs>
          <w:tab w:val="left" w:pos="284"/>
        </w:tabs>
        <w:rPr>
          <w:sz w:val="22"/>
          <w:szCs w:val="22"/>
        </w:rPr>
      </w:pPr>
      <w:r w:rsidRPr="007801C1">
        <w:rPr>
          <w:rFonts w:ascii="Arial Narrow" w:hAnsi="Arial Narrow" w:cs="Arial"/>
          <w:b/>
          <w:color w:val="E42618"/>
          <w:sz w:val="22"/>
          <w:szCs w:val="22"/>
        </w:rPr>
        <w:t xml:space="preserve">FIGURA </w:t>
      </w:r>
      <w:r w:rsidR="006D02F3" w:rsidRPr="007801C1">
        <w:rPr>
          <w:rFonts w:ascii="Arial Narrow" w:hAnsi="Arial Narrow" w:cs="Arial"/>
          <w:b/>
          <w:color w:val="E42618"/>
          <w:sz w:val="22"/>
          <w:szCs w:val="22"/>
        </w:rPr>
        <w:t>5</w:t>
      </w:r>
      <w:r w:rsidRPr="007801C1">
        <w:rPr>
          <w:rFonts w:ascii="Arial Narrow" w:hAnsi="Arial Narrow" w:cs="Arial"/>
          <w:b/>
          <w:color w:val="E42618"/>
          <w:sz w:val="22"/>
          <w:szCs w:val="22"/>
        </w:rPr>
        <w:t>.</w:t>
      </w:r>
      <w:r w:rsidRPr="007801C1">
        <w:rPr>
          <w:sz w:val="22"/>
          <w:szCs w:val="22"/>
        </w:rPr>
        <w:t xml:space="preserve"> </w:t>
      </w:r>
      <w:r w:rsidRPr="007801C1">
        <w:rPr>
          <w:rFonts w:ascii="Arial Narrow" w:hAnsi="Arial Narrow" w:cs="Arial"/>
          <w:b/>
          <w:caps/>
          <w:color w:val="5F5F5F"/>
          <w:sz w:val="22"/>
          <w:szCs w:val="22"/>
        </w:rPr>
        <w:t>PREZZI ALL’IMPORTAZIONE</w:t>
      </w:r>
      <w:r w:rsidR="00806BEC" w:rsidRPr="007801C1">
        <w:rPr>
          <w:rFonts w:ascii="Arial Narrow" w:hAnsi="Arial Narrow" w:cs="Arial"/>
          <w:b/>
          <w:caps/>
          <w:color w:val="5F5F5F"/>
          <w:sz w:val="22"/>
          <w:szCs w:val="22"/>
        </w:rPr>
        <w:t>, VARIAZIONI PERCENTUALI TENDENZIALI</w:t>
      </w:r>
    </w:p>
    <w:p w14:paraId="260FDB51" w14:textId="58F79CC0" w:rsidR="00F00744" w:rsidRDefault="008D7D7F" w:rsidP="00EB3E42">
      <w:pPr>
        <w:spacing w:after="120"/>
        <w:rPr>
          <w:noProof/>
          <w:sz w:val="20"/>
        </w:rPr>
      </w:pPr>
      <w:r w:rsidRPr="007801C1">
        <w:rPr>
          <w:rFonts w:ascii="Arial Narrow" w:hAnsi="Arial Narrow" w:cs="Arial"/>
          <w:color w:val="5F5F5F"/>
          <w:sz w:val="20"/>
        </w:rPr>
        <w:t>Gennaio 201</w:t>
      </w:r>
      <w:r w:rsidR="00CF288F" w:rsidRPr="007801C1">
        <w:rPr>
          <w:rFonts w:ascii="Arial Narrow" w:hAnsi="Arial Narrow" w:cs="Arial"/>
          <w:color w:val="5F5F5F"/>
          <w:sz w:val="20"/>
        </w:rPr>
        <w:t>8</w:t>
      </w:r>
      <w:r w:rsidRPr="007801C1">
        <w:rPr>
          <w:rFonts w:ascii="Arial Narrow" w:hAnsi="Arial Narrow" w:cs="Arial"/>
          <w:color w:val="5F5F5F"/>
          <w:sz w:val="20"/>
        </w:rPr>
        <w:t xml:space="preserve"> </w:t>
      </w:r>
      <w:r w:rsidR="009446F0" w:rsidRPr="007801C1">
        <w:rPr>
          <w:rFonts w:ascii="Arial Narrow" w:hAnsi="Arial Narrow" w:cs="Arial"/>
          <w:color w:val="5F5F5F"/>
          <w:sz w:val="20"/>
        </w:rPr>
        <w:t>–</w:t>
      </w:r>
      <w:r w:rsidRPr="007801C1">
        <w:rPr>
          <w:rFonts w:ascii="Arial Narrow" w:hAnsi="Arial Narrow" w:cs="Arial"/>
          <w:color w:val="5F5F5F"/>
          <w:sz w:val="20"/>
        </w:rPr>
        <w:t xml:space="preserve"> </w:t>
      </w:r>
      <w:r w:rsidR="005F4885">
        <w:rPr>
          <w:rFonts w:ascii="Arial Narrow" w:hAnsi="Arial Narrow" w:cs="Arial"/>
          <w:color w:val="5F5F5F"/>
          <w:sz w:val="20"/>
        </w:rPr>
        <w:t>settembre</w:t>
      </w:r>
      <w:r w:rsidR="005F4885" w:rsidRPr="0071152F">
        <w:rPr>
          <w:rFonts w:ascii="Arial Narrow" w:hAnsi="Arial Narrow" w:cs="Arial"/>
          <w:color w:val="5F5F5F"/>
          <w:sz w:val="20"/>
        </w:rPr>
        <w:t xml:space="preserve"> </w:t>
      </w:r>
      <w:r w:rsidR="00CF288F" w:rsidRPr="007801C1">
        <w:rPr>
          <w:rFonts w:ascii="Arial Narrow" w:hAnsi="Arial Narrow" w:cs="Arial"/>
          <w:color w:val="5F5F5F"/>
          <w:sz w:val="20"/>
        </w:rPr>
        <w:t>2022</w:t>
      </w:r>
      <w:r w:rsidR="00B827C7" w:rsidRPr="007801C1">
        <w:rPr>
          <w:rFonts w:ascii="Arial Narrow" w:hAnsi="Arial Narrow" w:cs="Arial"/>
          <w:color w:val="5F5F5F"/>
          <w:sz w:val="20"/>
        </w:rPr>
        <w:t>,</w:t>
      </w:r>
      <w:r w:rsidR="00516EEC" w:rsidRPr="007801C1">
        <w:rPr>
          <w:rFonts w:ascii="Arial Narrow" w:hAnsi="Arial Narrow" w:cs="Arial"/>
          <w:color w:val="5F5F5F"/>
          <w:sz w:val="20"/>
        </w:rPr>
        <w:t xml:space="preserve"> (base 2015=100)</w:t>
      </w:r>
      <w:r w:rsidR="00B23E66" w:rsidRPr="00EE5993">
        <w:rPr>
          <w:noProof/>
          <w:sz w:val="20"/>
        </w:rPr>
        <w:t xml:space="preserve"> </w:t>
      </w:r>
    </w:p>
    <w:p w14:paraId="12F1F350" w14:textId="1C8F3D84" w:rsidR="00EB3E42" w:rsidRDefault="00A61CF8" w:rsidP="00516EEC">
      <w:pPr>
        <w:rPr>
          <w:noProof/>
          <w:sz w:val="20"/>
        </w:rPr>
      </w:pPr>
      <w:r>
        <w:rPr>
          <w:noProof/>
        </w:rPr>
        <w:drawing>
          <wp:inline distT="0" distB="0" distL="0" distR="0" wp14:anchorId="3E37B6DD" wp14:editId="444E947E">
            <wp:extent cx="6660000" cy="2196000"/>
            <wp:effectExtent l="0" t="0" r="7620" b="0"/>
            <wp:docPr id="8" name="Gra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45B5B91" w14:textId="2BADAFDC" w:rsidR="00EB3E42" w:rsidRDefault="00EB3E42" w:rsidP="00516EEC">
      <w:pPr>
        <w:rPr>
          <w:noProof/>
          <w:sz w:val="20"/>
        </w:rPr>
      </w:pPr>
    </w:p>
    <w:p w14:paraId="50EF3077" w14:textId="158E13DD" w:rsidR="00A84F05" w:rsidRDefault="00A84F05" w:rsidP="00516EEC">
      <w:pPr>
        <w:rPr>
          <w:noProof/>
          <w:sz w:val="20"/>
        </w:rPr>
      </w:pPr>
    </w:p>
    <w:p w14:paraId="2455A9E6" w14:textId="25769B8B" w:rsidR="00A84F05" w:rsidRDefault="00A84F05" w:rsidP="00516EEC">
      <w:pPr>
        <w:rPr>
          <w:noProof/>
          <w:sz w:val="20"/>
        </w:rPr>
      </w:pPr>
    </w:p>
    <w:p w14:paraId="5CFDFFFA" w14:textId="564938B2" w:rsidR="00A84F05" w:rsidRDefault="00A84F05" w:rsidP="00516EEC">
      <w:pPr>
        <w:rPr>
          <w:noProof/>
          <w:sz w:val="20"/>
        </w:rPr>
      </w:pPr>
    </w:p>
    <w:p w14:paraId="5210F727" w14:textId="77372A75" w:rsidR="00A84F05" w:rsidRPr="00EE5993" w:rsidRDefault="00A84F05" w:rsidP="00516EEC">
      <w:pPr>
        <w:rPr>
          <w:noProof/>
          <w:sz w:val="20"/>
        </w:rPr>
      </w:pPr>
    </w:p>
    <w:p w14:paraId="495D885E" w14:textId="56D248E3" w:rsidR="009176F5" w:rsidRDefault="009176F5" w:rsidP="00516EEC">
      <w:pPr>
        <w:rPr>
          <w:rFonts w:ascii="Arial" w:hAnsi="Arial" w:cs="Arial"/>
          <w:b/>
          <w:color w:val="000000"/>
        </w:rPr>
      </w:pPr>
    </w:p>
    <w:p w14:paraId="15445FF4" w14:textId="77777777" w:rsidR="00F31459" w:rsidRDefault="00F31459" w:rsidP="00833A77">
      <w:pPr>
        <w:spacing w:line="240" w:lineRule="exact"/>
        <w:rPr>
          <w:rFonts w:ascii="Arial" w:hAnsi="Arial" w:cs="Arial"/>
          <w:b/>
          <w:color w:val="000000"/>
        </w:rPr>
      </w:pPr>
    </w:p>
    <w:p w14:paraId="7B21CE62" w14:textId="77777777" w:rsidR="00787294" w:rsidRPr="005E4472" w:rsidRDefault="00787294" w:rsidP="00AF23DD">
      <w:pPr>
        <w:pStyle w:val="Corpodeltesto1"/>
        <w:spacing w:after="120"/>
        <w:rPr>
          <w:rFonts w:ascii="Arial" w:hAnsi="Arial" w:cs="Arial"/>
          <w:sz w:val="22"/>
          <w:szCs w:val="22"/>
        </w:rPr>
      </w:pPr>
    </w:p>
    <w:p w14:paraId="5AF76F06" w14:textId="77777777" w:rsidR="00833A77" w:rsidRPr="006768B9" w:rsidRDefault="00833A77" w:rsidP="00833A77">
      <w:pPr>
        <w:tabs>
          <w:tab w:val="left" w:pos="7485"/>
        </w:tabs>
        <w:sectPr w:rsidR="00833A77" w:rsidRPr="006768B9" w:rsidSect="004B7EA2">
          <w:headerReference w:type="default" r:id="rId24"/>
          <w:footerReference w:type="default" r:id="rId25"/>
          <w:headerReference w:type="first" r:id="rId26"/>
          <w:pgSz w:w="11907" w:h="16840" w:code="9"/>
          <w:pgMar w:top="1701" w:right="851" w:bottom="284" w:left="851" w:header="567" w:footer="567" w:gutter="0"/>
          <w:cols w:space="720"/>
          <w:noEndnote/>
          <w:titlePg/>
          <w:docGrid w:linePitch="326"/>
        </w:sectPr>
      </w:pPr>
    </w:p>
    <w:p w14:paraId="670CD2B9" w14:textId="73E515F4" w:rsidR="008D10C8" w:rsidRPr="005F1ADE" w:rsidRDefault="008D10C8" w:rsidP="004B5FCF">
      <w:pPr>
        <w:pStyle w:val="001TitoloBolocco"/>
        <w:spacing w:after="120" w:line="240" w:lineRule="auto"/>
        <w:rPr>
          <w:rFonts w:cs="Calibri"/>
          <w:b w:val="0"/>
          <w:bCs w:val="0"/>
          <w:caps w:val="0"/>
          <w:color w:val="E42618"/>
          <w:sz w:val="36"/>
          <w:szCs w:val="36"/>
        </w:rPr>
      </w:pPr>
      <w:r w:rsidRPr="005F1ADE">
        <w:rPr>
          <w:rFonts w:cs="Calibri"/>
          <w:b w:val="0"/>
          <w:bCs w:val="0"/>
          <w:caps w:val="0"/>
          <w:color w:val="E42618"/>
          <w:sz w:val="36"/>
          <w:szCs w:val="36"/>
        </w:rPr>
        <w:lastRenderedPageBreak/>
        <w:t>Commercio con l’estero</w:t>
      </w:r>
    </w:p>
    <w:p w14:paraId="71FCF4DF" w14:textId="77777777" w:rsidR="00833A77" w:rsidRDefault="00BF702B" w:rsidP="004B5FCF">
      <w:pPr>
        <w:pStyle w:val="001TitoloBolocco"/>
        <w:spacing w:after="120" w:line="240" w:lineRule="auto"/>
      </w:pPr>
      <w:r>
        <w:rPr>
          <w:bCs w:val="0"/>
          <w:caps w:val="0"/>
        </w:rPr>
        <w:t>P</w:t>
      </w:r>
      <w:r w:rsidR="003C7722">
        <w:rPr>
          <w:bCs w:val="0"/>
          <w:caps w:val="0"/>
        </w:rPr>
        <w:t>RODOTTI ESPORTATI E IMPORTATI</w:t>
      </w:r>
    </w:p>
    <w:p w14:paraId="104AFDE9" w14:textId="65EE8564" w:rsidR="00516EEC" w:rsidRPr="00EE5993" w:rsidRDefault="00516EEC" w:rsidP="00516EEC">
      <w:pPr>
        <w:spacing w:after="120"/>
        <w:rPr>
          <w:rFonts w:ascii="Arial Narrow" w:hAnsi="Arial Narrow" w:cs="Arial"/>
          <w:b/>
          <w:bCs/>
          <w:i/>
          <w:sz w:val="16"/>
          <w:szCs w:val="19"/>
        </w:rPr>
      </w:pPr>
      <w:r w:rsidRPr="007939D9">
        <w:rPr>
          <w:rFonts w:ascii="Arial Narrow" w:hAnsi="Arial Narrow" w:cs="Arial"/>
          <w:b/>
          <w:bCs/>
          <w:color w:val="E42618"/>
          <w:sz w:val="22"/>
          <w:szCs w:val="22"/>
        </w:rPr>
        <w:t>PROSPETTO 1</w:t>
      </w:r>
      <w:r w:rsidRPr="00AF23DD">
        <w:rPr>
          <w:rFonts w:ascii="Arial Narrow" w:hAnsi="Arial Narrow" w:cs="Arial"/>
          <w:b/>
          <w:bCs/>
          <w:color w:val="E42618"/>
          <w:sz w:val="22"/>
          <w:szCs w:val="22"/>
        </w:rPr>
        <w:t xml:space="preserve">. </w:t>
      </w:r>
      <w:r w:rsidRPr="003C7722">
        <w:rPr>
          <w:rFonts w:ascii="Arial Narrow" w:hAnsi="Arial Narrow" w:cs="Arial"/>
          <w:b/>
          <w:bCs/>
          <w:color w:val="5F5F5F"/>
          <w:sz w:val="22"/>
          <w:szCs w:val="22"/>
        </w:rPr>
        <w:t>ESPORTAZIONI, IMPORTAZIONI E SALDI DELLA BILANCIA COMMERCIALE</w:t>
      </w:r>
      <w:r w:rsidRPr="005F1ADE">
        <w:rPr>
          <w:rFonts w:ascii="Arial Narrow" w:hAnsi="Arial Narrow" w:cs="Arial"/>
          <w:b/>
          <w:bCs/>
          <w:color w:val="7F7F7F"/>
          <w:sz w:val="22"/>
          <w:szCs w:val="22"/>
        </w:rPr>
        <w:br/>
      </w:r>
      <w:r w:rsidR="005F4885">
        <w:rPr>
          <w:rFonts w:ascii="Arial Narrow" w:hAnsi="Arial Narrow" w:cs="Arial"/>
          <w:color w:val="5F5F5F"/>
          <w:sz w:val="20"/>
        </w:rPr>
        <w:t>Settembre</w:t>
      </w:r>
      <w:r w:rsidR="00470B67">
        <w:rPr>
          <w:rFonts w:ascii="Arial Narrow" w:hAnsi="Arial Narrow" w:cs="Arial"/>
          <w:color w:val="5F5F5F"/>
          <w:sz w:val="20"/>
        </w:rPr>
        <w:t xml:space="preserve"> 2022</w:t>
      </w:r>
      <w:r w:rsidRPr="00EE5993">
        <w:rPr>
          <w:rFonts w:ascii="Arial Narrow" w:hAnsi="Arial Narrow" w:cs="Arial"/>
          <w:color w:val="5F5F5F"/>
          <w:sz w:val="20"/>
        </w:rPr>
        <w:t xml:space="preserve">, variazioni percentuali congiunturali e tendenziali e </w:t>
      </w:r>
      <w:r w:rsidR="00AF23DD" w:rsidRPr="00EE5993">
        <w:rPr>
          <w:rFonts w:ascii="Arial Narrow" w:hAnsi="Arial Narrow" w:cs="Arial"/>
          <w:color w:val="5F5F5F"/>
          <w:sz w:val="20"/>
        </w:rPr>
        <w:t xml:space="preserve">saldi in milioni di </w:t>
      </w:r>
      <w:r w:rsidR="00AF23DD" w:rsidRPr="00243B6A">
        <w:rPr>
          <w:rFonts w:ascii="Arial Narrow" w:hAnsi="Arial Narrow" w:cs="Arial"/>
          <w:color w:val="5F5F5F"/>
          <w:sz w:val="20"/>
        </w:rPr>
        <w:t>e</w:t>
      </w:r>
      <w:r w:rsidR="00CE1ED0" w:rsidRPr="00243B6A">
        <w:rPr>
          <w:rFonts w:ascii="Arial Narrow" w:hAnsi="Arial Narrow" w:cs="Arial"/>
          <w:color w:val="5F5F5F"/>
          <w:sz w:val="20"/>
        </w:rPr>
        <w:t>u</w:t>
      </w:r>
      <w:r w:rsidR="00AF23DD" w:rsidRPr="00243B6A">
        <w:rPr>
          <w:rFonts w:ascii="Arial Narrow" w:hAnsi="Arial Narrow" w:cs="Arial"/>
          <w:color w:val="5F5F5F"/>
          <w:sz w:val="20"/>
        </w:rPr>
        <w:t>ro</w:t>
      </w:r>
    </w:p>
    <w:tbl>
      <w:tblPr>
        <w:tblW w:w="10300" w:type="dxa"/>
        <w:tblInd w:w="70" w:type="dxa"/>
        <w:tblBorders>
          <w:top w:val="single" w:sz="4" w:space="0" w:color="333333"/>
          <w:bottom w:val="single" w:sz="4" w:space="0" w:color="333333"/>
          <w:insideH w:val="single" w:sz="4" w:space="0" w:color="333333"/>
        </w:tblBorders>
        <w:tblLayout w:type="fixed"/>
        <w:tblCellMar>
          <w:left w:w="70" w:type="dxa"/>
          <w:right w:w="70" w:type="dxa"/>
        </w:tblCellMar>
        <w:tblLook w:val="0000" w:firstRow="0" w:lastRow="0" w:firstColumn="0" w:lastColumn="0" w:noHBand="0" w:noVBand="0"/>
      </w:tblPr>
      <w:tblGrid>
        <w:gridCol w:w="1348"/>
        <w:gridCol w:w="709"/>
        <w:gridCol w:w="1123"/>
        <w:gridCol w:w="7"/>
        <w:gridCol w:w="629"/>
        <w:gridCol w:w="36"/>
        <w:gridCol w:w="1060"/>
        <w:gridCol w:w="7"/>
        <w:gridCol w:w="665"/>
        <w:gridCol w:w="1219"/>
        <w:gridCol w:w="7"/>
        <w:gridCol w:w="160"/>
        <w:gridCol w:w="672"/>
        <w:gridCol w:w="989"/>
        <w:gridCol w:w="7"/>
        <w:gridCol w:w="665"/>
        <w:gridCol w:w="990"/>
        <w:gridCol w:w="7"/>
      </w:tblGrid>
      <w:tr w:rsidR="00236734" w:rsidRPr="003C7722" w14:paraId="0720503B" w14:textId="77777777" w:rsidTr="0075218A">
        <w:trPr>
          <w:gridAfter w:val="1"/>
          <w:wAfter w:w="7" w:type="dxa"/>
          <w:trHeight w:val="255"/>
        </w:trPr>
        <w:tc>
          <w:tcPr>
            <w:tcW w:w="1348" w:type="dxa"/>
            <w:vMerge w:val="restart"/>
            <w:shd w:val="clear" w:color="auto" w:fill="auto"/>
            <w:noWrap/>
            <w:vAlign w:val="center"/>
          </w:tcPr>
          <w:p w14:paraId="434B9A6E" w14:textId="77777777" w:rsidR="00236734" w:rsidRPr="003C7722" w:rsidRDefault="00236734" w:rsidP="0075218A">
            <w:pPr>
              <w:spacing w:before="40" w:after="20"/>
              <w:ind w:left="-57"/>
              <w:rPr>
                <w:rFonts w:ascii="Arial Narrow" w:hAnsi="Arial Narrow"/>
                <w:sz w:val="18"/>
                <w:szCs w:val="18"/>
              </w:rPr>
            </w:pPr>
          </w:p>
        </w:tc>
        <w:tc>
          <w:tcPr>
            <w:tcW w:w="3564" w:type="dxa"/>
            <w:gridSpan w:val="6"/>
            <w:tcBorders>
              <w:bottom w:val="single" w:sz="4" w:space="0" w:color="333333"/>
            </w:tcBorders>
            <w:shd w:val="clear" w:color="auto" w:fill="D9D9D9"/>
            <w:vAlign w:val="center"/>
          </w:tcPr>
          <w:p w14:paraId="46703824" w14:textId="77777777" w:rsidR="00236734" w:rsidRPr="003C7722" w:rsidRDefault="00236734" w:rsidP="0075218A">
            <w:pPr>
              <w:tabs>
                <w:tab w:val="left" w:pos="1316"/>
              </w:tabs>
              <w:spacing w:before="40" w:after="20"/>
              <w:ind w:right="-70"/>
              <w:jc w:val="center"/>
              <w:rPr>
                <w:rFonts w:ascii="Arial Narrow" w:hAnsi="Arial Narrow"/>
                <w:sz w:val="18"/>
                <w:szCs w:val="18"/>
              </w:rPr>
            </w:pPr>
            <w:r w:rsidRPr="003C7722">
              <w:rPr>
                <w:rFonts w:ascii="Arial Narrow" w:hAnsi="Arial Narrow" w:cs="Arial"/>
                <w:b/>
                <w:sz w:val="18"/>
                <w:szCs w:val="18"/>
              </w:rPr>
              <w:t>ESPORTAZIONI</w:t>
            </w:r>
          </w:p>
        </w:tc>
        <w:tc>
          <w:tcPr>
            <w:tcW w:w="3719" w:type="dxa"/>
            <w:gridSpan w:val="7"/>
            <w:tcBorders>
              <w:bottom w:val="single" w:sz="4" w:space="0" w:color="333333"/>
            </w:tcBorders>
            <w:shd w:val="clear" w:color="auto" w:fill="auto"/>
            <w:vAlign w:val="center"/>
          </w:tcPr>
          <w:p w14:paraId="5A26902C" w14:textId="77777777" w:rsidR="00236734" w:rsidRPr="003C7722" w:rsidRDefault="00236734" w:rsidP="0075218A">
            <w:pPr>
              <w:spacing w:before="40" w:after="20"/>
              <w:jc w:val="center"/>
              <w:rPr>
                <w:rFonts w:ascii="Arial Narrow" w:hAnsi="Arial Narrow"/>
                <w:sz w:val="18"/>
                <w:szCs w:val="18"/>
              </w:rPr>
            </w:pPr>
            <w:r w:rsidRPr="003C7722">
              <w:rPr>
                <w:rFonts w:ascii="Arial Narrow" w:hAnsi="Arial Narrow" w:cs="Arial"/>
                <w:b/>
                <w:sz w:val="18"/>
                <w:szCs w:val="18"/>
              </w:rPr>
              <w:t>IMPORTAZIONI</w:t>
            </w:r>
          </w:p>
        </w:tc>
        <w:tc>
          <w:tcPr>
            <w:tcW w:w="1662" w:type="dxa"/>
            <w:gridSpan w:val="3"/>
            <w:vMerge w:val="restart"/>
            <w:shd w:val="clear" w:color="auto" w:fill="auto"/>
            <w:vAlign w:val="center"/>
          </w:tcPr>
          <w:p w14:paraId="1475D2AF" w14:textId="77777777" w:rsidR="00236734" w:rsidRPr="003C7722" w:rsidRDefault="00236734" w:rsidP="0075218A">
            <w:pPr>
              <w:spacing w:before="40" w:after="20"/>
              <w:jc w:val="center"/>
              <w:rPr>
                <w:rFonts w:ascii="Arial Narrow" w:hAnsi="Arial Narrow"/>
                <w:b/>
                <w:bCs/>
                <w:sz w:val="18"/>
                <w:szCs w:val="18"/>
              </w:rPr>
            </w:pPr>
            <w:r w:rsidRPr="003C7722">
              <w:rPr>
                <w:rFonts w:ascii="Arial Narrow" w:hAnsi="Arial Narrow"/>
                <w:b/>
                <w:bCs/>
                <w:sz w:val="18"/>
                <w:szCs w:val="18"/>
              </w:rPr>
              <w:t>SALDI</w:t>
            </w:r>
          </w:p>
        </w:tc>
      </w:tr>
      <w:tr w:rsidR="00236734" w:rsidRPr="003C7722" w14:paraId="57FD8FA1" w14:textId="77777777" w:rsidTr="0075218A">
        <w:trPr>
          <w:gridAfter w:val="1"/>
          <w:wAfter w:w="7" w:type="dxa"/>
          <w:trHeight w:val="255"/>
        </w:trPr>
        <w:tc>
          <w:tcPr>
            <w:tcW w:w="1348" w:type="dxa"/>
            <w:vMerge/>
            <w:shd w:val="clear" w:color="auto" w:fill="auto"/>
            <w:noWrap/>
            <w:vAlign w:val="center"/>
          </w:tcPr>
          <w:p w14:paraId="7DB293F0" w14:textId="77777777" w:rsidR="00236734" w:rsidRPr="003C7722" w:rsidRDefault="00236734" w:rsidP="0075218A">
            <w:pPr>
              <w:spacing w:before="40" w:after="20"/>
              <w:ind w:left="-57"/>
              <w:rPr>
                <w:rFonts w:ascii="Arial Narrow" w:hAnsi="Arial Narrow"/>
                <w:sz w:val="18"/>
                <w:szCs w:val="18"/>
              </w:rPr>
            </w:pPr>
          </w:p>
        </w:tc>
        <w:tc>
          <w:tcPr>
            <w:tcW w:w="1832" w:type="dxa"/>
            <w:gridSpan w:val="2"/>
            <w:tcBorders>
              <w:bottom w:val="single" w:sz="4" w:space="0" w:color="333333"/>
            </w:tcBorders>
            <w:shd w:val="clear" w:color="auto" w:fill="auto"/>
            <w:vAlign w:val="center"/>
          </w:tcPr>
          <w:p w14:paraId="46E25A58" w14:textId="77777777" w:rsidR="00236734" w:rsidRDefault="00236734" w:rsidP="0075218A">
            <w:pPr>
              <w:tabs>
                <w:tab w:val="left" w:pos="1316"/>
              </w:tabs>
              <w:spacing w:before="40" w:after="20"/>
              <w:ind w:right="-70"/>
              <w:jc w:val="center"/>
              <w:rPr>
                <w:rFonts w:ascii="Arial Narrow" w:hAnsi="Arial Narrow" w:cs="Arial"/>
                <w:b/>
                <w:sz w:val="18"/>
                <w:szCs w:val="18"/>
              </w:rPr>
            </w:pPr>
            <w:r w:rsidRPr="00AF23DD">
              <w:rPr>
                <w:rFonts w:ascii="Arial Narrow" w:hAnsi="Arial Narrow" w:cs="Arial"/>
                <w:b/>
                <w:sz w:val="18"/>
                <w:szCs w:val="18"/>
              </w:rPr>
              <w:t>Variazioni</w:t>
            </w:r>
          </w:p>
          <w:p w14:paraId="74B0BB0E" w14:textId="77777777" w:rsidR="00236734" w:rsidRPr="00AF23DD" w:rsidRDefault="00236734" w:rsidP="0075218A">
            <w:pPr>
              <w:tabs>
                <w:tab w:val="left" w:pos="1316"/>
              </w:tabs>
              <w:spacing w:before="40" w:after="20"/>
              <w:ind w:right="-70"/>
              <w:jc w:val="center"/>
              <w:rPr>
                <w:rFonts w:ascii="Arial Narrow" w:hAnsi="Arial Narrow" w:cs="Arial"/>
                <w:b/>
                <w:sz w:val="18"/>
                <w:szCs w:val="18"/>
              </w:rPr>
            </w:pPr>
            <w:r w:rsidRPr="00AF23DD">
              <w:rPr>
                <w:rFonts w:ascii="Arial Narrow" w:hAnsi="Arial Narrow" w:cs="Arial"/>
                <w:b/>
                <w:sz w:val="18"/>
                <w:szCs w:val="18"/>
              </w:rPr>
              <w:t>congiunturali</w:t>
            </w:r>
          </w:p>
        </w:tc>
        <w:tc>
          <w:tcPr>
            <w:tcW w:w="1732" w:type="dxa"/>
            <w:gridSpan w:val="4"/>
            <w:tcBorders>
              <w:bottom w:val="single" w:sz="4" w:space="0" w:color="333333"/>
            </w:tcBorders>
            <w:shd w:val="clear" w:color="auto" w:fill="auto"/>
            <w:vAlign w:val="center"/>
          </w:tcPr>
          <w:p w14:paraId="3B05072A" w14:textId="77777777" w:rsidR="00236734" w:rsidRDefault="00236734" w:rsidP="0075218A">
            <w:pPr>
              <w:tabs>
                <w:tab w:val="left" w:pos="1316"/>
              </w:tabs>
              <w:spacing w:before="40"/>
              <w:ind w:right="-68"/>
              <w:jc w:val="center"/>
              <w:rPr>
                <w:rFonts w:ascii="Arial Narrow" w:hAnsi="Arial Narrow" w:cs="Arial"/>
                <w:b/>
                <w:sz w:val="18"/>
                <w:szCs w:val="18"/>
              </w:rPr>
            </w:pPr>
            <w:r w:rsidRPr="00AF23DD">
              <w:rPr>
                <w:rFonts w:ascii="Arial Narrow" w:hAnsi="Arial Narrow" w:cs="Arial"/>
                <w:b/>
                <w:sz w:val="18"/>
                <w:szCs w:val="18"/>
              </w:rPr>
              <w:t>Variazioni</w:t>
            </w:r>
          </w:p>
          <w:p w14:paraId="4AF0B27F" w14:textId="77777777" w:rsidR="00236734" w:rsidRPr="003C7722" w:rsidRDefault="00236734" w:rsidP="0075218A">
            <w:pPr>
              <w:tabs>
                <w:tab w:val="left" w:pos="1316"/>
              </w:tabs>
              <w:spacing w:before="40" w:after="20"/>
              <w:ind w:right="-70"/>
              <w:jc w:val="center"/>
              <w:rPr>
                <w:rFonts w:ascii="Arial Narrow" w:hAnsi="Arial Narrow" w:cs="Arial"/>
                <w:b/>
                <w:sz w:val="18"/>
                <w:szCs w:val="18"/>
              </w:rPr>
            </w:pPr>
            <w:r>
              <w:rPr>
                <w:rFonts w:ascii="Arial Narrow" w:hAnsi="Arial Narrow" w:cs="Arial"/>
                <w:b/>
                <w:sz w:val="18"/>
                <w:szCs w:val="18"/>
              </w:rPr>
              <w:t>tendenziali</w:t>
            </w:r>
          </w:p>
        </w:tc>
        <w:tc>
          <w:tcPr>
            <w:tcW w:w="2058" w:type="dxa"/>
            <w:gridSpan w:val="5"/>
            <w:tcBorders>
              <w:bottom w:val="single" w:sz="4" w:space="0" w:color="333333"/>
            </w:tcBorders>
            <w:shd w:val="clear" w:color="auto" w:fill="auto"/>
            <w:vAlign w:val="center"/>
          </w:tcPr>
          <w:p w14:paraId="0EFC7C9E" w14:textId="77777777" w:rsidR="00236734" w:rsidRDefault="00236734" w:rsidP="0075218A">
            <w:pPr>
              <w:tabs>
                <w:tab w:val="left" w:pos="1316"/>
              </w:tabs>
              <w:spacing w:before="40" w:after="20"/>
              <w:ind w:right="-70"/>
              <w:jc w:val="center"/>
              <w:rPr>
                <w:rFonts w:ascii="Arial Narrow" w:hAnsi="Arial Narrow" w:cs="Arial"/>
                <w:b/>
                <w:sz w:val="18"/>
                <w:szCs w:val="18"/>
              </w:rPr>
            </w:pPr>
            <w:r w:rsidRPr="00AF23DD">
              <w:rPr>
                <w:rFonts w:ascii="Arial Narrow" w:hAnsi="Arial Narrow" w:cs="Arial"/>
                <w:b/>
                <w:sz w:val="18"/>
                <w:szCs w:val="18"/>
              </w:rPr>
              <w:t>Variazioni</w:t>
            </w:r>
          </w:p>
          <w:p w14:paraId="07458202" w14:textId="77777777" w:rsidR="00236734" w:rsidRPr="003C7722" w:rsidRDefault="00236734" w:rsidP="0075218A">
            <w:pPr>
              <w:tabs>
                <w:tab w:val="left" w:pos="1316"/>
              </w:tabs>
              <w:spacing w:before="40" w:after="20"/>
              <w:ind w:right="-70"/>
              <w:jc w:val="center"/>
              <w:rPr>
                <w:rFonts w:ascii="Arial Narrow" w:hAnsi="Arial Narrow" w:cs="Arial"/>
                <w:b/>
                <w:sz w:val="18"/>
                <w:szCs w:val="18"/>
              </w:rPr>
            </w:pPr>
            <w:r w:rsidRPr="00AF23DD">
              <w:rPr>
                <w:rFonts w:ascii="Arial Narrow" w:hAnsi="Arial Narrow" w:cs="Arial"/>
                <w:b/>
                <w:sz w:val="18"/>
                <w:szCs w:val="18"/>
              </w:rPr>
              <w:t>congiunturali</w:t>
            </w:r>
          </w:p>
        </w:tc>
        <w:tc>
          <w:tcPr>
            <w:tcW w:w="1661" w:type="dxa"/>
            <w:gridSpan w:val="2"/>
            <w:tcBorders>
              <w:bottom w:val="single" w:sz="4" w:space="0" w:color="333333"/>
            </w:tcBorders>
            <w:shd w:val="clear" w:color="auto" w:fill="auto"/>
            <w:vAlign w:val="center"/>
          </w:tcPr>
          <w:p w14:paraId="10993A95" w14:textId="77777777" w:rsidR="00236734" w:rsidRDefault="00236734" w:rsidP="0075218A">
            <w:pPr>
              <w:tabs>
                <w:tab w:val="left" w:pos="1316"/>
              </w:tabs>
              <w:spacing w:before="40"/>
              <w:ind w:right="-68"/>
              <w:jc w:val="center"/>
              <w:rPr>
                <w:rFonts w:ascii="Arial Narrow" w:hAnsi="Arial Narrow" w:cs="Arial"/>
                <w:b/>
                <w:sz w:val="18"/>
                <w:szCs w:val="18"/>
              </w:rPr>
            </w:pPr>
            <w:r w:rsidRPr="00AF23DD">
              <w:rPr>
                <w:rFonts w:ascii="Arial Narrow" w:hAnsi="Arial Narrow" w:cs="Arial"/>
                <w:b/>
                <w:sz w:val="18"/>
                <w:szCs w:val="18"/>
              </w:rPr>
              <w:t>Variazioni</w:t>
            </w:r>
          </w:p>
          <w:p w14:paraId="61690DEA" w14:textId="77777777" w:rsidR="00236734" w:rsidRPr="003C7722" w:rsidRDefault="00236734" w:rsidP="0075218A">
            <w:pPr>
              <w:tabs>
                <w:tab w:val="left" w:pos="1316"/>
              </w:tabs>
              <w:spacing w:before="40" w:after="20"/>
              <w:ind w:right="-70"/>
              <w:jc w:val="center"/>
              <w:rPr>
                <w:rFonts w:ascii="Arial Narrow" w:hAnsi="Arial Narrow" w:cs="Arial"/>
                <w:b/>
                <w:sz w:val="18"/>
                <w:szCs w:val="18"/>
              </w:rPr>
            </w:pPr>
            <w:r>
              <w:rPr>
                <w:rFonts w:ascii="Arial Narrow" w:hAnsi="Arial Narrow" w:cs="Arial"/>
                <w:b/>
                <w:sz w:val="18"/>
                <w:szCs w:val="18"/>
              </w:rPr>
              <w:t>tendenziali</w:t>
            </w:r>
          </w:p>
        </w:tc>
        <w:tc>
          <w:tcPr>
            <w:tcW w:w="1662" w:type="dxa"/>
            <w:gridSpan w:val="3"/>
            <w:vMerge/>
            <w:shd w:val="clear" w:color="auto" w:fill="auto"/>
            <w:vAlign w:val="center"/>
          </w:tcPr>
          <w:p w14:paraId="1647B528" w14:textId="77777777" w:rsidR="00236734" w:rsidRPr="003C7722" w:rsidRDefault="00236734" w:rsidP="0075218A">
            <w:pPr>
              <w:spacing w:before="40" w:after="20"/>
              <w:jc w:val="center"/>
              <w:rPr>
                <w:rFonts w:ascii="Arial Narrow" w:hAnsi="Arial Narrow"/>
                <w:b/>
                <w:bCs/>
                <w:sz w:val="18"/>
                <w:szCs w:val="18"/>
              </w:rPr>
            </w:pPr>
          </w:p>
        </w:tc>
      </w:tr>
      <w:tr w:rsidR="00236734" w:rsidRPr="003C7722" w14:paraId="3F0C5E31" w14:textId="77777777" w:rsidTr="0075218A">
        <w:trPr>
          <w:gridAfter w:val="1"/>
          <w:wAfter w:w="7" w:type="dxa"/>
          <w:trHeight w:val="255"/>
        </w:trPr>
        <w:tc>
          <w:tcPr>
            <w:tcW w:w="1348" w:type="dxa"/>
            <w:vMerge/>
            <w:shd w:val="clear" w:color="auto" w:fill="auto"/>
            <w:noWrap/>
            <w:vAlign w:val="center"/>
          </w:tcPr>
          <w:p w14:paraId="357BF3FF" w14:textId="77777777" w:rsidR="00236734" w:rsidRPr="003C7722" w:rsidRDefault="00236734" w:rsidP="0075218A">
            <w:pPr>
              <w:spacing w:before="40" w:after="20"/>
              <w:ind w:left="-57"/>
              <w:rPr>
                <w:rFonts w:ascii="Arial Narrow" w:hAnsi="Arial Narrow"/>
                <w:sz w:val="18"/>
                <w:szCs w:val="18"/>
              </w:rPr>
            </w:pPr>
          </w:p>
        </w:tc>
        <w:tc>
          <w:tcPr>
            <w:tcW w:w="1832" w:type="dxa"/>
            <w:gridSpan w:val="2"/>
            <w:shd w:val="clear" w:color="auto" w:fill="D9D9D9"/>
            <w:vAlign w:val="center"/>
          </w:tcPr>
          <w:p w14:paraId="6F4C55AD" w14:textId="77777777" w:rsidR="00236734" w:rsidRPr="004C7973" w:rsidRDefault="00236734" w:rsidP="0075218A">
            <w:pPr>
              <w:spacing w:before="40" w:after="20"/>
              <w:ind w:right="-70"/>
              <w:jc w:val="center"/>
              <w:rPr>
                <w:rFonts w:ascii="Arial Narrow" w:hAnsi="Arial Narrow"/>
                <w:sz w:val="18"/>
                <w:szCs w:val="18"/>
              </w:rPr>
            </w:pPr>
            <w:r w:rsidRPr="004C7973">
              <w:rPr>
                <w:rFonts w:ascii="Arial Narrow" w:hAnsi="Arial Narrow"/>
                <w:sz w:val="18"/>
                <w:szCs w:val="18"/>
              </w:rPr>
              <w:t>Dati destagionalizzati</w:t>
            </w:r>
          </w:p>
        </w:tc>
        <w:tc>
          <w:tcPr>
            <w:tcW w:w="1732" w:type="dxa"/>
            <w:gridSpan w:val="4"/>
            <w:shd w:val="clear" w:color="auto" w:fill="auto"/>
            <w:vAlign w:val="center"/>
          </w:tcPr>
          <w:p w14:paraId="5E7FB818" w14:textId="77777777" w:rsidR="00236734" w:rsidRPr="004C7973" w:rsidRDefault="00236734" w:rsidP="0075218A">
            <w:pPr>
              <w:spacing w:before="40" w:after="20"/>
              <w:ind w:right="-70"/>
              <w:jc w:val="center"/>
              <w:rPr>
                <w:rFonts w:ascii="Arial Narrow" w:hAnsi="Arial Narrow"/>
                <w:sz w:val="18"/>
                <w:szCs w:val="18"/>
              </w:rPr>
            </w:pPr>
            <w:r w:rsidRPr="004C7973">
              <w:rPr>
                <w:rFonts w:ascii="Arial Narrow" w:hAnsi="Arial Narrow"/>
                <w:sz w:val="18"/>
                <w:szCs w:val="18"/>
              </w:rPr>
              <w:t>Dati grezzi</w:t>
            </w:r>
          </w:p>
        </w:tc>
        <w:tc>
          <w:tcPr>
            <w:tcW w:w="1891" w:type="dxa"/>
            <w:gridSpan w:val="3"/>
            <w:tcBorders>
              <w:bottom w:val="single" w:sz="4" w:space="0" w:color="333333"/>
            </w:tcBorders>
            <w:shd w:val="clear" w:color="auto" w:fill="D9D9D9"/>
            <w:vAlign w:val="center"/>
          </w:tcPr>
          <w:p w14:paraId="64C6606F" w14:textId="77777777" w:rsidR="00236734" w:rsidRPr="004C7973" w:rsidRDefault="00236734" w:rsidP="0075218A">
            <w:pPr>
              <w:spacing w:before="40" w:after="20"/>
              <w:jc w:val="center"/>
              <w:rPr>
                <w:rFonts w:ascii="Arial Narrow" w:hAnsi="Arial Narrow"/>
                <w:sz w:val="18"/>
                <w:szCs w:val="18"/>
              </w:rPr>
            </w:pPr>
            <w:r w:rsidRPr="004C7973">
              <w:rPr>
                <w:rFonts w:ascii="Arial Narrow" w:hAnsi="Arial Narrow"/>
                <w:sz w:val="18"/>
                <w:szCs w:val="18"/>
              </w:rPr>
              <w:t>Dati destagionalizzati</w:t>
            </w:r>
          </w:p>
        </w:tc>
        <w:tc>
          <w:tcPr>
            <w:tcW w:w="1828" w:type="dxa"/>
            <w:gridSpan w:val="4"/>
            <w:tcBorders>
              <w:bottom w:val="single" w:sz="4" w:space="0" w:color="333333"/>
            </w:tcBorders>
            <w:shd w:val="clear" w:color="auto" w:fill="auto"/>
            <w:noWrap/>
            <w:vAlign w:val="center"/>
          </w:tcPr>
          <w:p w14:paraId="296E7BDC" w14:textId="77777777" w:rsidR="00236734" w:rsidRPr="004C7973" w:rsidRDefault="00236734" w:rsidP="0075218A">
            <w:pPr>
              <w:spacing w:before="40" w:after="20"/>
              <w:jc w:val="center"/>
              <w:rPr>
                <w:rFonts w:ascii="Arial Narrow" w:hAnsi="Arial Narrow"/>
                <w:sz w:val="18"/>
                <w:szCs w:val="18"/>
              </w:rPr>
            </w:pPr>
            <w:r w:rsidRPr="004C7973">
              <w:rPr>
                <w:rFonts w:ascii="Arial Narrow" w:hAnsi="Arial Narrow"/>
                <w:sz w:val="18"/>
                <w:szCs w:val="18"/>
              </w:rPr>
              <w:t>Dati grezzi</w:t>
            </w:r>
          </w:p>
        </w:tc>
        <w:tc>
          <w:tcPr>
            <w:tcW w:w="1662" w:type="dxa"/>
            <w:gridSpan w:val="3"/>
            <w:tcBorders>
              <w:bottom w:val="single" w:sz="4" w:space="0" w:color="333333"/>
            </w:tcBorders>
            <w:shd w:val="clear" w:color="auto" w:fill="D9D9D9"/>
            <w:noWrap/>
            <w:vAlign w:val="center"/>
          </w:tcPr>
          <w:p w14:paraId="0E92723A" w14:textId="77777777" w:rsidR="00236734" w:rsidRPr="004C7973" w:rsidRDefault="00236734" w:rsidP="0075218A">
            <w:pPr>
              <w:spacing w:before="40" w:after="20"/>
              <w:jc w:val="center"/>
              <w:rPr>
                <w:rFonts w:ascii="Arial Narrow" w:hAnsi="Arial Narrow"/>
                <w:sz w:val="18"/>
                <w:szCs w:val="18"/>
              </w:rPr>
            </w:pPr>
            <w:r w:rsidRPr="004C7973">
              <w:rPr>
                <w:rFonts w:ascii="Arial Narrow" w:hAnsi="Arial Narrow"/>
                <w:sz w:val="18"/>
                <w:szCs w:val="18"/>
              </w:rPr>
              <w:t>Dati grezzi</w:t>
            </w:r>
          </w:p>
          <w:p w14:paraId="2334E39A" w14:textId="77777777" w:rsidR="00236734" w:rsidRPr="004C7973" w:rsidRDefault="00236734" w:rsidP="0075218A">
            <w:pPr>
              <w:spacing w:before="40" w:after="20"/>
              <w:jc w:val="center"/>
              <w:rPr>
                <w:rFonts w:ascii="Arial Narrow" w:hAnsi="Arial Narrow"/>
                <w:sz w:val="18"/>
                <w:szCs w:val="18"/>
              </w:rPr>
            </w:pPr>
            <w:r w:rsidRPr="004C7973">
              <w:rPr>
                <w:rFonts w:ascii="Arial Narrow" w:hAnsi="Arial Narrow"/>
                <w:sz w:val="18"/>
                <w:szCs w:val="18"/>
              </w:rPr>
              <w:t>Milioni di euro</w:t>
            </w:r>
          </w:p>
        </w:tc>
      </w:tr>
      <w:tr w:rsidR="005F4885" w:rsidRPr="003C7722" w14:paraId="6C2E91BF" w14:textId="77777777" w:rsidTr="0075218A">
        <w:trPr>
          <w:trHeight w:val="255"/>
        </w:trPr>
        <w:tc>
          <w:tcPr>
            <w:tcW w:w="1348" w:type="dxa"/>
            <w:vMerge/>
            <w:shd w:val="clear" w:color="auto" w:fill="auto"/>
            <w:noWrap/>
            <w:vAlign w:val="center"/>
          </w:tcPr>
          <w:p w14:paraId="58865012" w14:textId="77777777" w:rsidR="005F4885" w:rsidRPr="003C7722" w:rsidRDefault="005F4885" w:rsidP="005F4885">
            <w:pPr>
              <w:spacing w:before="40" w:after="20"/>
              <w:ind w:left="-57"/>
              <w:rPr>
                <w:rFonts w:ascii="Arial Narrow" w:hAnsi="Arial Narrow"/>
                <w:sz w:val="18"/>
                <w:szCs w:val="18"/>
              </w:rPr>
            </w:pPr>
          </w:p>
        </w:tc>
        <w:tc>
          <w:tcPr>
            <w:tcW w:w="709" w:type="dxa"/>
            <w:shd w:val="clear" w:color="auto" w:fill="auto"/>
            <w:vAlign w:val="center"/>
          </w:tcPr>
          <w:p w14:paraId="33BAAD50" w14:textId="686CB3FC" w:rsidR="005F4885" w:rsidRPr="0069402A" w:rsidRDefault="005F4885" w:rsidP="005F4885">
            <w:pPr>
              <w:spacing w:before="40" w:after="20"/>
              <w:jc w:val="center"/>
              <w:rPr>
                <w:rFonts w:ascii="Arial Narrow" w:hAnsi="Arial Narrow"/>
                <w:sz w:val="18"/>
                <w:szCs w:val="18"/>
                <w:u w:val="single"/>
                <w:lang w:val="en-US"/>
              </w:rPr>
            </w:pPr>
            <w:r>
              <w:rPr>
                <w:rFonts w:ascii="Arial Narrow" w:hAnsi="Arial Narrow"/>
                <w:sz w:val="18"/>
                <w:szCs w:val="18"/>
                <w:u w:val="single"/>
                <w:lang w:val="en-US"/>
              </w:rPr>
              <w:t>set 22</w:t>
            </w:r>
          </w:p>
          <w:p w14:paraId="1B97A9AF" w14:textId="62EA0253" w:rsidR="005F4885" w:rsidRPr="003C7722" w:rsidRDefault="005F4885" w:rsidP="005F4885">
            <w:pPr>
              <w:spacing w:before="40" w:after="20"/>
              <w:jc w:val="center"/>
              <w:rPr>
                <w:rFonts w:ascii="Arial Narrow" w:hAnsi="Arial Narrow"/>
                <w:sz w:val="18"/>
                <w:szCs w:val="18"/>
                <w:lang w:val="en-US"/>
              </w:rPr>
            </w:pPr>
            <w:r>
              <w:rPr>
                <w:rFonts w:ascii="Arial Narrow" w:hAnsi="Arial Narrow"/>
                <w:sz w:val="18"/>
                <w:szCs w:val="18"/>
                <w:lang w:val="en-US"/>
              </w:rPr>
              <w:t>ago 22</w:t>
            </w:r>
          </w:p>
        </w:tc>
        <w:tc>
          <w:tcPr>
            <w:tcW w:w="1130" w:type="dxa"/>
            <w:gridSpan w:val="2"/>
            <w:shd w:val="clear" w:color="auto" w:fill="auto"/>
            <w:noWrap/>
            <w:vAlign w:val="center"/>
          </w:tcPr>
          <w:p w14:paraId="24556D53" w14:textId="288E8972" w:rsidR="005F4885" w:rsidRPr="0069402A" w:rsidRDefault="005F4885" w:rsidP="005F4885">
            <w:pPr>
              <w:spacing w:before="40" w:after="20"/>
              <w:jc w:val="center"/>
              <w:rPr>
                <w:rFonts w:ascii="Arial Narrow" w:hAnsi="Arial Narrow"/>
                <w:sz w:val="18"/>
                <w:szCs w:val="18"/>
                <w:u w:val="single"/>
                <w:lang w:val="en-US"/>
              </w:rPr>
            </w:pPr>
            <w:r>
              <w:rPr>
                <w:rFonts w:ascii="Arial Narrow" w:hAnsi="Arial Narrow"/>
                <w:sz w:val="18"/>
                <w:szCs w:val="18"/>
                <w:u w:val="single"/>
                <w:lang w:val="en-US"/>
              </w:rPr>
              <w:t>lug-set 22</w:t>
            </w:r>
          </w:p>
          <w:p w14:paraId="7C4FDF51" w14:textId="7871A56C" w:rsidR="005F4885" w:rsidRPr="003C7722" w:rsidRDefault="005F4885" w:rsidP="005F4885">
            <w:pPr>
              <w:spacing w:before="40" w:after="20"/>
              <w:jc w:val="center"/>
              <w:rPr>
                <w:rFonts w:ascii="Arial Narrow" w:hAnsi="Arial Narrow"/>
                <w:sz w:val="18"/>
                <w:szCs w:val="18"/>
                <w:lang w:val="en-US"/>
              </w:rPr>
            </w:pPr>
            <w:proofErr w:type="spellStart"/>
            <w:r>
              <w:rPr>
                <w:rFonts w:ascii="Arial Narrow" w:hAnsi="Arial Narrow"/>
                <w:sz w:val="18"/>
                <w:szCs w:val="18"/>
                <w:lang w:val="en-US"/>
              </w:rPr>
              <w:t>apr-giu</w:t>
            </w:r>
            <w:proofErr w:type="spellEnd"/>
            <w:r>
              <w:rPr>
                <w:rFonts w:ascii="Arial Narrow" w:hAnsi="Arial Narrow"/>
                <w:sz w:val="18"/>
                <w:szCs w:val="18"/>
                <w:lang w:val="en-US"/>
              </w:rPr>
              <w:t xml:space="preserve"> 22</w:t>
            </w:r>
          </w:p>
        </w:tc>
        <w:tc>
          <w:tcPr>
            <w:tcW w:w="665" w:type="dxa"/>
            <w:gridSpan w:val="2"/>
            <w:shd w:val="clear" w:color="auto" w:fill="auto"/>
            <w:vAlign w:val="center"/>
          </w:tcPr>
          <w:p w14:paraId="1F372249" w14:textId="446024C8" w:rsidR="005F4885" w:rsidRPr="0069402A" w:rsidRDefault="005F4885" w:rsidP="005F4885">
            <w:pPr>
              <w:spacing w:before="40" w:after="20"/>
              <w:jc w:val="center"/>
              <w:rPr>
                <w:rFonts w:ascii="Arial Narrow" w:hAnsi="Arial Narrow"/>
                <w:sz w:val="18"/>
                <w:szCs w:val="18"/>
                <w:u w:val="single"/>
                <w:lang w:val="en-US"/>
              </w:rPr>
            </w:pPr>
            <w:r>
              <w:rPr>
                <w:rFonts w:ascii="Arial Narrow" w:hAnsi="Arial Narrow"/>
                <w:sz w:val="18"/>
                <w:szCs w:val="18"/>
                <w:u w:val="single"/>
                <w:lang w:val="en-US"/>
              </w:rPr>
              <w:t>set 22</w:t>
            </w:r>
          </w:p>
          <w:p w14:paraId="212B07BD" w14:textId="605355CF" w:rsidR="005F4885" w:rsidRPr="003C7722" w:rsidRDefault="005F4885" w:rsidP="005F4885">
            <w:pPr>
              <w:spacing w:before="40" w:after="20"/>
              <w:jc w:val="center"/>
              <w:rPr>
                <w:rFonts w:ascii="Arial Narrow" w:hAnsi="Arial Narrow"/>
                <w:sz w:val="18"/>
                <w:szCs w:val="18"/>
                <w:lang w:val="en-US"/>
              </w:rPr>
            </w:pPr>
            <w:r>
              <w:rPr>
                <w:rFonts w:ascii="Arial Narrow" w:hAnsi="Arial Narrow"/>
                <w:sz w:val="18"/>
                <w:szCs w:val="18"/>
                <w:lang w:val="en-US"/>
              </w:rPr>
              <w:t>set 21</w:t>
            </w:r>
          </w:p>
        </w:tc>
        <w:tc>
          <w:tcPr>
            <w:tcW w:w="1067" w:type="dxa"/>
            <w:gridSpan w:val="2"/>
            <w:shd w:val="clear" w:color="auto" w:fill="auto"/>
            <w:noWrap/>
            <w:vAlign w:val="center"/>
          </w:tcPr>
          <w:p w14:paraId="0AD4A080" w14:textId="734092E8" w:rsidR="005F4885" w:rsidRPr="0069402A" w:rsidRDefault="005F4885" w:rsidP="005F4885">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gen-set 22</w:t>
            </w:r>
          </w:p>
          <w:p w14:paraId="1A1E02E1" w14:textId="118BA9C6" w:rsidR="005F4885" w:rsidRPr="003C7722" w:rsidRDefault="005F4885" w:rsidP="005F4885">
            <w:pPr>
              <w:spacing w:before="40" w:after="20"/>
              <w:jc w:val="center"/>
              <w:rPr>
                <w:rFonts w:ascii="Arial Narrow" w:hAnsi="Arial Narrow"/>
                <w:sz w:val="18"/>
                <w:szCs w:val="18"/>
                <w:lang w:val="en-US"/>
              </w:rPr>
            </w:pPr>
            <w:r>
              <w:rPr>
                <w:rFonts w:ascii="Arial Narrow" w:hAnsi="Arial Narrow"/>
                <w:sz w:val="18"/>
                <w:szCs w:val="18"/>
                <w:lang w:val="en-US"/>
              </w:rPr>
              <w:t>gen-set 21</w:t>
            </w:r>
          </w:p>
        </w:tc>
        <w:tc>
          <w:tcPr>
            <w:tcW w:w="665" w:type="dxa"/>
            <w:shd w:val="clear" w:color="auto" w:fill="auto"/>
            <w:noWrap/>
            <w:vAlign w:val="center"/>
          </w:tcPr>
          <w:p w14:paraId="35E6ADCB" w14:textId="77777777" w:rsidR="005F4885" w:rsidRPr="0069402A" w:rsidRDefault="005F4885" w:rsidP="005F4885">
            <w:pPr>
              <w:spacing w:before="40" w:after="20"/>
              <w:jc w:val="center"/>
              <w:rPr>
                <w:rFonts w:ascii="Arial Narrow" w:hAnsi="Arial Narrow"/>
                <w:sz w:val="18"/>
                <w:szCs w:val="18"/>
                <w:u w:val="single"/>
                <w:lang w:val="en-US"/>
              </w:rPr>
            </w:pPr>
            <w:r>
              <w:rPr>
                <w:rFonts w:ascii="Arial Narrow" w:hAnsi="Arial Narrow"/>
                <w:sz w:val="18"/>
                <w:szCs w:val="18"/>
                <w:u w:val="single"/>
                <w:lang w:val="en-US"/>
              </w:rPr>
              <w:t>set 22</w:t>
            </w:r>
          </w:p>
          <w:p w14:paraId="05ACA2DB" w14:textId="6DA61A9D" w:rsidR="005F4885" w:rsidRPr="003C7722" w:rsidRDefault="005F4885" w:rsidP="005F4885">
            <w:pPr>
              <w:spacing w:before="40" w:after="20"/>
              <w:jc w:val="center"/>
              <w:rPr>
                <w:rFonts w:ascii="Arial Narrow" w:hAnsi="Arial Narrow"/>
                <w:sz w:val="18"/>
                <w:szCs w:val="18"/>
                <w:lang w:val="en-US"/>
              </w:rPr>
            </w:pPr>
            <w:r>
              <w:rPr>
                <w:rFonts w:ascii="Arial Narrow" w:hAnsi="Arial Narrow"/>
                <w:sz w:val="18"/>
                <w:szCs w:val="18"/>
                <w:lang w:val="en-US"/>
              </w:rPr>
              <w:t>ago 22</w:t>
            </w:r>
          </w:p>
        </w:tc>
        <w:tc>
          <w:tcPr>
            <w:tcW w:w="1226" w:type="dxa"/>
            <w:gridSpan w:val="2"/>
            <w:shd w:val="clear" w:color="auto" w:fill="auto"/>
            <w:vAlign w:val="center"/>
          </w:tcPr>
          <w:p w14:paraId="7D2D6283" w14:textId="77777777" w:rsidR="005F4885" w:rsidRPr="0069402A" w:rsidRDefault="005F4885" w:rsidP="005F4885">
            <w:pPr>
              <w:spacing w:before="40" w:after="20"/>
              <w:jc w:val="center"/>
              <w:rPr>
                <w:rFonts w:ascii="Arial Narrow" w:hAnsi="Arial Narrow"/>
                <w:sz w:val="18"/>
                <w:szCs w:val="18"/>
                <w:u w:val="single"/>
                <w:lang w:val="en-US"/>
              </w:rPr>
            </w:pPr>
            <w:r>
              <w:rPr>
                <w:rFonts w:ascii="Arial Narrow" w:hAnsi="Arial Narrow"/>
                <w:sz w:val="18"/>
                <w:szCs w:val="18"/>
                <w:u w:val="single"/>
                <w:lang w:val="en-US"/>
              </w:rPr>
              <w:t>lug-set 22</w:t>
            </w:r>
          </w:p>
          <w:p w14:paraId="01699A3B" w14:textId="512949A7" w:rsidR="005F4885" w:rsidRPr="003C7722" w:rsidRDefault="005F4885" w:rsidP="005F4885">
            <w:pPr>
              <w:spacing w:before="40" w:after="20"/>
              <w:jc w:val="center"/>
              <w:rPr>
                <w:rFonts w:ascii="Arial Narrow" w:hAnsi="Arial Narrow"/>
                <w:sz w:val="18"/>
                <w:szCs w:val="18"/>
                <w:lang w:val="en-US"/>
              </w:rPr>
            </w:pPr>
            <w:proofErr w:type="spellStart"/>
            <w:r>
              <w:rPr>
                <w:rFonts w:ascii="Arial Narrow" w:hAnsi="Arial Narrow"/>
                <w:sz w:val="18"/>
                <w:szCs w:val="18"/>
                <w:lang w:val="en-US"/>
              </w:rPr>
              <w:t>apr-giu</w:t>
            </w:r>
            <w:proofErr w:type="spellEnd"/>
            <w:r>
              <w:rPr>
                <w:rFonts w:ascii="Arial Narrow" w:hAnsi="Arial Narrow"/>
                <w:sz w:val="18"/>
                <w:szCs w:val="18"/>
                <w:lang w:val="en-US"/>
              </w:rPr>
              <w:t xml:space="preserve"> 22</w:t>
            </w:r>
          </w:p>
        </w:tc>
        <w:tc>
          <w:tcPr>
            <w:tcW w:w="832" w:type="dxa"/>
            <w:gridSpan w:val="2"/>
            <w:shd w:val="clear" w:color="auto" w:fill="auto"/>
            <w:noWrap/>
            <w:vAlign w:val="center"/>
          </w:tcPr>
          <w:p w14:paraId="44B0E409" w14:textId="77777777" w:rsidR="005F4885" w:rsidRPr="0069402A" w:rsidRDefault="005F4885" w:rsidP="005F4885">
            <w:pPr>
              <w:spacing w:before="40" w:after="20"/>
              <w:jc w:val="center"/>
              <w:rPr>
                <w:rFonts w:ascii="Arial Narrow" w:hAnsi="Arial Narrow"/>
                <w:sz w:val="18"/>
                <w:szCs w:val="18"/>
                <w:u w:val="single"/>
                <w:lang w:val="en-US"/>
              </w:rPr>
            </w:pPr>
            <w:r>
              <w:rPr>
                <w:rFonts w:ascii="Arial Narrow" w:hAnsi="Arial Narrow"/>
                <w:sz w:val="18"/>
                <w:szCs w:val="18"/>
                <w:u w:val="single"/>
                <w:lang w:val="en-US"/>
              </w:rPr>
              <w:t>set 22</w:t>
            </w:r>
          </w:p>
          <w:p w14:paraId="1E375B84" w14:textId="5128F413" w:rsidR="005F4885" w:rsidRPr="003C7722" w:rsidRDefault="005F4885" w:rsidP="005F4885">
            <w:pPr>
              <w:spacing w:before="40" w:after="20"/>
              <w:jc w:val="center"/>
              <w:rPr>
                <w:rFonts w:ascii="Arial Narrow" w:hAnsi="Arial Narrow"/>
                <w:sz w:val="18"/>
                <w:szCs w:val="18"/>
                <w:lang w:val="en-US"/>
              </w:rPr>
            </w:pPr>
            <w:r>
              <w:rPr>
                <w:rFonts w:ascii="Arial Narrow" w:hAnsi="Arial Narrow"/>
                <w:sz w:val="18"/>
                <w:szCs w:val="18"/>
                <w:lang w:val="en-US"/>
              </w:rPr>
              <w:t>set 21</w:t>
            </w:r>
          </w:p>
        </w:tc>
        <w:tc>
          <w:tcPr>
            <w:tcW w:w="996" w:type="dxa"/>
            <w:gridSpan w:val="2"/>
            <w:shd w:val="clear" w:color="auto" w:fill="auto"/>
            <w:noWrap/>
            <w:vAlign w:val="center"/>
          </w:tcPr>
          <w:p w14:paraId="4951BDA1" w14:textId="77777777" w:rsidR="005F4885" w:rsidRPr="0069402A" w:rsidRDefault="005F4885" w:rsidP="005F4885">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gen-set 22</w:t>
            </w:r>
          </w:p>
          <w:p w14:paraId="48918470" w14:textId="5FE4ABA5" w:rsidR="005F4885" w:rsidRPr="003C7722" w:rsidRDefault="005F4885" w:rsidP="005F4885">
            <w:pPr>
              <w:spacing w:before="40" w:after="20"/>
              <w:jc w:val="center"/>
              <w:rPr>
                <w:rFonts w:ascii="Arial Narrow" w:hAnsi="Arial Narrow"/>
                <w:sz w:val="18"/>
                <w:szCs w:val="18"/>
                <w:lang w:val="en-US"/>
              </w:rPr>
            </w:pPr>
            <w:r>
              <w:rPr>
                <w:rFonts w:ascii="Arial Narrow" w:hAnsi="Arial Narrow"/>
                <w:sz w:val="18"/>
                <w:szCs w:val="18"/>
                <w:lang w:val="en-US"/>
              </w:rPr>
              <w:t>gen-set 21</w:t>
            </w:r>
          </w:p>
        </w:tc>
        <w:tc>
          <w:tcPr>
            <w:tcW w:w="665" w:type="dxa"/>
            <w:tcBorders>
              <w:bottom w:val="nil"/>
            </w:tcBorders>
            <w:shd w:val="clear" w:color="auto" w:fill="auto"/>
            <w:noWrap/>
            <w:vAlign w:val="center"/>
          </w:tcPr>
          <w:p w14:paraId="11929ABA" w14:textId="45E9964C" w:rsidR="005F4885" w:rsidRPr="003C7722" w:rsidRDefault="005F4885" w:rsidP="005F4885">
            <w:pPr>
              <w:spacing w:before="40" w:after="20"/>
              <w:jc w:val="center"/>
              <w:rPr>
                <w:rFonts w:ascii="Arial Narrow" w:hAnsi="Arial Narrow"/>
                <w:sz w:val="18"/>
                <w:szCs w:val="18"/>
                <w:lang w:val="en-US"/>
              </w:rPr>
            </w:pPr>
            <w:r>
              <w:rPr>
                <w:rFonts w:ascii="Arial Narrow" w:hAnsi="Arial Narrow"/>
                <w:sz w:val="18"/>
                <w:szCs w:val="18"/>
                <w:lang w:val="en-US"/>
              </w:rPr>
              <w:t>set 22</w:t>
            </w:r>
          </w:p>
        </w:tc>
        <w:tc>
          <w:tcPr>
            <w:tcW w:w="997" w:type="dxa"/>
            <w:gridSpan w:val="2"/>
            <w:shd w:val="clear" w:color="auto" w:fill="auto"/>
            <w:vAlign w:val="center"/>
          </w:tcPr>
          <w:p w14:paraId="40468379" w14:textId="4676C13C" w:rsidR="005F4885" w:rsidRPr="003C7722" w:rsidRDefault="005F4885" w:rsidP="005F4885">
            <w:pPr>
              <w:spacing w:before="40" w:after="20"/>
              <w:jc w:val="center"/>
              <w:rPr>
                <w:rFonts w:ascii="Arial Narrow" w:hAnsi="Arial Narrow"/>
                <w:sz w:val="18"/>
                <w:szCs w:val="18"/>
                <w:lang w:val="en-US"/>
              </w:rPr>
            </w:pPr>
            <w:r>
              <w:rPr>
                <w:rFonts w:ascii="Arial Narrow" w:hAnsi="Arial Narrow"/>
                <w:sz w:val="18"/>
                <w:szCs w:val="18"/>
                <w:lang w:val="en-US"/>
              </w:rPr>
              <w:t>gen-set 22</w:t>
            </w:r>
          </w:p>
        </w:tc>
      </w:tr>
      <w:tr w:rsidR="00124D62" w:rsidRPr="008C0651" w14:paraId="21B8FC65" w14:textId="77777777" w:rsidTr="0075218A">
        <w:trPr>
          <w:trHeight w:val="255"/>
        </w:trPr>
        <w:tc>
          <w:tcPr>
            <w:tcW w:w="1348" w:type="dxa"/>
            <w:shd w:val="clear" w:color="auto" w:fill="auto"/>
            <w:noWrap/>
            <w:vAlign w:val="center"/>
          </w:tcPr>
          <w:p w14:paraId="519A2F97" w14:textId="77777777" w:rsidR="00124D62" w:rsidRPr="007C052D" w:rsidRDefault="00124D62" w:rsidP="00124D62">
            <w:pPr>
              <w:spacing w:before="40" w:after="20"/>
              <w:rPr>
                <w:rFonts w:ascii="Arial Narrow" w:hAnsi="Arial Narrow"/>
                <w:sz w:val="18"/>
                <w:szCs w:val="18"/>
              </w:rPr>
            </w:pPr>
            <w:r w:rsidRPr="007C052D">
              <w:rPr>
                <w:rFonts w:ascii="Arial Narrow" w:hAnsi="Arial Narrow"/>
                <w:sz w:val="18"/>
                <w:szCs w:val="18"/>
              </w:rPr>
              <w:t>Paesi Ue27</w:t>
            </w:r>
          </w:p>
        </w:tc>
        <w:tc>
          <w:tcPr>
            <w:tcW w:w="709" w:type="dxa"/>
            <w:shd w:val="clear" w:color="auto" w:fill="D9D9D9"/>
            <w:vAlign w:val="bottom"/>
          </w:tcPr>
          <w:p w14:paraId="2320A094" w14:textId="6A37BEFF" w:rsidR="00124D62" w:rsidRDefault="00124D62" w:rsidP="00124D62">
            <w:pPr>
              <w:jc w:val="center"/>
              <w:rPr>
                <w:rFonts w:ascii="Arial Narrow" w:hAnsi="Arial Narrow"/>
                <w:sz w:val="18"/>
                <w:szCs w:val="18"/>
              </w:rPr>
            </w:pPr>
            <w:r>
              <w:rPr>
                <w:rFonts w:ascii="Arial Narrow" w:hAnsi="Arial Narrow"/>
                <w:sz w:val="18"/>
                <w:szCs w:val="18"/>
              </w:rPr>
              <w:t>-2,2</w:t>
            </w:r>
          </w:p>
        </w:tc>
        <w:tc>
          <w:tcPr>
            <w:tcW w:w="1130" w:type="dxa"/>
            <w:gridSpan w:val="2"/>
            <w:shd w:val="clear" w:color="auto" w:fill="D9D9D9"/>
            <w:noWrap/>
            <w:vAlign w:val="bottom"/>
          </w:tcPr>
          <w:p w14:paraId="35BD16BF" w14:textId="62A85A60" w:rsidR="00124D62" w:rsidRDefault="00124D62" w:rsidP="00124D62">
            <w:pPr>
              <w:jc w:val="center"/>
              <w:rPr>
                <w:rFonts w:ascii="Arial Narrow" w:hAnsi="Arial Narrow"/>
                <w:sz w:val="18"/>
                <w:szCs w:val="18"/>
              </w:rPr>
            </w:pPr>
            <w:r>
              <w:rPr>
                <w:rFonts w:ascii="Arial Narrow" w:hAnsi="Arial Narrow"/>
                <w:sz w:val="18"/>
                <w:szCs w:val="18"/>
              </w:rPr>
              <w:t>+2,0</w:t>
            </w:r>
          </w:p>
        </w:tc>
        <w:tc>
          <w:tcPr>
            <w:tcW w:w="629" w:type="dxa"/>
            <w:vAlign w:val="bottom"/>
          </w:tcPr>
          <w:p w14:paraId="321E7414" w14:textId="67D49A49" w:rsidR="00124D62" w:rsidRDefault="00124D62" w:rsidP="00124D62">
            <w:pPr>
              <w:jc w:val="center"/>
              <w:rPr>
                <w:rFonts w:ascii="Arial Narrow" w:hAnsi="Arial Narrow"/>
                <w:sz w:val="18"/>
                <w:szCs w:val="18"/>
              </w:rPr>
            </w:pPr>
            <w:r>
              <w:rPr>
                <w:rFonts w:ascii="Arial Narrow" w:hAnsi="Arial Narrow"/>
                <w:sz w:val="18"/>
                <w:szCs w:val="18"/>
              </w:rPr>
              <w:t>+17,1</w:t>
            </w:r>
          </w:p>
        </w:tc>
        <w:tc>
          <w:tcPr>
            <w:tcW w:w="1103" w:type="dxa"/>
            <w:gridSpan w:val="3"/>
            <w:shd w:val="clear" w:color="auto" w:fill="auto"/>
            <w:noWrap/>
            <w:vAlign w:val="bottom"/>
          </w:tcPr>
          <w:p w14:paraId="5558032C" w14:textId="5F454578" w:rsidR="00124D62" w:rsidRDefault="00124D62" w:rsidP="00124D62">
            <w:pPr>
              <w:jc w:val="center"/>
              <w:rPr>
                <w:rFonts w:ascii="Arial Narrow" w:hAnsi="Arial Narrow"/>
                <w:sz w:val="18"/>
                <w:szCs w:val="18"/>
              </w:rPr>
            </w:pPr>
            <w:r>
              <w:rPr>
                <w:rFonts w:ascii="Arial Narrow" w:hAnsi="Arial Narrow"/>
                <w:sz w:val="18"/>
                <w:szCs w:val="18"/>
              </w:rPr>
              <w:t>+21,7</w:t>
            </w:r>
          </w:p>
        </w:tc>
        <w:tc>
          <w:tcPr>
            <w:tcW w:w="665" w:type="dxa"/>
            <w:shd w:val="clear" w:color="auto" w:fill="D9D9D9"/>
            <w:noWrap/>
            <w:vAlign w:val="bottom"/>
          </w:tcPr>
          <w:p w14:paraId="2C7E9C02" w14:textId="75993E1D" w:rsidR="00124D62" w:rsidRDefault="00124D62" w:rsidP="00124D62">
            <w:pPr>
              <w:jc w:val="center"/>
              <w:rPr>
                <w:rFonts w:ascii="Arial Narrow" w:hAnsi="Arial Narrow"/>
                <w:sz w:val="18"/>
                <w:szCs w:val="18"/>
              </w:rPr>
            </w:pPr>
            <w:r>
              <w:rPr>
                <w:rFonts w:ascii="Arial Narrow" w:hAnsi="Arial Narrow"/>
                <w:sz w:val="18"/>
                <w:szCs w:val="18"/>
              </w:rPr>
              <w:t>-4,0</w:t>
            </w:r>
          </w:p>
        </w:tc>
        <w:tc>
          <w:tcPr>
            <w:tcW w:w="1226" w:type="dxa"/>
            <w:gridSpan w:val="2"/>
            <w:shd w:val="clear" w:color="auto" w:fill="D9D9D9"/>
            <w:vAlign w:val="bottom"/>
          </w:tcPr>
          <w:p w14:paraId="1033B738" w14:textId="3C44D9ED" w:rsidR="00124D62" w:rsidRDefault="00124D62" w:rsidP="00124D62">
            <w:pPr>
              <w:jc w:val="center"/>
              <w:rPr>
                <w:rFonts w:ascii="Arial Narrow" w:hAnsi="Arial Narrow"/>
                <w:sz w:val="18"/>
                <w:szCs w:val="18"/>
              </w:rPr>
            </w:pPr>
            <w:r>
              <w:rPr>
                <w:rFonts w:ascii="Arial Narrow" w:hAnsi="Arial Narrow"/>
                <w:sz w:val="18"/>
                <w:szCs w:val="18"/>
              </w:rPr>
              <w:t>+3,6</w:t>
            </w:r>
          </w:p>
        </w:tc>
        <w:tc>
          <w:tcPr>
            <w:tcW w:w="832" w:type="dxa"/>
            <w:gridSpan w:val="2"/>
            <w:shd w:val="clear" w:color="auto" w:fill="auto"/>
            <w:noWrap/>
            <w:vAlign w:val="bottom"/>
          </w:tcPr>
          <w:p w14:paraId="2B08A58E" w14:textId="372D0EDA" w:rsidR="00124D62" w:rsidRDefault="00124D62" w:rsidP="00124D62">
            <w:pPr>
              <w:jc w:val="center"/>
              <w:rPr>
                <w:rFonts w:ascii="Arial Narrow" w:hAnsi="Arial Narrow"/>
                <w:sz w:val="18"/>
                <w:szCs w:val="18"/>
              </w:rPr>
            </w:pPr>
            <w:r>
              <w:rPr>
                <w:rFonts w:ascii="Arial Narrow" w:hAnsi="Arial Narrow"/>
                <w:sz w:val="18"/>
                <w:szCs w:val="18"/>
              </w:rPr>
              <w:t>+25,2</w:t>
            </w:r>
          </w:p>
        </w:tc>
        <w:tc>
          <w:tcPr>
            <w:tcW w:w="996" w:type="dxa"/>
            <w:gridSpan w:val="2"/>
            <w:shd w:val="clear" w:color="auto" w:fill="auto"/>
            <w:noWrap/>
            <w:vAlign w:val="bottom"/>
          </w:tcPr>
          <w:p w14:paraId="05C3F3A2" w14:textId="42147093" w:rsidR="00124D62" w:rsidRDefault="00124D62" w:rsidP="00124D62">
            <w:pPr>
              <w:jc w:val="center"/>
              <w:rPr>
                <w:rFonts w:ascii="Arial Narrow" w:hAnsi="Arial Narrow"/>
                <w:sz w:val="18"/>
                <w:szCs w:val="18"/>
              </w:rPr>
            </w:pPr>
            <w:r>
              <w:rPr>
                <w:rFonts w:ascii="Arial Narrow" w:hAnsi="Arial Narrow"/>
                <w:sz w:val="18"/>
                <w:szCs w:val="18"/>
              </w:rPr>
              <w:t>+26,5</w:t>
            </w:r>
          </w:p>
        </w:tc>
        <w:tc>
          <w:tcPr>
            <w:tcW w:w="665" w:type="dxa"/>
            <w:shd w:val="clear" w:color="auto" w:fill="D9D9D9"/>
            <w:noWrap/>
            <w:vAlign w:val="bottom"/>
          </w:tcPr>
          <w:p w14:paraId="4966466C" w14:textId="2BAA774B" w:rsidR="00124D62" w:rsidRDefault="00124D62" w:rsidP="00124D62">
            <w:pPr>
              <w:jc w:val="center"/>
              <w:rPr>
                <w:rFonts w:ascii="Arial Narrow" w:hAnsi="Arial Narrow"/>
                <w:sz w:val="18"/>
                <w:szCs w:val="18"/>
              </w:rPr>
            </w:pPr>
            <w:r>
              <w:rPr>
                <w:rFonts w:ascii="Arial Narrow" w:hAnsi="Arial Narrow"/>
                <w:sz w:val="18"/>
                <w:szCs w:val="18"/>
              </w:rPr>
              <w:t>-1.023</w:t>
            </w:r>
          </w:p>
        </w:tc>
        <w:tc>
          <w:tcPr>
            <w:tcW w:w="997" w:type="dxa"/>
            <w:gridSpan w:val="2"/>
            <w:shd w:val="clear" w:color="auto" w:fill="D9D9D9"/>
            <w:vAlign w:val="bottom"/>
          </w:tcPr>
          <w:p w14:paraId="73A87C64" w14:textId="702F5BB5" w:rsidR="00124D62" w:rsidRDefault="00124D62" w:rsidP="00124D62">
            <w:pPr>
              <w:jc w:val="center"/>
              <w:rPr>
                <w:rFonts w:ascii="Arial Narrow" w:hAnsi="Arial Narrow"/>
                <w:sz w:val="18"/>
                <w:szCs w:val="18"/>
              </w:rPr>
            </w:pPr>
            <w:r>
              <w:rPr>
                <w:rFonts w:ascii="Arial Narrow" w:hAnsi="Arial Narrow"/>
                <w:sz w:val="18"/>
                <w:szCs w:val="18"/>
              </w:rPr>
              <w:t>-2.150</w:t>
            </w:r>
          </w:p>
        </w:tc>
      </w:tr>
      <w:tr w:rsidR="00124D62" w:rsidRPr="008C0651" w14:paraId="33DD8268" w14:textId="77777777" w:rsidTr="0075218A">
        <w:trPr>
          <w:trHeight w:val="255"/>
        </w:trPr>
        <w:tc>
          <w:tcPr>
            <w:tcW w:w="1348" w:type="dxa"/>
            <w:shd w:val="clear" w:color="auto" w:fill="auto"/>
            <w:noWrap/>
            <w:vAlign w:val="center"/>
          </w:tcPr>
          <w:p w14:paraId="50B7701A" w14:textId="77777777" w:rsidR="00124D62" w:rsidRPr="007C052D" w:rsidRDefault="00124D62" w:rsidP="00124D62">
            <w:pPr>
              <w:spacing w:before="40" w:after="20"/>
              <w:rPr>
                <w:rFonts w:ascii="Arial Narrow" w:hAnsi="Arial Narrow"/>
                <w:sz w:val="18"/>
                <w:szCs w:val="18"/>
              </w:rPr>
            </w:pPr>
            <w:r w:rsidRPr="007C052D">
              <w:rPr>
                <w:rFonts w:ascii="Arial Narrow" w:hAnsi="Arial Narrow"/>
                <w:sz w:val="18"/>
                <w:szCs w:val="18"/>
              </w:rPr>
              <w:t>Paesi extra Ue27</w:t>
            </w:r>
          </w:p>
        </w:tc>
        <w:tc>
          <w:tcPr>
            <w:tcW w:w="709" w:type="dxa"/>
            <w:shd w:val="clear" w:color="auto" w:fill="D9D9D9"/>
            <w:vAlign w:val="bottom"/>
          </w:tcPr>
          <w:p w14:paraId="2854853D" w14:textId="5BA876C0" w:rsidR="00124D62" w:rsidRDefault="00124D62" w:rsidP="00124D62">
            <w:pPr>
              <w:jc w:val="center"/>
              <w:rPr>
                <w:rFonts w:ascii="Arial Narrow" w:hAnsi="Arial Narrow"/>
                <w:sz w:val="18"/>
                <w:szCs w:val="18"/>
              </w:rPr>
            </w:pPr>
            <w:r>
              <w:rPr>
                <w:rFonts w:ascii="Arial Narrow" w:hAnsi="Arial Narrow"/>
                <w:sz w:val="18"/>
                <w:szCs w:val="18"/>
              </w:rPr>
              <w:t>+6,0</w:t>
            </w:r>
          </w:p>
        </w:tc>
        <w:tc>
          <w:tcPr>
            <w:tcW w:w="1130" w:type="dxa"/>
            <w:gridSpan w:val="2"/>
            <w:shd w:val="clear" w:color="auto" w:fill="D9D9D9"/>
            <w:noWrap/>
            <w:vAlign w:val="bottom"/>
          </w:tcPr>
          <w:p w14:paraId="4D884F4C" w14:textId="08896CA9" w:rsidR="00124D62" w:rsidRDefault="00124D62" w:rsidP="00124D62">
            <w:pPr>
              <w:jc w:val="center"/>
              <w:rPr>
                <w:rFonts w:ascii="Arial Narrow" w:hAnsi="Arial Narrow"/>
                <w:sz w:val="18"/>
                <w:szCs w:val="18"/>
              </w:rPr>
            </w:pPr>
            <w:r>
              <w:rPr>
                <w:rFonts w:ascii="Arial Narrow" w:hAnsi="Arial Narrow"/>
                <w:sz w:val="18"/>
                <w:szCs w:val="18"/>
              </w:rPr>
              <w:t>+3,5</w:t>
            </w:r>
          </w:p>
        </w:tc>
        <w:tc>
          <w:tcPr>
            <w:tcW w:w="629" w:type="dxa"/>
            <w:vAlign w:val="bottom"/>
          </w:tcPr>
          <w:p w14:paraId="01570429" w14:textId="576AAEDE" w:rsidR="00124D62" w:rsidRDefault="00124D62" w:rsidP="00124D62">
            <w:pPr>
              <w:jc w:val="center"/>
              <w:rPr>
                <w:rFonts w:ascii="Arial Narrow" w:hAnsi="Arial Narrow"/>
                <w:sz w:val="18"/>
                <w:szCs w:val="18"/>
              </w:rPr>
            </w:pPr>
            <w:r>
              <w:rPr>
                <w:rFonts w:ascii="Arial Narrow" w:hAnsi="Arial Narrow"/>
                <w:sz w:val="18"/>
                <w:szCs w:val="18"/>
              </w:rPr>
              <w:t>+27,2</w:t>
            </w:r>
          </w:p>
        </w:tc>
        <w:tc>
          <w:tcPr>
            <w:tcW w:w="1103" w:type="dxa"/>
            <w:gridSpan w:val="3"/>
            <w:shd w:val="clear" w:color="auto" w:fill="auto"/>
            <w:noWrap/>
            <w:vAlign w:val="bottom"/>
          </w:tcPr>
          <w:p w14:paraId="02473B71" w14:textId="0AFD2C0B" w:rsidR="00124D62" w:rsidRDefault="00124D62" w:rsidP="00124D62">
            <w:pPr>
              <w:jc w:val="center"/>
              <w:rPr>
                <w:rFonts w:ascii="Arial Narrow" w:hAnsi="Arial Narrow"/>
                <w:sz w:val="18"/>
                <w:szCs w:val="18"/>
              </w:rPr>
            </w:pPr>
            <w:r>
              <w:rPr>
                <w:rFonts w:ascii="Arial Narrow" w:hAnsi="Arial Narrow"/>
                <w:sz w:val="18"/>
                <w:szCs w:val="18"/>
              </w:rPr>
              <w:t>+20,5</w:t>
            </w:r>
          </w:p>
        </w:tc>
        <w:tc>
          <w:tcPr>
            <w:tcW w:w="665" w:type="dxa"/>
            <w:shd w:val="clear" w:color="auto" w:fill="D9D9D9"/>
            <w:noWrap/>
            <w:vAlign w:val="bottom"/>
          </w:tcPr>
          <w:p w14:paraId="01C0076B" w14:textId="6DA6C1F2" w:rsidR="00124D62" w:rsidRDefault="00124D62" w:rsidP="00124D62">
            <w:pPr>
              <w:jc w:val="center"/>
              <w:rPr>
                <w:rFonts w:ascii="Arial Narrow" w:hAnsi="Arial Narrow"/>
                <w:sz w:val="18"/>
                <w:szCs w:val="18"/>
              </w:rPr>
            </w:pPr>
            <w:r>
              <w:rPr>
                <w:rFonts w:ascii="Arial Narrow" w:hAnsi="Arial Narrow"/>
                <w:sz w:val="18"/>
                <w:szCs w:val="18"/>
              </w:rPr>
              <w:t>+0,6</w:t>
            </w:r>
          </w:p>
        </w:tc>
        <w:tc>
          <w:tcPr>
            <w:tcW w:w="1226" w:type="dxa"/>
            <w:gridSpan w:val="2"/>
            <w:shd w:val="clear" w:color="auto" w:fill="D9D9D9"/>
            <w:vAlign w:val="bottom"/>
          </w:tcPr>
          <w:p w14:paraId="3EE936AC" w14:textId="7FC72A3A" w:rsidR="00124D62" w:rsidRDefault="00124D62" w:rsidP="00124D62">
            <w:pPr>
              <w:jc w:val="center"/>
              <w:rPr>
                <w:rFonts w:ascii="Arial Narrow" w:hAnsi="Arial Narrow"/>
                <w:sz w:val="18"/>
                <w:szCs w:val="18"/>
              </w:rPr>
            </w:pPr>
            <w:r>
              <w:rPr>
                <w:rFonts w:ascii="Arial Narrow" w:hAnsi="Arial Narrow"/>
                <w:sz w:val="18"/>
                <w:szCs w:val="18"/>
              </w:rPr>
              <w:t>+11,6</w:t>
            </w:r>
          </w:p>
        </w:tc>
        <w:tc>
          <w:tcPr>
            <w:tcW w:w="832" w:type="dxa"/>
            <w:gridSpan w:val="2"/>
            <w:shd w:val="clear" w:color="auto" w:fill="auto"/>
            <w:noWrap/>
            <w:vAlign w:val="bottom"/>
          </w:tcPr>
          <w:p w14:paraId="13E348CA" w14:textId="5A78DA97" w:rsidR="00124D62" w:rsidRDefault="00124D62" w:rsidP="00124D62">
            <w:pPr>
              <w:jc w:val="center"/>
              <w:rPr>
                <w:rFonts w:ascii="Arial Narrow" w:hAnsi="Arial Narrow"/>
                <w:sz w:val="18"/>
                <w:szCs w:val="18"/>
              </w:rPr>
            </w:pPr>
            <w:r>
              <w:rPr>
                <w:rFonts w:ascii="Arial Narrow" w:hAnsi="Arial Narrow"/>
                <w:sz w:val="18"/>
                <w:szCs w:val="18"/>
              </w:rPr>
              <w:t>+59,0</w:t>
            </w:r>
          </w:p>
        </w:tc>
        <w:tc>
          <w:tcPr>
            <w:tcW w:w="996" w:type="dxa"/>
            <w:gridSpan w:val="2"/>
            <w:shd w:val="clear" w:color="auto" w:fill="auto"/>
            <w:noWrap/>
            <w:vAlign w:val="bottom"/>
          </w:tcPr>
          <w:p w14:paraId="116C21C3" w14:textId="261276C6" w:rsidR="00124D62" w:rsidRDefault="00124D62" w:rsidP="00124D62">
            <w:pPr>
              <w:jc w:val="center"/>
              <w:rPr>
                <w:rFonts w:ascii="Arial Narrow" w:hAnsi="Arial Narrow"/>
                <w:sz w:val="18"/>
                <w:szCs w:val="18"/>
              </w:rPr>
            </w:pPr>
            <w:r>
              <w:rPr>
                <w:rFonts w:ascii="Arial Narrow" w:hAnsi="Arial Narrow"/>
                <w:sz w:val="18"/>
                <w:szCs w:val="18"/>
              </w:rPr>
              <w:t>+66,3</w:t>
            </w:r>
          </w:p>
        </w:tc>
        <w:tc>
          <w:tcPr>
            <w:tcW w:w="665" w:type="dxa"/>
            <w:shd w:val="clear" w:color="auto" w:fill="D9D9D9"/>
            <w:noWrap/>
            <w:vAlign w:val="bottom"/>
          </w:tcPr>
          <w:p w14:paraId="7C57E80A" w14:textId="55C9D2D6" w:rsidR="00124D62" w:rsidRDefault="00124D62" w:rsidP="00124D62">
            <w:pPr>
              <w:jc w:val="center"/>
              <w:rPr>
                <w:rFonts w:ascii="Arial Narrow" w:hAnsi="Arial Narrow"/>
                <w:sz w:val="18"/>
                <w:szCs w:val="18"/>
              </w:rPr>
            </w:pPr>
            <w:r>
              <w:rPr>
                <w:rFonts w:ascii="Arial Narrow" w:hAnsi="Arial Narrow"/>
                <w:sz w:val="18"/>
                <w:szCs w:val="18"/>
              </w:rPr>
              <w:t>-5.431</w:t>
            </w:r>
          </w:p>
        </w:tc>
        <w:tc>
          <w:tcPr>
            <w:tcW w:w="997" w:type="dxa"/>
            <w:gridSpan w:val="2"/>
            <w:shd w:val="clear" w:color="auto" w:fill="D9D9D9"/>
            <w:vAlign w:val="bottom"/>
          </w:tcPr>
          <w:p w14:paraId="536DBC4C" w14:textId="31126D11" w:rsidR="00124D62" w:rsidRDefault="00124D62" w:rsidP="00124D62">
            <w:pPr>
              <w:jc w:val="center"/>
              <w:rPr>
                <w:rFonts w:ascii="Arial Narrow" w:hAnsi="Arial Narrow"/>
                <w:sz w:val="18"/>
                <w:szCs w:val="18"/>
              </w:rPr>
            </w:pPr>
            <w:r>
              <w:rPr>
                <w:rFonts w:ascii="Arial Narrow" w:hAnsi="Arial Narrow"/>
                <w:sz w:val="18"/>
                <w:szCs w:val="18"/>
              </w:rPr>
              <w:t>-29.237</w:t>
            </w:r>
          </w:p>
        </w:tc>
      </w:tr>
      <w:tr w:rsidR="00124D62" w:rsidRPr="008C0651" w14:paraId="68FD8E49" w14:textId="77777777" w:rsidTr="0075218A">
        <w:trPr>
          <w:trHeight w:val="255"/>
        </w:trPr>
        <w:tc>
          <w:tcPr>
            <w:tcW w:w="1348" w:type="dxa"/>
            <w:shd w:val="clear" w:color="auto" w:fill="auto"/>
            <w:noWrap/>
            <w:vAlign w:val="center"/>
          </w:tcPr>
          <w:p w14:paraId="53E09E9B" w14:textId="77777777" w:rsidR="00124D62" w:rsidRPr="003C7722" w:rsidRDefault="00124D62" w:rsidP="00124D62">
            <w:pPr>
              <w:spacing w:before="40" w:after="20"/>
              <w:rPr>
                <w:rFonts w:ascii="Arial Narrow" w:hAnsi="Arial Narrow"/>
                <w:sz w:val="18"/>
                <w:szCs w:val="18"/>
              </w:rPr>
            </w:pPr>
            <w:r w:rsidRPr="003C7722">
              <w:rPr>
                <w:rFonts w:ascii="Arial Narrow" w:hAnsi="Arial Narrow"/>
                <w:sz w:val="18"/>
                <w:szCs w:val="18"/>
              </w:rPr>
              <w:t>Mondo</w:t>
            </w:r>
          </w:p>
        </w:tc>
        <w:tc>
          <w:tcPr>
            <w:tcW w:w="709" w:type="dxa"/>
            <w:shd w:val="clear" w:color="auto" w:fill="D9D9D9"/>
            <w:vAlign w:val="bottom"/>
          </w:tcPr>
          <w:p w14:paraId="6B317D71" w14:textId="2B7E07DD" w:rsidR="00124D62" w:rsidRDefault="00124D62" w:rsidP="00124D62">
            <w:pPr>
              <w:jc w:val="center"/>
              <w:rPr>
                <w:rFonts w:ascii="Arial Narrow" w:hAnsi="Arial Narrow"/>
                <w:sz w:val="18"/>
                <w:szCs w:val="18"/>
              </w:rPr>
            </w:pPr>
            <w:r>
              <w:rPr>
                <w:rFonts w:ascii="Arial Narrow" w:hAnsi="Arial Narrow"/>
                <w:sz w:val="18"/>
                <w:szCs w:val="18"/>
              </w:rPr>
              <w:t>+1,6</w:t>
            </w:r>
          </w:p>
        </w:tc>
        <w:tc>
          <w:tcPr>
            <w:tcW w:w="1130" w:type="dxa"/>
            <w:gridSpan w:val="2"/>
            <w:shd w:val="clear" w:color="auto" w:fill="D9D9D9"/>
            <w:noWrap/>
            <w:vAlign w:val="bottom"/>
          </w:tcPr>
          <w:p w14:paraId="64A64FC9" w14:textId="340CFE54" w:rsidR="00124D62" w:rsidRDefault="00124D62" w:rsidP="00124D62">
            <w:pPr>
              <w:jc w:val="center"/>
              <w:rPr>
                <w:rFonts w:ascii="Arial Narrow" w:hAnsi="Arial Narrow"/>
                <w:sz w:val="18"/>
                <w:szCs w:val="18"/>
              </w:rPr>
            </w:pPr>
            <w:r>
              <w:rPr>
                <w:rFonts w:ascii="Arial Narrow" w:hAnsi="Arial Narrow"/>
                <w:sz w:val="18"/>
                <w:szCs w:val="18"/>
              </w:rPr>
              <w:t>+2,7</w:t>
            </w:r>
          </w:p>
        </w:tc>
        <w:tc>
          <w:tcPr>
            <w:tcW w:w="629" w:type="dxa"/>
            <w:vAlign w:val="bottom"/>
          </w:tcPr>
          <w:p w14:paraId="5B4FB60C" w14:textId="311EF954" w:rsidR="00124D62" w:rsidRDefault="00124D62" w:rsidP="00124D62">
            <w:pPr>
              <w:jc w:val="center"/>
              <w:rPr>
                <w:rFonts w:ascii="Arial Narrow" w:hAnsi="Arial Narrow"/>
                <w:sz w:val="18"/>
                <w:szCs w:val="18"/>
              </w:rPr>
            </w:pPr>
            <w:r>
              <w:rPr>
                <w:rFonts w:ascii="Arial Narrow" w:hAnsi="Arial Narrow"/>
                <w:sz w:val="18"/>
                <w:szCs w:val="18"/>
              </w:rPr>
              <w:t>+21,6</w:t>
            </w:r>
          </w:p>
        </w:tc>
        <w:tc>
          <w:tcPr>
            <w:tcW w:w="1103" w:type="dxa"/>
            <w:gridSpan w:val="3"/>
            <w:shd w:val="clear" w:color="auto" w:fill="auto"/>
            <w:noWrap/>
            <w:vAlign w:val="bottom"/>
          </w:tcPr>
          <w:p w14:paraId="1C07D702" w14:textId="6D10C8E8" w:rsidR="00124D62" w:rsidRDefault="00124D62" w:rsidP="00124D62">
            <w:pPr>
              <w:jc w:val="center"/>
              <w:rPr>
                <w:rFonts w:ascii="Arial Narrow" w:hAnsi="Arial Narrow"/>
                <w:sz w:val="18"/>
                <w:szCs w:val="18"/>
              </w:rPr>
            </w:pPr>
            <w:r>
              <w:rPr>
                <w:rFonts w:ascii="Arial Narrow" w:hAnsi="Arial Narrow"/>
                <w:sz w:val="18"/>
                <w:szCs w:val="18"/>
              </w:rPr>
              <w:t>+21,1</w:t>
            </w:r>
          </w:p>
        </w:tc>
        <w:tc>
          <w:tcPr>
            <w:tcW w:w="665" w:type="dxa"/>
            <w:shd w:val="clear" w:color="auto" w:fill="D9D9D9"/>
            <w:noWrap/>
            <w:vAlign w:val="bottom"/>
          </w:tcPr>
          <w:p w14:paraId="73D029BC" w14:textId="4BD7974D" w:rsidR="00124D62" w:rsidRDefault="00124D62" w:rsidP="00124D62">
            <w:pPr>
              <w:jc w:val="center"/>
              <w:rPr>
                <w:rFonts w:ascii="Arial Narrow" w:hAnsi="Arial Narrow"/>
                <w:sz w:val="18"/>
                <w:szCs w:val="18"/>
              </w:rPr>
            </w:pPr>
            <w:r>
              <w:rPr>
                <w:rFonts w:ascii="Arial Narrow" w:hAnsi="Arial Narrow"/>
                <w:sz w:val="18"/>
                <w:szCs w:val="18"/>
              </w:rPr>
              <w:t>-1,7</w:t>
            </w:r>
          </w:p>
        </w:tc>
        <w:tc>
          <w:tcPr>
            <w:tcW w:w="1226" w:type="dxa"/>
            <w:gridSpan w:val="2"/>
            <w:shd w:val="clear" w:color="auto" w:fill="D9D9D9"/>
            <w:vAlign w:val="bottom"/>
          </w:tcPr>
          <w:p w14:paraId="13DE127A" w14:textId="703B7196" w:rsidR="00124D62" w:rsidRDefault="00124D62" w:rsidP="00124D62">
            <w:pPr>
              <w:jc w:val="center"/>
              <w:rPr>
                <w:rFonts w:ascii="Arial Narrow" w:hAnsi="Arial Narrow"/>
                <w:sz w:val="18"/>
                <w:szCs w:val="18"/>
              </w:rPr>
            </w:pPr>
            <w:r>
              <w:rPr>
                <w:rFonts w:ascii="Arial Narrow" w:hAnsi="Arial Narrow"/>
                <w:sz w:val="18"/>
                <w:szCs w:val="18"/>
              </w:rPr>
              <w:t>+7,5</w:t>
            </w:r>
          </w:p>
        </w:tc>
        <w:tc>
          <w:tcPr>
            <w:tcW w:w="832" w:type="dxa"/>
            <w:gridSpan w:val="2"/>
            <w:shd w:val="clear" w:color="auto" w:fill="auto"/>
            <w:noWrap/>
            <w:vAlign w:val="bottom"/>
          </w:tcPr>
          <w:p w14:paraId="49778B7E" w14:textId="0ABE2F4F" w:rsidR="00124D62" w:rsidRDefault="00124D62" w:rsidP="00124D62">
            <w:pPr>
              <w:jc w:val="center"/>
              <w:rPr>
                <w:rFonts w:ascii="Arial Narrow" w:hAnsi="Arial Narrow"/>
                <w:sz w:val="18"/>
                <w:szCs w:val="18"/>
              </w:rPr>
            </w:pPr>
            <w:r>
              <w:rPr>
                <w:rFonts w:ascii="Arial Narrow" w:hAnsi="Arial Narrow"/>
                <w:sz w:val="18"/>
                <w:szCs w:val="18"/>
              </w:rPr>
              <w:t>+40,4</w:t>
            </w:r>
          </w:p>
        </w:tc>
        <w:tc>
          <w:tcPr>
            <w:tcW w:w="996" w:type="dxa"/>
            <w:gridSpan w:val="2"/>
            <w:shd w:val="clear" w:color="auto" w:fill="auto"/>
            <w:noWrap/>
            <w:vAlign w:val="bottom"/>
          </w:tcPr>
          <w:p w14:paraId="0A2F2AF5" w14:textId="0190ACBD" w:rsidR="00124D62" w:rsidRDefault="00124D62" w:rsidP="00124D62">
            <w:pPr>
              <w:jc w:val="center"/>
              <w:rPr>
                <w:rFonts w:ascii="Arial Narrow" w:hAnsi="Arial Narrow"/>
                <w:sz w:val="18"/>
                <w:szCs w:val="18"/>
              </w:rPr>
            </w:pPr>
            <w:r>
              <w:rPr>
                <w:rFonts w:ascii="Arial Narrow" w:hAnsi="Arial Narrow"/>
                <w:sz w:val="18"/>
                <w:szCs w:val="18"/>
              </w:rPr>
              <w:t>+43,5</w:t>
            </w:r>
          </w:p>
        </w:tc>
        <w:tc>
          <w:tcPr>
            <w:tcW w:w="665" w:type="dxa"/>
            <w:shd w:val="clear" w:color="auto" w:fill="D9D9D9"/>
            <w:noWrap/>
            <w:vAlign w:val="bottom"/>
          </w:tcPr>
          <w:p w14:paraId="4E8FA5BC" w14:textId="6C3138BE" w:rsidR="00124D62" w:rsidRDefault="00124D62" w:rsidP="00124D62">
            <w:pPr>
              <w:jc w:val="center"/>
              <w:rPr>
                <w:rFonts w:ascii="Arial Narrow" w:hAnsi="Arial Narrow"/>
                <w:sz w:val="18"/>
                <w:szCs w:val="18"/>
              </w:rPr>
            </w:pPr>
            <w:r>
              <w:rPr>
                <w:rFonts w:ascii="Arial Narrow" w:hAnsi="Arial Narrow"/>
                <w:sz w:val="18"/>
                <w:szCs w:val="18"/>
              </w:rPr>
              <w:t>-6.454</w:t>
            </w:r>
          </w:p>
        </w:tc>
        <w:tc>
          <w:tcPr>
            <w:tcW w:w="997" w:type="dxa"/>
            <w:gridSpan w:val="2"/>
            <w:shd w:val="clear" w:color="auto" w:fill="D9D9D9"/>
            <w:vAlign w:val="bottom"/>
          </w:tcPr>
          <w:p w14:paraId="77D607FE" w14:textId="2D9193F7" w:rsidR="00124D62" w:rsidRDefault="00124D62" w:rsidP="00124D62">
            <w:pPr>
              <w:jc w:val="center"/>
              <w:rPr>
                <w:rFonts w:ascii="Arial Narrow" w:hAnsi="Arial Narrow"/>
                <w:sz w:val="18"/>
                <w:szCs w:val="18"/>
              </w:rPr>
            </w:pPr>
            <w:r>
              <w:rPr>
                <w:rFonts w:ascii="Arial Narrow" w:hAnsi="Arial Narrow"/>
                <w:sz w:val="18"/>
                <w:szCs w:val="18"/>
              </w:rPr>
              <w:t>-31.387</w:t>
            </w:r>
          </w:p>
        </w:tc>
      </w:tr>
      <w:tr w:rsidR="00124D62" w:rsidRPr="00826161" w14:paraId="0BA3DDEE" w14:textId="77777777" w:rsidTr="0075218A">
        <w:trPr>
          <w:trHeight w:val="255"/>
        </w:trPr>
        <w:tc>
          <w:tcPr>
            <w:tcW w:w="1348" w:type="dxa"/>
            <w:shd w:val="clear" w:color="auto" w:fill="auto"/>
            <w:noWrap/>
            <w:vAlign w:val="center"/>
          </w:tcPr>
          <w:p w14:paraId="62487FD4" w14:textId="77777777" w:rsidR="00124D62" w:rsidRPr="00826161" w:rsidRDefault="00124D62" w:rsidP="00124D62">
            <w:pPr>
              <w:spacing w:before="40" w:after="20"/>
              <w:rPr>
                <w:rFonts w:ascii="Arial Narrow" w:hAnsi="Arial Narrow"/>
                <w:sz w:val="18"/>
                <w:szCs w:val="18"/>
              </w:rPr>
            </w:pPr>
            <w:r w:rsidRPr="00826161">
              <w:rPr>
                <w:rFonts w:ascii="Arial Narrow" w:hAnsi="Arial Narrow"/>
                <w:sz w:val="18"/>
                <w:szCs w:val="18"/>
              </w:rPr>
              <w:t>Valori medi unitari</w:t>
            </w:r>
          </w:p>
        </w:tc>
        <w:tc>
          <w:tcPr>
            <w:tcW w:w="709" w:type="dxa"/>
            <w:shd w:val="clear" w:color="auto" w:fill="D9D9D9"/>
            <w:vAlign w:val="bottom"/>
          </w:tcPr>
          <w:p w14:paraId="125CC4C8" w14:textId="77777777" w:rsidR="00124D62" w:rsidRPr="00826161" w:rsidRDefault="00124D62" w:rsidP="00124D62">
            <w:pPr>
              <w:jc w:val="center"/>
              <w:rPr>
                <w:rFonts w:ascii="Arial Narrow" w:hAnsi="Arial Narrow"/>
                <w:sz w:val="18"/>
                <w:szCs w:val="18"/>
              </w:rPr>
            </w:pPr>
          </w:p>
        </w:tc>
        <w:tc>
          <w:tcPr>
            <w:tcW w:w="1130" w:type="dxa"/>
            <w:gridSpan w:val="2"/>
            <w:shd w:val="clear" w:color="auto" w:fill="D9D9D9"/>
            <w:noWrap/>
            <w:vAlign w:val="bottom"/>
          </w:tcPr>
          <w:p w14:paraId="0BF5DB31" w14:textId="77777777" w:rsidR="00124D62" w:rsidRPr="00826161" w:rsidRDefault="00124D62" w:rsidP="00124D62">
            <w:pPr>
              <w:jc w:val="center"/>
              <w:rPr>
                <w:sz w:val="20"/>
                <w:szCs w:val="20"/>
              </w:rPr>
            </w:pPr>
          </w:p>
        </w:tc>
        <w:tc>
          <w:tcPr>
            <w:tcW w:w="629" w:type="dxa"/>
            <w:vAlign w:val="bottom"/>
          </w:tcPr>
          <w:p w14:paraId="71E6928E" w14:textId="4D916CDD" w:rsidR="00124D62" w:rsidRPr="00826161" w:rsidRDefault="00124D62" w:rsidP="00124D62">
            <w:pPr>
              <w:jc w:val="center"/>
              <w:rPr>
                <w:rFonts w:ascii="Arial Narrow" w:hAnsi="Arial Narrow"/>
                <w:i/>
                <w:iCs/>
                <w:sz w:val="18"/>
                <w:szCs w:val="18"/>
              </w:rPr>
            </w:pPr>
            <w:r>
              <w:rPr>
                <w:rFonts w:ascii="Arial Narrow" w:hAnsi="Arial Narrow"/>
                <w:i/>
                <w:iCs/>
                <w:sz w:val="18"/>
                <w:szCs w:val="18"/>
              </w:rPr>
              <w:t>+19,0</w:t>
            </w:r>
          </w:p>
        </w:tc>
        <w:tc>
          <w:tcPr>
            <w:tcW w:w="1103" w:type="dxa"/>
            <w:gridSpan w:val="3"/>
            <w:shd w:val="clear" w:color="auto" w:fill="auto"/>
            <w:noWrap/>
            <w:vAlign w:val="bottom"/>
          </w:tcPr>
          <w:p w14:paraId="359154C9" w14:textId="23A436A3" w:rsidR="00124D62" w:rsidRPr="00826161" w:rsidRDefault="00124D62" w:rsidP="00124D62">
            <w:pPr>
              <w:jc w:val="center"/>
              <w:rPr>
                <w:rFonts w:ascii="Arial Narrow" w:hAnsi="Arial Narrow"/>
                <w:i/>
                <w:iCs/>
                <w:sz w:val="18"/>
                <w:szCs w:val="18"/>
              </w:rPr>
            </w:pPr>
            <w:r>
              <w:rPr>
                <w:rFonts w:ascii="Arial Narrow" w:hAnsi="Arial Narrow"/>
                <w:i/>
                <w:iCs/>
                <w:sz w:val="18"/>
                <w:szCs w:val="18"/>
              </w:rPr>
              <w:t>+20,3</w:t>
            </w:r>
          </w:p>
        </w:tc>
        <w:tc>
          <w:tcPr>
            <w:tcW w:w="665" w:type="dxa"/>
            <w:shd w:val="clear" w:color="auto" w:fill="D9D9D9"/>
            <w:noWrap/>
            <w:vAlign w:val="bottom"/>
          </w:tcPr>
          <w:p w14:paraId="236E7EF5" w14:textId="77777777" w:rsidR="00124D62" w:rsidRPr="00826161" w:rsidRDefault="00124D62" w:rsidP="00124D62">
            <w:pPr>
              <w:jc w:val="center"/>
              <w:rPr>
                <w:rFonts w:ascii="Arial Narrow" w:hAnsi="Arial Narrow"/>
                <w:i/>
                <w:iCs/>
                <w:sz w:val="18"/>
                <w:szCs w:val="18"/>
              </w:rPr>
            </w:pPr>
          </w:p>
        </w:tc>
        <w:tc>
          <w:tcPr>
            <w:tcW w:w="1226" w:type="dxa"/>
            <w:gridSpan w:val="2"/>
            <w:shd w:val="clear" w:color="auto" w:fill="D9D9D9"/>
            <w:vAlign w:val="bottom"/>
          </w:tcPr>
          <w:p w14:paraId="610951F9" w14:textId="77777777" w:rsidR="00124D62" w:rsidRPr="00826161" w:rsidRDefault="00124D62" w:rsidP="00124D62">
            <w:pPr>
              <w:jc w:val="center"/>
              <w:rPr>
                <w:sz w:val="20"/>
                <w:szCs w:val="20"/>
              </w:rPr>
            </w:pPr>
          </w:p>
        </w:tc>
        <w:tc>
          <w:tcPr>
            <w:tcW w:w="832" w:type="dxa"/>
            <w:gridSpan w:val="2"/>
            <w:shd w:val="clear" w:color="auto" w:fill="auto"/>
            <w:noWrap/>
            <w:vAlign w:val="bottom"/>
          </w:tcPr>
          <w:p w14:paraId="3D9A968C" w14:textId="00498EC6" w:rsidR="00124D62" w:rsidRPr="00826161" w:rsidRDefault="00124D62" w:rsidP="00124D62">
            <w:pPr>
              <w:jc w:val="center"/>
              <w:rPr>
                <w:rFonts w:ascii="Arial Narrow" w:hAnsi="Arial Narrow"/>
                <w:i/>
                <w:iCs/>
                <w:sz w:val="18"/>
                <w:szCs w:val="18"/>
              </w:rPr>
            </w:pPr>
            <w:r>
              <w:rPr>
                <w:rFonts w:ascii="Arial Narrow" w:hAnsi="Arial Narrow"/>
                <w:i/>
                <w:iCs/>
                <w:sz w:val="18"/>
                <w:szCs w:val="18"/>
              </w:rPr>
              <w:t>+41,0</w:t>
            </w:r>
          </w:p>
        </w:tc>
        <w:tc>
          <w:tcPr>
            <w:tcW w:w="996" w:type="dxa"/>
            <w:gridSpan w:val="2"/>
            <w:shd w:val="clear" w:color="auto" w:fill="auto"/>
            <w:noWrap/>
            <w:vAlign w:val="bottom"/>
          </w:tcPr>
          <w:p w14:paraId="6E8E5192" w14:textId="3BEF76F1" w:rsidR="00124D62" w:rsidRPr="00826161" w:rsidRDefault="00124D62" w:rsidP="00124D62">
            <w:pPr>
              <w:jc w:val="center"/>
              <w:rPr>
                <w:rFonts w:ascii="Arial Narrow" w:hAnsi="Arial Narrow"/>
                <w:i/>
                <w:iCs/>
                <w:sz w:val="18"/>
                <w:szCs w:val="18"/>
              </w:rPr>
            </w:pPr>
            <w:r>
              <w:rPr>
                <w:rFonts w:ascii="Arial Narrow" w:hAnsi="Arial Narrow"/>
                <w:i/>
                <w:iCs/>
                <w:sz w:val="18"/>
                <w:szCs w:val="18"/>
              </w:rPr>
              <w:t>+41,8</w:t>
            </w:r>
          </w:p>
        </w:tc>
        <w:tc>
          <w:tcPr>
            <w:tcW w:w="665" w:type="dxa"/>
            <w:shd w:val="clear" w:color="auto" w:fill="D9D9D9"/>
            <w:noWrap/>
            <w:vAlign w:val="bottom"/>
          </w:tcPr>
          <w:p w14:paraId="64DC50A3" w14:textId="77777777" w:rsidR="00124D62" w:rsidRPr="00826161" w:rsidRDefault="00124D62" w:rsidP="00124D62">
            <w:pPr>
              <w:jc w:val="center"/>
              <w:rPr>
                <w:rFonts w:ascii="Arial Narrow" w:hAnsi="Arial Narrow"/>
                <w:i/>
                <w:iCs/>
                <w:sz w:val="18"/>
                <w:szCs w:val="18"/>
              </w:rPr>
            </w:pPr>
          </w:p>
        </w:tc>
        <w:tc>
          <w:tcPr>
            <w:tcW w:w="997" w:type="dxa"/>
            <w:gridSpan w:val="2"/>
            <w:shd w:val="clear" w:color="auto" w:fill="D9D9D9"/>
            <w:vAlign w:val="bottom"/>
          </w:tcPr>
          <w:p w14:paraId="730E6E21" w14:textId="77777777" w:rsidR="00124D62" w:rsidRPr="00826161" w:rsidRDefault="00124D62" w:rsidP="00124D62">
            <w:pPr>
              <w:jc w:val="center"/>
              <w:rPr>
                <w:sz w:val="20"/>
                <w:szCs w:val="20"/>
              </w:rPr>
            </w:pPr>
          </w:p>
        </w:tc>
      </w:tr>
      <w:tr w:rsidR="00124D62" w:rsidRPr="008C0651" w14:paraId="351584CF" w14:textId="77777777" w:rsidTr="0075218A">
        <w:trPr>
          <w:trHeight w:val="255"/>
        </w:trPr>
        <w:tc>
          <w:tcPr>
            <w:tcW w:w="1348" w:type="dxa"/>
            <w:shd w:val="clear" w:color="auto" w:fill="auto"/>
            <w:noWrap/>
            <w:vAlign w:val="center"/>
          </w:tcPr>
          <w:p w14:paraId="2885A358" w14:textId="77777777" w:rsidR="00124D62" w:rsidRPr="00674C87" w:rsidRDefault="00124D62" w:rsidP="00124D62">
            <w:pPr>
              <w:spacing w:before="40" w:after="20"/>
              <w:rPr>
                <w:rFonts w:ascii="Arial Narrow" w:hAnsi="Arial Narrow"/>
                <w:sz w:val="18"/>
                <w:szCs w:val="18"/>
              </w:rPr>
            </w:pPr>
            <w:r w:rsidRPr="00674C87">
              <w:rPr>
                <w:rFonts w:ascii="Arial Narrow" w:hAnsi="Arial Narrow"/>
                <w:sz w:val="18"/>
                <w:szCs w:val="18"/>
              </w:rPr>
              <w:t>Volumi</w:t>
            </w:r>
          </w:p>
        </w:tc>
        <w:tc>
          <w:tcPr>
            <w:tcW w:w="709" w:type="dxa"/>
            <w:shd w:val="clear" w:color="auto" w:fill="D9D9D9"/>
            <w:vAlign w:val="bottom"/>
          </w:tcPr>
          <w:p w14:paraId="29D81D12" w14:textId="20361718" w:rsidR="00124D62" w:rsidRDefault="00124D62" w:rsidP="00124D62">
            <w:pPr>
              <w:jc w:val="center"/>
              <w:rPr>
                <w:rFonts w:ascii="Arial Narrow" w:hAnsi="Arial Narrow"/>
                <w:i/>
                <w:iCs/>
                <w:sz w:val="18"/>
                <w:szCs w:val="18"/>
              </w:rPr>
            </w:pPr>
            <w:r>
              <w:rPr>
                <w:rFonts w:ascii="Arial Narrow" w:hAnsi="Arial Narrow"/>
                <w:i/>
                <w:iCs/>
                <w:sz w:val="18"/>
                <w:szCs w:val="18"/>
              </w:rPr>
              <w:t> </w:t>
            </w:r>
          </w:p>
        </w:tc>
        <w:tc>
          <w:tcPr>
            <w:tcW w:w="1130" w:type="dxa"/>
            <w:gridSpan w:val="2"/>
            <w:shd w:val="clear" w:color="auto" w:fill="D9D9D9"/>
            <w:noWrap/>
            <w:vAlign w:val="bottom"/>
          </w:tcPr>
          <w:p w14:paraId="62DFF48F" w14:textId="3F6467B2" w:rsidR="00124D62" w:rsidRDefault="00124D62" w:rsidP="00124D62">
            <w:pPr>
              <w:jc w:val="center"/>
              <w:rPr>
                <w:rFonts w:ascii="Arial Narrow" w:hAnsi="Arial Narrow"/>
                <w:i/>
                <w:iCs/>
                <w:sz w:val="18"/>
                <w:szCs w:val="18"/>
              </w:rPr>
            </w:pPr>
            <w:r>
              <w:rPr>
                <w:rFonts w:ascii="Arial Narrow" w:hAnsi="Arial Narrow"/>
                <w:i/>
                <w:iCs/>
                <w:sz w:val="18"/>
                <w:szCs w:val="18"/>
              </w:rPr>
              <w:t> </w:t>
            </w:r>
          </w:p>
        </w:tc>
        <w:tc>
          <w:tcPr>
            <w:tcW w:w="629" w:type="dxa"/>
            <w:vAlign w:val="bottom"/>
          </w:tcPr>
          <w:p w14:paraId="44B5F48E" w14:textId="15C3ED97" w:rsidR="00124D62" w:rsidRDefault="00124D62" w:rsidP="00124D62">
            <w:pPr>
              <w:jc w:val="center"/>
              <w:rPr>
                <w:rFonts w:ascii="Arial Narrow" w:hAnsi="Arial Narrow"/>
                <w:i/>
                <w:iCs/>
                <w:sz w:val="18"/>
                <w:szCs w:val="18"/>
              </w:rPr>
            </w:pPr>
            <w:r>
              <w:rPr>
                <w:rFonts w:ascii="Arial Narrow" w:hAnsi="Arial Narrow"/>
                <w:i/>
                <w:iCs/>
                <w:sz w:val="18"/>
                <w:szCs w:val="18"/>
              </w:rPr>
              <w:t>+2,1</w:t>
            </w:r>
          </w:p>
        </w:tc>
        <w:tc>
          <w:tcPr>
            <w:tcW w:w="1103" w:type="dxa"/>
            <w:gridSpan w:val="3"/>
            <w:shd w:val="clear" w:color="auto" w:fill="auto"/>
            <w:noWrap/>
            <w:vAlign w:val="bottom"/>
          </w:tcPr>
          <w:p w14:paraId="1373C6ED" w14:textId="457A2472" w:rsidR="00124D62" w:rsidRDefault="00124D62" w:rsidP="00124D62">
            <w:pPr>
              <w:jc w:val="center"/>
              <w:rPr>
                <w:rFonts w:ascii="Arial Narrow" w:hAnsi="Arial Narrow"/>
                <w:i/>
                <w:iCs/>
                <w:sz w:val="18"/>
                <w:szCs w:val="18"/>
              </w:rPr>
            </w:pPr>
            <w:r>
              <w:rPr>
                <w:rFonts w:ascii="Arial Narrow" w:hAnsi="Arial Narrow"/>
                <w:i/>
                <w:iCs/>
                <w:sz w:val="18"/>
                <w:szCs w:val="18"/>
              </w:rPr>
              <w:t>+0,7</w:t>
            </w:r>
          </w:p>
        </w:tc>
        <w:tc>
          <w:tcPr>
            <w:tcW w:w="665" w:type="dxa"/>
            <w:shd w:val="clear" w:color="auto" w:fill="D9D9D9"/>
            <w:noWrap/>
            <w:vAlign w:val="bottom"/>
          </w:tcPr>
          <w:p w14:paraId="5BA335AE" w14:textId="7E464B20" w:rsidR="00124D62" w:rsidRDefault="00124D62" w:rsidP="00124D62">
            <w:pPr>
              <w:jc w:val="center"/>
              <w:rPr>
                <w:rFonts w:ascii="Arial Narrow" w:hAnsi="Arial Narrow"/>
                <w:sz w:val="18"/>
                <w:szCs w:val="18"/>
              </w:rPr>
            </w:pPr>
            <w:r>
              <w:rPr>
                <w:rFonts w:ascii="Arial Narrow" w:hAnsi="Arial Narrow"/>
                <w:sz w:val="18"/>
                <w:szCs w:val="18"/>
              </w:rPr>
              <w:t> </w:t>
            </w:r>
          </w:p>
        </w:tc>
        <w:tc>
          <w:tcPr>
            <w:tcW w:w="1226" w:type="dxa"/>
            <w:gridSpan w:val="2"/>
            <w:shd w:val="clear" w:color="auto" w:fill="D9D9D9"/>
            <w:vAlign w:val="bottom"/>
          </w:tcPr>
          <w:p w14:paraId="1F4F4E45" w14:textId="110DDE87" w:rsidR="00124D62" w:rsidRDefault="00124D62" w:rsidP="00124D62">
            <w:pPr>
              <w:jc w:val="center"/>
              <w:rPr>
                <w:rFonts w:ascii="Arial Narrow" w:hAnsi="Arial Narrow"/>
                <w:sz w:val="18"/>
                <w:szCs w:val="18"/>
              </w:rPr>
            </w:pPr>
            <w:r>
              <w:rPr>
                <w:rFonts w:ascii="Arial Narrow" w:hAnsi="Arial Narrow"/>
                <w:sz w:val="18"/>
                <w:szCs w:val="18"/>
              </w:rPr>
              <w:t> </w:t>
            </w:r>
          </w:p>
        </w:tc>
        <w:tc>
          <w:tcPr>
            <w:tcW w:w="832" w:type="dxa"/>
            <w:gridSpan w:val="2"/>
            <w:shd w:val="clear" w:color="auto" w:fill="auto"/>
            <w:noWrap/>
            <w:vAlign w:val="bottom"/>
          </w:tcPr>
          <w:p w14:paraId="407A82C9" w14:textId="1F4B006D" w:rsidR="00124D62" w:rsidRDefault="00124D62" w:rsidP="00124D62">
            <w:pPr>
              <w:jc w:val="center"/>
              <w:rPr>
                <w:rFonts w:ascii="Arial Narrow" w:hAnsi="Arial Narrow"/>
                <w:i/>
                <w:iCs/>
                <w:sz w:val="18"/>
                <w:szCs w:val="18"/>
              </w:rPr>
            </w:pPr>
            <w:r>
              <w:rPr>
                <w:rFonts w:ascii="Arial Narrow" w:hAnsi="Arial Narrow"/>
                <w:i/>
                <w:iCs/>
                <w:sz w:val="18"/>
                <w:szCs w:val="18"/>
              </w:rPr>
              <w:t>-0,5</w:t>
            </w:r>
          </w:p>
        </w:tc>
        <w:tc>
          <w:tcPr>
            <w:tcW w:w="996" w:type="dxa"/>
            <w:gridSpan w:val="2"/>
            <w:shd w:val="clear" w:color="auto" w:fill="auto"/>
            <w:noWrap/>
            <w:vAlign w:val="bottom"/>
          </w:tcPr>
          <w:p w14:paraId="36F82B11" w14:textId="376731F6" w:rsidR="00124D62" w:rsidRDefault="00124D62" w:rsidP="00124D62">
            <w:pPr>
              <w:jc w:val="center"/>
              <w:rPr>
                <w:rFonts w:ascii="Arial Narrow" w:hAnsi="Arial Narrow"/>
                <w:i/>
                <w:iCs/>
                <w:sz w:val="18"/>
                <w:szCs w:val="18"/>
              </w:rPr>
            </w:pPr>
            <w:r>
              <w:rPr>
                <w:rFonts w:ascii="Arial Narrow" w:hAnsi="Arial Narrow"/>
                <w:i/>
                <w:iCs/>
                <w:sz w:val="18"/>
                <w:szCs w:val="18"/>
              </w:rPr>
              <w:t>+1,2</w:t>
            </w:r>
          </w:p>
        </w:tc>
        <w:tc>
          <w:tcPr>
            <w:tcW w:w="665" w:type="dxa"/>
            <w:shd w:val="clear" w:color="auto" w:fill="D9D9D9"/>
            <w:noWrap/>
            <w:vAlign w:val="bottom"/>
          </w:tcPr>
          <w:p w14:paraId="6999010B" w14:textId="17FCFF68" w:rsidR="00124D62" w:rsidRDefault="00124D62" w:rsidP="00124D62">
            <w:pPr>
              <w:jc w:val="center"/>
              <w:rPr>
                <w:rFonts w:ascii="Arial Narrow" w:hAnsi="Arial Narrow"/>
                <w:sz w:val="18"/>
                <w:szCs w:val="18"/>
              </w:rPr>
            </w:pPr>
            <w:r>
              <w:rPr>
                <w:rFonts w:ascii="Arial Narrow" w:hAnsi="Arial Narrow"/>
                <w:sz w:val="18"/>
                <w:szCs w:val="18"/>
              </w:rPr>
              <w:t> </w:t>
            </w:r>
          </w:p>
        </w:tc>
        <w:tc>
          <w:tcPr>
            <w:tcW w:w="997" w:type="dxa"/>
            <w:gridSpan w:val="2"/>
            <w:shd w:val="clear" w:color="auto" w:fill="D9D9D9"/>
            <w:vAlign w:val="bottom"/>
          </w:tcPr>
          <w:p w14:paraId="2DC9E2FB" w14:textId="099E292C" w:rsidR="00124D62" w:rsidRDefault="00124D62" w:rsidP="00124D62">
            <w:pPr>
              <w:jc w:val="center"/>
              <w:rPr>
                <w:rFonts w:ascii="Arial Narrow" w:hAnsi="Arial Narrow"/>
                <w:sz w:val="18"/>
                <w:szCs w:val="18"/>
              </w:rPr>
            </w:pPr>
            <w:r>
              <w:rPr>
                <w:rFonts w:ascii="Arial Narrow" w:hAnsi="Arial Narrow"/>
                <w:sz w:val="18"/>
                <w:szCs w:val="18"/>
              </w:rPr>
              <w:t> </w:t>
            </w:r>
          </w:p>
        </w:tc>
      </w:tr>
    </w:tbl>
    <w:p w14:paraId="6DC34355" w14:textId="2321C5EE" w:rsidR="00B77B33" w:rsidRDefault="00B77B33" w:rsidP="00AF23DD">
      <w:pPr>
        <w:pStyle w:val="Corpodeltesto1"/>
        <w:rPr>
          <w:rFonts w:ascii="Arial Narrow" w:hAnsi="Arial Narrow" w:cs="Arial"/>
          <w:bCs/>
          <w:color w:val="E42618"/>
          <w:kern w:val="28"/>
          <w:sz w:val="22"/>
          <w:szCs w:val="22"/>
        </w:rPr>
      </w:pPr>
    </w:p>
    <w:p w14:paraId="61B2F9A6" w14:textId="77777777" w:rsidR="0067206D" w:rsidRDefault="0067206D" w:rsidP="00AF23DD">
      <w:pPr>
        <w:pStyle w:val="Corpodeltesto1"/>
        <w:rPr>
          <w:rFonts w:ascii="Arial Narrow" w:hAnsi="Arial Narrow" w:cs="Arial"/>
          <w:bCs/>
          <w:color w:val="E42618"/>
          <w:kern w:val="28"/>
          <w:sz w:val="22"/>
          <w:szCs w:val="22"/>
        </w:rPr>
      </w:pPr>
    </w:p>
    <w:p w14:paraId="4BDFB4B0" w14:textId="0618500A" w:rsidR="00AF23DD" w:rsidRDefault="003C7722" w:rsidP="00AF23DD">
      <w:pPr>
        <w:pStyle w:val="Corpodeltesto1"/>
        <w:rPr>
          <w:rFonts w:ascii="Arial" w:hAnsi="Arial" w:cs="Arial"/>
          <w:sz w:val="17"/>
          <w:szCs w:val="17"/>
        </w:rPr>
      </w:pPr>
      <w:r w:rsidRPr="00831F78">
        <w:rPr>
          <w:rFonts w:ascii="Arial Narrow" w:hAnsi="Arial Narrow" w:cs="Arial"/>
          <w:bCs/>
          <w:color w:val="E42618"/>
          <w:kern w:val="28"/>
          <w:sz w:val="22"/>
          <w:szCs w:val="22"/>
        </w:rPr>
        <w:t xml:space="preserve">PROSPETTO </w:t>
      </w:r>
      <w:r w:rsidR="00831F78">
        <w:rPr>
          <w:rFonts w:ascii="Arial Narrow" w:hAnsi="Arial Narrow" w:cs="Arial"/>
          <w:bCs/>
          <w:color w:val="E42618"/>
          <w:kern w:val="28"/>
          <w:sz w:val="22"/>
          <w:szCs w:val="22"/>
        </w:rPr>
        <w:t>2</w:t>
      </w:r>
      <w:r w:rsidRPr="00831F78">
        <w:rPr>
          <w:rFonts w:ascii="Arial Narrow" w:hAnsi="Arial Narrow" w:cs="Arial"/>
          <w:bCs/>
          <w:color w:val="E42618"/>
          <w:kern w:val="28"/>
          <w:sz w:val="22"/>
          <w:szCs w:val="22"/>
        </w:rPr>
        <w:t xml:space="preserve">. </w:t>
      </w:r>
      <w:r w:rsidRPr="00831F78">
        <w:rPr>
          <w:rFonts w:ascii="Arial Narrow" w:hAnsi="Arial Narrow" w:cs="Arial"/>
          <w:bCs/>
          <w:color w:val="5F5F5F"/>
          <w:kern w:val="28"/>
          <w:sz w:val="22"/>
          <w:szCs w:val="22"/>
        </w:rPr>
        <w:t>ESPORTAZIONI, IMPORTAZIONI E SALDI DELLA BILANCIA COMMERCIALE SECONDO I RAGGRUPPAMENTI PRINCIPALI DI INDUSTRIE</w:t>
      </w:r>
      <w:r w:rsidRPr="00B37F7D">
        <w:rPr>
          <w:rFonts w:ascii="Arial" w:hAnsi="Arial" w:cs="Arial"/>
          <w:sz w:val="17"/>
          <w:szCs w:val="17"/>
        </w:rPr>
        <w:t xml:space="preserve"> </w:t>
      </w:r>
    </w:p>
    <w:p w14:paraId="6023A485" w14:textId="6A766DBC" w:rsidR="00AF23DD" w:rsidRPr="00EE5993" w:rsidRDefault="005F4885" w:rsidP="00AF23DD">
      <w:pPr>
        <w:spacing w:after="120"/>
        <w:rPr>
          <w:rFonts w:ascii="Arial Narrow" w:hAnsi="Arial Narrow" w:cs="Arial"/>
          <w:b/>
          <w:bCs/>
          <w:i/>
          <w:sz w:val="16"/>
          <w:szCs w:val="19"/>
        </w:rPr>
      </w:pPr>
      <w:r>
        <w:rPr>
          <w:rFonts w:ascii="Arial Narrow" w:hAnsi="Arial Narrow" w:cs="Arial"/>
          <w:color w:val="5F5F5F"/>
          <w:sz w:val="20"/>
        </w:rPr>
        <w:t xml:space="preserve">Settembre </w:t>
      </w:r>
      <w:r w:rsidR="00470B67">
        <w:rPr>
          <w:rFonts w:ascii="Arial Narrow" w:hAnsi="Arial Narrow" w:cs="Arial"/>
          <w:color w:val="5F5F5F"/>
          <w:sz w:val="20"/>
        </w:rPr>
        <w:t>2022</w:t>
      </w:r>
      <w:r w:rsidR="003C7722" w:rsidRPr="00EE5993">
        <w:rPr>
          <w:rFonts w:ascii="Arial Narrow" w:hAnsi="Arial Narrow" w:cs="Arial"/>
          <w:color w:val="5F5F5F"/>
          <w:sz w:val="20"/>
        </w:rPr>
        <w:t xml:space="preserve">, variazioni percentuali </w:t>
      </w:r>
      <w:r w:rsidR="00516EEC" w:rsidRPr="00EE5993">
        <w:rPr>
          <w:rFonts w:ascii="Arial Narrow" w:hAnsi="Arial Narrow" w:cs="Arial"/>
          <w:color w:val="5F5F5F"/>
          <w:sz w:val="20"/>
        </w:rPr>
        <w:t xml:space="preserve">congiunturali e tendenziali </w:t>
      </w:r>
      <w:r w:rsidR="003C7722" w:rsidRPr="00EE5993">
        <w:rPr>
          <w:rFonts w:ascii="Arial Narrow" w:hAnsi="Arial Narrow" w:cs="Arial"/>
          <w:color w:val="5F5F5F"/>
          <w:sz w:val="20"/>
        </w:rPr>
        <w:t>e</w:t>
      </w:r>
      <w:r w:rsidR="003C7722" w:rsidRPr="00EE5993">
        <w:rPr>
          <w:rFonts w:ascii="Arial Narrow" w:hAnsi="Arial Narrow" w:cs="Arial"/>
          <w:b/>
          <w:color w:val="5F5F5F"/>
          <w:sz w:val="20"/>
        </w:rPr>
        <w:t xml:space="preserve"> </w:t>
      </w:r>
      <w:r w:rsidR="00AF23DD" w:rsidRPr="00EE5993">
        <w:rPr>
          <w:rFonts w:ascii="Arial Narrow" w:hAnsi="Arial Narrow" w:cs="Arial"/>
          <w:color w:val="5F5F5F"/>
          <w:sz w:val="20"/>
        </w:rPr>
        <w:t>saldi in milioni di euro</w:t>
      </w:r>
    </w:p>
    <w:tbl>
      <w:tblPr>
        <w:tblW w:w="10235" w:type="dxa"/>
        <w:tblInd w:w="70" w:type="dxa"/>
        <w:tblLayout w:type="fixed"/>
        <w:tblCellMar>
          <w:left w:w="70" w:type="dxa"/>
          <w:right w:w="70" w:type="dxa"/>
        </w:tblCellMar>
        <w:tblLook w:val="04A0" w:firstRow="1" w:lastRow="0" w:firstColumn="1" w:lastColumn="0" w:noHBand="0" w:noVBand="1"/>
      </w:tblPr>
      <w:tblGrid>
        <w:gridCol w:w="1587"/>
        <w:gridCol w:w="665"/>
        <w:gridCol w:w="1108"/>
        <w:gridCol w:w="685"/>
        <w:gridCol w:w="1017"/>
        <w:gridCol w:w="708"/>
        <w:gridCol w:w="1134"/>
        <w:gridCol w:w="654"/>
        <w:gridCol w:w="984"/>
        <w:gridCol w:w="709"/>
        <w:gridCol w:w="984"/>
      </w:tblGrid>
      <w:tr w:rsidR="0075218A" w:rsidRPr="00831F78" w14:paraId="26CF1AA9" w14:textId="77777777" w:rsidTr="0075218A">
        <w:trPr>
          <w:trHeight w:val="255"/>
        </w:trPr>
        <w:tc>
          <w:tcPr>
            <w:tcW w:w="1587" w:type="dxa"/>
            <w:vMerge w:val="restart"/>
            <w:tcBorders>
              <w:top w:val="single" w:sz="4" w:space="0" w:color="auto"/>
              <w:left w:val="nil"/>
              <w:bottom w:val="single" w:sz="4" w:space="0" w:color="000000"/>
              <w:right w:val="nil"/>
            </w:tcBorders>
            <w:shd w:val="clear" w:color="auto" w:fill="auto"/>
            <w:vAlign w:val="center"/>
          </w:tcPr>
          <w:p w14:paraId="04D4E2BB" w14:textId="77777777" w:rsidR="0075218A" w:rsidRPr="00831F78" w:rsidRDefault="0075218A" w:rsidP="0075218A">
            <w:pPr>
              <w:spacing w:before="40" w:after="20"/>
              <w:rPr>
                <w:rFonts w:ascii="Arial Narrow" w:hAnsi="Arial Narrow"/>
                <w:b/>
                <w:sz w:val="18"/>
                <w:szCs w:val="18"/>
              </w:rPr>
            </w:pPr>
            <w:r w:rsidRPr="000A4139">
              <w:rPr>
                <w:rFonts w:ascii="Arial Narrow" w:hAnsi="Arial Narrow"/>
                <w:b/>
                <w:sz w:val="18"/>
                <w:szCs w:val="18"/>
              </w:rPr>
              <w:t xml:space="preserve">RAGGRUPPAMENTI PRINCIPALI </w:t>
            </w:r>
            <w:r w:rsidRPr="000A4139">
              <w:rPr>
                <w:rFonts w:ascii="Arial Narrow" w:hAnsi="Arial Narrow"/>
                <w:b/>
                <w:sz w:val="18"/>
                <w:szCs w:val="18"/>
              </w:rPr>
              <w:br/>
              <w:t>DI INDUSTRIE</w:t>
            </w:r>
          </w:p>
        </w:tc>
        <w:tc>
          <w:tcPr>
            <w:tcW w:w="3475" w:type="dxa"/>
            <w:gridSpan w:val="4"/>
            <w:tcBorders>
              <w:top w:val="single" w:sz="4" w:space="0" w:color="auto"/>
              <w:left w:val="nil"/>
              <w:bottom w:val="single" w:sz="4" w:space="0" w:color="auto"/>
              <w:right w:val="nil"/>
            </w:tcBorders>
            <w:shd w:val="clear" w:color="auto" w:fill="D9D9D9"/>
            <w:vAlign w:val="center"/>
          </w:tcPr>
          <w:p w14:paraId="760ACFCF" w14:textId="77777777" w:rsidR="0075218A" w:rsidRPr="00831F78" w:rsidRDefault="0075218A" w:rsidP="0075218A">
            <w:pPr>
              <w:spacing w:before="40" w:after="20"/>
              <w:jc w:val="center"/>
              <w:rPr>
                <w:rFonts w:ascii="Arial Narrow" w:hAnsi="Arial Narrow"/>
                <w:sz w:val="18"/>
                <w:szCs w:val="18"/>
              </w:rPr>
            </w:pPr>
            <w:r w:rsidRPr="00831F78">
              <w:rPr>
                <w:rFonts w:ascii="Arial Narrow" w:hAnsi="Arial Narrow" w:cs="Arial"/>
                <w:b/>
                <w:sz w:val="18"/>
                <w:szCs w:val="18"/>
              </w:rPr>
              <w:t>ESPORTAZIONI</w:t>
            </w:r>
          </w:p>
        </w:tc>
        <w:tc>
          <w:tcPr>
            <w:tcW w:w="3480" w:type="dxa"/>
            <w:gridSpan w:val="4"/>
            <w:tcBorders>
              <w:top w:val="single" w:sz="4" w:space="0" w:color="auto"/>
              <w:left w:val="nil"/>
              <w:bottom w:val="single" w:sz="4" w:space="0" w:color="auto"/>
              <w:right w:val="nil"/>
            </w:tcBorders>
            <w:shd w:val="clear" w:color="auto" w:fill="auto"/>
            <w:vAlign w:val="center"/>
          </w:tcPr>
          <w:p w14:paraId="17D33B07" w14:textId="77777777" w:rsidR="0075218A" w:rsidRPr="00831F78" w:rsidRDefault="0075218A" w:rsidP="0075218A">
            <w:pPr>
              <w:spacing w:before="40" w:after="20"/>
              <w:jc w:val="center"/>
              <w:rPr>
                <w:rFonts w:ascii="Arial Narrow" w:hAnsi="Arial Narrow" w:cs="Arial"/>
                <w:sz w:val="18"/>
                <w:szCs w:val="18"/>
              </w:rPr>
            </w:pPr>
            <w:r w:rsidRPr="00831F78">
              <w:rPr>
                <w:rFonts w:ascii="Arial Narrow" w:hAnsi="Arial Narrow" w:cs="Arial"/>
                <w:b/>
                <w:sz w:val="18"/>
                <w:szCs w:val="18"/>
              </w:rPr>
              <w:t>IMPORTAZIONI</w:t>
            </w:r>
          </w:p>
        </w:tc>
        <w:tc>
          <w:tcPr>
            <w:tcW w:w="1693" w:type="dxa"/>
            <w:gridSpan w:val="2"/>
            <w:vMerge w:val="restart"/>
            <w:tcBorders>
              <w:top w:val="single" w:sz="4" w:space="0" w:color="auto"/>
              <w:left w:val="nil"/>
              <w:right w:val="nil"/>
            </w:tcBorders>
            <w:shd w:val="clear" w:color="auto" w:fill="D9D9D9"/>
            <w:vAlign w:val="center"/>
          </w:tcPr>
          <w:p w14:paraId="1D8C34B7" w14:textId="77777777" w:rsidR="0075218A" w:rsidRPr="00831F78" w:rsidRDefault="0075218A" w:rsidP="0075218A">
            <w:pPr>
              <w:spacing w:before="40" w:after="20"/>
              <w:jc w:val="center"/>
              <w:rPr>
                <w:rFonts w:ascii="Arial Narrow" w:hAnsi="Arial Narrow" w:cs="Arial"/>
                <w:b/>
                <w:sz w:val="18"/>
                <w:szCs w:val="18"/>
              </w:rPr>
            </w:pPr>
            <w:r w:rsidRPr="00831F78">
              <w:rPr>
                <w:rFonts w:ascii="Arial Narrow" w:hAnsi="Arial Narrow" w:cs="Arial"/>
                <w:b/>
                <w:sz w:val="18"/>
                <w:szCs w:val="18"/>
              </w:rPr>
              <w:t>SALDI</w:t>
            </w:r>
          </w:p>
        </w:tc>
      </w:tr>
      <w:tr w:rsidR="0075218A" w:rsidRPr="00831F78" w14:paraId="3A3C6E18" w14:textId="77777777" w:rsidTr="0075218A">
        <w:trPr>
          <w:trHeight w:val="255"/>
        </w:trPr>
        <w:tc>
          <w:tcPr>
            <w:tcW w:w="1587" w:type="dxa"/>
            <w:vMerge/>
            <w:tcBorders>
              <w:top w:val="single" w:sz="4" w:space="0" w:color="auto"/>
              <w:left w:val="nil"/>
              <w:bottom w:val="single" w:sz="4" w:space="0" w:color="000000"/>
              <w:right w:val="nil"/>
            </w:tcBorders>
            <w:vAlign w:val="center"/>
          </w:tcPr>
          <w:p w14:paraId="723E987D" w14:textId="77777777" w:rsidR="0075218A" w:rsidRPr="00831F78" w:rsidRDefault="0075218A" w:rsidP="0075218A">
            <w:pPr>
              <w:spacing w:before="40" w:after="20"/>
              <w:rPr>
                <w:rFonts w:ascii="Arial Narrow" w:hAnsi="Arial Narrow"/>
                <w:sz w:val="18"/>
                <w:szCs w:val="18"/>
              </w:rPr>
            </w:pPr>
          </w:p>
        </w:tc>
        <w:tc>
          <w:tcPr>
            <w:tcW w:w="1773" w:type="dxa"/>
            <w:gridSpan w:val="2"/>
            <w:tcBorders>
              <w:top w:val="single" w:sz="4" w:space="0" w:color="auto"/>
              <w:left w:val="nil"/>
              <w:bottom w:val="single" w:sz="4" w:space="0" w:color="auto"/>
              <w:right w:val="nil"/>
            </w:tcBorders>
            <w:shd w:val="clear" w:color="auto" w:fill="auto"/>
            <w:vAlign w:val="center"/>
          </w:tcPr>
          <w:p w14:paraId="666CDE1B" w14:textId="77777777" w:rsidR="0075218A" w:rsidRPr="003C7722" w:rsidRDefault="0075218A" w:rsidP="0075218A">
            <w:pPr>
              <w:tabs>
                <w:tab w:val="left" w:pos="1316"/>
              </w:tabs>
              <w:spacing w:before="40" w:after="20"/>
              <w:ind w:right="-70"/>
              <w:jc w:val="center"/>
              <w:rPr>
                <w:rFonts w:ascii="Arial Narrow" w:hAnsi="Arial Narrow" w:cs="Arial"/>
                <w:b/>
                <w:sz w:val="18"/>
                <w:szCs w:val="18"/>
              </w:rPr>
            </w:pPr>
            <w:r w:rsidRPr="00AF23DD">
              <w:rPr>
                <w:rFonts w:ascii="Arial Narrow" w:hAnsi="Arial Narrow" w:cs="Arial"/>
                <w:b/>
                <w:sz w:val="18"/>
                <w:szCs w:val="18"/>
              </w:rPr>
              <w:t>Variazioni congiunturali</w:t>
            </w:r>
          </w:p>
        </w:tc>
        <w:tc>
          <w:tcPr>
            <w:tcW w:w="1702" w:type="dxa"/>
            <w:gridSpan w:val="2"/>
            <w:tcBorders>
              <w:top w:val="single" w:sz="4" w:space="0" w:color="auto"/>
              <w:left w:val="nil"/>
              <w:bottom w:val="single" w:sz="4" w:space="0" w:color="auto"/>
              <w:right w:val="nil"/>
            </w:tcBorders>
            <w:shd w:val="clear" w:color="auto" w:fill="auto"/>
            <w:vAlign w:val="center"/>
          </w:tcPr>
          <w:p w14:paraId="7991A4D2" w14:textId="77777777" w:rsidR="0075218A" w:rsidRDefault="0075218A" w:rsidP="0075218A">
            <w:pPr>
              <w:tabs>
                <w:tab w:val="left" w:pos="1316"/>
              </w:tabs>
              <w:spacing w:before="40"/>
              <w:ind w:right="-68"/>
              <w:jc w:val="center"/>
              <w:rPr>
                <w:rFonts w:ascii="Arial Narrow" w:hAnsi="Arial Narrow" w:cs="Arial"/>
                <w:b/>
                <w:sz w:val="18"/>
                <w:szCs w:val="18"/>
              </w:rPr>
            </w:pPr>
            <w:r w:rsidRPr="00AF23DD">
              <w:rPr>
                <w:rFonts w:ascii="Arial Narrow" w:hAnsi="Arial Narrow" w:cs="Arial"/>
                <w:b/>
                <w:sz w:val="18"/>
                <w:szCs w:val="18"/>
              </w:rPr>
              <w:t>Variazioni</w:t>
            </w:r>
          </w:p>
          <w:p w14:paraId="636D0585" w14:textId="77777777" w:rsidR="0075218A" w:rsidRPr="003C7722" w:rsidRDefault="0075218A" w:rsidP="0075218A">
            <w:pPr>
              <w:tabs>
                <w:tab w:val="left" w:pos="1316"/>
              </w:tabs>
              <w:spacing w:before="40"/>
              <w:ind w:right="-68"/>
              <w:jc w:val="center"/>
              <w:rPr>
                <w:rFonts w:ascii="Arial Narrow" w:hAnsi="Arial Narrow" w:cs="Arial"/>
                <w:b/>
                <w:sz w:val="18"/>
                <w:szCs w:val="18"/>
              </w:rPr>
            </w:pPr>
            <w:r>
              <w:rPr>
                <w:rFonts w:ascii="Arial Narrow" w:hAnsi="Arial Narrow" w:cs="Arial"/>
                <w:b/>
                <w:sz w:val="18"/>
                <w:szCs w:val="18"/>
              </w:rPr>
              <w:t>tendenziali</w:t>
            </w:r>
          </w:p>
        </w:tc>
        <w:tc>
          <w:tcPr>
            <w:tcW w:w="1842" w:type="dxa"/>
            <w:gridSpan w:val="2"/>
            <w:tcBorders>
              <w:top w:val="single" w:sz="4" w:space="0" w:color="auto"/>
              <w:left w:val="nil"/>
              <w:bottom w:val="single" w:sz="4" w:space="0" w:color="auto"/>
              <w:right w:val="nil"/>
            </w:tcBorders>
            <w:shd w:val="clear" w:color="auto" w:fill="auto"/>
            <w:vAlign w:val="center"/>
          </w:tcPr>
          <w:p w14:paraId="6879BB9F" w14:textId="77777777" w:rsidR="0075218A" w:rsidRPr="003C7722" w:rsidRDefault="0075218A" w:rsidP="0075218A">
            <w:pPr>
              <w:tabs>
                <w:tab w:val="left" w:pos="1316"/>
              </w:tabs>
              <w:spacing w:before="40" w:after="20"/>
              <w:ind w:right="-70"/>
              <w:jc w:val="center"/>
              <w:rPr>
                <w:rFonts w:ascii="Arial Narrow" w:hAnsi="Arial Narrow" w:cs="Arial"/>
                <w:b/>
                <w:sz w:val="18"/>
                <w:szCs w:val="18"/>
              </w:rPr>
            </w:pPr>
            <w:r w:rsidRPr="00AF23DD">
              <w:rPr>
                <w:rFonts w:ascii="Arial Narrow" w:hAnsi="Arial Narrow" w:cs="Arial"/>
                <w:b/>
                <w:sz w:val="18"/>
                <w:szCs w:val="18"/>
              </w:rPr>
              <w:t>Variazioni congiunturali</w:t>
            </w:r>
          </w:p>
        </w:tc>
        <w:tc>
          <w:tcPr>
            <w:tcW w:w="1638" w:type="dxa"/>
            <w:gridSpan w:val="2"/>
            <w:tcBorders>
              <w:top w:val="single" w:sz="4" w:space="0" w:color="auto"/>
              <w:left w:val="nil"/>
              <w:bottom w:val="single" w:sz="4" w:space="0" w:color="auto"/>
              <w:right w:val="nil"/>
            </w:tcBorders>
            <w:shd w:val="clear" w:color="auto" w:fill="auto"/>
            <w:vAlign w:val="center"/>
          </w:tcPr>
          <w:p w14:paraId="211FA9B7" w14:textId="77777777" w:rsidR="0075218A" w:rsidRDefault="0075218A" w:rsidP="0075218A">
            <w:pPr>
              <w:tabs>
                <w:tab w:val="left" w:pos="1316"/>
              </w:tabs>
              <w:spacing w:before="40"/>
              <w:ind w:right="-68"/>
              <w:jc w:val="center"/>
              <w:rPr>
                <w:rFonts w:ascii="Arial Narrow" w:hAnsi="Arial Narrow" w:cs="Arial"/>
                <w:b/>
                <w:sz w:val="18"/>
                <w:szCs w:val="18"/>
              </w:rPr>
            </w:pPr>
            <w:r w:rsidRPr="00AF23DD">
              <w:rPr>
                <w:rFonts w:ascii="Arial Narrow" w:hAnsi="Arial Narrow" w:cs="Arial"/>
                <w:b/>
                <w:sz w:val="18"/>
                <w:szCs w:val="18"/>
              </w:rPr>
              <w:t>Variazioni</w:t>
            </w:r>
          </w:p>
          <w:p w14:paraId="56BE9AFC" w14:textId="77777777" w:rsidR="0075218A" w:rsidRPr="003C7722" w:rsidRDefault="0075218A" w:rsidP="0075218A">
            <w:pPr>
              <w:tabs>
                <w:tab w:val="left" w:pos="1316"/>
              </w:tabs>
              <w:spacing w:before="40"/>
              <w:ind w:right="-68"/>
              <w:jc w:val="center"/>
              <w:rPr>
                <w:rFonts w:ascii="Arial Narrow" w:hAnsi="Arial Narrow" w:cs="Arial"/>
                <w:b/>
                <w:sz w:val="18"/>
                <w:szCs w:val="18"/>
              </w:rPr>
            </w:pPr>
            <w:r>
              <w:rPr>
                <w:rFonts w:ascii="Arial Narrow" w:hAnsi="Arial Narrow" w:cs="Arial"/>
                <w:b/>
                <w:sz w:val="18"/>
                <w:szCs w:val="18"/>
              </w:rPr>
              <w:t>tendenziali</w:t>
            </w:r>
          </w:p>
        </w:tc>
        <w:tc>
          <w:tcPr>
            <w:tcW w:w="1693" w:type="dxa"/>
            <w:gridSpan w:val="2"/>
            <w:vMerge/>
            <w:tcBorders>
              <w:left w:val="nil"/>
              <w:bottom w:val="single" w:sz="4" w:space="0" w:color="auto"/>
              <w:right w:val="nil"/>
            </w:tcBorders>
            <w:shd w:val="clear" w:color="auto" w:fill="D9D9D9"/>
            <w:vAlign w:val="center"/>
          </w:tcPr>
          <w:p w14:paraId="694C96A7" w14:textId="77777777" w:rsidR="0075218A" w:rsidRPr="00831F78" w:rsidRDefault="0075218A" w:rsidP="0075218A">
            <w:pPr>
              <w:spacing w:before="40" w:after="20"/>
              <w:jc w:val="center"/>
              <w:rPr>
                <w:rFonts w:ascii="Arial Narrow" w:hAnsi="Arial Narrow"/>
                <w:b/>
                <w:sz w:val="18"/>
                <w:szCs w:val="18"/>
              </w:rPr>
            </w:pPr>
          </w:p>
        </w:tc>
      </w:tr>
      <w:tr w:rsidR="0075218A" w:rsidRPr="00831F78" w14:paraId="626C9A21" w14:textId="77777777" w:rsidTr="0075218A">
        <w:trPr>
          <w:trHeight w:val="255"/>
        </w:trPr>
        <w:tc>
          <w:tcPr>
            <w:tcW w:w="1587" w:type="dxa"/>
            <w:vMerge/>
            <w:tcBorders>
              <w:top w:val="single" w:sz="4" w:space="0" w:color="auto"/>
              <w:left w:val="nil"/>
              <w:bottom w:val="single" w:sz="4" w:space="0" w:color="000000"/>
              <w:right w:val="nil"/>
            </w:tcBorders>
            <w:vAlign w:val="center"/>
          </w:tcPr>
          <w:p w14:paraId="3B585800" w14:textId="77777777" w:rsidR="0075218A" w:rsidRPr="00831F78" w:rsidRDefault="0075218A" w:rsidP="0075218A">
            <w:pPr>
              <w:spacing w:before="40" w:after="20"/>
              <w:rPr>
                <w:rFonts w:ascii="Arial Narrow" w:hAnsi="Arial Narrow"/>
                <w:sz w:val="18"/>
                <w:szCs w:val="18"/>
              </w:rPr>
            </w:pPr>
          </w:p>
        </w:tc>
        <w:tc>
          <w:tcPr>
            <w:tcW w:w="1773" w:type="dxa"/>
            <w:gridSpan w:val="2"/>
            <w:tcBorders>
              <w:top w:val="single" w:sz="4" w:space="0" w:color="auto"/>
              <w:left w:val="nil"/>
              <w:bottom w:val="single" w:sz="4" w:space="0" w:color="auto"/>
              <w:right w:val="nil"/>
            </w:tcBorders>
            <w:shd w:val="clear" w:color="auto" w:fill="D9D9D9"/>
            <w:vAlign w:val="center"/>
          </w:tcPr>
          <w:p w14:paraId="4734C434" w14:textId="77777777" w:rsidR="0075218A" w:rsidRPr="00626CC5" w:rsidRDefault="0075218A" w:rsidP="0075218A">
            <w:pPr>
              <w:spacing w:before="40" w:after="20"/>
              <w:jc w:val="center"/>
              <w:rPr>
                <w:rFonts w:ascii="Arial Narrow" w:hAnsi="Arial Narrow"/>
                <w:sz w:val="18"/>
                <w:szCs w:val="18"/>
              </w:rPr>
            </w:pPr>
            <w:r w:rsidRPr="00626CC5">
              <w:rPr>
                <w:rFonts w:ascii="Arial Narrow" w:hAnsi="Arial Narrow"/>
                <w:sz w:val="18"/>
                <w:szCs w:val="18"/>
              </w:rPr>
              <w:t>Dati destagionalizzati</w:t>
            </w:r>
          </w:p>
        </w:tc>
        <w:tc>
          <w:tcPr>
            <w:tcW w:w="1702" w:type="dxa"/>
            <w:gridSpan w:val="2"/>
            <w:tcBorders>
              <w:top w:val="single" w:sz="4" w:space="0" w:color="auto"/>
              <w:left w:val="nil"/>
              <w:bottom w:val="single" w:sz="4" w:space="0" w:color="auto"/>
              <w:right w:val="nil"/>
            </w:tcBorders>
            <w:shd w:val="clear" w:color="auto" w:fill="auto"/>
            <w:vAlign w:val="center"/>
          </w:tcPr>
          <w:p w14:paraId="4E57CE50" w14:textId="77777777" w:rsidR="0075218A" w:rsidRPr="00626CC5" w:rsidRDefault="0075218A" w:rsidP="0075218A">
            <w:pPr>
              <w:spacing w:before="40" w:after="20"/>
              <w:jc w:val="center"/>
              <w:rPr>
                <w:rFonts w:ascii="Arial Narrow" w:hAnsi="Arial Narrow"/>
                <w:sz w:val="18"/>
                <w:szCs w:val="18"/>
              </w:rPr>
            </w:pPr>
            <w:r w:rsidRPr="00626CC5">
              <w:rPr>
                <w:rFonts w:ascii="Arial Narrow" w:hAnsi="Arial Narrow"/>
                <w:sz w:val="18"/>
                <w:szCs w:val="18"/>
              </w:rPr>
              <w:t>Dati grezzi</w:t>
            </w:r>
          </w:p>
        </w:tc>
        <w:tc>
          <w:tcPr>
            <w:tcW w:w="1842" w:type="dxa"/>
            <w:gridSpan w:val="2"/>
            <w:tcBorders>
              <w:top w:val="single" w:sz="4" w:space="0" w:color="auto"/>
              <w:left w:val="nil"/>
              <w:bottom w:val="single" w:sz="4" w:space="0" w:color="auto"/>
              <w:right w:val="nil"/>
            </w:tcBorders>
            <w:shd w:val="clear" w:color="auto" w:fill="D9D9D9"/>
            <w:vAlign w:val="center"/>
          </w:tcPr>
          <w:p w14:paraId="1992C196" w14:textId="77777777" w:rsidR="0075218A" w:rsidRPr="00626CC5" w:rsidRDefault="0075218A" w:rsidP="0075218A">
            <w:pPr>
              <w:spacing w:before="40" w:after="20"/>
              <w:jc w:val="center"/>
              <w:rPr>
                <w:rFonts w:ascii="Arial Narrow" w:hAnsi="Arial Narrow"/>
                <w:sz w:val="18"/>
                <w:szCs w:val="18"/>
              </w:rPr>
            </w:pPr>
            <w:r w:rsidRPr="00626CC5">
              <w:rPr>
                <w:rFonts w:ascii="Arial Narrow" w:hAnsi="Arial Narrow"/>
                <w:sz w:val="18"/>
                <w:szCs w:val="18"/>
              </w:rPr>
              <w:t>Dati destagionalizzati</w:t>
            </w:r>
          </w:p>
        </w:tc>
        <w:tc>
          <w:tcPr>
            <w:tcW w:w="1638" w:type="dxa"/>
            <w:gridSpan w:val="2"/>
            <w:tcBorders>
              <w:top w:val="single" w:sz="4" w:space="0" w:color="auto"/>
              <w:left w:val="nil"/>
              <w:bottom w:val="single" w:sz="4" w:space="0" w:color="auto"/>
              <w:right w:val="nil"/>
            </w:tcBorders>
            <w:shd w:val="clear" w:color="auto" w:fill="auto"/>
            <w:vAlign w:val="center"/>
          </w:tcPr>
          <w:p w14:paraId="2E1947E6" w14:textId="77777777" w:rsidR="0075218A" w:rsidRPr="00626CC5" w:rsidRDefault="0075218A" w:rsidP="0075218A">
            <w:pPr>
              <w:spacing w:before="40" w:after="20"/>
              <w:jc w:val="center"/>
              <w:rPr>
                <w:rFonts w:ascii="Arial Narrow" w:hAnsi="Arial Narrow"/>
                <w:sz w:val="18"/>
                <w:szCs w:val="18"/>
              </w:rPr>
            </w:pPr>
            <w:r w:rsidRPr="00626CC5">
              <w:rPr>
                <w:rFonts w:ascii="Arial Narrow" w:hAnsi="Arial Narrow"/>
                <w:sz w:val="18"/>
                <w:szCs w:val="18"/>
              </w:rPr>
              <w:t>Dati grezzi</w:t>
            </w:r>
          </w:p>
        </w:tc>
        <w:tc>
          <w:tcPr>
            <w:tcW w:w="1693" w:type="dxa"/>
            <w:gridSpan w:val="2"/>
            <w:tcBorders>
              <w:top w:val="single" w:sz="4" w:space="0" w:color="auto"/>
              <w:left w:val="nil"/>
              <w:bottom w:val="single" w:sz="4" w:space="0" w:color="auto"/>
              <w:right w:val="nil"/>
            </w:tcBorders>
            <w:shd w:val="clear" w:color="auto" w:fill="D9D9D9"/>
            <w:vAlign w:val="center"/>
          </w:tcPr>
          <w:p w14:paraId="1AE80312" w14:textId="77777777" w:rsidR="0075218A" w:rsidRPr="00626CC5" w:rsidRDefault="0075218A" w:rsidP="0075218A">
            <w:pPr>
              <w:spacing w:before="40" w:after="20"/>
              <w:jc w:val="center"/>
              <w:rPr>
                <w:rFonts w:ascii="Arial Narrow" w:hAnsi="Arial Narrow"/>
                <w:sz w:val="18"/>
                <w:szCs w:val="18"/>
              </w:rPr>
            </w:pPr>
            <w:r w:rsidRPr="00626CC5">
              <w:rPr>
                <w:rFonts w:ascii="Arial Narrow" w:hAnsi="Arial Narrow"/>
                <w:sz w:val="18"/>
                <w:szCs w:val="18"/>
              </w:rPr>
              <w:t>Dati grezzi</w:t>
            </w:r>
          </w:p>
          <w:p w14:paraId="51CA8C13" w14:textId="77777777" w:rsidR="0075218A" w:rsidRPr="00626CC5" w:rsidRDefault="0075218A" w:rsidP="0075218A">
            <w:pPr>
              <w:spacing w:before="40" w:after="20"/>
              <w:jc w:val="center"/>
              <w:rPr>
                <w:rFonts w:ascii="Arial Narrow" w:hAnsi="Arial Narrow"/>
                <w:sz w:val="18"/>
                <w:szCs w:val="18"/>
              </w:rPr>
            </w:pPr>
            <w:r w:rsidRPr="00626CC5">
              <w:rPr>
                <w:rFonts w:ascii="Arial Narrow" w:hAnsi="Arial Narrow"/>
                <w:sz w:val="18"/>
                <w:szCs w:val="18"/>
              </w:rPr>
              <w:t>Milioni di euro</w:t>
            </w:r>
          </w:p>
        </w:tc>
      </w:tr>
      <w:tr w:rsidR="005F4885" w:rsidRPr="00831F78" w14:paraId="1643CD66" w14:textId="77777777" w:rsidTr="0075218A">
        <w:trPr>
          <w:trHeight w:val="255"/>
        </w:trPr>
        <w:tc>
          <w:tcPr>
            <w:tcW w:w="1587" w:type="dxa"/>
            <w:vMerge/>
            <w:tcBorders>
              <w:top w:val="single" w:sz="4" w:space="0" w:color="auto"/>
              <w:left w:val="nil"/>
              <w:bottom w:val="single" w:sz="4" w:space="0" w:color="000000"/>
              <w:right w:val="nil"/>
            </w:tcBorders>
            <w:vAlign w:val="center"/>
          </w:tcPr>
          <w:p w14:paraId="7B61CD09" w14:textId="77777777" w:rsidR="005F4885" w:rsidRPr="00831F78" w:rsidRDefault="005F4885" w:rsidP="005F4885">
            <w:pPr>
              <w:spacing w:before="40" w:after="20"/>
              <w:rPr>
                <w:rFonts w:ascii="Arial Narrow" w:hAnsi="Arial Narrow"/>
                <w:sz w:val="18"/>
                <w:szCs w:val="18"/>
              </w:rPr>
            </w:pPr>
          </w:p>
        </w:tc>
        <w:tc>
          <w:tcPr>
            <w:tcW w:w="665" w:type="dxa"/>
            <w:tcBorders>
              <w:top w:val="nil"/>
              <w:left w:val="nil"/>
              <w:right w:val="nil"/>
            </w:tcBorders>
            <w:shd w:val="clear" w:color="auto" w:fill="auto"/>
            <w:vAlign w:val="center"/>
          </w:tcPr>
          <w:p w14:paraId="01E6A73A" w14:textId="77777777" w:rsidR="005F4885" w:rsidRPr="0069402A" w:rsidRDefault="005F4885" w:rsidP="005F4885">
            <w:pPr>
              <w:spacing w:before="40" w:after="20"/>
              <w:jc w:val="center"/>
              <w:rPr>
                <w:rFonts w:ascii="Arial Narrow" w:hAnsi="Arial Narrow"/>
                <w:sz w:val="18"/>
                <w:szCs w:val="18"/>
                <w:u w:val="single"/>
                <w:lang w:val="en-US"/>
              </w:rPr>
            </w:pPr>
            <w:r>
              <w:rPr>
                <w:rFonts w:ascii="Arial Narrow" w:hAnsi="Arial Narrow"/>
                <w:sz w:val="18"/>
                <w:szCs w:val="18"/>
                <w:u w:val="single"/>
                <w:lang w:val="en-US"/>
              </w:rPr>
              <w:t>set 22</w:t>
            </w:r>
          </w:p>
          <w:p w14:paraId="15BA1436" w14:textId="08A9FE17" w:rsidR="005F4885" w:rsidRPr="003C7722" w:rsidRDefault="005F4885" w:rsidP="005F4885">
            <w:pPr>
              <w:spacing w:before="40" w:after="20"/>
              <w:jc w:val="center"/>
              <w:rPr>
                <w:rFonts w:ascii="Arial Narrow" w:hAnsi="Arial Narrow"/>
                <w:sz w:val="18"/>
                <w:szCs w:val="18"/>
                <w:lang w:val="en-US"/>
              </w:rPr>
            </w:pPr>
            <w:r>
              <w:rPr>
                <w:rFonts w:ascii="Arial Narrow" w:hAnsi="Arial Narrow"/>
                <w:sz w:val="18"/>
                <w:szCs w:val="18"/>
                <w:lang w:val="en-US"/>
              </w:rPr>
              <w:t>ago 22</w:t>
            </w:r>
          </w:p>
        </w:tc>
        <w:tc>
          <w:tcPr>
            <w:tcW w:w="1108" w:type="dxa"/>
            <w:tcBorders>
              <w:top w:val="nil"/>
              <w:left w:val="nil"/>
              <w:right w:val="nil"/>
            </w:tcBorders>
            <w:shd w:val="clear" w:color="auto" w:fill="auto"/>
            <w:vAlign w:val="center"/>
          </w:tcPr>
          <w:p w14:paraId="2832D444" w14:textId="77777777" w:rsidR="005F4885" w:rsidRPr="0069402A" w:rsidRDefault="005F4885" w:rsidP="005F4885">
            <w:pPr>
              <w:spacing w:before="40" w:after="20"/>
              <w:jc w:val="center"/>
              <w:rPr>
                <w:rFonts w:ascii="Arial Narrow" w:hAnsi="Arial Narrow"/>
                <w:sz w:val="18"/>
                <w:szCs w:val="18"/>
                <w:u w:val="single"/>
                <w:lang w:val="en-US"/>
              </w:rPr>
            </w:pPr>
            <w:r>
              <w:rPr>
                <w:rFonts w:ascii="Arial Narrow" w:hAnsi="Arial Narrow"/>
                <w:sz w:val="18"/>
                <w:szCs w:val="18"/>
                <w:u w:val="single"/>
                <w:lang w:val="en-US"/>
              </w:rPr>
              <w:t>lug-set 22</w:t>
            </w:r>
          </w:p>
          <w:p w14:paraId="62D4A671" w14:textId="41060673" w:rsidR="005F4885" w:rsidRPr="003C7722" w:rsidRDefault="005F4885" w:rsidP="005F4885">
            <w:pPr>
              <w:spacing w:before="40" w:after="20"/>
              <w:jc w:val="center"/>
              <w:rPr>
                <w:rFonts w:ascii="Arial Narrow" w:hAnsi="Arial Narrow"/>
                <w:sz w:val="18"/>
                <w:szCs w:val="18"/>
                <w:lang w:val="en-US"/>
              </w:rPr>
            </w:pPr>
            <w:proofErr w:type="spellStart"/>
            <w:r>
              <w:rPr>
                <w:rFonts w:ascii="Arial Narrow" w:hAnsi="Arial Narrow"/>
                <w:sz w:val="18"/>
                <w:szCs w:val="18"/>
                <w:lang w:val="en-US"/>
              </w:rPr>
              <w:t>apr-giu</w:t>
            </w:r>
            <w:proofErr w:type="spellEnd"/>
            <w:r>
              <w:rPr>
                <w:rFonts w:ascii="Arial Narrow" w:hAnsi="Arial Narrow"/>
                <w:sz w:val="18"/>
                <w:szCs w:val="18"/>
                <w:lang w:val="en-US"/>
              </w:rPr>
              <w:t xml:space="preserve"> 22</w:t>
            </w:r>
          </w:p>
        </w:tc>
        <w:tc>
          <w:tcPr>
            <w:tcW w:w="685" w:type="dxa"/>
            <w:tcBorders>
              <w:top w:val="nil"/>
              <w:left w:val="nil"/>
              <w:right w:val="nil"/>
            </w:tcBorders>
            <w:shd w:val="clear" w:color="auto" w:fill="auto"/>
            <w:noWrap/>
            <w:vAlign w:val="center"/>
          </w:tcPr>
          <w:p w14:paraId="6752EAD1" w14:textId="77777777" w:rsidR="005F4885" w:rsidRPr="0069402A" w:rsidRDefault="005F4885" w:rsidP="005F4885">
            <w:pPr>
              <w:spacing w:before="40" w:after="20"/>
              <w:jc w:val="center"/>
              <w:rPr>
                <w:rFonts w:ascii="Arial Narrow" w:hAnsi="Arial Narrow"/>
                <w:sz w:val="18"/>
                <w:szCs w:val="18"/>
                <w:u w:val="single"/>
                <w:lang w:val="en-US"/>
              </w:rPr>
            </w:pPr>
            <w:r>
              <w:rPr>
                <w:rFonts w:ascii="Arial Narrow" w:hAnsi="Arial Narrow"/>
                <w:sz w:val="18"/>
                <w:szCs w:val="18"/>
                <w:u w:val="single"/>
                <w:lang w:val="en-US"/>
              </w:rPr>
              <w:t>set 22</w:t>
            </w:r>
          </w:p>
          <w:p w14:paraId="552058E0" w14:textId="7307466A" w:rsidR="005F4885" w:rsidRPr="003C7722" w:rsidRDefault="005F4885" w:rsidP="005F4885">
            <w:pPr>
              <w:spacing w:before="40" w:after="20"/>
              <w:jc w:val="center"/>
              <w:rPr>
                <w:rFonts w:ascii="Arial Narrow" w:hAnsi="Arial Narrow"/>
                <w:sz w:val="18"/>
                <w:szCs w:val="18"/>
                <w:lang w:val="en-US"/>
              </w:rPr>
            </w:pPr>
            <w:r>
              <w:rPr>
                <w:rFonts w:ascii="Arial Narrow" w:hAnsi="Arial Narrow"/>
                <w:sz w:val="18"/>
                <w:szCs w:val="18"/>
                <w:lang w:val="en-US"/>
              </w:rPr>
              <w:t>set 21</w:t>
            </w:r>
          </w:p>
        </w:tc>
        <w:tc>
          <w:tcPr>
            <w:tcW w:w="1017" w:type="dxa"/>
            <w:tcBorders>
              <w:top w:val="nil"/>
              <w:left w:val="nil"/>
              <w:right w:val="nil"/>
            </w:tcBorders>
            <w:shd w:val="clear" w:color="auto" w:fill="auto"/>
            <w:noWrap/>
            <w:vAlign w:val="center"/>
          </w:tcPr>
          <w:p w14:paraId="24FB45DF" w14:textId="77777777" w:rsidR="005F4885" w:rsidRPr="0069402A" w:rsidRDefault="005F4885" w:rsidP="005F4885">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gen-set 22</w:t>
            </w:r>
          </w:p>
          <w:p w14:paraId="3E8742C6" w14:textId="56B43315" w:rsidR="005F4885" w:rsidRPr="003C7722" w:rsidRDefault="005F4885" w:rsidP="005F4885">
            <w:pPr>
              <w:spacing w:before="40" w:after="20"/>
              <w:jc w:val="center"/>
              <w:rPr>
                <w:rFonts w:ascii="Arial Narrow" w:hAnsi="Arial Narrow"/>
                <w:sz w:val="18"/>
                <w:szCs w:val="18"/>
                <w:lang w:val="en-US"/>
              </w:rPr>
            </w:pPr>
            <w:r>
              <w:rPr>
                <w:rFonts w:ascii="Arial Narrow" w:hAnsi="Arial Narrow"/>
                <w:sz w:val="18"/>
                <w:szCs w:val="18"/>
                <w:lang w:val="en-US"/>
              </w:rPr>
              <w:t>gen-set 21</w:t>
            </w:r>
          </w:p>
        </w:tc>
        <w:tc>
          <w:tcPr>
            <w:tcW w:w="708" w:type="dxa"/>
            <w:tcBorders>
              <w:top w:val="nil"/>
              <w:left w:val="nil"/>
              <w:right w:val="nil"/>
            </w:tcBorders>
            <w:shd w:val="clear" w:color="auto" w:fill="auto"/>
            <w:vAlign w:val="center"/>
          </w:tcPr>
          <w:p w14:paraId="7CD3F9C4" w14:textId="77777777" w:rsidR="005F4885" w:rsidRPr="0069402A" w:rsidRDefault="005F4885" w:rsidP="005F4885">
            <w:pPr>
              <w:spacing w:before="40" w:after="20"/>
              <w:jc w:val="center"/>
              <w:rPr>
                <w:rFonts w:ascii="Arial Narrow" w:hAnsi="Arial Narrow"/>
                <w:sz w:val="18"/>
                <w:szCs w:val="18"/>
                <w:u w:val="single"/>
                <w:lang w:val="en-US"/>
              </w:rPr>
            </w:pPr>
            <w:r>
              <w:rPr>
                <w:rFonts w:ascii="Arial Narrow" w:hAnsi="Arial Narrow"/>
                <w:sz w:val="18"/>
                <w:szCs w:val="18"/>
                <w:u w:val="single"/>
                <w:lang w:val="en-US"/>
              </w:rPr>
              <w:t>set 22</w:t>
            </w:r>
          </w:p>
          <w:p w14:paraId="79EE89C1" w14:textId="6B21DAC6" w:rsidR="005F4885" w:rsidRPr="003C7722" w:rsidRDefault="005F4885" w:rsidP="005F4885">
            <w:pPr>
              <w:spacing w:before="40" w:after="20"/>
              <w:jc w:val="center"/>
              <w:rPr>
                <w:rFonts w:ascii="Arial Narrow" w:hAnsi="Arial Narrow"/>
                <w:sz w:val="18"/>
                <w:szCs w:val="18"/>
                <w:lang w:val="en-US"/>
              </w:rPr>
            </w:pPr>
            <w:r>
              <w:rPr>
                <w:rFonts w:ascii="Arial Narrow" w:hAnsi="Arial Narrow"/>
                <w:sz w:val="18"/>
                <w:szCs w:val="18"/>
                <w:lang w:val="en-US"/>
              </w:rPr>
              <w:t>ago 22</w:t>
            </w:r>
          </w:p>
        </w:tc>
        <w:tc>
          <w:tcPr>
            <w:tcW w:w="1134" w:type="dxa"/>
            <w:tcBorders>
              <w:top w:val="nil"/>
              <w:left w:val="nil"/>
              <w:right w:val="nil"/>
            </w:tcBorders>
            <w:shd w:val="clear" w:color="auto" w:fill="auto"/>
            <w:vAlign w:val="center"/>
          </w:tcPr>
          <w:p w14:paraId="0C2E4351" w14:textId="77777777" w:rsidR="005F4885" w:rsidRPr="0069402A" w:rsidRDefault="005F4885" w:rsidP="005F4885">
            <w:pPr>
              <w:spacing w:before="40" w:after="20"/>
              <w:jc w:val="center"/>
              <w:rPr>
                <w:rFonts w:ascii="Arial Narrow" w:hAnsi="Arial Narrow"/>
                <w:sz w:val="18"/>
                <w:szCs w:val="18"/>
                <w:u w:val="single"/>
                <w:lang w:val="en-US"/>
              </w:rPr>
            </w:pPr>
            <w:r>
              <w:rPr>
                <w:rFonts w:ascii="Arial Narrow" w:hAnsi="Arial Narrow"/>
                <w:sz w:val="18"/>
                <w:szCs w:val="18"/>
                <w:u w:val="single"/>
                <w:lang w:val="en-US"/>
              </w:rPr>
              <w:t>lug-set 22</w:t>
            </w:r>
          </w:p>
          <w:p w14:paraId="40180A31" w14:textId="65D922BC" w:rsidR="005F4885" w:rsidRPr="003C7722" w:rsidRDefault="005F4885" w:rsidP="005F4885">
            <w:pPr>
              <w:spacing w:before="40" w:after="20"/>
              <w:jc w:val="center"/>
              <w:rPr>
                <w:rFonts w:ascii="Arial Narrow" w:hAnsi="Arial Narrow"/>
                <w:sz w:val="18"/>
                <w:szCs w:val="18"/>
                <w:lang w:val="en-US"/>
              </w:rPr>
            </w:pPr>
            <w:proofErr w:type="spellStart"/>
            <w:r>
              <w:rPr>
                <w:rFonts w:ascii="Arial Narrow" w:hAnsi="Arial Narrow"/>
                <w:sz w:val="18"/>
                <w:szCs w:val="18"/>
                <w:lang w:val="en-US"/>
              </w:rPr>
              <w:t>apr-giu</w:t>
            </w:r>
            <w:proofErr w:type="spellEnd"/>
            <w:r>
              <w:rPr>
                <w:rFonts w:ascii="Arial Narrow" w:hAnsi="Arial Narrow"/>
                <w:sz w:val="18"/>
                <w:szCs w:val="18"/>
                <w:lang w:val="en-US"/>
              </w:rPr>
              <w:t xml:space="preserve"> 22</w:t>
            </w:r>
          </w:p>
        </w:tc>
        <w:tc>
          <w:tcPr>
            <w:tcW w:w="654" w:type="dxa"/>
            <w:tcBorders>
              <w:top w:val="nil"/>
              <w:left w:val="nil"/>
              <w:right w:val="nil"/>
            </w:tcBorders>
            <w:shd w:val="clear" w:color="auto" w:fill="auto"/>
            <w:noWrap/>
            <w:vAlign w:val="center"/>
          </w:tcPr>
          <w:p w14:paraId="379A8089" w14:textId="77777777" w:rsidR="005F4885" w:rsidRPr="0069402A" w:rsidRDefault="005F4885" w:rsidP="005F4885">
            <w:pPr>
              <w:spacing w:before="40" w:after="20"/>
              <w:jc w:val="center"/>
              <w:rPr>
                <w:rFonts w:ascii="Arial Narrow" w:hAnsi="Arial Narrow"/>
                <w:sz w:val="18"/>
                <w:szCs w:val="18"/>
                <w:u w:val="single"/>
                <w:lang w:val="en-US"/>
              </w:rPr>
            </w:pPr>
            <w:r>
              <w:rPr>
                <w:rFonts w:ascii="Arial Narrow" w:hAnsi="Arial Narrow"/>
                <w:sz w:val="18"/>
                <w:szCs w:val="18"/>
                <w:u w:val="single"/>
                <w:lang w:val="en-US"/>
              </w:rPr>
              <w:t>set 22</w:t>
            </w:r>
          </w:p>
          <w:p w14:paraId="7808F780" w14:textId="3D41EAE6" w:rsidR="005F4885" w:rsidRPr="003C7722" w:rsidRDefault="005F4885" w:rsidP="005F4885">
            <w:pPr>
              <w:spacing w:before="40" w:after="20"/>
              <w:jc w:val="center"/>
              <w:rPr>
                <w:rFonts w:ascii="Arial Narrow" w:hAnsi="Arial Narrow"/>
                <w:sz w:val="18"/>
                <w:szCs w:val="18"/>
                <w:lang w:val="en-US"/>
              </w:rPr>
            </w:pPr>
            <w:r>
              <w:rPr>
                <w:rFonts w:ascii="Arial Narrow" w:hAnsi="Arial Narrow"/>
                <w:sz w:val="18"/>
                <w:szCs w:val="18"/>
                <w:lang w:val="en-US"/>
              </w:rPr>
              <w:t>set 21</w:t>
            </w:r>
          </w:p>
        </w:tc>
        <w:tc>
          <w:tcPr>
            <w:tcW w:w="984" w:type="dxa"/>
            <w:tcBorders>
              <w:top w:val="nil"/>
              <w:left w:val="nil"/>
              <w:right w:val="nil"/>
            </w:tcBorders>
            <w:shd w:val="clear" w:color="auto" w:fill="auto"/>
            <w:noWrap/>
            <w:vAlign w:val="center"/>
          </w:tcPr>
          <w:p w14:paraId="5B9E26CD" w14:textId="77777777" w:rsidR="005F4885" w:rsidRPr="0069402A" w:rsidRDefault="005F4885" w:rsidP="005F4885">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gen-set 22</w:t>
            </w:r>
          </w:p>
          <w:p w14:paraId="5F401C1B" w14:textId="5D435CCA" w:rsidR="005F4885" w:rsidRPr="003C7722" w:rsidRDefault="005F4885" w:rsidP="005F4885">
            <w:pPr>
              <w:spacing w:before="40" w:after="20"/>
              <w:jc w:val="center"/>
              <w:rPr>
                <w:rFonts w:ascii="Arial Narrow" w:hAnsi="Arial Narrow"/>
                <w:sz w:val="18"/>
                <w:szCs w:val="18"/>
                <w:lang w:val="en-US"/>
              </w:rPr>
            </w:pPr>
            <w:r>
              <w:rPr>
                <w:rFonts w:ascii="Arial Narrow" w:hAnsi="Arial Narrow"/>
                <w:sz w:val="18"/>
                <w:szCs w:val="18"/>
                <w:lang w:val="en-US"/>
              </w:rPr>
              <w:t>gen-set 21</w:t>
            </w:r>
          </w:p>
        </w:tc>
        <w:tc>
          <w:tcPr>
            <w:tcW w:w="709" w:type="dxa"/>
            <w:tcBorders>
              <w:top w:val="single" w:sz="4" w:space="0" w:color="auto"/>
              <w:left w:val="nil"/>
              <w:right w:val="nil"/>
            </w:tcBorders>
            <w:shd w:val="clear" w:color="auto" w:fill="auto"/>
            <w:vAlign w:val="center"/>
          </w:tcPr>
          <w:p w14:paraId="39832C3F" w14:textId="7A98CAD2" w:rsidR="005F4885" w:rsidRPr="003C7722" w:rsidRDefault="005F4885" w:rsidP="005F4885">
            <w:pPr>
              <w:spacing w:before="40" w:after="20"/>
              <w:jc w:val="center"/>
              <w:rPr>
                <w:rFonts w:ascii="Arial Narrow" w:hAnsi="Arial Narrow"/>
                <w:sz w:val="18"/>
                <w:szCs w:val="18"/>
                <w:lang w:val="en-US"/>
              </w:rPr>
            </w:pPr>
            <w:r>
              <w:rPr>
                <w:rFonts w:ascii="Arial Narrow" w:hAnsi="Arial Narrow"/>
                <w:sz w:val="18"/>
                <w:szCs w:val="18"/>
                <w:lang w:val="en-US"/>
              </w:rPr>
              <w:t>set 22</w:t>
            </w:r>
          </w:p>
        </w:tc>
        <w:tc>
          <w:tcPr>
            <w:tcW w:w="984" w:type="dxa"/>
            <w:tcBorders>
              <w:top w:val="single" w:sz="4" w:space="0" w:color="auto"/>
              <w:left w:val="nil"/>
              <w:right w:val="nil"/>
            </w:tcBorders>
            <w:shd w:val="clear" w:color="auto" w:fill="auto"/>
            <w:vAlign w:val="center"/>
          </w:tcPr>
          <w:p w14:paraId="78455110" w14:textId="5A94557C" w:rsidR="005F4885" w:rsidRPr="003C7722" w:rsidRDefault="005F4885" w:rsidP="005F4885">
            <w:pPr>
              <w:spacing w:before="40" w:after="20"/>
              <w:jc w:val="center"/>
              <w:rPr>
                <w:rFonts w:ascii="Arial Narrow" w:hAnsi="Arial Narrow"/>
                <w:sz w:val="18"/>
                <w:szCs w:val="18"/>
                <w:lang w:val="en-US"/>
              </w:rPr>
            </w:pPr>
            <w:r>
              <w:rPr>
                <w:rFonts w:ascii="Arial Narrow" w:hAnsi="Arial Narrow"/>
                <w:sz w:val="18"/>
                <w:szCs w:val="18"/>
                <w:lang w:val="en-US"/>
              </w:rPr>
              <w:t>gen-set 22</w:t>
            </w:r>
          </w:p>
        </w:tc>
      </w:tr>
      <w:tr w:rsidR="00F374E1" w:rsidRPr="008C0651" w14:paraId="736716A8" w14:textId="77777777" w:rsidTr="00F374E1">
        <w:trPr>
          <w:trHeight w:val="255"/>
        </w:trPr>
        <w:tc>
          <w:tcPr>
            <w:tcW w:w="1587" w:type="dxa"/>
            <w:tcBorders>
              <w:top w:val="single" w:sz="4" w:space="0" w:color="auto"/>
              <w:left w:val="nil"/>
              <w:bottom w:val="single" w:sz="4" w:space="0" w:color="auto"/>
              <w:right w:val="nil"/>
            </w:tcBorders>
            <w:shd w:val="clear" w:color="auto" w:fill="auto"/>
            <w:vAlign w:val="bottom"/>
          </w:tcPr>
          <w:p w14:paraId="422B7BD3" w14:textId="77777777" w:rsidR="00F374E1" w:rsidRPr="00831F78" w:rsidRDefault="00F374E1" w:rsidP="00F374E1">
            <w:pPr>
              <w:spacing w:before="40" w:after="20"/>
              <w:rPr>
                <w:rFonts w:ascii="Arial Narrow" w:hAnsi="Arial Narrow"/>
                <w:sz w:val="18"/>
                <w:szCs w:val="18"/>
              </w:rPr>
            </w:pPr>
            <w:r w:rsidRPr="00831F78">
              <w:rPr>
                <w:rFonts w:ascii="Arial Narrow" w:hAnsi="Arial Narrow"/>
                <w:sz w:val="18"/>
                <w:szCs w:val="18"/>
              </w:rPr>
              <w:t>Beni di consumo</w:t>
            </w:r>
          </w:p>
        </w:tc>
        <w:tc>
          <w:tcPr>
            <w:tcW w:w="665" w:type="dxa"/>
            <w:tcBorders>
              <w:top w:val="single" w:sz="4" w:space="0" w:color="auto"/>
              <w:left w:val="nil"/>
              <w:bottom w:val="single" w:sz="4" w:space="0" w:color="auto"/>
              <w:right w:val="nil"/>
            </w:tcBorders>
            <w:shd w:val="clear" w:color="auto" w:fill="D9D9D9"/>
            <w:noWrap/>
            <w:vAlign w:val="center"/>
          </w:tcPr>
          <w:p w14:paraId="193A2938" w14:textId="3D5255B0" w:rsidR="00F374E1" w:rsidRDefault="00F374E1" w:rsidP="00F374E1">
            <w:pPr>
              <w:jc w:val="center"/>
              <w:rPr>
                <w:rFonts w:ascii="Arial Narrow" w:hAnsi="Arial Narrow"/>
                <w:sz w:val="18"/>
                <w:szCs w:val="18"/>
              </w:rPr>
            </w:pPr>
            <w:r>
              <w:rPr>
                <w:rFonts w:ascii="Arial Narrow" w:hAnsi="Arial Narrow"/>
                <w:sz w:val="18"/>
                <w:szCs w:val="18"/>
              </w:rPr>
              <w:t>+1,3</w:t>
            </w:r>
          </w:p>
        </w:tc>
        <w:tc>
          <w:tcPr>
            <w:tcW w:w="1108" w:type="dxa"/>
            <w:tcBorders>
              <w:top w:val="single" w:sz="4" w:space="0" w:color="auto"/>
              <w:left w:val="nil"/>
              <w:bottom w:val="single" w:sz="4" w:space="0" w:color="auto"/>
              <w:right w:val="nil"/>
            </w:tcBorders>
            <w:shd w:val="clear" w:color="auto" w:fill="D9D9D9"/>
            <w:noWrap/>
            <w:vAlign w:val="center"/>
          </w:tcPr>
          <w:p w14:paraId="674BFB78" w14:textId="2617C104" w:rsidR="00F374E1" w:rsidRDefault="00F374E1" w:rsidP="00F374E1">
            <w:pPr>
              <w:jc w:val="center"/>
              <w:rPr>
                <w:rFonts w:ascii="Arial Narrow" w:hAnsi="Arial Narrow"/>
                <w:sz w:val="18"/>
                <w:szCs w:val="18"/>
              </w:rPr>
            </w:pPr>
            <w:r>
              <w:rPr>
                <w:rFonts w:ascii="Arial Narrow" w:hAnsi="Arial Narrow"/>
                <w:sz w:val="18"/>
                <w:szCs w:val="18"/>
              </w:rPr>
              <w:t>+3,6</w:t>
            </w:r>
          </w:p>
        </w:tc>
        <w:tc>
          <w:tcPr>
            <w:tcW w:w="685" w:type="dxa"/>
            <w:tcBorders>
              <w:top w:val="single" w:sz="4" w:space="0" w:color="auto"/>
              <w:left w:val="nil"/>
              <w:bottom w:val="single" w:sz="4" w:space="0" w:color="auto"/>
              <w:right w:val="nil"/>
            </w:tcBorders>
            <w:shd w:val="clear" w:color="auto" w:fill="auto"/>
            <w:noWrap/>
            <w:vAlign w:val="center"/>
          </w:tcPr>
          <w:p w14:paraId="68FB1849" w14:textId="5CCEFA55" w:rsidR="00F374E1" w:rsidRDefault="00F374E1" w:rsidP="00F374E1">
            <w:pPr>
              <w:jc w:val="center"/>
              <w:rPr>
                <w:rFonts w:ascii="Arial Narrow" w:hAnsi="Arial Narrow"/>
                <w:sz w:val="18"/>
                <w:szCs w:val="18"/>
              </w:rPr>
            </w:pPr>
            <w:r>
              <w:rPr>
                <w:rFonts w:ascii="Arial Narrow" w:hAnsi="Arial Narrow"/>
                <w:sz w:val="18"/>
                <w:szCs w:val="18"/>
              </w:rPr>
              <w:t>+21,5</w:t>
            </w:r>
          </w:p>
        </w:tc>
        <w:tc>
          <w:tcPr>
            <w:tcW w:w="1017" w:type="dxa"/>
            <w:tcBorders>
              <w:top w:val="single" w:sz="4" w:space="0" w:color="auto"/>
              <w:left w:val="nil"/>
              <w:bottom w:val="single" w:sz="4" w:space="0" w:color="auto"/>
              <w:right w:val="nil"/>
            </w:tcBorders>
            <w:shd w:val="clear" w:color="auto" w:fill="auto"/>
            <w:noWrap/>
            <w:vAlign w:val="center"/>
          </w:tcPr>
          <w:p w14:paraId="03DFA5BB" w14:textId="7732F9D1" w:rsidR="00F374E1" w:rsidRDefault="00F374E1" w:rsidP="00F374E1">
            <w:pPr>
              <w:jc w:val="center"/>
              <w:rPr>
                <w:rFonts w:ascii="Arial Narrow" w:hAnsi="Arial Narrow"/>
                <w:sz w:val="18"/>
                <w:szCs w:val="18"/>
              </w:rPr>
            </w:pPr>
            <w:r>
              <w:rPr>
                <w:rFonts w:ascii="Arial Narrow" w:hAnsi="Arial Narrow"/>
                <w:sz w:val="18"/>
                <w:szCs w:val="18"/>
              </w:rPr>
              <w:t>+21,8</w:t>
            </w:r>
          </w:p>
        </w:tc>
        <w:tc>
          <w:tcPr>
            <w:tcW w:w="708" w:type="dxa"/>
            <w:tcBorders>
              <w:top w:val="single" w:sz="4" w:space="0" w:color="auto"/>
              <w:left w:val="nil"/>
              <w:bottom w:val="single" w:sz="4" w:space="0" w:color="auto"/>
              <w:right w:val="nil"/>
            </w:tcBorders>
            <w:shd w:val="clear" w:color="auto" w:fill="D9D9D9"/>
            <w:noWrap/>
            <w:vAlign w:val="center"/>
          </w:tcPr>
          <w:p w14:paraId="35E5980E" w14:textId="5AB69A4E" w:rsidR="00F374E1" w:rsidRDefault="00F374E1" w:rsidP="00F374E1">
            <w:pPr>
              <w:jc w:val="center"/>
              <w:rPr>
                <w:rFonts w:ascii="Arial Narrow" w:hAnsi="Arial Narrow"/>
                <w:sz w:val="18"/>
                <w:szCs w:val="18"/>
              </w:rPr>
            </w:pPr>
            <w:r>
              <w:rPr>
                <w:rFonts w:ascii="Arial Narrow" w:hAnsi="Arial Narrow"/>
                <w:sz w:val="18"/>
                <w:szCs w:val="18"/>
              </w:rPr>
              <w:t>-0,5</w:t>
            </w:r>
          </w:p>
        </w:tc>
        <w:tc>
          <w:tcPr>
            <w:tcW w:w="1134" w:type="dxa"/>
            <w:tcBorders>
              <w:top w:val="single" w:sz="4" w:space="0" w:color="auto"/>
              <w:left w:val="nil"/>
              <w:bottom w:val="single" w:sz="4" w:space="0" w:color="auto"/>
              <w:right w:val="nil"/>
            </w:tcBorders>
            <w:shd w:val="clear" w:color="auto" w:fill="D9D9D9"/>
            <w:noWrap/>
            <w:vAlign w:val="center"/>
          </w:tcPr>
          <w:p w14:paraId="44070F80" w14:textId="0822C9A9" w:rsidR="00F374E1" w:rsidRDefault="00F374E1" w:rsidP="00F374E1">
            <w:pPr>
              <w:jc w:val="center"/>
              <w:rPr>
                <w:rFonts w:ascii="Arial Narrow" w:hAnsi="Arial Narrow"/>
                <w:sz w:val="18"/>
                <w:szCs w:val="18"/>
              </w:rPr>
            </w:pPr>
            <w:r>
              <w:rPr>
                <w:rFonts w:ascii="Arial Narrow" w:hAnsi="Arial Narrow"/>
                <w:sz w:val="18"/>
                <w:szCs w:val="18"/>
              </w:rPr>
              <w:t>+1,7</w:t>
            </w:r>
          </w:p>
        </w:tc>
        <w:tc>
          <w:tcPr>
            <w:tcW w:w="654" w:type="dxa"/>
            <w:tcBorders>
              <w:top w:val="single" w:sz="4" w:space="0" w:color="auto"/>
              <w:left w:val="nil"/>
              <w:bottom w:val="single" w:sz="4" w:space="0" w:color="auto"/>
              <w:right w:val="nil"/>
            </w:tcBorders>
            <w:shd w:val="clear" w:color="auto" w:fill="auto"/>
            <w:noWrap/>
            <w:vAlign w:val="center"/>
          </w:tcPr>
          <w:p w14:paraId="5DEA871A" w14:textId="24104D46" w:rsidR="00F374E1" w:rsidRDefault="00F374E1" w:rsidP="00F374E1">
            <w:pPr>
              <w:jc w:val="center"/>
              <w:rPr>
                <w:rFonts w:ascii="Arial Narrow" w:hAnsi="Arial Narrow"/>
                <w:sz w:val="18"/>
                <w:szCs w:val="18"/>
              </w:rPr>
            </w:pPr>
            <w:r>
              <w:rPr>
                <w:rFonts w:ascii="Arial Narrow" w:hAnsi="Arial Narrow"/>
                <w:sz w:val="18"/>
                <w:szCs w:val="18"/>
              </w:rPr>
              <w:t>+23,9</w:t>
            </w:r>
          </w:p>
        </w:tc>
        <w:tc>
          <w:tcPr>
            <w:tcW w:w="984" w:type="dxa"/>
            <w:tcBorders>
              <w:top w:val="single" w:sz="4" w:space="0" w:color="auto"/>
              <w:left w:val="nil"/>
              <w:bottom w:val="single" w:sz="4" w:space="0" w:color="auto"/>
              <w:right w:val="nil"/>
            </w:tcBorders>
            <w:shd w:val="clear" w:color="auto" w:fill="auto"/>
            <w:noWrap/>
            <w:vAlign w:val="center"/>
          </w:tcPr>
          <w:p w14:paraId="094DD5FA" w14:textId="33D11361" w:rsidR="00F374E1" w:rsidRDefault="00F374E1" w:rsidP="00F374E1">
            <w:pPr>
              <w:jc w:val="center"/>
              <w:rPr>
                <w:rFonts w:ascii="Arial Narrow" w:hAnsi="Arial Narrow"/>
                <w:sz w:val="18"/>
                <w:szCs w:val="18"/>
              </w:rPr>
            </w:pPr>
            <w:r>
              <w:rPr>
                <w:rFonts w:ascii="Arial Narrow" w:hAnsi="Arial Narrow"/>
                <w:sz w:val="18"/>
                <w:szCs w:val="18"/>
              </w:rPr>
              <w:t>+27,3</w:t>
            </w:r>
          </w:p>
        </w:tc>
        <w:tc>
          <w:tcPr>
            <w:tcW w:w="709" w:type="dxa"/>
            <w:tcBorders>
              <w:top w:val="single" w:sz="4" w:space="0" w:color="auto"/>
              <w:left w:val="nil"/>
              <w:bottom w:val="single" w:sz="4" w:space="0" w:color="auto"/>
              <w:right w:val="nil"/>
            </w:tcBorders>
            <w:shd w:val="clear" w:color="auto" w:fill="D9D9D9"/>
            <w:noWrap/>
            <w:vAlign w:val="center"/>
          </w:tcPr>
          <w:p w14:paraId="0A169005" w14:textId="3C902B2E" w:rsidR="00F374E1" w:rsidRDefault="00F374E1" w:rsidP="00F374E1">
            <w:pPr>
              <w:jc w:val="center"/>
              <w:rPr>
                <w:rFonts w:ascii="Arial Narrow" w:hAnsi="Arial Narrow"/>
                <w:sz w:val="18"/>
                <w:szCs w:val="18"/>
              </w:rPr>
            </w:pPr>
            <w:r>
              <w:rPr>
                <w:rFonts w:ascii="Arial Narrow" w:hAnsi="Arial Narrow"/>
                <w:sz w:val="18"/>
                <w:szCs w:val="18"/>
              </w:rPr>
              <w:t>+3.959</w:t>
            </w:r>
          </w:p>
        </w:tc>
        <w:tc>
          <w:tcPr>
            <w:tcW w:w="984" w:type="dxa"/>
            <w:tcBorders>
              <w:top w:val="single" w:sz="4" w:space="0" w:color="auto"/>
              <w:left w:val="nil"/>
              <w:bottom w:val="single" w:sz="4" w:space="0" w:color="auto"/>
              <w:right w:val="nil"/>
            </w:tcBorders>
            <w:shd w:val="clear" w:color="auto" w:fill="D9D9D9"/>
            <w:vAlign w:val="center"/>
          </w:tcPr>
          <w:p w14:paraId="1E9FCC23" w14:textId="6ED7D9E5" w:rsidR="00F374E1" w:rsidRDefault="00F374E1" w:rsidP="00F374E1">
            <w:pPr>
              <w:jc w:val="center"/>
              <w:rPr>
                <w:rFonts w:ascii="Arial Narrow" w:hAnsi="Arial Narrow"/>
                <w:sz w:val="18"/>
                <w:szCs w:val="18"/>
              </w:rPr>
            </w:pPr>
            <w:r>
              <w:rPr>
                <w:rFonts w:ascii="Arial Narrow" w:hAnsi="Arial Narrow"/>
                <w:sz w:val="18"/>
                <w:szCs w:val="18"/>
              </w:rPr>
              <w:t>+35.195</w:t>
            </w:r>
          </w:p>
        </w:tc>
      </w:tr>
      <w:tr w:rsidR="00F374E1" w:rsidRPr="008C0651" w14:paraId="1B907A93" w14:textId="77777777" w:rsidTr="00F374E1">
        <w:trPr>
          <w:trHeight w:val="255"/>
        </w:trPr>
        <w:tc>
          <w:tcPr>
            <w:tcW w:w="1587" w:type="dxa"/>
            <w:tcBorders>
              <w:top w:val="single" w:sz="4" w:space="0" w:color="auto"/>
              <w:left w:val="nil"/>
              <w:bottom w:val="single" w:sz="4" w:space="0" w:color="auto"/>
              <w:right w:val="nil"/>
            </w:tcBorders>
            <w:shd w:val="clear" w:color="auto" w:fill="auto"/>
            <w:vAlign w:val="bottom"/>
          </w:tcPr>
          <w:p w14:paraId="54DD10DC" w14:textId="77777777" w:rsidR="00F374E1" w:rsidRPr="00AB0DE6" w:rsidRDefault="00F374E1" w:rsidP="00F374E1">
            <w:pPr>
              <w:spacing w:before="40" w:after="20"/>
              <w:rPr>
                <w:rFonts w:ascii="Arial Narrow" w:hAnsi="Arial Narrow"/>
                <w:sz w:val="18"/>
                <w:szCs w:val="18"/>
              </w:rPr>
            </w:pPr>
            <w:r w:rsidRPr="00AB0DE6">
              <w:rPr>
                <w:rFonts w:ascii="Arial Narrow" w:hAnsi="Arial Narrow"/>
                <w:sz w:val="18"/>
                <w:szCs w:val="18"/>
              </w:rPr>
              <w:t xml:space="preserve">  </w:t>
            </w:r>
            <w:r>
              <w:rPr>
                <w:rFonts w:ascii="Arial Narrow" w:hAnsi="Arial Narrow"/>
                <w:sz w:val="18"/>
                <w:szCs w:val="18"/>
              </w:rPr>
              <w:t>d</w:t>
            </w:r>
            <w:r w:rsidRPr="00AB0DE6">
              <w:rPr>
                <w:rFonts w:ascii="Arial Narrow" w:hAnsi="Arial Narrow"/>
                <w:sz w:val="18"/>
                <w:szCs w:val="18"/>
              </w:rPr>
              <w:t>urevoli</w:t>
            </w:r>
          </w:p>
        </w:tc>
        <w:tc>
          <w:tcPr>
            <w:tcW w:w="665" w:type="dxa"/>
            <w:tcBorders>
              <w:top w:val="single" w:sz="4" w:space="0" w:color="auto"/>
              <w:left w:val="nil"/>
              <w:bottom w:val="single" w:sz="4" w:space="0" w:color="auto"/>
              <w:right w:val="nil"/>
            </w:tcBorders>
            <w:shd w:val="clear" w:color="auto" w:fill="D9D9D9"/>
            <w:noWrap/>
            <w:vAlign w:val="center"/>
          </w:tcPr>
          <w:p w14:paraId="3FDC9C11" w14:textId="0D7FD6C2" w:rsidR="00F374E1" w:rsidRDefault="00F374E1" w:rsidP="00F374E1">
            <w:pPr>
              <w:jc w:val="center"/>
              <w:rPr>
                <w:rFonts w:ascii="Arial Narrow" w:hAnsi="Arial Narrow"/>
                <w:sz w:val="18"/>
                <w:szCs w:val="18"/>
              </w:rPr>
            </w:pPr>
            <w:r>
              <w:rPr>
                <w:rFonts w:ascii="Arial Narrow" w:hAnsi="Arial Narrow"/>
                <w:sz w:val="18"/>
                <w:szCs w:val="18"/>
              </w:rPr>
              <w:t>+4,8</w:t>
            </w:r>
          </w:p>
        </w:tc>
        <w:tc>
          <w:tcPr>
            <w:tcW w:w="1108" w:type="dxa"/>
            <w:tcBorders>
              <w:top w:val="single" w:sz="4" w:space="0" w:color="auto"/>
              <w:left w:val="nil"/>
              <w:bottom w:val="single" w:sz="4" w:space="0" w:color="auto"/>
              <w:right w:val="nil"/>
            </w:tcBorders>
            <w:shd w:val="clear" w:color="auto" w:fill="D9D9D9"/>
            <w:noWrap/>
            <w:vAlign w:val="center"/>
          </w:tcPr>
          <w:p w14:paraId="0D5C1158" w14:textId="5001C46F" w:rsidR="00F374E1" w:rsidRDefault="00F374E1" w:rsidP="00F374E1">
            <w:pPr>
              <w:jc w:val="center"/>
              <w:rPr>
                <w:rFonts w:ascii="Arial Narrow" w:hAnsi="Arial Narrow"/>
                <w:sz w:val="18"/>
                <w:szCs w:val="18"/>
              </w:rPr>
            </w:pPr>
            <w:r>
              <w:rPr>
                <w:rFonts w:ascii="Arial Narrow" w:hAnsi="Arial Narrow"/>
                <w:sz w:val="18"/>
                <w:szCs w:val="18"/>
              </w:rPr>
              <w:t>+0,4</w:t>
            </w:r>
          </w:p>
        </w:tc>
        <w:tc>
          <w:tcPr>
            <w:tcW w:w="685" w:type="dxa"/>
            <w:tcBorders>
              <w:top w:val="single" w:sz="4" w:space="0" w:color="auto"/>
              <w:left w:val="nil"/>
              <w:bottom w:val="single" w:sz="4" w:space="0" w:color="auto"/>
              <w:right w:val="nil"/>
            </w:tcBorders>
            <w:shd w:val="clear" w:color="auto" w:fill="auto"/>
            <w:noWrap/>
            <w:vAlign w:val="center"/>
          </w:tcPr>
          <w:p w14:paraId="2012164B" w14:textId="31957DEE" w:rsidR="00F374E1" w:rsidRDefault="00F374E1" w:rsidP="00F374E1">
            <w:pPr>
              <w:jc w:val="center"/>
              <w:rPr>
                <w:rFonts w:ascii="Arial Narrow" w:hAnsi="Arial Narrow"/>
                <w:sz w:val="18"/>
                <w:szCs w:val="18"/>
              </w:rPr>
            </w:pPr>
            <w:r>
              <w:rPr>
                <w:rFonts w:ascii="Arial Narrow" w:hAnsi="Arial Narrow"/>
                <w:sz w:val="18"/>
                <w:szCs w:val="18"/>
              </w:rPr>
              <w:t>+17,9</w:t>
            </w:r>
          </w:p>
        </w:tc>
        <w:tc>
          <w:tcPr>
            <w:tcW w:w="1017" w:type="dxa"/>
            <w:tcBorders>
              <w:top w:val="single" w:sz="4" w:space="0" w:color="auto"/>
              <w:left w:val="nil"/>
              <w:bottom w:val="single" w:sz="4" w:space="0" w:color="auto"/>
              <w:right w:val="nil"/>
            </w:tcBorders>
            <w:shd w:val="clear" w:color="auto" w:fill="auto"/>
            <w:noWrap/>
            <w:vAlign w:val="center"/>
          </w:tcPr>
          <w:p w14:paraId="70EDECFF" w14:textId="3B4693AF" w:rsidR="00F374E1" w:rsidRDefault="00F374E1" w:rsidP="00F374E1">
            <w:pPr>
              <w:jc w:val="center"/>
              <w:rPr>
                <w:rFonts w:ascii="Arial Narrow" w:hAnsi="Arial Narrow"/>
                <w:sz w:val="18"/>
                <w:szCs w:val="18"/>
              </w:rPr>
            </w:pPr>
            <w:r>
              <w:rPr>
                <w:rFonts w:ascii="Arial Narrow" w:hAnsi="Arial Narrow"/>
                <w:sz w:val="18"/>
                <w:szCs w:val="18"/>
              </w:rPr>
              <w:t>+16,5</w:t>
            </w:r>
          </w:p>
        </w:tc>
        <w:tc>
          <w:tcPr>
            <w:tcW w:w="708" w:type="dxa"/>
            <w:tcBorders>
              <w:top w:val="single" w:sz="4" w:space="0" w:color="auto"/>
              <w:left w:val="nil"/>
              <w:bottom w:val="single" w:sz="4" w:space="0" w:color="auto"/>
              <w:right w:val="nil"/>
            </w:tcBorders>
            <w:shd w:val="clear" w:color="auto" w:fill="D9D9D9"/>
            <w:noWrap/>
            <w:vAlign w:val="center"/>
          </w:tcPr>
          <w:p w14:paraId="72A9E3DA" w14:textId="4A7C9F51" w:rsidR="00F374E1" w:rsidRDefault="00F374E1" w:rsidP="00F374E1">
            <w:pPr>
              <w:jc w:val="center"/>
              <w:rPr>
                <w:rFonts w:ascii="Arial Narrow" w:hAnsi="Arial Narrow"/>
                <w:sz w:val="18"/>
                <w:szCs w:val="18"/>
              </w:rPr>
            </w:pPr>
            <w:r>
              <w:rPr>
                <w:rFonts w:ascii="Arial Narrow" w:hAnsi="Arial Narrow"/>
                <w:sz w:val="18"/>
                <w:szCs w:val="18"/>
              </w:rPr>
              <w:t>-0,6</w:t>
            </w:r>
          </w:p>
        </w:tc>
        <w:tc>
          <w:tcPr>
            <w:tcW w:w="1134" w:type="dxa"/>
            <w:tcBorders>
              <w:top w:val="single" w:sz="4" w:space="0" w:color="auto"/>
              <w:left w:val="nil"/>
              <w:bottom w:val="single" w:sz="4" w:space="0" w:color="auto"/>
              <w:right w:val="nil"/>
            </w:tcBorders>
            <w:shd w:val="clear" w:color="auto" w:fill="D9D9D9"/>
            <w:noWrap/>
            <w:vAlign w:val="center"/>
          </w:tcPr>
          <w:p w14:paraId="7A970DB7" w14:textId="453176AE" w:rsidR="00F374E1" w:rsidRDefault="00F374E1" w:rsidP="00F374E1">
            <w:pPr>
              <w:jc w:val="center"/>
              <w:rPr>
                <w:rFonts w:ascii="Arial Narrow" w:hAnsi="Arial Narrow"/>
                <w:sz w:val="18"/>
                <w:szCs w:val="18"/>
              </w:rPr>
            </w:pPr>
            <w:r>
              <w:rPr>
                <w:rFonts w:ascii="Arial Narrow" w:hAnsi="Arial Narrow"/>
                <w:sz w:val="18"/>
                <w:szCs w:val="18"/>
              </w:rPr>
              <w:t>+0,3</w:t>
            </w:r>
          </w:p>
        </w:tc>
        <w:tc>
          <w:tcPr>
            <w:tcW w:w="654" w:type="dxa"/>
            <w:tcBorders>
              <w:top w:val="single" w:sz="4" w:space="0" w:color="auto"/>
              <w:left w:val="nil"/>
              <w:bottom w:val="single" w:sz="4" w:space="0" w:color="auto"/>
              <w:right w:val="nil"/>
            </w:tcBorders>
            <w:shd w:val="clear" w:color="auto" w:fill="auto"/>
            <w:noWrap/>
            <w:vAlign w:val="center"/>
          </w:tcPr>
          <w:p w14:paraId="0FF61880" w14:textId="207CED19" w:rsidR="00F374E1" w:rsidRDefault="00F374E1" w:rsidP="00F374E1">
            <w:pPr>
              <w:jc w:val="center"/>
              <w:rPr>
                <w:rFonts w:ascii="Arial Narrow" w:hAnsi="Arial Narrow"/>
                <w:sz w:val="18"/>
                <w:szCs w:val="18"/>
              </w:rPr>
            </w:pPr>
            <w:r>
              <w:rPr>
                <w:rFonts w:ascii="Arial Narrow" w:hAnsi="Arial Narrow"/>
                <w:sz w:val="18"/>
                <w:szCs w:val="18"/>
              </w:rPr>
              <w:t>+4,9</w:t>
            </w:r>
          </w:p>
        </w:tc>
        <w:tc>
          <w:tcPr>
            <w:tcW w:w="984" w:type="dxa"/>
            <w:tcBorders>
              <w:top w:val="single" w:sz="4" w:space="0" w:color="auto"/>
              <w:left w:val="nil"/>
              <w:bottom w:val="single" w:sz="4" w:space="0" w:color="auto"/>
              <w:right w:val="nil"/>
            </w:tcBorders>
            <w:shd w:val="clear" w:color="auto" w:fill="auto"/>
            <w:noWrap/>
            <w:vAlign w:val="center"/>
          </w:tcPr>
          <w:p w14:paraId="6F169314" w14:textId="7158DBA5" w:rsidR="00F374E1" w:rsidRDefault="00F374E1" w:rsidP="00F374E1">
            <w:pPr>
              <w:jc w:val="center"/>
              <w:rPr>
                <w:rFonts w:ascii="Arial Narrow" w:hAnsi="Arial Narrow"/>
                <w:sz w:val="18"/>
                <w:szCs w:val="18"/>
              </w:rPr>
            </w:pPr>
            <w:r>
              <w:rPr>
                <w:rFonts w:ascii="Arial Narrow" w:hAnsi="Arial Narrow"/>
                <w:sz w:val="18"/>
                <w:szCs w:val="18"/>
              </w:rPr>
              <w:t>+12,6</w:t>
            </w:r>
          </w:p>
        </w:tc>
        <w:tc>
          <w:tcPr>
            <w:tcW w:w="709" w:type="dxa"/>
            <w:tcBorders>
              <w:top w:val="single" w:sz="4" w:space="0" w:color="auto"/>
              <w:left w:val="nil"/>
              <w:bottom w:val="single" w:sz="4" w:space="0" w:color="auto"/>
              <w:right w:val="nil"/>
            </w:tcBorders>
            <w:shd w:val="clear" w:color="auto" w:fill="D9D9D9"/>
            <w:noWrap/>
            <w:vAlign w:val="center"/>
          </w:tcPr>
          <w:p w14:paraId="50156964" w14:textId="0C12C201" w:rsidR="00F374E1" w:rsidRDefault="00F374E1" w:rsidP="00F374E1">
            <w:pPr>
              <w:jc w:val="center"/>
              <w:rPr>
                <w:rFonts w:ascii="Arial Narrow" w:hAnsi="Arial Narrow"/>
                <w:sz w:val="18"/>
                <w:szCs w:val="18"/>
              </w:rPr>
            </w:pPr>
            <w:r>
              <w:rPr>
                <w:rFonts w:ascii="Arial Narrow" w:hAnsi="Arial Narrow"/>
                <w:sz w:val="18"/>
                <w:szCs w:val="18"/>
              </w:rPr>
              <w:t>+1.481</w:t>
            </w:r>
          </w:p>
        </w:tc>
        <w:tc>
          <w:tcPr>
            <w:tcW w:w="984" w:type="dxa"/>
            <w:tcBorders>
              <w:top w:val="single" w:sz="4" w:space="0" w:color="auto"/>
              <w:left w:val="nil"/>
              <w:bottom w:val="single" w:sz="4" w:space="0" w:color="auto"/>
              <w:right w:val="nil"/>
            </w:tcBorders>
            <w:shd w:val="clear" w:color="auto" w:fill="D9D9D9"/>
            <w:vAlign w:val="center"/>
          </w:tcPr>
          <w:p w14:paraId="6078F65F" w14:textId="6C71C934" w:rsidR="00F374E1" w:rsidRDefault="00F374E1" w:rsidP="00F374E1">
            <w:pPr>
              <w:jc w:val="center"/>
              <w:rPr>
                <w:rFonts w:ascii="Arial Narrow" w:hAnsi="Arial Narrow"/>
                <w:sz w:val="18"/>
                <w:szCs w:val="18"/>
              </w:rPr>
            </w:pPr>
            <w:r>
              <w:rPr>
                <w:rFonts w:ascii="Arial Narrow" w:hAnsi="Arial Narrow"/>
                <w:sz w:val="18"/>
                <w:szCs w:val="18"/>
              </w:rPr>
              <w:t>+12.124</w:t>
            </w:r>
          </w:p>
        </w:tc>
      </w:tr>
      <w:tr w:rsidR="00F374E1" w:rsidRPr="008C0651" w14:paraId="23399346" w14:textId="77777777" w:rsidTr="00F374E1">
        <w:trPr>
          <w:trHeight w:val="255"/>
        </w:trPr>
        <w:tc>
          <w:tcPr>
            <w:tcW w:w="1587" w:type="dxa"/>
            <w:tcBorders>
              <w:top w:val="single" w:sz="4" w:space="0" w:color="auto"/>
              <w:left w:val="nil"/>
              <w:bottom w:val="single" w:sz="4" w:space="0" w:color="auto"/>
              <w:right w:val="nil"/>
            </w:tcBorders>
            <w:shd w:val="clear" w:color="auto" w:fill="auto"/>
            <w:vAlign w:val="bottom"/>
          </w:tcPr>
          <w:p w14:paraId="10BB07A3" w14:textId="77777777" w:rsidR="00F374E1" w:rsidRPr="00AB0DE6" w:rsidRDefault="00F374E1" w:rsidP="00F374E1">
            <w:pPr>
              <w:spacing w:before="40" w:after="20"/>
              <w:rPr>
                <w:rFonts w:ascii="Arial Narrow" w:hAnsi="Arial Narrow"/>
                <w:sz w:val="18"/>
                <w:szCs w:val="18"/>
              </w:rPr>
            </w:pPr>
            <w:r w:rsidRPr="00AB0DE6">
              <w:rPr>
                <w:rFonts w:ascii="Arial Narrow" w:hAnsi="Arial Narrow"/>
                <w:sz w:val="18"/>
                <w:szCs w:val="18"/>
              </w:rPr>
              <w:t xml:space="preserve">  non durevoli</w:t>
            </w:r>
          </w:p>
        </w:tc>
        <w:tc>
          <w:tcPr>
            <w:tcW w:w="665" w:type="dxa"/>
            <w:tcBorders>
              <w:top w:val="single" w:sz="4" w:space="0" w:color="auto"/>
              <w:left w:val="nil"/>
              <w:bottom w:val="single" w:sz="4" w:space="0" w:color="auto"/>
              <w:right w:val="nil"/>
            </w:tcBorders>
            <w:shd w:val="clear" w:color="auto" w:fill="D9D9D9"/>
            <w:noWrap/>
            <w:vAlign w:val="center"/>
          </w:tcPr>
          <w:p w14:paraId="7220AE76" w14:textId="15BDD571" w:rsidR="00F374E1" w:rsidRDefault="00F374E1" w:rsidP="00F374E1">
            <w:pPr>
              <w:jc w:val="center"/>
              <w:rPr>
                <w:rFonts w:ascii="Arial Narrow" w:hAnsi="Arial Narrow"/>
                <w:sz w:val="18"/>
                <w:szCs w:val="18"/>
              </w:rPr>
            </w:pPr>
            <w:r>
              <w:rPr>
                <w:rFonts w:ascii="Arial Narrow" w:hAnsi="Arial Narrow"/>
                <w:sz w:val="18"/>
                <w:szCs w:val="18"/>
              </w:rPr>
              <w:t>+0,6</w:t>
            </w:r>
          </w:p>
        </w:tc>
        <w:tc>
          <w:tcPr>
            <w:tcW w:w="1108" w:type="dxa"/>
            <w:tcBorders>
              <w:top w:val="single" w:sz="4" w:space="0" w:color="auto"/>
              <w:left w:val="nil"/>
              <w:bottom w:val="single" w:sz="4" w:space="0" w:color="auto"/>
              <w:right w:val="nil"/>
            </w:tcBorders>
            <w:shd w:val="clear" w:color="auto" w:fill="D9D9D9"/>
            <w:noWrap/>
            <w:vAlign w:val="center"/>
          </w:tcPr>
          <w:p w14:paraId="6AD1D22F" w14:textId="020F77C0" w:rsidR="00F374E1" w:rsidRDefault="00F374E1" w:rsidP="00F374E1">
            <w:pPr>
              <w:jc w:val="center"/>
              <w:rPr>
                <w:rFonts w:ascii="Arial Narrow" w:hAnsi="Arial Narrow"/>
                <w:sz w:val="18"/>
                <w:szCs w:val="18"/>
              </w:rPr>
            </w:pPr>
            <w:r>
              <w:rPr>
                <w:rFonts w:ascii="Arial Narrow" w:hAnsi="Arial Narrow"/>
                <w:sz w:val="18"/>
                <w:szCs w:val="18"/>
              </w:rPr>
              <w:t>+4,2</w:t>
            </w:r>
          </w:p>
        </w:tc>
        <w:tc>
          <w:tcPr>
            <w:tcW w:w="685" w:type="dxa"/>
            <w:tcBorders>
              <w:top w:val="single" w:sz="4" w:space="0" w:color="auto"/>
              <w:left w:val="nil"/>
              <w:bottom w:val="single" w:sz="4" w:space="0" w:color="auto"/>
              <w:right w:val="nil"/>
            </w:tcBorders>
            <w:shd w:val="clear" w:color="auto" w:fill="auto"/>
            <w:noWrap/>
            <w:vAlign w:val="center"/>
          </w:tcPr>
          <w:p w14:paraId="0E7955E1" w14:textId="70084A2D" w:rsidR="00F374E1" w:rsidRDefault="00F374E1" w:rsidP="00F374E1">
            <w:pPr>
              <w:jc w:val="center"/>
              <w:rPr>
                <w:rFonts w:ascii="Arial Narrow" w:hAnsi="Arial Narrow"/>
                <w:sz w:val="18"/>
                <w:szCs w:val="18"/>
              </w:rPr>
            </w:pPr>
            <w:r>
              <w:rPr>
                <w:rFonts w:ascii="Arial Narrow" w:hAnsi="Arial Narrow"/>
                <w:sz w:val="18"/>
                <w:szCs w:val="18"/>
              </w:rPr>
              <w:t>+22,3</w:t>
            </w:r>
          </w:p>
        </w:tc>
        <w:tc>
          <w:tcPr>
            <w:tcW w:w="1017" w:type="dxa"/>
            <w:tcBorders>
              <w:top w:val="single" w:sz="4" w:space="0" w:color="auto"/>
              <w:left w:val="nil"/>
              <w:bottom w:val="single" w:sz="4" w:space="0" w:color="auto"/>
              <w:right w:val="nil"/>
            </w:tcBorders>
            <w:shd w:val="clear" w:color="auto" w:fill="auto"/>
            <w:noWrap/>
            <w:vAlign w:val="center"/>
          </w:tcPr>
          <w:p w14:paraId="5FE05581" w14:textId="2AC5B1A0" w:rsidR="00F374E1" w:rsidRDefault="00F374E1" w:rsidP="00F374E1">
            <w:pPr>
              <w:jc w:val="center"/>
              <w:rPr>
                <w:rFonts w:ascii="Arial Narrow" w:hAnsi="Arial Narrow"/>
                <w:sz w:val="18"/>
                <w:szCs w:val="18"/>
              </w:rPr>
            </w:pPr>
            <w:r>
              <w:rPr>
                <w:rFonts w:ascii="Arial Narrow" w:hAnsi="Arial Narrow"/>
                <w:sz w:val="18"/>
                <w:szCs w:val="18"/>
              </w:rPr>
              <w:t>+23,0</w:t>
            </w:r>
          </w:p>
        </w:tc>
        <w:tc>
          <w:tcPr>
            <w:tcW w:w="708" w:type="dxa"/>
            <w:tcBorders>
              <w:top w:val="single" w:sz="4" w:space="0" w:color="auto"/>
              <w:left w:val="nil"/>
              <w:bottom w:val="single" w:sz="4" w:space="0" w:color="auto"/>
              <w:right w:val="nil"/>
            </w:tcBorders>
            <w:shd w:val="clear" w:color="auto" w:fill="D9D9D9"/>
            <w:noWrap/>
            <w:vAlign w:val="center"/>
          </w:tcPr>
          <w:p w14:paraId="3C3D1B9E" w14:textId="2068B4EC" w:rsidR="00F374E1" w:rsidRDefault="00F374E1" w:rsidP="00F374E1">
            <w:pPr>
              <w:jc w:val="center"/>
              <w:rPr>
                <w:rFonts w:ascii="Arial Narrow" w:hAnsi="Arial Narrow"/>
                <w:sz w:val="18"/>
                <w:szCs w:val="18"/>
              </w:rPr>
            </w:pPr>
            <w:r>
              <w:rPr>
                <w:rFonts w:ascii="Arial Narrow" w:hAnsi="Arial Narrow"/>
                <w:sz w:val="18"/>
                <w:szCs w:val="18"/>
              </w:rPr>
              <w:t>-0,5</w:t>
            </w:r>
          </w:p>
        </w:tc>
        <w:tc>
          <w:tcPr>
            <w:tcW w:w="1134" w:type="dxa"/>
            <w:tcBorders>
              <w:top w:val="single" w:sz="4" w:space="0" w:color="auto"/>
              <w:left w:val="nil"/>
              <w:bottom w:val="single" w:sz="4" w:space="0" w:color="auto"/>
              <w:right w:val="nil"/>
            </w:tcBorders>
            <w:shd w:val="clear" w:color="auto" w:fill="D9D9D9"/>
            <w:noWrap/>
            <w:vAlign w:val="center"/>
          </w:tcPr>
          <w:p w14:paraId="0F594981" w14:textId="2D54DA50" w:rsidR="00F374E1" w:rsidRDefault="00F374E1" w:rsidP="00F374E1">
            <w:pPr>
              <w:jc w:val="center"/>
              <w:rPr>
                <w:rFonts w:ascii="Arial Narrow" w:hAnsi="Arial Narrow"/>
                <w:sz w:val="18"/>
                <w:szCs w:val="18"/>
              </w:rPr>
            </w:pPr>
            <w:r>
              <w:rPr>
                <w:rFonts w:ascii="Arial Narrow" w:hAnsi="Arial Narrow"/>
                <w:sz w:val="18"/>
                <w:szCs w:val="18"/>
              </w:rPr>
              <w:t>+1,9</w:t>
            </w:r>
          </w:p>
        </w:tc>
        <w:tc>
          <w:tcPr>
            <w:tcW w:w="654" w:type="dxa"/>
            <w:tcBorders>
              <w:top w:val="single" w:sz="4" w:space="0" w:color="auto"/>
              <w:left w:val="nil"/>
              <w:bottom w:val="single" w:sz="4" w:space="0" w:color="auto"/>
              <w:right w:val="nil"/>
            </w:tcBorders>
            <w:shd w:val="clear" w:color="auto" w:fill="auto"/>
            <w:noWrap/>
            <w:vAlign w:val="center"/>
          </w:tcPr>
          <w:p w14:paraId="6F6589D1" w14:textId="0093D0C2" w:rsidR="00F374E1" w:rsidRDefault="00F374E1" w:rsidP="00F374E1">
            <w:pPr>
              <w:jc w:val="center"/>
              <w:rPr>
                <w:rFonts w:ascii="Arial Narrow" w:hAnsi="Arial Narrow"/>
                <w:sz w:val="18"/>
                <w:szCs w:val="18"/>
              </w:rPr>
            </w:pPr>
            <w:r>
              <w:rPr>
                <w:rFonts w:ascii="Arial Narrow" w:hAnsi="Arial Narrow"/>
                <w:sz w:val="18"/>
                <w:szCs w:val="18"/>
              </w:rPr>
              <w:t>+27,0</w:t>
            </w:r>
          </w:p>
        </w:tc>
        <w:tc>
          <w:tcPr>
            <w:tcW w:w="984" w:type="dxa"/>
            <w:tcBorders>
              <w:top w:val="single" w:sz="4" w:space="0" w:color="auto"/>
              <w:left w:val="nil"/>
              <w:bottom w:val="single" w:sz="4" w:space="0" w:color="auto"/>
              <w:right w:val="nil"/>
            </w:tcBorders>
            <w:shd w:val="clear" w:color="auto" w:fill="auto"/>
            <w:noWrap/>
            <w:vAlign w:val="center"/>
          </w:tcPr>
          <w:p w14:paraId="2564FA5C" w14:textId="6E2C667D" w:rsidR="00F374E1" w:rsidRDefault="00F374E1" w:rsidP="00F374E1">
            <w:pPr>
              <w:jc w:val="center"/>
              <w:rPr>
                <w:rFonts w:ascii="Arial Narrow" w:hAnsi="Arial Narrow"/>
                <w:sz w:val="18"/>
                <w:szCs w:val="18"/>
              </w:rPr>
            </w:pPr>
            <w:r>
              <w:rPr>
                <w:rFonts w:ascii="Arial Narrow" w:hAnsi="Arial Narrow"/>
                <w:sz w:val="18"/>
                <w:szCs w:val="18"/>
              </w:rPr>
              <w:t>+29,6</w:t>
            </w:r>
          </w:p>
        </w:tc>
        <w:tc>
          <w:tcPr>
            <w:tcW w:w="709" w:type="dxa"/>
            <w:tcBorders>
              <w:top w:val="single" w:sz="4" w:space="0" w:color="auto"/>
              <w:left w:val="nil"/>
              <w:bottom w:val="single" w:sz="4" w:space="0" w:color="auto"/>
              <w:right w:val="nil"/>
            </w:tcBorders>
            <w:shd w:val="clear" w:color="auto" w:fill="D9D9D9"/>
            <w:noWrap/>
            <w:vAlign w:val="center"/>
          </w:tcPr>
          <w:p w14:paraId="2DE55066" w14:textId="0AC01E94" w:rsidR="00F374E1" w:rsidRDefault="00F374E1" w:rsidP="00F374E1">
            <w:pPr>
              <w:jc w:val="center"/>
              <w:rPr>
                <w:rFonts w:ascii="Arial Narrow" w:hAnsi="Arial Narrow"/>
                <w:sz w:val="18"/>
                <w:szCs w:val="18"/>
              </w:rPr>
            </w:pPr>
            <w:r>
              <w:rPr>
                <w:rFonts w:ascii="Arial Narrow" w:hAnsi="Arial Narrow"/>
                <w:sz w:val="18"/>
                <w:szCs w:val="18"/>
              </w:rPr>
              <w:t>+2.478</w:t>
            </w:r>
          </w:p>
        </w:tc>
        <w:tc>
          <w:tcPr>
            <w:tcW w:w="984" w:type="dxa"/>
            <w:tcBorders>
              <w:top w:val="single" w:sz="4" w:space="0" w:color="auto"/>
              <w:left w:val="nil"/>
              <w:bottom w:val="single" w:sz="4" w:space="0" w:color="auto"/>
              <w:right w:val="nil"/>
            </w:tcBorders>
            <w:shd w:val="clear" w:color="auto" w:fill="D9D9D9"/>
            <w:vAlign w:val="center"/>
          </w:tcPr>
          <w:p w14:paraId="514A1CA4" w14:textId="50306426" w:rsidR="00F374E1" w:rsidRDefault="00F374E1" w:rsidP="00F374E1">
            <w:pPr>
              <w:jc w:val="center"/>
              <w:rPr>
                <w:rFonts w:ascii="Arial Narrow" w:hAnsi="Arial Narrow"/>
                <w:sz w:val="18"/>
                <w:szCs w:val="18"/>
              </w:rPr>
            </w:pPr>
            <w:r>
              <w:rPr>
                <w:rFonts w:ascii="Arial Narrow" w:hAnsi="Arial Narrow"/>
                <w:sz w:val="18"/>
                <w:szCs w:val="18"/>
              </w:rPr>
              <w:t>+23.071</w:t>
            </w:r>
          </w:p>
        </w:tc>
      </w:tr>
      <w:tr w:rsidR="00F374E1" w:rsidRPr="008C0651" w14:paraId="17A82108" w14:textId="77777777" w:rsidTr="00F374E1">
        <w:trPr>
          <w:trHeight w:val="255"/>
        </w:trPr>
        <w:tc>
          <w:tcPr>
            <w:tcW w:w="1587" w:type="dxa"/>
            <w:tcBorders>
              <w:top w:val="single" w:sz="4" w:space="0" w:color="auto"/>
              <w:left w:val="nil"/>
              <w:bottom w:val="single" w:sz="4" w:space="0" w:color="auto"/>
              <w:right w:val="nil"/>
            </w:tcBorders>
            <w:shd w:val="clear" w:color="auto" w:fill="auto"/>
            <w:vAlign w:val="bottom"/>
          </w:tcPr>
          <w:p w14:paraId="72D3BA25" w14:textId="77777777" w:rsidR="00F374E1" w:rsidRPr="00831F78" w:rsidRDefault="00F374E1" w:rsidP="00F374E1">
            <w:pPr>
              <w:spacing w:before="40" w:after="20"/>
              <w:rPr>
                <w:rFonts w:ascii="Arial Narrow" w:hAnsi="Arial Narrow"/>
                <w:sz w:val="18"/>
                <w:szCs w:val="18"/>
              </w:rPr>
            </w:pPr>
            <w:r w:rsidRPr="00831F78">
              <w:rPr>
                <w:rFonts w:ascii="Arial Narrow" w:hAnsi="Arial Narrow"/>
                <w:sz w:val="18"/>
                <w:szCs w:val="18"/>
              </w:rPr>
              <w:t>Beni strumentali</w:t>
            </w:r>
          </w:p>
        </w:tc>
        <w:tc>
          <w:tcPr>
            <w:tcW w:w="665" w:type="dxa"/>
            <w:tcBorders>
              <w:top w:val="single" w:sz="4" w:space="0" w:color="auto"/>
              <w:left w:val="nil"/>
              <w:bottom w:val="single" w:sz="4" w:space="0" w:color="auto"/>
              <w:right w:val="nil"/>
            </w:tcBorders>
            <w:shd w:val="clear" w:color="auto" w:fill="D9D9D9"/>
            <w:noWrap/>
            <w:vAlign w:val="center"/>
          </w:tcPr>
          <w:p w14:paraId="3F9915DA" w14:textId="0203CC5F" w:rsidR="00F374E1" w:rsidRDefault="00F374E1" w:rsidP="00F374E1">
            <w:pPr>
              <w:jc w:val="center"/>
              <w:rPr>
                <w:rFonts w:ascii="Arial Narrow" w:hAnsi="Arial Narrow"/>
                <w:sz w:val="18"/>
                <w:szCs w:val="18"/>
              </w:rPr>
            </w:pPr>
            <w:r>
              <w:rPr>
                <w:rFonts w:ascii="Arial Narrow" w:hAnsi="Arial Narrow"/>
                <w:sz w:val="18"/>
                <w:szCs w:val="18"/>
              </w:rPr>
              <w:t>+4,3</w:t>
            </w:r>
          </w:p>
        </w:tc>
        <w:tc>
          <w:tcPr>
            <w:tcW w:w="1108" w:type="dxa"/>
            <w:tcBorders>
              <w:top w:val="single" w:sz="4" w:space="0" w:color="auto"/>
              <w:left w:val="nil"/>
              <w:bottom w:val="single" w:sz="4" w:space="0" w:color="auto"/>
              <w:right w:val="nil"/>
            </w:tcBorders>
            <w:shd w:val="clear" w:color="auto" w:fill="D9D9D9"/>
            <w:noWrap/>
            <w:vAlign w:val="center"/>
          </w:tcPr>
          <w:p w14:paraId="6EE82223" w14:textId="08019220" w:rsidR="00F374E1" w:rsidRDefault="00F374E1" w:rsidP="00F374E1">
            <w:pPr>
              <w:jc w:val="center"/>
              <w:rPr>
                <w:rFonts w:ascii="Arial Narrow" w:hAnsi="Arial Narrow"/>
                <w:sz w:val="18"/>
                <w:szCs w:val="18"/>
              </w:rPr>
            </w:pPr>
            <w:r>
              <w:rPr>
                <w:rFonts w:ascii="Arial Narrow" w:hAnsi="Arial Narrow"/>
                <w:sz w:val="18"/>
                <w:szCs w:val="18"/>
              </w:rPr>
              <w:t>+4,8</w:t>
            </w:r>
          </w:p>
        </w:tc>
        <w:tc>
          <w:tcPr>
            <w:tcW w:w="685" w:type="dxa"/>
            <w:tcBorders>
              <w:top w:val="single" w:sz="4" w:space="0" w:color="auto"/>
              <w:left w:val="nil"/>
              <w:bottom w:val="single" w:sz="4" w:space="0" w:color="auto"/>
              <w:right w:val="nil"/>
            </w:tcBorders>
            <w:shd w:val="clear" w:color="auto" w:fill="auto"/>
            <w:noWrap/>
            <w:vAlign w:val="center"/>
          </w:tcPr>
          <w:p w14:paraId="5A727FAA" w14:textId="6A1792EF" w:rsidR="00F374E1" w:rsidRDefault="00F374E1" w:rsidP="00F374E1">
            <w:pPr>
              <w:jc w:val="center"/>
              <w:rPr>
                <w:rFonts w:ascii="Arial Narrow" w:hAnsi="Arial Narrow"/>
                <w:sz w:val="18"/>
                <w:szCs w:val="18"/>
              </w:rPr>
            </w:pPr>
            <w:r>
              <w:rPr>
                <w:rFonts w:ascii="Arial Narrow" w:hAnsi="Arial Narrow"/>
                <w:sz w:val="18"/>
                <w:szCs w:val="18"/>
              </w:rPr>
              <w:t>+20,5</w:t>
            </w:r>
          </w:p>
        </w:tc>
        <w:tc>
          <w:tcPr>
            <w:tcW w:w="1017" w:type="dxa"/>
            <w:tcBorders>
              <w:top w:val="single" w:sz="4" w:space="0" w:color="auto"/>
              <w:left w:val="nil"/>
              <w:bottom w:val="single" w:sz="4" w:space="0" w:color="auto"/>
              <w:right w:val="nil"/>
            </w:tcBorders>
            <w:shd w:val="clear" w:color="auto" w:fill="auto"/>
            <w:noWrap/>
            <w:vAlign w:val="center"/>
          </w:tcPr>
          <w:p w14:paraId="75988CC6" w14:textId="586F7781" w:rsidR="00F374E1" w:rsidRDefault="00F374E1" w:rsidP="00F374E1">
            <w:pPr>
              <w:jc w:val="center"/>
              <w:rPr>
                <w:rFonts w:ascii="Arial Narrow" w:hAnsi="Arial Narrow"/>
                <w:sz w:val="18"/>
                <w:szCs w:val="18"/>
              </w:rPr>
            </w:pPr>
            <w:r>
              <w:rPr>
                <w:rFonts w:ascii="Arial Narrow" w:hAnsi="Arial Narrow"/>
                <w:sz w:val="18"/>
                <w:szCs w:val="18"/>
              </w:rPr>
              <w:t>+10,6</w:t>
            </w:r>
          </w:p>
        </w:tc>
        <w:tc>
          <w:tcPr>
            <w:tcW w:w="708" w:type="dxa"/>
            <w:tcBorders>
              <w:top w:val="single" w:sz="4" w:space="0" w:color="auto"/>
              <w:left w:val="nil"/>
              <w:bottom w:val="single" w:sz="4" w:space="0" w:color="auto"/>
              <w:right w:val="nil"/>
            </w:tcBorders>
            <w:shd w:val="clear" w:color="auto" w:fill="D9D9D9"/>
            <w:noWrap/>
            <w:vAlign w:val="center"/>
          </w:tcPr>
          <w:p w14:paraId="785D76F8" w14:textId="7CA176C2" w:rsidR="00F374E1" w:rsidRDefault="00F374E1" w:rsidP="00F374E1">
            <w:pPr>
              <w:jc w:val="center"/>
              <w:rPr>
                <w:rFonts w:ascii="Arial Narrow" w:hAnsi="Arial Narrow"/>
                <w:sz w:val="18"/>
                <w:szCs w:val="18"/>
              </w:rPr>
            </w:pPr>
            <w:r>
              <w:rPr>
                <w:rFonts w:ascii="Arial Narrow" w:hAnsi="Arial Narrow"/>
                <w:sz w:val="18"/>
                <w:szCs w:val="18"/>
              </w:rPr>
              <w:t>-2,4</w:t>
            </w:r>
          </w:p>
        </w:tc>
        <w:tc>
          <w:tcPr>
            <w:tcW w:w="1134" w:type="dxa"/>
            <w:tcBorders>
              <w:top w:val="single" w:sz="4" w:space="0" w:color="auto"/>
              <w:left w:val="nil"/>
              <w:bottom w:val="single" w:sz="4" w:space="0" w:color="auto"/>
              <w:right w:val="nil"/>
            </w:tcBorders>
            <w:shd w:val="clear" w:color="auto" w:fill="D9D9D9"/>
            <w:noWrap/>
            <w:vAlign w:val="center"/>
          </w:tcPr>
          <w:p w14:paraId="34AA0FCA" w14:textId="4F9AA4FE" w:rsidR="00F374E1" w:rsidRDefault="00F374E1" w:rsidP="00F374E1">
            <w:pPr>
              <w:jc w:val="center"/>
              <w:rPr>
                <w:rFonts w:ascii="Arial Narrow" w:hAnsi="Arial Narrow"/>
                <w:sz w:val="18"/>
                <w:szCs w:val="18"/>
              </w:rPr>
            </w:pPr>
            <w:r>
              <w:rPr>
                <w:rFonts w:ascii="Arial Narrow" w:hAnsi="Arial Narrow"/>
                <w:sz w:val="18"/>
                <w:szCs w:val="18"/>
              </w:rPr>
              <w:t>+11,9</w:t>
            </w:r>
          </w:p>
        </w:tc>
        <w:tc>
          <w:tcPr>
            <w:tcW w:w="654" w:type="dxa"/>
            <w:tcBorders>
              <w:top w:val="single" w:sz="4" w:space="0" w:color="auto"/>
              <w:left w:val="nil"/>
              <w:bottom w:val="single" w:sz="4" w:space="0" w:color="auto"/>
              <w:right w:val="nil"/>
            </w:tcBorders>
            <w:shd w:val="clear" w:color="auto" w:fill="auto"/>
            <w:noWrap/>
            <w:vAlign w:val="center"/>
          </w:tcPr>
          <w:p w14:paraId="7B2C906C" w14:textId="159C6FC0" w:rsidR="00F374E1" w:rsidRDefault="00F374E1" w:rsidP="00F374E1">
            <w:pPr>
              <w:jc w:val="center"/>
              <w:rPr>
                <w:rFonts w:ascii="Arial Narrow" w:hAnsi="Arial Narrow"/>
                <w:sz w:val="18"/>
                <w:szCs w:val="18"/>
              </w:rPr>
            </w:pPr>
            <w:r>
              <w:rPr>
                <w:rFonts w:ascii="Arial Narrow" w:hAnsi="Arial Narrow"/>
                <w:sz w:val="18"/>
                <w:szCs w:val="18"/>
              </w:rPr>
              <w:t>+33,5</w:t>
            </w:r>
          </w:p>
        </w:tc>
        <w:tc>
          <w:tcPr>
            <w:tcW w:w="984" w:type="dxa"/>
            <w:tcBorders>
              <w:top w:val="single" w:sz="4" w:space="0" w:color="auto"/>
              <w:left w:val="nil"/>
              <w:bottom w:val="single" w:sz="4" w:space="0" w:color="auto"/>
              <w:right w:val="nil"/>
            </w:tcBorders>
            <w:shd w:val="clear" w:color="auto" w:fill="auto"/>
            <w:noWrap/>
            <w:vAlign w:val="center"/>
          </w:tcPr>
          <w:p w14:paraId="77AD697B" w14:textId="680ADCEE" w:rsidR="00F374E1" w:rsidRDefault="00F374E1" w:rsidP="00F374E1">
            <w:pPr>
              <w:jc w:val="center"/>
              <w:rPr>
                <w:rFonts w:ascii="Arial Narrow" w:hAnsi="Arial Narrow"/>
                <w:sz w:val="18"/>
                <w:szCs w:val="18"/>
              </w:rPr>
            </w:pPr>
            <w:r>
              <w:rPr>
                <w:rFonts w:ascii="Arial Narrow" w:hAnsi="Arial Narrow"/>
                <w:sz w:val="18"/>
                <w:szCs w:val="18"/>
              </w:rPr>
              <w:t>+14,8</w:t>
            </w:r>
          </w:p>
        </w:tc>
        <w:tc>
          <w:tcPr>
            <w:tcW w:w="709" w:type="dxa"/>
            <w:tcBorders>
              <w:top w:val="single" w:sz="4" w:space="0" w:color="auto"/>
              <w:left w:val="nil"/>
              <w:bottom w:val="single" w:sz="4" w:space="0" w:color="auto"/>
              <w:right w:val="nil"/>
            </w:tcBorders>
            <w:shd w:val="clear" w:color="auto" w:fill="D9D9D9"/>
            <w:noWrap/>
            <w:vAlign w:val="center"/>
          </w:tcPr>
          <w:p w14:paraId="52B48367" w14:textId="0B0BEB93" w:rsidR="00F374E1" w:rsidRDefault="00F374E1" w:rsidP="00F374E1">
            <w:pPr>
              <w:jc w:val="center"/>
              <w:rPr>
                <w:rFonts w:ascii="Arial Narrow" w:hAnsi="Arial Narrow"/>
                <w:sz w:val="18"/>
                <w:szCs w:val="18"/>
              </w:rPr>
            </w:pPr>
            <w:r>
              <w:rPr>
                <w:rFonts w:ascii="Arial Narrow" w:hAnsi="Arial Narrow"/>
                <w:sz w:val="18"/>
                <w:szCs w:val="18"/>
              </w:rPr>
              <w:t>+3.500</w:t>
            </w:r>
          </w:p>
        </w:tc>
        <w:tc>
          <w:tcPr>
            <w:tcW w:w="984" w:type="dxa"/>
            <w:tcBorders>
              <w:top w:val="single" w:sz="4" w:space="0" w:color="auto"/>
              <w:left w:val="nil"/>
              <w:bottom w:val="single" w:sz="4" w:space="0" w:color="auto"/>
              <w:right w:val="nil"/>
            </w:tcBorders>
            <w:shd w:val="clear" w:color="auto" w:fill="D9D9D9"/>
            <w:vAlign w:val="center"/>
          </w:tcPr>
          <w:p w14:paraId="7221D9A9" w14:textId="6E424763" w:rsidR="00F374E1" w:rsidRDefault="00F374E1" w:rsidP="00F374E1">
            <w:pPr>
              <w:jc w:val="center"/>
              <w:rPr>
                <w:rFonts w:ascii="Arial Narrow" w:hAnsi="Arial Narrow"/>
                <w:sz w:val="18"/>
                <w:szCs w:val="18"/>
              </w:rPr>
            </w:pPr>
            <w:r>
              <w:rPr>
                <w:rFonts w:ascii="Arial Narrow" w:hAnsi="Arial Narrow"/>
                <w:sz w:val="18"/>
                <w:szCs w:val="18"/>
              </w:rPr>
              <w:t>+37.518</w:t>
            </w:r>
          </w:p>
        </w:tc>
      </w:tr>
      <w:tr w:rsidR="00F374E1" w:rsidRPr="008C0651" w14:paraId="3BC242ED" w14:textId="77777777" w:rsidTr="00F374E1">
        <w:trPr>
          <w:trHeight w:val="255"/>
        </w:trPr>
        <w:tc>
          <w:tcPr>
            <w:tcW w:w="1587" w:type="dxa"/>
            <w:tcBorders>
              <w:top w:val="single" w:sz="4" w:space="0" w:color="auto"/>
              <w:left w:val="nil"/>
              <w:bottom w:val="single" w:sz="4" w:space="0" w:color="auto"/>
              <w:right w:val="nil"/>
            </w:tcBorders>
            <w:shd w:val="clear" w:color="auto" w:fill="auto"/>
            <w:vAlign w:val="bottom"/>
          </w:tcPr>
          <w:p w14:paraId="2807F478" w14:textId="77777777" w:rsidR="00F374E1" w:rsidRPr="00831F78" w:rsidRDefault="00F374E1" w:rsidP="00F374E1">
            <w:pPr>
              <w:spacing w:before="40" w:after="20"/>
              <w:rPr>
                <w:rFonts w:ascii="Arial Narrow" w:hAnsi="Arial Narrow"/>
                <w:sz w:val="18"/>
                <w:szCs w:val="18"/>
              </w:rPr>
            </w:pPr>
            <w:r w:rsidRPr="00831F78">
              <w:rPr>
                <w:rFonts w:ascii="Arial Narrow" w:hAnsi="Arial Narrow"/>
                <w:sz w:val="18"/>
                <w:szCs w:val="18"/>
              </w:rPr>
              <w:t>Beni intermedi</w:t>
            </w:r>
          </w:p>
        </w:tc>
        <w:tc>
          <w:tcPr>
            <w:tcW w:w="665" w:type="dxa"/>
            <w:tcBorders>
              <w:top w:val="single" w:sz="4" w:space="0" w:color="auto"/>
              <w:left w:val="nil"/>
              <w:bottom w:val="single" w:sz="4" w:space="0" w:color="auto"/>
              <w:right w:val="nil"/>
            </w:tcBorders>
            <w:shd w:val="clear" w:color="auto" w:fill="D9D9D9"/>
            <w:noWrap/>
            <w:vAlign w:val="center"/>
          </w:tcPr>
          <w:p w14:paraId="543A5AC9" w14:textId="40B5886F" w:rsidR="00F374E1" w:rsidRDefault="00F374E1" w:rsidP="00F374E1">
            <w:pPr>
              <w:jc w:val="center"/>
              <w:rPr>
                <w:rFonts w:ascii="Arial Narrow" w:hAnsi="Arial Narrow"/>
                <w:sz w:val="18"/>
                <w:szCs w:val="18"/>
              </w:rPr>
            </w:pPr>
            <w:r>
              <w:rPr>
                <w:rFonts w:ascii="Arial Narrow" w:hAnsi="Arial Narrow"/>
                <w:sz w:val="18"/>
                <w:szCs w:val="18"/>
              </w:rPr>
              <w:t>+1,0</w:t>
            </w:r>
          </w:p>
        </w:tc>
        <w:tc>
          <w:tcPr>
            <w:tcW w:w="1108" w:type="dxa"/>
            <w:tcBorders>
              <w:top w:val="single" w:sz="4" w:space="0" w:color="auto"/>
              <w:left w:val="nil"/>
              <w:bottom w:val="single" w:sz="4" w:space="0" w:color="auto"/>
              <w:right w:val="nil"/>
            </w:tcBorders>
            <w:shd w:val="clear" w:color="auto" w:fill="D9D9D9"/>
            <w:noWrap/>
            <w:vAlign w:val="center"/>
          </w:tcPr>
          <w:p w14:paraId="5DB9BDE4" w14:textId="1F1E6815" w:rsidR="00F374E1" w:rsidRDefault="00F374E1" w:rsidP="00F374E1">
            <w:pPr>
              <w:jc w:val="center"/>
              <w:rPr>
                <w:rFonts w:ascii="Arial Narrow" w:hAnsi="Arial Narrow"/>
                <w:sz w:val="18"/>
                <w:szCs w:val="18"/>
              </w:rPr>
            </w:pPr>
            <w:r>
              <w:rPr>
                <w:rFonts w:ascii="Arial Narrow" w:hAnsi="Arial Narrow"/>
                <w:sz w:val="18"/>
                <w:szCs w:val="18"/>
              </w:rPr>
              <w:t>+0,0</w:t>
            </w:r>
          </w:p>
        </w:tc>
        <w:tc>
          <w:tcPr>
            <w:tcW w:w="685" w:type="dxa"/>
            <w:tcBorders>
              <w:top w:val="single" w:sz="4" w:space="0" w:color="auto"/>
              <w:left w:val="nil"/>
              <w:bottom w:val="single" w:sz="4" w:space="0" w:color="auto"/>
              <w:right w:val="nil"/>
            </w:tcBorders>
            <w:shd w:val="clear" w:color="auto" w:fill="auto"/>
            <w:noWrap/>
            <w:vAlign w:val="center"/>
          </w:tcPr>
          <w:p w14:paraId="39B6AABF" w14:textId="44EF6C20" w:rsidR="00F374E1" w:rsidRDefault="00F374E1" w:rsidP="00F374E1">
            <w:pPr>
              <w:jc w:val="center"/>
              <w:rPr>
                <w:rFonts w:ascii="Arial Narrow" w:hAnsi="Arial Narrow"/>
                <w:sz w:val="18"/>
                <w:szCs w:val="18"/>
              </w:rPr>
            </w:pPr>
            <w:r>
              <w:rPr>
                <w:rFonts w:ascii="Arial Narrow" w:hAnsi="Arial Narrow"/>
                <w:sz w:val="18"/>
                <w:szCs w:val="18"/>
              </w:rPr>
              <w:t>+19,6</w:t>
            </w:r>
          </w:p>
        </w:tc>
        <w:tc>
          <w:tcPr>
            <w:tcW w:w="1017" w:type="dxa"/>
            <w:tcBorders>
              <w:top w:val="single" w:sz="4" w:space="0" w:color="auto"/>
              <w:left w:val="nil"/>
              <w:bottom w:val="single" w:sz="4" w:space="0" w:color="auto"/>
              <w:right w:val="nil"/>
            </w:tcBorders>
            <w:shd w:val="clear" w:color="auto" w:fill="auto"/>
            <w:noWrap/>
            <w:vAlign w:val="center"/>
          </w:tcPr>
          <w:p w14:paraId="2FC12FD7" w14:textId="061F1F82" w:rsidR="00F374E1" w:rsidRDefault="00F374E1" w:rsidP="00F374E1">
            <w:pPr>
              <w:jc w:val="center"/>
              <w:rPr>
                <w:rFonts w:ascii="Arial Narrow" w:hAnsi="Arial Narrow"/>
                <w:sz w:val="18"/>
                <w:szCs w:val="18"/>
              </w:rPr>
            </w:pPr>
            <w:r>
              <w:rPr>
                <w:rFonts w:ascii="Arial Narrow" w:hAnsi="Arial Narrow"/>
                <w:sz w:val="18"/>
                <w:szCs w:val="18"/>
              </w:rPr>
              <w:t>+23,1</w:t>
            </w:r>
          </w:p>
        </w:tc>
        <w:tc>
          <w:tcPr>
            <w:tcW w:w="708" w:type="dxa"/>
            <w:tcBorders>
              <w:top w:val="single" w:sz="4" w:space="0" w:color="auto"/>
              <w:left w:val="nil"/>
              <w:bottom w:val="single" w:sz="4" w:space="0" w:color="auto"/>
              <w:right w:val="nil"/>
            </w:tcBorders>
            <w:shd w:val="clear" w:color="auto" w:fill="D9D9D9"/>
            <w:noWrap/>
            <w:vAlign w:val="center"/>
          </w:tcPr>
          <w:p w14:paraId="21550567" w14:textId="0EA5492A" w:rsidR="00F374E1" w:rsidRDefault="00F374E1" w:rsidP="00F374E1">
            <w:pPr>
              <w:jc w:val="center"/>
              <w:rPr>
                <w:rFonts w:ascii="Arial Narrow" w:hAnsi="Arial Narrow"/>
                <w:sz w:val="18"/>
                <w:szCs w:val="18"/>
              </w:rPr>
            </w:pPr>
            <w:r>
              <w:rPr>
                <w:rFonts w:ascii="Arial Narrow" w:hAnsi="Arial Narrow"/>
                <w:sz w:val="18"/>
                <w:szCs w:val="18"/>
              </w:rPr>
              <w:t>-6,3</w:t>
            </w:r>
          </w:p>
        </w:tc>
        <w:tc>
          <w:tcPr>
            <w:tcW w:w="1134" w:type="dxa"/>
            <w:tcBorders>
              <w:top w:val="single" w:sz="4" w:space="0" w:color="auto"/>
              <w:left w:val="nil"/>
              <w:bottom w:val="single" w:sz="4" w:space="0" w:color="auto"/>
              <w:right w:val="nil"/>
            </w:tcBorders>
            <w:shd w:val="clear" w:color="auto" w:fill="D9D9D9"/>
            <w:noWrap/>
            <w:vAlign w:val="center"/>
          </w:tcPr>
          <w:p w14:paraId="55BD0008" w14:textId="432BF56A" w:rsidR="00F374E1" w:rsidRDefault="00F374E1" w:rsidP="00F374E1">
            <w:pPr>
              <w:jc w:val="center"/>
              <w:rPr>
                <w:rFonts w:ascii="Arial Narrow" w:hAnsi="Arial Narrow"/>
                <w:sz w:val="18"/>
                <w:szCs w:val="18"/>
              </w:rPr>
            </w:pPr>
            <w:r>
              <w:rPr>
                <w:rFonts w:ascii="Arial Narrow" w:hAnsi="Arial Narrow"/>
                <w:sz w:val="18"/>
                <w:szCs w:val="18"/>
              </w:rPr>
              <w:t>-0,7</w:t>
            </w:r>
          </w:p>
        </w:tc>
        <w:tc>
          <w:tcPr>
            <w:tcW w:w="654" w:type="dxa"/>
            <w:tcBorders>
              <w:top w:val="single" w:sz="4" w:space="0" w:color="auto"/>
              <w:left w:val="nil"/>
              <w:bottom w:val="single" w:sz="4" w:space="0" w:color="auto"/>
              <w:right w:val="nil"/>
            </w:tcBorders>
            <w:shd w:val="clear" w:color="auto" w:fill="auto"/>
            <w:noWrap/>
            <w:vAlign w:val="center"/>
          </w:tcPr>
          <w:p w14:paraId="4EB714E9" w14:textId="3394DF7D" w:rsidR="00F374E1" w:rsidRDefault="00F374E1" w:rsidP="00F374E1">
            <w:pPr>
              <w:jc w:val="center"/>
              <w:rPr>
                <w:rFonts w:ascii="Arial Narrow" w:hAnsi="Arial Narrow"/>
                <w:sz w:val="18"/>
                <w:szCs w:val="18"/>
              </w:rPr>
            </w:pPr>
            <w:r>
              <w:rPr>
                <w:rFonts w:ascii="Arial Narrow" w:hAnsi="Arial Narrow"/>
                <w:sz w:val="18"/>
                <w:szCs w:val="18"/>
              </w:rPr>
              <w:t>+18,3</w:t>
            </w:r>
          </w:p>
        </w:tc>
        <w:tc>
          <w:tcPr>
            <w:tcW w:w="984" w:type="dxa"/>
            <w:tcBorders>
              <w:top w:val="single" w:sz="4" w:space="0" w:color="auto"/>
              <w:left w:val="nil"/>
              <w:bottom w:val="single" w:sz="4" w:space="0" w:color="auto"/>
              <w:right w:val="nil"/>
            </w:tcBorders>
            <w:shd w:val="clear" w:color="auto" w:fill="auto"/>
            <w:noWrap/>
            <w:vAlign w:val="center"/>
          </w:tcPr>
          <w:p w14:paraId="60AA1EF6" w14:textId="6F505FA0" w:rsidR="00F374E1" w:rsidRDefault="00F374E1" w:rsidP="00F374E1">
            <w:pPr>
              <w:jc w:val="center"/>
              <w:rPr>
                <w:rFonts w:ascii="Arial Narrow" w:hAnsi="Arial Narrow"/>
                <w:sz w:val="18"/>
                <w:szCs w:val="18"/>
              </w:rPr>
            </w:pPr>
            <w:r>
              <w:rPr>
                <w:rFonts w:ascii="Arial Narrow" w:hAnsi="Arial Narrow"/>
                <w:sz w:val="18"/>
                <w:szCs w:val="18"/>
              </w:rPr>
              <w:t>+34,9</w:t>
            </w:r>
          </w:p>
        </w:tc>
        <w:tc>
          <w:tcPr>
            <w:tcW w:w="709" w:type="dxa"/>
            <w:tcBorders>
              <w:top w:val="single" w:sz="4" w:space="0" w:color="auto"/>
              <w:left w:val="nil"/>
              <w:bottom w:val="single" w:sz="4" w:space="0" w:color="auto"/>
              <w:right w:val="nil"/>
            </w:tcBorders>
            <w:shd w:val="clear" w:color="auto" w:fill="D9D9D9"/>
            <w:noWrap/>
            <w:vAlign w:val="center"/>
          </w:tcPr>
          <w:p w14:paraId="7972A7EB" w14:textId="116356F5" w:rsidR="00F374E1" w:rsidRDefault="00F374E1" w:rsidP="00F374E1">
            <w:pPr>
              <w:jc w:val="center"/>
              <w:rPr>
                <w:rFonts w:ascii="Arial Narrow" w:hAnsi="Arial Narrow"/>
                <w:sz w:val="18"/>
                <w:szCs w:val="18"/>
              </w:rPr>
            </w:pPr>
            <w:r>
              <w:rPr>
                <w:rFonts w:ascii="Arial Narrow" w:hAnsi="Arial Narrow"/>
                <w:sz w:val="18"/>
                <w:szCs w:val="18"/>
              </w:rPr>
              <w:t>-1.478</w:t>
            </w:r>
          </w:p>
        </w:tc>
        <w:tc>
          <w:tcPr>
            <w:tcW w:w="984" w:type="dxa"/>
            <w:tcBorders>
              <w:top w:val="single" w:sz="4" w:space="0" w:color="auto"/>
              <w:left w:val="nil"/>
              <w:bottom w:val="single" w:sz="4" w:space="0" w:color="auto"/>
              <w:right w:val="nil"/>
            </w:tcBorders>
            <w:shd w:val="clear" w:color="auto" w:fill="D9D9D9"/>
            <w:vAlign w:val="center"/>
          </w:tcPr>
          <w:p w14:paraId="3EA0D96F" w14:textId="78B5CF14" w:rsidR="00F374E1" w:rsidRDefault="00F374E1" w:rsidP="00F374E1">
            <w:pPr>
              <w:jc w:val="center"/>
              <w:rPr>
                <w:rFonts w:ascii="Arial Narrow" w:hAnsi="Arial Narrow"/>
                <w:sz w:val="18"/>
                <w:szCs w:val="18"/>
              </w:rPr>
            </w:pPr>
            <w:r>
              <w:rPr>
                <w:rFonts w:ascii="Arial Narrow" w:hAnsi="Arial Narrow"/>
                <w:sz w:val="18"/>
                <w:szCs w:val="18"/>
              </w:rPr>
              <w:t>-18.932</w:t>
            </w:r>
          </w:p>
        </w:tc>
      </w:tr>
      <w:tr w:rsidR="00F374E1" w:rsidRPr="008C0651" w14:paraId="7064A5C0" w14:textId="77777777" w:rsidTr="00F374E1">
        <w:trPr>
          <w:trHeight w:val="255"/>
        </w:trPr>
        <w:tc>
          <w:tcPr>
            <w:tcW w:w="1587" w:type="dxa"/>
            <w:tcBorders>
              <w:top w:val="single" w:sz="4" w:space="0" w:color="auto"/>
              <w:left w:val="nil"/>
              <w:bottom w:val="single" w:sz="4" w:space="0" w:color="auto"/>
              <w:right w:val="nil"/>
            </w:tcBorders>
            <w:shd w:val="clear" w:color="auto" w:fill="auto"/>
            <w:vAlign w:val="bottom"/>
          </w:tcPr>
          <w:p w14:paraId="268E6281" w14:textId="77777777" w:rsidR="00F374E1" w:rsidRPr="00831F78" w:rsidRDefault="00F374E1" w:rsidP="00F374E1">
            <w:pPr>
              <w:spacing w:before="40" w:after="20"/>
              <w:rPr>
                <w:rFonts w:ascii="Arial Narrow" w:hAnsi="Arial Narrow"/>
                <w:sz w:val="18"/>
                <w:szCs w:val="18"/>
              </w:rPr>
            </w:pPr>
            <w:r w:rsidRPr="00831F78">
              <w:rPr>
                <w:rFonts w:ascii="Arial Narrow" w:hAnsi="Arial Narrow"/>
                <w:sz w:val="18"/>
                <w:szCs w:val="18"/>
              </w:rPr>
              <w:t>Energia</w:t>
            </w:r>
          </w:p>
        </w:tc>
        <w:tc>
          <w:tcPr>
            <w:tcW w:w="665" w:type="dxa"/>
            <w:tcBorders>
              <w:top w:val="single" w:sz="4" w:space="0" w:color="auto"/>
              <w:left w:val="nil"/>
              <w:bottom w:val="single" w:sz="4" w:space="0" w:color="auto"/>
              <w:right w:val="nil"/>
            </w:tcBorders>
            <w:shd w:val="clear" w:color="auto" w:fill="D9D9D9"/>
            <w:noWrap/>
            <w:vAlign w:val="center"/>
          </w:tcPr>
          <w:p w14:paraId="3F65B1A0" w14:textId="27ED41D2" w:rsidR="00F374E1" w:rsidRDefault="00F374E1" w:rsidP="00F374E1">
            <w:pPr>
              <w:jc w:val="center"/>
              <w:rPr>
                <w:rFonts w:ascii="Arial Narrow" w:hAnsi="Arial Narrow"/>
                <w:sz w:val="18"/>
                <w:szCs w:val="18"/>
              </w:rPr>
            </w:pPr>
            <w:r>
              <w:rPr>
                <w:rFonts w:ascii="Arial Narrow" w:hAnsi="Arial Narrow"/>
                <w:sz w:val="18"/>
                <w:szCs w:val="18"/>
              </w:rPr>
              <w:t>-10,1</w:t>
            </w:r>
          </w:p>
        </w:tc>
        <w:tc>
          <w:tcPr>
            <w:tcW w:w="1108" w:type="dxa"/>
            <w:tcBorders>
              <w:top w:val="single" w:sz="4" w:space="0" w:color="auto"/>
              <w:left w:val="nil"/>
              <w:bottom w:val="single" w:sz="4" w:space="0" w:color="auto"/>
              <w:right w:val="nil"/>
            </w:tcBorders>
            <w:shd w:val="clear" w:color="auto" w:fill="D9D9D9"/>
            <w:noWrap/>
            <w:vAlign w:val="center"/>
          </w:tcPr>
          <w:p w14:paraId="3B5C1AE5" w14:textId="0CD3B6BD" w:rsidR="00F374E1" w:rsidRDefault="00F374E1" w:rsidP="00F374E1">
            <w:pPr>
              <w:jc w:val="center"/>
              <w:rPr>
                <w:rFonts w:ascii="Arial Narrow" w:hAnsi="Arial Narrow"/>
                <w:sz w:val="18"/>
                <w:szCs w:val="18"/>
              </w:rPr>
            </w:pPr>
            <w:r>
              <w:rPr>
                <w:rFonts w:ascii="Arial Narrow" w:hAnsi="Arial Narrow"/>
                <w:sz w:val="18"/>
                <w:szCs w:val="18"/>
              </w:rPr>
              <w:t>+2,9</w:t>
            </w:r>
          </w:p>
        </w:tc>
        <w:tc>
          <w:tcPr>
            <w:tcW w:w="685" w:type="dxa"/>
            <w:tcBorders>
              <w:top w:val="single" w:sz="4" w:space="0" w:color="auto"/>
              <w:left w:val="nil"/>
              <w:bottom w:val="single" w:sz="4" w:space="0" w:color="auto"/>
              <w:right w:val="nil"/>
            </w:tcBorders>
            <w:shd w:val="clear" w:color="auto" w:fill="auto"/>
            <w:noWrap/>
            <w:vAlign w:val="center"/>
          </w:tcPr>
          <w:p w14:paraId="57809FE0" w14:textId="3752FCF6" w:rsidR="00F374E1" w:rsidRDefault="00F374E1" w:rsidP="00F374E1">
            <w:pPr>
              <w:jc w:val="center"/>
              <w:rPr>
                <w:rFonts w:ascii="Arial Narrow" w:hAnsi="Arial Narrow"/>
                <w:sz w:val="18"/>
                <w:szCs w:val="18"/>
              </w:rPr>
            </w:pPr>
            <w:r>
              <w:rPr>
                <w:rFonts w:ascii="Arial Narrow" w:hAnsi="Arial Narrow"/>
                <w:sz w:val="18"/>
                <w:szCs w:val="18"/>
              </w:rPr>
              <w:t>+51,8</w:t>
            </w:r>
          </w:p>
        </w:tc>
        <w:tc>
          <w:tcPr>
            <w:tcW w:w="1017" w:type="dxa"/>
            <w:tcBorders>
              <w:top w:val="single" w:sz="4" w:space="0" w:color="auto"/>
              <w:left w:val="nil"/>
              <w:bottom w:val="single" w:sz="4" w:space="0" w:color="auto"/>
              <w:right w:val="nil"/>
            </w:tcBorders>
            <w:shd w:val="clear" w:color="auto" w:fill="auto"/>
            <w:noWrap/>
            <w:vAlign w:val="center"/>
          </w:tcPr>
          <w:p w14:paraId="7C8248A9" w14:textId="120CC1C3" w:rsidR="00F374E1" w:rsidRDefault="00F374E1" w:rsidP="00F374E1">
            <w:pPr>
              <w:jc w:val="center"/>
              <w:rPr>
                <w:rFonts w:ascii="Arial Narrow" w:hAnsi="Arial Narrow"/>
                <w:sz w:val="18"/>
                <w:szCs w:val="18"/>
              </w:rPr>
            </w:pPr>
            <w:r>
              <w:rPr>
                <w:rFonts w:ascii="Arial Narrow" w:hAnsi="Arial Narrow"/>
                <w:sz w:val="18"/>
                <w:szCs w:val="18"/>
              </w:rPr>
              <w:t>+112,6</w:t>
            </w:r>
          </w:p>
        </w:tc>
        <w:tc>
          <w:tcPr>
            <w:tcW w:w="708" w:type="dxa"/>
            <w:tcBorders>
              <w:top w:val="single" w:sz="4" w:space="0" w:color="auto"/>
              <w:left w:val="nil"/>
              <w:bottom w:val="single" w:sz="4" w:space="0" w:color="auto"/>
              <w:right w:val="nil"/>
            </w:tcBorders>
            <w:shd w:val="clear" w:color="auto" w:fill="D9D9D9"/>
            <w:noWrap/>
            <w:vAlign w:val="center"/>
          </w:tcPr>
          <w:p w14:paraId="2D2A7800" w14:textId="3EE85389" w:rsidR="00F374E1" w:rsidRDefault="00F374E1" w:rsidP="00F374E1">
            <w:pPr>
              <w:jc w:val="center"/>
              <w:rPr>
                <w:rFonts w:ascii="Arial Narrow" w:hAnsi="Arial Narrow"/>
                <w:sz w:val="18"/>
                <w:szCs w:val="18"/>
              </w:rPr>
            </w:pPr>
            <w:r>
              <w:rPr>
                <w:rFonts w:ascii="Arial Narrow" w:hAnsi="Arial Narrow"/>
                <w:sz w:val="18"/>
                <w:szCs w:val="18"/>
              </w:rPr>
              <w:t>+4,2</w:t>
            </w:r>
          </w:p>
        </w:tc>
        <w:tc>
          <w:tcPr>
            <w:tcW w:w="1134" w:type="dxa"/>
            <w:tcBorders>
              <w:top w:val="single" w:sz="4" w:space="0" w:color="auto"/>
              <w:left w:val="nil"/>
              <w:bottom w:val="single" w:sz="4" w:space="0" w:color="auto"/>
              <w:right w:val="nil"/>
            </w:tcBorders>
            <w:shd w:val="clear" w:color="auto" w:fill="D9D9D9"/>
            <w:noWrap/>
            <w:vAlign w:val="center"/>
          </w:tcPr>
          <w:p w14:paraId="514A7489" w14:textId="3EFEF581" w:rsidR="00F374E1" w:rsidRDefault="00F374E1" w:rsidP="00F374E1">
            <w:pPr>
              <w:jc w:val="center"/>
              <w:rPr>
                <w:rFonts w:ascii="Arial Narrow" w:hAnsi="Arial Narrow"/>
                <w:sz w:val="18"/>
                <w:szCs w:val="18"/>
              </w:rPr>
            </w:pPr>
            <w:r>
              <w:rPr>
                <w:rFonts w:ascii="Arial Narrow" w:hAnsi="Arial Narrow"/>
                <w:sz w:val="18"/>
                <w:szCs w:val="18"/>
              </w:rPr>
              <w:t>+23,7</w:t>
            </w:r>
          </w:p>
        </w:tc>
        <w:tc>
          <w:tcPr>
            <w:tcW w:w="654" w:type="dxa"/>
            <w:tcBorders>
              <w:top w:val="single" w:sz="4" w:space="0" w:color="auto"/>
              <w:left w:val="nil"/>
              <w:bottom w:val="single" w:sz="4" w:space="0" w:color="auto"/>
              <w:right w:val="nil"/>
            </w:tcBorders>
            <w:shd w:val="clear" w:color="auto" w:fill="auto"/>
            <w:noWrap/>
            <w:vAlign w:val="center"/>
          </w:tcPr>
          <w:p w14:paraId="3065921F" w14:textId="3620FC11" w:rsidR="00F374E1" w:rsidRDefault="00F374E1" w:rsidP="00F374E1">
            <w:pPr>
              <w:jc w:val="center"/>
              <w:rPr>
                <w:rFonts w:ascii="Arial Narrow" w:hAnsi="Arial Narrow"/>
                <w:sz w:val="18"/>
                <w:szCs w:val="18"/>
              </w:rPr>
            </w:pPr>
            <w:r>
              <w:rPr>
                <w:rFonts w:ascii="Arial Narrow" w:hAnsi="Arial Narrow"/>
                <w:sz w:val="18"/>
                <w:szCs w:val="18"/>
              </w:rPr>
              <w:t>+145,1</w:t>
            </w:r>
          </w:p>
        </w:tc>
        <w:tc>
          <w:tcPr>
            <w:tcW w:w="984" w:type="dxa"/>
            <w:tcBorders>
              <w:top w:val="single" w:sz="4" w:space="0" w:color="auto"/>
              <w:left w:val="nil"/>
              <w:bottom w:val="single" w:sz="4" w:space="0" w:color="auto"/>
              <w:right w:val="nil"/>
            </w:tcBorders>
            <w:shd w:val="clear" w:color="auto" w:fill="auto"/>
            <w:noWrap/>
            <w:vAlign w:val="center"/>
          </w:tcPr>
          <w:p w14:paraId="43A38DBF" w14:textId="16371B14" w:rsidR="00F374E1" w:rsidRDefault="00F374E1" w:rsidP="00F374E1">
            <w:pPr>
              <w:jc w:val="center"/>
              <w:rPr>
                <w:rFonts w:ascii="Arial Narrow" w:hAnsi="Arial Narrow"/>
                <w:sz w:val="18"/>
                <w:szCs w:val="18"/>
              </w:rPr>
            </w:pPr>
            <w:r>
              <w:rPr>
                <w:rFonts w:ascii="Arial Narrow" w:hAnsi="Arial Narrow"/>
                <w:sz w:val="18"/>
                <w:szCs w:val="18"/>
              </w:rPr>
              <w:t>+169,0</w:t>
            </w:r>
          </w:p>
        </w:tc>
        <w:tc>
          <w:tcPr>
            <w:tcW w:w="709" w:type="dxa"/>
            <w:tcBorders>
              <w:top w:val="single" w:sz="4" w:space="0" w:color="auto"/>
              <w:left w:val="nil"/>
              <w:bottom w:val="single" w:sz="4" w:space="0" w:color="auto"/>
              <w:right w:val="nil"/>
            </w:tcBorders>
            <w:shd w:val="clear" w:color="auto" w:fill="D9D9D9"/>
            <w:noWrap/>
            <w:vAlign w:val="center"/>
          </w:tcPr>
          <w:p w14:paraId="7481B419" w14:textId="0914AC5B" w:rsidR="00F374E1" w:rsidRDefault="00F374E1" w:rsidP="00F374E1">
            <w:pPr>
              <w:jc w:val="center"/>
              <w:rPr>
                <w:rFonts w:ascii="Arial Narrow" w:hAnsi="Arial Narrow"/>
                <w:sz w:val="18"/>
                <w:szCs w:val="18"/>
              </w:rPr>
            </w:pPr>
            <w:r>
              <w:rPr>
                <w:rFonts w:ascii="Arial Narrow" w:hAnsi="Arial Narrow"/>
                <w:sz w:val="18"/>
                <w:szCs w:val="18"/>
              </w:rPr>
              <w:t>-12.435</w:t>
            </w:r>
          </w:p>
        </w:tc>
        <w:tc>
          <w:tcPr>
            <w:tcW w:w="984" w:type="dxa"/>
            <w:tcBorders>
              <w:top w:val="single" w:sz="4" w:space="0" w:color="auto"/>
              <w:left w:val="nil"/>
              <w:bottom w:val="single" w:sz="4" w:space="0" w:color="auto"/>
              <w:right w:val="nil"/>
            </w:tcBorders>
            <w:shd w:val="clear" w:color="auto" w:fill="D9D9D9"/>
            <w:vAlign w:val="center"/>
          </w:tcPr>
          <w:p w14:paraId="2EE70983" w14:textId="13D8ED04" w:rsidR="00F374E1" w:rsidRDefault="00F374E1" w:rsidP="00F374E1">
            <w:pPr>
              <w:jc w:val="center"/>
              <w:rPr>
                <w:rFonts w:ascii="Arial Narrow" w:hAnsi="Arial Narrow"/>
                <w:sz w:val="18"/>
                <w:szCs w:val="18"/>
              </w:rPr>
            </w:pPr>
            <w:r>
              <w:rPr>
                <w:rFonts w:ascii="Arial Narrow" w:hAnsi="Arial Narrow"/>
                <w:sz w:val="18"/>
                <w:szCs w:val="18"/>
              </w:rPr>
              <w:t>-85.168</w:t>
            </w:r>
          </w:p>
        </w:tc>
      </w:tr>
      <w:tr w:rsidR="00F374E1" w:rsidRPr="008C0651" w14:paraId="5E98AC6E" w14:textId="77777777" w:rsidTr="00F374E1">
        <w:trPr>
          <w:trHeight w:val="255"/>
        </w:trPr>
        <w:tc>
          <w:tcPr>
            <w:tcW w:w="1587" w:type="dxa"/>
            <w:tcBorders>
              <w:top w:val="single" w:sz="4" w:space="0" w:color="auto"/>
              <w:left w:val="nil"/>
              <w:bottom w:val="single" w:sz="4" w:space="0" w:color="auto"/>
              <w:right w:val="nil"/>
            </w:tcBorders>
            <w:shd w:val="clear" w:color="auto" w:fill="auto"/>
            <w:vAlign w:val="bottom"/>
          </w:tcPr>
          <w:p w14:paraId="6037BBAC" w14:textId="77777777" w:rsidR="00F374E1" w:rsidRPr="00831F78" w:rsidRDefault="00F374E1" w:rsidP="00F374E1">
            <w:pPr>
              <w:spacing w:before="40" w:after="20"/>
              <w:rPr>
                <w:rFonts w:ascii="Arial Narrow" w:hAnsi="Arial Narrow"/>
                <w:sz w:val="18"/>
                <w:szCs w:val="18"/>
              </w:rPr>
            </w:pPr>
            <w:r w:rsidRPr="00831F78">
              <w:rPr>
                <w:rFonts w:ascii="Arial Narrow" w:hAnsi="Arial Narrow"/>
                <w:sz w:val="18"/>
                <w:szCs w:val="18"/>
              </w:rPr>
              <w:t>Totale al netto dell’energia</w:t>
            </w:r>
          </w:p>
        </w:tc>
        <w:tc>
          <w:tcPr>
            <w:tcW w:w="665" w:type="dxa"/>
            <w:tcBorders>
              <w:top w:val="single" w:sz="4" w:space="0" w:color="auto"/>
              <w:left w:val="nil"/>
              <w:bottom w:val="single" w:sz="4" w:space="0" w:color="auto"/>
              <w:right w:val="nil"/>
            </w:tcBorders>
            <w:shd w:val="clear" w:color="auto" w:fill="D9D9D9"/>
            <w:noWrap/>
            <w:vAlign w:val="center"/>
          </w:tcPr>
          <w:p w14:paraId="55279850" w14:textId="4849752F" w:rsidR="00F374E1" w:rsidRDefault="00F374E1" w:rsidP="00F374E1">
            <w:pPr>
              <w:jc w:val="center"/>
              <w:rPr>
                <w:rFonts w:ascii="Arial Narrow" w:hAnsi="Arial Narrow"/>
                <w:sz w:val="18"/>
                <w:szCs w:val="18"/>
              </w:rPr>
            </w:pPr>
            <w:r>
              <w:rPr>
                <w:rFonts w:ascii="Arial Narrow" w:hAnsi="Arial Narrow"/>
                <w:sz w:val="18"/>
                <w:szCs w:val="18"/>
              </w:rPr>
              <w:t>+2,1</w:t>
            </w:r>
          </w:p>
        </w:tc>
        <w:tc>
          <w:tcPr>
            <w:tcW w:w="1108" w:type="dxa"/>
            <w:tcBorders>
              <w:top w:val="single" w:sz="4" w:space="0" w:color="auto"/>
              <w:left w:val="nil"/>
              <w:bottom w:val="single" w:sz="4" w:space="0" w:color="auto"/>
              <w:right w:val="nil"/>
            </w:tcBorders>
            <w:shd w:val="clear" w:color="auto" w:fill="D9D9D9"/>
            <w:noWrap/>
            <w:vAlign w:val="center"/>
          </w:tcPr>
          <w:p w14:paraId="6B0B254E" w14:textId="2CC599E4" w:rsidR="00F374E1" w:rsidRDefault="00F374E1" w:rsidP="00F374E1">
            <w:pPr>
              <w:jc w:val="center"/>
              <w:rPr>
                <w:rFonts w:ascii="Arial Narrow" w:hAnsi="Arial Narrow"/>
                <w:sz w:val="18"/>
                <w:szCs w:val="18"/>
              </w:rPr>
            </w:pPr>
            <w:r>
              <w:rPr>
                <w:rFonts w:ascii="Arial Narrow" w:hAnsi="Arial Narrow"/>
                <w:sz w:val="18"/>
                <w:szCs w:val="18"/>
              </w:rPr>
              <w:t>+2,7</w:t>
            </w:r>
          </w:p>
        </w:tc>
        <w:tc>
          <w:tcPr>
            <w:tcW w:w="685" w:type="dxa"/>
            <w:tcBorders>
              <w:top w:val="single" w:sz="4" w:space="0" w:color="auto"/>
              <w:left w:val="nil"/>
              <w:bottom w:val="single" w:sz="4" w:space="0" w:color="auto"/>
              <w:right w:val="nil"/>
            </w:tcBorders>
            <w:shd w:val="clear" w:color="auto" w:fill="auto"/>
            <w:noWrap/>
            <w:vAlign w:val="center"/>
          </w:tcPr>
          <w:p w14:paraId="25A2FEEC" w14:textId="2101FF71" w:rsidR="00F374E1" w:rsidRDefault="00F374E1" w:rsidP="00F374E1">
            <w:pPr>
              <w:jc w:val="center"/>
              <w:rPr>
                <w:rFonts w:ascii="Arial Narrow" w:hAnsi="Arial Narrow"/>
                <w:sz w:val="18"/>
                <w:szCs w:val="18"/>
              </w:rPr>
            </w:pPr>
            <w:r>
              <w:rPr>
                <w:rFonts w:ascii="Arial Narrow" w:hAnsi="Arial Narrow"/>
                <w:sz w:val="18"/>
                <w:szCs w:val="18"/>
              </w:rPr>
              <w:t>+20,6</w:t>
            </w:r>
          </w:p>
        </w:tc>
        <w:tc>
          <w:tcPr>
            <w:tcW w:w="1017" w:type="dxa"/>
            <w:tcBorders>
              <w:top w:val="single" w:sz="4" w:space="0" w:color="auto"/>
              <w:left w:val="nil"/>
              <w:bottom w:val="single" w:sz="4" w:space="0" w:color="auto"/>
              <w:right w:val="nil"/>
            </w:tcBorders>
            <w:shd w:val="clear" w:color="auto" w:fill="auto"/>
            <w:noWrap/>
            <w:vAlign w:val="center"/>
          </w:tcPr>
          <w:p w14:paraId="791A78A0" w14:textId="7FFE9B20" w:rsidR="00F374E1" w:rsidRDefault="00F374E1" w:rsidP="00F374E1">
            <w:pPr>
              <w:jc w:val="center"/>
              <w:rPr>
                <w:rFonts w:ascii="Arial Narrow" w:hAnsi="Arial Narrow"/>
                <w:sz w:val="18"/>
                <w:szCs w:val="18"/>
              </w:rPr>
            </w:pPr>
            <w:r>
              <w:rPr>
                <w:rFonts w:ascii="Arial Narrow" w:hAnsi="Arial Narrow"/>
                <w:sz w:val="18"/>
                <w:szCs w:val="18"/>
              </w:rPr>
              <w:t>+18,7</w:t>
            </w:r>
          </w:p>
        </w:tc>
        <w:tc>
          <w:tcPr>
            <w:tcW w:w="708" w:type="dxa"/>
            <w:tcBorders>
              <w:top w:val="single" w:sz="4" w:space="0" w:color="auto"/>
              <w:left w:val="nil"/>
              <w:bottom w:val="single" w:sz="4" w:space="0" w:color="auto"/>
              <w:right w:val="nil"/>
            </w:tcBorders>
            <w:shd w:val="clear" w:color="auto" w:fill="D9D9D9"/>
            <w:noWrap/>
            <w:vAlign w:val="center"/>
          </w:tcPr>
          <w:p w14:paraId="07928A9D" w14:textId="773C3145" w:rsidR="00F374E1" w:rsidRDefault="00F374E1" w:rsidP="00F374E1">
            <w:pPr>
              <w:jc w:val="center"/>
              <w:rPr>
                <w:rFonts w:ascii="Arial Narrow" w:hAnsi="Arial Narrow"/>
                <w:sz w:val="18"/>
                <w:szCs w:val="18"/>
              </w:rPr>
            </w:pPr>
            <w:r>
              <w:rPr>
                <w:rFonts w:ascii="Arial Narrow" w:hAnsi="Arial Narrow"/>
                <w:sz w:val="18"/>
                <w:szCs w:val="18"/>
              </w:rPr>
              <w:t>-3,5</w:t>
            </w:r>
          </w:p>
        </w:tc>
        <w:tc>
          <w:tcPr>
            <w:tcW w:w="1134" w:type="dxa"/>
            <w:tcBorders>
              <w:top w:val="single" w:sz="4" w:space="0" w:color="auto"/>
              <w:left w:val="nil"/>
              <w:bottom w:val="single" w:sz="4" w:space="0" w:color="auto"/>
              <w:right w:val="nil"/>
            </w:tcBorders>
            <w:shd w:val="clear" w:color="auto" w:fill="D9D9D9"/>
            <w:noWrap/>
            <w:vAlign w:val="center"/>
          </w:tcPr>
          <w:p w14:paraId="1BDC5F83" w14:textId="039E22D7" w:rsidR="00F374E1" w:rsidRDefault="00F374E1" w:rsidP="00F374E1">
            <w:pPr>
              <w:jc w:val="center"/>
              <w:rPr>
                <w:rFonts w:ascii="Arial Narrow" w:hAnsi="Arial Narrow"/>
                <w:sz w:val="18"/>
                <w:szCs w:val="18"/>
              </w:rPr>
            </w:pPr>
            <w:r>
              <w:rPr>
                <w:rFonts w:ascii="Arial Narrow" w:hAnsi="Arial Narrow"/>
                <w:sz w:val="18"/>
                <w:szCs w:val="18"/>
              </w:rPr>
              <w:t>+3,1</w:t>
            </w:r>
          </w:p>
        </w:tc>
        <w:tc>
          <w:tcPr>
            <w:tcW w:w="654" w:type="dxa"/>
            <w:tcBorders>
              <w:top w:val="single" w:sz="4" w:space="0" w:color="auto"/>
              <w:left w:val="nil"/>
              <w:bottom w:val="single" w:sz="4" w:space="0" w:color="auto"/>
              <w:right w:val="nil"/>
            </w:tcBorders>
            <w:shd w:val="clear" w:color="auto" w:fill="auto"/>
            <w:noWrap/>
            <w:vAlign w:val="center"/>
          </w:tcPr>
          <w:p w14:paraId="7048DA16" w14:textId="182C273A" w:rsidR="00F374E1" w:rsidRDefault="00F374E1" w:rsidP="00F374E1">
            <w:pPr>
              <w:jc w:val="center"/>
              <w:rPr>
                <w:rFonts w:ascii="Arial Narrow" w:hAnsi="Arial Narrow"/>
                <w:sz w:val="18"/>
                <w:szCs w:val="18"/>
              </w:rPr>
            </w:pPr>
            <w:r>
              <w:rPr>
                <w:rFonts w:ascii="Arial Narrow" w:hAnsi="Arial Narrow"/>
                <w:sz w:val="18"/>
                <w:szCs w:val="18"/>
              </w:rPr>
              <w:t>+23,8</w:t>
            </w:r>
          </w:p>
        </w:tc>
        <w:tc>
          <w:tcPr>
            <w:tcW w:w="984" w:type="dxa"/>
            <w:tcBorders>
              <w:top w:val="single" w:sz="4" w:space="0" w:color="auto"/>
              <w:left w:val="nil"/>
              <w:bottom w:val="single" w:sz="4" w:space="0" w:color="auto"/>
              <w:right w:val="nil"/>
            </w:tcBorders>
            <w:shd w:val="clear" w:color="auto" w:fill="auto"/>
            <w:noWrap/>
            <w:vAlign w:val="center"/>
          </w:tcPr>
          <w:p w14:paraId="35E3725B" w14:textId="4ED535C2" w:rsidR="00F374E1" w:rsidRDefault="00F374E1" w:rsidP="00F374E1">
            <w:pPr>
              <w:jc w:val="center"/>
              <w:rPr>
                <w:rFonts w:ascii="Arial Narrow" w:hAnsi="Arial Narrow"/>
                <w:sz w:val="18"/>
                <w:szCs w:val="18"/>
              </w:rPr>
            </w:pPr>
            <w:r>
              <w:rPr>
                <w:rFonts w:ascii="Arial Narrow" w:hAnsi="Arial Narrow"/>
                <w:sz w:val="18"/>
                <w:szCs w:val="18"/>
              </w:rPr>
              <w:t>+27,1</w:t>
            </w:r>
          </w:p>
        </w:tc>
        <w:tc>
          <w:tcPr>
            <w:tcW w:w="709" w:type="dxa"/>
            <w:tcBorders>
              <w:top w:val="single" w:sz="4" w:space="0" w:color="auto"/>
              <w:left w:val="nil"/>
              <w:bottom w:val="single" w:sz="4" w:space="0" w:color="auto"/>
              <w:right w:val="nil"/>
            </w:tcBorders>
            <w:shd w:val="clear" w:color="auto" w:fill="D9D9D9"/>
            <w:noWrap/>
            <w:vAlign w:val="center"/>
          </w:tcPr>
          <w:p w14:paraId="71A6EA57" w14:textId="0C927AB4" w:rsidR="00F374E1" w:rsidRDefault="00F374E1" w:rsidP="00F374E1">
            <w:pPr>
              <w:jc w:val="center"/>
              <w:rPr>
                <w:rFonts w:ascii="Arial Narrow" w:hAnsi="Arial Narrow"/>
                <w:sz w:val="18"/>
                <w:szCs w:val="18"/>
              </w:rPr>
            </w:pPr>
            <w:r>
              <w:rPr>
                <w:rFonts w:ascii="Arial Narrow" w:hAnsi="Arial Narrow"/>
                <w:sz w:val="18"/>
                <w:szCs w:val="18"/>
              </w:rPr>
              <w:t>+5.982</w:t>
            </w:r>
          </w:p>
        </w:tc>
        <w:tc>
          <w:tcPr>
            <w:tcW w:w="984" w:type="dxa"/>
            <w:tcBorders>
              <w:top w:val="single" w:sz="4" w:space="0" w:color="auto"/>
              <w:left w:val="nil"/>
              <w:bottom w:val="single" w:sz="4" w:space="0" w:color="auto"/>
              <w:right w:val="nil"/>
            </w:tcBorders>
            <w:shd w:val="clear" w:color="auto" w:fill="D9D9D9"/>
            <w:vAlign w:val="center"/>
          </w:tcPr>
          <w:p w14:paraId="2B791147" w14:textId="647B6498" w:rsidR="00F374E1" w:rsidRDefault="00F374E1" w:rsidP="00F374E1">
            <w:pPr>
              <w:jc w:val="center"/>
              <w:rPr>
                <w:rFonts w:ascii="Arial Narrow" w:hAnsi="Arial Narrow"/>
                <w:sz w:val="18"/>
                <w:szCs w:val="18"/>
              </w:rPr>
            </w:pPr>
            <w:r>
              <w:rPr>
                <w:rFonts w:ascii="Arial Narrow" w:hAnsi="Arial Narrow"/>
                <w:sz w:val="18"/>
                <w:szCs w:val="18"/>
              </w:rPr>
              <w:t>+53.781</w:t>
            </w:r>
          </w:p>
        </w:tc>
      </w:tr>
      <w:tr w:rsidR="00F374E1" w:rsidRPr="008C0651" w14:paraId="55245CCE" w14:textId="77777777" w:rsidTr="00F374E1">
        <w:trPr>
          <w:trHeight w:val="255"/>
        </w:trPr>
        <w:tc>
          <w:tcPr>
            <w:tcW w:w="1587" w:type="dxa"/>
            <w:tcBorders>
              <w:top w:val="single" w:sz="4" w:space="0" w:color="auto"/>
              <w:left w:val="nil"/>
              <w:bottom w:val="single" w:sz="4" w:space="0" w:color="auto"/>
              <w:right w:val="nil"/>
            </w:tcBorders>
            <w:shd w:val="clear" w:color="000000" w:fill="FF0000"/>
            <w:vAlign w:val="bottom"/>
          </w:tcPr>
          <w:p w14:paraId="221BD76C" w14:textId="77777777" w:rsidR="00F374E1" w:rsidRPr="008C0651" w:rsidRDefault="00F374E1" w:rsidP="00F374E1">
            <w:pPr>
              <w:spacing w:before="40" w:after="20"/>
              <w:rPr>
                <w:rFonts w:ascii="Arial Narrow" w:hAnsi="Arial Narrow"/>
                <w:b/>
                <w:color w:val="FFFFFF" w:themeColor="background1"/>
                <w:sz w:val="18"/>
                <w:szCs w:val="18"/>
              </w:rPr>
            </w:pPr>
            <w:r w:rsidRPr="008C0651">
              <w:rPr>
                <w:rFonts w:ascii="Arial Narrow" w:hAnsi="Arial Narrow"/>
                <w:b/>
                <w:color w:val="FFFFFF" w:themeColor="background1"/>
                <w:sz w:val="18"/>
                <w:szCs w:val="18"/>
              </w:rPr>
              <w:t>Totale</w:t>
            </w:r>
          </w:p>
        </w:tc>
        <w:tc>
          <w:tcPr>
            <w:tcW w:w="665" w:type="dxa"/>
            <w:tcBorders>
              <w:top w:val="single" w:sz="4" w:space="0" w:color="auto"/>
              <w:left w:val="nil"/>
              <w:bottom w:val="single" w:sz="4" w:space="0" w:color="auto"/>
              <w:right w:val="nil"/>
            </w:tcBorders>
            <w:shd w:val="clear" w:color="000000" w:fill="FF0000"/>
            <w:noWrap/>
            <w:vAlign w:val="center"/>
          </w:tcPr>
          <w:p w14:paraId="21240D72" w14:textId="3030535E" w:rsidR="00F374E1" w:rsidRDefault="00F374E1" w:rsidP="00F374E1">
            <w:pPr>
              <w:jc w:val="center"/>
              <w:rPr>
                <w:rFonts w:ascii="Arial Narrow" w:hAnsi="Arial Narrow"/>
                <w:b/>
                <w:bCs/>
                <w:color w:val="FFFFFF"/>
                <w:sz w:val="18"/>
                <w:szCs w:val="18"/>
              </w:rPr>
            </w:pPr>
            <w:r>
              <w:rPr>
                <w:rFonts w:ascii="Arial Narrow" w:hAnsi="Arial Narrow"/>
                <w:b/>
                <w:bCs/>
                <w:color w:val="FFFFFF"/>
                <w:sz w:val="18"/>
                <w:szCs w:val="18"/>
              </w:rPr>
              <w:t>+1,6</w:t>
            </w:r>
          </w:p>
        </w:tc>
        <w:tc>
          <w:tcPr>
            <w:tcW w:w="1108" w:type="dxa"/>
            <w:tcBorders>
              <w:top w:val="single" w:sz="4" w:space="0" w:color="auto"/>
              <w:left w:val="nil"/>
              <w:bottom w:val="single" w:sz="4" w:space="0" w:color="auto"/>
              <w:right w:val="nil"/>
            </w:tcBorders>
            <w:shd w:val="clear" w:color="000000" w:fill="FF0000"/>
            <w:noWrap/>
            <w:vAlign w:val="center"/>
          </w:tcPr>
          <w:p w14:paraId="7F24A5A1" w14:textId="638E1B01" w:rsidR="00F374E1" w:rsidRDefault="00F374E1" w:rsidP="00F374E1">
            <w:pPr>
              <w:jc w:val="center"/>
              <w:rPr>
                <w:rFonts w:ascii="Arial Narrow" w:hAnsi="Arial Narrow"/>
                <w:b/>
                <w:bCs/>
                <w:color w:val="FFFFFF"/>
                <w:sz w:val="18"/>
                <w:szCs w:val="18"/>
              </w:rPr>
            </w:pPr>
            <w:r>
              <w:rPr>
                <w:rFonts w:ascii="Arial Narrow" w:hAnsi="Arial Narrow"/>
                <w:b/>
                <w:bCs/>
                <w:color w:val="FFFFFF"/>
                <w:sz w:val="18"/>
                <w:szCs w:val="18"/>
              </w:rPr>
              <w:t>+2,7</w:t>
            </w:r>
          </w:p>
        </w:tc>
        <w:tc>
          <w:tcPr>
            <w:tcW w:w="685" w:type="dxa"/>
            <w:tcBorders>
              <w:top w:val="single" w:sz="4" w:space="0" w:color="auto"/>
              <w:left w:val="nil"/>
              <w:bottom w:val="single" w:sz="4" w:space="0" w:color="auto"/>
              <w:right w:val="nil"/>
            </w:tcBorders>
            <w:shd w:val="clear" w:color="000000" w:fill="FF0000"/>
            <w:noWrap/>
            <w:vAlign w:val="center"/>
          </w:tcPr>
          <w:p w14:paraId="3BF2FBD0" w14:textId="1749E450" w:rsidR="00F374E1" w:rsidRDefault="00F374E1" w:rsidP="00F374E1">
            <w:pPr>
              <w:jc w:val="center"/>
              <w:rPr>
                <w:rFonts w:ascii="Arial Narrow" w:hAnsi="Arial Narrow"/>
                <w:b/>
                <w:bCs/>
                <w:color w:val="FFFFFF"/>
                <w:sz w:val="18"/>
                <w:szCs w:val="18"/>
              </w:rPr>
            </w:pPr>
            <w:r>
              <w:rPr>
                <w:rFonts w:ascii="Arial Narrow" w:hAnsi="Arial Narrow"/>
                <w:b/>
                <w:bCs/>
                <w:color w:val="FFFFFF"/>
                <w:sz w:val="18"/>
                <w:szCs w:val="18"/>
              </w:rPr>
              <w:t>+21,6</w:t>
            </w:r>
          </w:p>
        </w:tc>
        <w:tc>
          <w:tcPr>
            <w:tcW w:w="1017" w:type="dxa"/>
            <w:tcBorders>
              <w:top w:val="single" w:sz="4" w:space="0" w:color="auto"/>
              <w:left w:val="nil"/>
              <w:bottom w:val="single" w:sz="4" w:space="0" w:color="auto"/>
              <w:right w:val="nil"/>
            </w:tcBorders>
            <w:shd w:val="clear" w:color="000000" w:fill="FF0000"/>
            <w:noWrap/>
            <w:vAlign w:val="center"/>
          </w:tcPr>
          <w:p w14:paraId="73B32ACF" w14:textId="13432942" w:rsidR="00F374E1" w:rsidRDefault="00F374E1" w:rsidP="00F374E1">
            <w:pPr>
              <w:jc w:val="center"/>
              <w:rPr>
                <w:rFonts w:ascii="Arial Narrow" w:hAnsi="Arial Narrow"/>
                <w:b/>
                <w:bCs/>
                <w:color w:val="FFFFFF"/>
                <w:sz w:val="18"/>
                <w:szCs w:val="18"/>
              </w:rPr>
            </w:pPr>
            <w:r>
              <w:rPr>
                <w:rFonts w:ascii="Arial Narrow" w:hAnsi="Arial Narrow"/>
                <w:b/>
                <w:bCs/>
                <w:color w:val="FFFFFF"/>
                <w:sz w:val="18"/>
                <w:szCs w:val="18"/>
              </w:rPr>
              <w:t>+21,1</w:t>
            </w:r>
          </w:p>
        </w:tc>
        <w:tc>
          <w:tcPr>
            <w:tcW w:w="708" w:type="dxa"/>
            <w:tcBorders>
              <w:top w:val="single" w:sz="4" w:space="0" w:color="auto"/>
              <w:left w:val="nil"/>
              <w:bottom w:val="single" w:sz="4" w:space="0" w:color="auto"/>
              <w:right w:val="nil"/>
            </w:tcBorders>
            <w:shd w:val="clear" w:color="000000" w:fill="FF0000"/>
            <w:noWrap/>
            <w:vAlign w:val="center"/>
          </w:tcPr>
          <w:p w14:paraId="3B7E35A5" w14:textId="5F9298F5" w:rsidR="00F374E1" w:rsidRDefault="00F374E1" w:rsidP="00F374E1">
            <w:pPr>
              <w:jc w:val="center"/>
              <w:rPr>
                <w:rFonts w:ascii="Arial Narrow" w:hAnsi="Arial Narrow"/>
                <w:b/>
                <w:bCs/>
                <w:color w:val="FFFFFF"/>
                <w:sz w:val="18"/>
                <w:szCs w:val="18"/>
              </w:rPr>
            </w:pPr>
            <w:r>
              <w:rPr>
                <w:rFonts w:ascii="Arial Narrow" w:hAnsi="Arial Narrow"/>
                <w:b/>
                <w:bCs/>
                <w:color w:val="FFFFFF"/>
                <w:sz w:val="18"/>
                <w:szCs w:val="18"/>
              </w:rPr>
              <w:t>-1,7</w:t>
            </w:r>
          </w:p>
        </w:tc>
        <w:tc>
          <w:tcPr>
            <w:tcW w:w="1134" w:type="dxa"/>
            <w:tcBorders>
              <w:top w:val="single" w:sz="4" w:space="0" w:color="auto"/>
              <w:left w:val="nil"/>
              <w:bottom w:val="single" w:sz="4" w:space="0" w:color="auto"/>
              <w:right w:val="nil"/>
            </w:tcBorders>
            <w:shd w:val="clear" w:color="000000" w:fill="FF0000"/>
            <w:noWrap/>
            <w:vAlign w:val="center"/>
          </w:tcPr>
          <w:p w14:paraId="73DCCAE3" w14:textId="06CB3685" w:rsidR="00F374E1" w:rsidRDefault="00F374E1" w:rsidP="00F374E1">
            <w:pPr>
              <w:jc w:val="center"/>
              <w:rPr>
                <w:rFonts w:ascii="Arial Narrow" w:hAnsi="Arial Narrow"/>
                <w:b/>
                <w:bCs/>
                <w:color w:val="FFFFFF"/>
                <w:sz w:val="18"/>
                <w:szCs w:val="18"/>
              </w:rPr>
            </w:pPr>
            <w:r>
              <w:rPr>
                <w:rFonts w:ascii="Arial Narrow" w:hAnsi="Arial Narrow"/>
                <w:b/>
                <w:bCs/>
                <w:color w:val="FFFFFF"/>
                <w:sz w:val="18"/>
                <w:szCs w:val="18"/>
              </w:rPr>
              <w:t>+7,5</w:t>
            </w:r>
          </w:p>
        </w:tc>
        <w:tc>
          <w:tcPr>
            <w:tcW w:w="654" w:type="dxa"/>
            <w:tcBorders>
              <w:top w:val="single" w:sz="4" w:space="0" w:color="auto"/>
              <w:left w:val="nil"/>
              <w:bottom w:val="single" w:sz="4" w:space="0" w:color="auto"/>
              <w:right w:val="nil"/>
            </w:tcBorders>
            <w:shd w:val="clear" w:color="000000" w:fill="FF0000"/>
            <w:noWrap/>
            <w:vAlign w:val="center"/>
          </w:tcPr>
          <w:p w14:paraId="78605F65" w14:textId="74AD5C89" w:rsidR="00F374E1" w:rsidRDefault="00F374E1" w:rsidP="00F374E1">
            <w:pPr>
              <w:jc w:val="center"/>
              <w:rPr>
                <w:rFonts w:ascii="Arial Narrow" w:hAnsi="Arial Narrow"/>
                <w:b/>
                <w:bCs/>
                <w:color w:val="FFFFFF"/>
                <w:sz w:val="18"/>
                <w:szCs w:val="18"/>
              </w:rPr>
            </w:pPr>
            <w:r>
              <w:rPr>
                <w:rFonts w:ascii="Arial Narrow" w:hAnsi="Arial Narrow"/>
                <w:b/>
                <w:bCs/>
                <w:color w:val="FFFFFF"/>
                <w:sz w:val="18"/>
                <w:szCs w:val="18"/>
              </w:rPr>
              <w:t>+40,4</w:t>
            </w:r>
          </w:p>
        </w:tc>
        <w:tc>
          <w:tcPr>
            <w:tcW w:w="984" w:type="dxa"/>
            <w:tcBorders>
              <w:top w:val="single" w:sz="4" w:space="0" w:color="auto"/>
              <w:left w:val="nil"/>
              <w:bottom w:val="single" w:sz="4" w:space="0" w:color="auto"/>
              <w:right w:val="nil"/>
            </w:tcBorders>
            <w:shd w:val="clear" w:color="000000" w:fill="FF0000"/>
            <w:noWrap/>
            <w:vAlign w:val="center"/>
          </w:tcPr>
          <w:p w14:paraId="2438AC7D" w14:textId="2C1A78B9" w:rsidR="00F374E1" w:rsidRDefault="00F374E1" w:rsidP="00F374E1">
            <w:pPr>
              <w:jc w:val="center"/>
              <w:rPr>
                <w:rFonts w:ascii="Arial Narrow" w:hAnsi="Arial Narrow"/>
                <w:b/>
                <w:bCs/>
                <w:color w:val="FFFFFF"/>
                <w:sz w:val="18"/>
                <w:szCs w:val="18"/>
              </w:rPr>
            </w:pPr>
            <w:r>
              <w:rPr>
                <w:rFonts w:ascii="Arial Narrow" w:hAnsi="Arial Narrow"/>
                <w:b/>
                <w:bCs/>
                <w:color w:val="FFFFFF"/>
                <w:sz w:val="18"/>
                <w:szCs w:val="18"/>
              </w:rPr>
              <w:t>+43,5</w:t>
            </w:r>
          </w:p>
        </w:tc>
        <w:tc>
          <w:tcPr>
            <w:tcW w:w="709" w:type="dxa"/>
            <w:tcBorders>
              <w:top w:val="single" w:sz="4" w:space="0" w:color="auto"/>
              <w:left w:val="nil"/>
              <w:bottom w:val="single" w:sz="4" w:space="0" w:color="auto"/>
              <w:right w:val="nil"/>
            </w:tcBorders>
            <w:shd w:val="clear" w:color="000000" w:fill="FF0000"/>
            <w:noWrap/>
            <w:vAlign w:val="center"/>
          </w:tcPr>
          <w:p w14:paraId="2D3E088F" w14:textId="32575906" w:rsidR="00F374E1" w:rsidRDefault="00F374E1" w:rsidP="00F374E1">
            <w:pPr>
              <w:jc w:val="center"/>
              <w:rPr>
                <w:rFonts w:ascii="Arial Narrow" w:hAnsi="Arial Narrow"/>
                <w:b/>
                <w:bCs/>
                <w:color w:val="FFFFFF"/>
                <w:sz w:val="18"/>
                <w:szCs w:val="18"/>
              </w:rPr>
            </w:pPr>
            <w:r>
              <w:rPr>
                <w:rFonts w:ascii="Arial Narrow" w:hAnsi="Arial Narrow"/>
                <w:b/>
                <w:bCs/>
                <w:color w:val="FFFFFF"/>
                <w:sz w:val="18"/>
                <w:szCs w:val="18"/>
              </w:rPr>
              <w:t>-6.454</w:t>
            </w:r>
          </w:p>
        </w:tc>
        <w:tc>
          <w:tcPr>
            <w:tcW w:w="984" w:type="dxa"/>
            <w:tcBorders>
              <w:top w:val="single" w:sz="4" w:space="0" w:color="auto"/>
              <w:left w:val="nil"/>
              <w:bottom w:val="single" w:sz="4" w:space="0" w:color="auto"/>
              <w:right w:val="nil"/>
            </w:tcBorders>
            <w:shd w:val="clear" w:color="000000" w:fill="FF0000"/>
            <w:vAlign w:val="center"/>
          </w:tcPr>
          <w:p w14:paraId="3FDB24ED" w14:textId="61DF291E" w:rsidR="00F374E1" w:rsidRDefault="00F374E1" w:rsidP="00F374E1">
            <w:pPr>
              <w:jc w:val="center"/>
              <w:rPr>
                <w:rFonts w:ascii="Arial Narrow" w:hAnsi="Arial Narrow"/>
                <w:b/>
                <w:bCs/>
                <w:color w:val="FFFFFF"/>
                <w:sz w:val="18"/>
                <w:szCs w:val="18"/>
              </w:rPr>
            </w:pPr>
            <w:r>
              <w:rPr>
                <w:rFonts w:ascii="Arial Narrow" w:hAnsi="Arial Narrow"/>
                <w:b/>
                <w:bCs/>
                <w:color w:val="FFFFFF"/>
                <w:sz w:val="18"/>
                <w:szCs w:val="18"/>
              </w:rPr>
              <w:t>-31.387</w:t>
            </w:r>
          </w:p>
        </w:tc>
      </w:tr>
    </w:tbl>
    <w:p w14:paraId="25AF6E9D" w14:textId="77777777" w:rsidR="00E35D07" w:rsidRPr="00F515CD" w:rsidRDefault="00E35D07" w:rsidP="00C32401">
      <w:pPr>
        <w:pStyle w:val="Corpodeltesto1"/>
        <w:spacing w:after="120"/>
        <w:rPr>
          <w:rFonts w:ascii="Arial" w:hAnsi="Arial" w:cs="Arial"/>
          <w:b w:val="0"/>
          <w:color w:val="000000"/>
          <w:kern w:val="28"/>
          <w:sz w:val="21"/>
          <w:szCs w:val="21"/>
        </w:rPr>
      </w:pPr>
    </w:p>
    <w:p w14:paraId="790E9122" w14:textId="77777777" w:rsidR="005C5F2C" w:rsidRDefault="005C5F2C" w:rsidP="00513535">
      <w:pPr>
        <w:pStyle w:val="Corpodeltesto1"/>
        <w:rPr>
          <w:rFonts w:ascii="Arial" w:hAnsi="Arial" w:cs="Arial"/>
          <w:b w:val="0"/>
          <w:color w:val="000000"/>
          <w:kern w:val="28"/>
          <w:sz w:val="21"/>
          <w:szCs w:val="21"/>
        </w:rPr>
      </w:pPr>
    </w:p>
    <w:p w14:paraId="265C9A31" w14:textId="62780BFF" w:rsidR="00513535" w:rsidRPr="0004409E" w:rsidRDefault="006115EB" w:rsidP="00513535">
      <w:pPr>
        <w:pStyle w:val="Corpodeltesto1"/>
        <w:rPr>
          <w:rFonts w:ascii="Arial" w:hAnsi="Arial" w:cs="Arial"/>
          <w:b w:val="0"/>
          <w:color w:val="000000"/>
          <w:kern w:val="28"/>
          <w:sz w:val="21"/>
          <w:szCs w:val="21"/>
        </w:rPr>
      </w:pPr>
      <w:r w:rsidRPr="0004409E">
        <w:rPr>
          <w:rFonts w:ascii="Arial" w:hAnsi="Arial" w:cs="Arial"/>
          <w:b w:val="0"/>
          <w:color w:val="000000"/>
          <w:kern w:val="28"/>
          <w:sz w:val="21"/>
          <w:szCs w:val="21"/>
        </w:rPr>
        <w:t>A settembre</w:t>
      </w:r>
      <w:r w:rsidR="005016C2" w:rsidRPr="0004409E">
        <w:rPr>
          <w:rFonts w:ascii="Arial" w:hAnsi="Arial" w:cs="Arial"/>
          <w:b w:val="0"/>
          <w:color w:val="000000"/>
          <w:kern w:val="28"/>
          <w:sz w:val="21"/>
          <w:szCs w:val="21"/>
        </w:rPr>
        <w:t xml:space="preserve"> </w:t>
      </w:r>
      <w:r w:rsidR="00513535" w:rsidRPr="0004409E">
        <w:rPr>
          <w:rFonts w:ascii="Arial" w:hAnsi="Arial" w:cs="Arial"/>
          <w:b w:val="0"/>
          <w:color w:val="000000"/>
          <w:kern w:val="28"/>
          <w:sz w:val="21"/>
          <w:szCs w:val="21"/>
        </w:rPr>
        <w:t xml:space="preserve">2022, la </w:t>
      </w:r>
      <w:r w:rsidRPr="0004409E">
        <w:rPr>
          <w:rFonts w:ascii="Arial" w:hAnsi="Arial" w:cs="Arial"/>
          <w:b w:val="0"/>
          <w:color w:val="000000"/>
          <w:kern w:val="28"/>
          <w:sz w:val="21"/>
          <w:szCs w:val="21"/>
        </w:rPr>
        <w:t>crescita</w:t>
      </w:r>
      <w:r w:rsidR="005016C2" w:rsidRPr="0004409E">
        <w:rPr>
          <w:rFonts w:ascii="Arial" w:hAnsi="Arial" w:cs="Arial"/>
          <w:b w:val="0"/>
          <w:color w:val="000000"/>
          <w:kern w:val="28"/>
          <w:sz w:val="21"/>
          <w:szCs w:val="21"/>
        </w:rPr>
        <w:t xml:space="preserve"> </w:t>
      </w:r>
      <w:r w:rsidRPr="0004409E">
        <w:rPr>
          <w:rFonts w:ascii="Arial" w:hAnsi="Arial" w:cs="Arial"/>
          <w:b w:val="0"/>
          <w:color w:val="000000"/>
          <w:kern w:val="28"/>
          <w:sz w:val="21"/>
          <w:szCs w:val="21"/>
        </w:rPr>
        <w:t>congiunturale dell’export (+1</w:t>
      </w:r>
      <w:r w:rsidR="00513535" w:rsidRPr="0004409E">
        <w:rPr>
          <w:rFonts w:ascii="Arial" w:hAnsi="Arial" w:cs="Arial"/>
          <w:b w:val="0"/>
          <w:color w:val="000000"/>
          <w:kern w:val="28"/>
          <w:sz w:val="21"/>
          <w:szCs w:val="21"/>
        </w:rPr>
        <w:t>,</w:t>
      </w:r>
      <w:r w:rsidR="005016C2" w:rsidRPr="0004409E">
        <w:rPr>
          <w:rFonts w:ascii="Arial" w:hAnsi="Arial" w:cs="Arial"/>
          <w:b w:val="0"/>
          <w:color w:val="000000"/>
          <w:kern w:val="28"/>
          <w:sz w:val="21"/>
          <w:szCs w:val="21"/>
        </w:rPr>
        <w:t>6</w:t>
      </w:r>
      <w:r w:rsidR="00513535" w:rsidRPr="0004409E">
        <w:rPr>
          <w:rFonts w:ascii="Arial" w:hAnsi="Arial" w:cs="Arial"/>
          <w:b w:val="0"/>
          <w:color w:val="000000"/>
          <w:kern w:val="28"/>
          <w:sz w:val="21"/>
          <w:szCs w:val="21"/>
        </w:rPr>
        <w:t>%) interessa tutti i raggruppamenti principali di industrie, a</w:t>
      </w:r>
      <w:r w:rsidR="00C50DB5" w:rsidRPr="0004409E">
        <w:rPr>
          <w:rFonts w:ascii="Arial" w:hAnsi="Arial" w:cs="Arial"/>
          <w:b w:val="0"/>
          <w:color w:val="000000"/>
          <w:kern w:val="28"/>
          <w:sz w:val="21"/>
          <w:szCs w:val="21"/>
        </w:rPr>
        <w:t xml:space="preserve"> eccezione </w:t>
      </w:r>
      <w:r w:rsidRPr="0004409E">
        <w:rPr>
          <w:rFonts w:ascii="Arial" w:hAnsi="Arial" w:cs="Arial"/>
          <w:b w:val="0"/>
          <w:color w:val="000000"/>
          <w:kern w:val="28"/>
          <w:sz w:val="21"/>
          <w:szCs w:val="21"/>
        </w:rPr>
        <w:t>dell’energia</w:t>
      </w:r>
      <w:r w:rsidR="009E6E43" w:rsidRPr="0004409E">
        <w:rPr>
          <w:rFonts w:ascii="Arial" w:hAnsi="Arial" w:cs="Arial"/>
          <w:b w:val="0"/>
          <w:color w:val="000000"/>
          <w:kern w:val="28"/>
          <w:sz w:val="21"/>
          <w:szCs w:val="21"/>
        </w:rPr>
        <w:t xml:space="preserve"> </w:t>
      </w:r>
      <w:r w:rsidRPr="0004409E">
        <w:rPr>
          <w:rFonts w:ascii="Arial" w:hAnsi="Arial" w:cs="Arial"/>
          <w:b w:val="0"/>
          <w:color w:val="000000"/>
          <w:kern w:val="28"/>
          <w:sz w:val="21"/>
          <w:szCs w:val="21"/>
        </w:rPr>
        <w:t>(-1</w:t>
      </w:r>
      <w:r w:rsidR="00C50DB5" w:rsidRPr="0004409E">
        <w:rPr>
          <w:rFonts w:ascii="Arial" w:hAnsi="Arial" w:cs="Arial"/>
          <w:b w:val="0"/>
          <w:color w:val="000000"/>
          <w:kern w:val="28"/>
          <w:sz w:val="21"/>
          <w:szCs w:val="21"/>
        </w:rPr>
        <w:t>0</w:t>
      </w:r>
      <w:r w:rsidR="00513535" w:rsidRPr="0004409E">
        <w:rPr>
          <w:rFonts w:ascii="Arial" w:hAnsi="Arial" w:cs="Arial"/>
          <w:b w:val="0"/>
          <w:color w:val="000000"/>
          <w:kern w:val="28"/>
          <w:sz w:val="21"/>
          <w:szCs w:val="21"/>
        </w:rPr>
        <w:t>,</w:t>
      </w:r>
      <w:r w:rsidR="00C50DB5" w:rsidRPr="0004409E">
        <w:rPr>
          <w:rFonts w:ascii="Arial" w:hAnsi="Arial" w:cs="Arial"/>
          <w:b w:val="0"/>
          <w:color w:val="000000"/>
          <w:kern w:val="28"/>
          <w:sz w:val="21"/>
          <w:szCs w:val="21"/>
        </w:rPr>
        <w:t>1</w:t>
      </w:r>
      <w:r w:rsidR="00513535" w:rsidRPr="0004409E">
        <w:rPr>
          <w:rFonts w:ascii="Arial" w:hAnsi="Arial" w:cs="Arial"/>
          <w:b w:val="0"/>
          <w:color w:val="000000"/>
          <w:kern w:val="28"/>
          <w:sz w:val="21"/>
          <w:szCs w:val="21"/>
        </w:rPr>
        <w:t>%)</w:t>
      </w:r>
      <w:r w:rsidRPr="0004409E">
        <w:rPr>
          <w:rFonts w:ascii="Arial" w:hAnsi="Arial" w:cs="Arial"/>
          <w:b w:val="0"/>
          <w:color w:val="000000"/>
          <w:kern w:val="28"/>
          <w:sz w:val="21"/>
          <w:szCs w:val="21"/>
        </w:rPr>
        <w:t xml:space="preserve">, ed è trainata </w:t>
      </w:r>
      <w:r w:rsidR="00C50DB5" w:rsidRPr="0004409E">
        <w:rPr>
          <w:rFonts w:ascii="Arial" w:hAnsi="Arial" w:cs="Arial"/>
          <w:b w:val="0"/>
          <w:color w:val="000000"/>
          <w:kern w:val="28"/>
          <w:sz w:val="21"/>
          <w:szCs w:val="21"/>
        </w:rPr>
        <w:t>principa</w:t>
      </w:r>
      <w:r w:rsidR="009E6E43" w:rsidRPr="0004409E">
        <w:rPr>
          <w:rFonts w:ascii="Arial" w:hAnsi="Arial" w:cs="Arial"/>
          <w:b w:val="0"/>
          <w:color w:val="000000"/>
          <w:kern w:val="28"/>
          <w:sz w:val="21"/>
          <w:szCs w:val="21"/>
        </w:rPr>
        <w:t xml:space="preserve">lmente </w:t>
      </w:r>
      <w:r w:rsidRPr="0004409E">
        <w:rPr>
          <w:rFonts w:ascii="Arial" w:hAnsi="Arial" w:cs="Arial"/>
          <w:b w:val="0"/>
          <w:color w:val="000000"/>
          <w:kern w:val="28"/>
          <w:sz w:val="21"/>
          <w:szCs w:val="21"/>
        </w:rPr>
        <w:t>dall’aumento</w:t>
      </w:r>
      <w:r w:rsidR="00513535" w:rsidRPr="0004409E">
        <w:rPr>
          <w:rFonts w:ascii="Arial" w:hAnsi="Arial" w:cs="Arial"/>
          <w:b w:val="0"/>
          <w:color w:val="000000"/>
          <w:kern w:val="28"/>
          <w:sz w:val="21"/>
          <w:szCs w:val="21"/>
        </w:rPr>
        <w:t xml:space="preserve"> dell</w:t>
      </w:r>
      <w:r w:rsidR="00C50DB5" w:rsidRPr="0004409E">
        <w:rPr>
          <w:rFonts w:ascii="Arial" w:hAnsi="Arial" w:cs="Arial"/>
          <w:b w:val="0"/>
          <w:color w:val="000000"/>
          <w:kern w:val="28"/>
          <w:sz w:val="21"/>
          <w:szCs w:val="21"/>
        </w:rPr>
        <w:t xml:space="preserve">e vendite di </w:t>
      </w:r>
      <w:r w:rsidRPr="0004409E">
        <w:rPr>
          <w:rFonts w:ascii="Arial" w:hAnsi="Arial" w:cs="Arial"/>
          <w:b w:val="0"/>
          <w:color w:val="000000"/>
          <w:kern w:val="28"/>
          <w:sz w:val="21"/>
          <w:szCs w:val="21"/>
        </w:rPr>
        <w:t>beni strumentali (+4</w:t>
      </w:r>
      <w:r w:rsidR="00513535" w:rsidRPr="0004409E">
        <w:rPr>
          <w:rFonts w:ascii="Arial" w:hAnsi="Arial" w:cs="Arial"/>
          <w:b w:val="0"/>
          <w:color w:val="000000"/>
          <w:kern w:val="28"/>
          <w:sz w:val="21"/>
          <w:szCs w:val="21"/>
        </w:rPr>
        <w:t>,</w:t>
      </w:r>
      <w:r w:rsidR="00C50DB5" w:rsidRPr="0004409E">
        <w:rPr>
          <w:rFonts w:ascii="Arial" w:hAnsi="Arial" w:cs="Arial"/>
          <w:b w:val="0"/>
          <w:color w:val="000000"/>
          <w:kern w:val="28"/>
          <w:sz w:val="21"/>
          <w:szCs w:val="21"/>
        </w:rPr>
        <w:t>3</w:t>
      </w:r>
      <w:r w:rsidR="002A4670" w:rsidRPr="0004409E">
        <w:rPr>
          <w:rFonts w:ascii="Arial" w:hAnsi="Arial" w:cs="Arial"/>
          <w:b w:val="0"/>
          <w:color w:val="000000"/>
          <w:kern w:val="28"/>
          <w:sz w:val="21"/>
          <w:szCs w:val="21"/>
        </w:rPr>
        <w:t>%)</w:t>
      </w:r>
      <w:r w:rsidR="00513535" w:rsidRPr="0004409E">
        <w:rPr>
          <w:rFonts w:ascii="Arial" w:hAnsi="Arial" w:cs="Arial"/>
          <w:b w:val="0"/>
          <w:color w:val="000000"/>
          <w:kern w:val="28"/>
          <w:sz w:val="21"/>
          <w:szCs w:val="21"/>
        </w:rPr>
        <w:t xml:space="preserve">. </w:t>
      </w:r>
    </w:p>
    <w:p w14:paraId="7A4E2C52" w14:textId="7B714808" w:rsidR="0075218A" w:rsidRDefault="00B01087" w:rsidP="00513535">
      <w:pPr>
        <w:pStyle w:val="Corpodeltesto1"/>
        <w:rPr>
          <w:rFonts w:ascii="Arial" w:hAnsi="Arial" w:cs="Arial"/>
          <w:b w:val="0"/>
          <w:color w:val="000000"/>
          <w:kern w:val="28"/>
          <w:sz w:val="21"/>
          <w:szCs w:val="21"/>
        </w:rPr>
      </w:pPr>
      <w:r w:rsidRPr="0004409E">
        <w:rPr>
          <w:rFonts w:ascii="Arial" w:hAnsi="Arial" w:cs="Arial"/>
          <w:b w:val="0"/>
          <w:color w:val="000000"/>
          <w:kern w:val="28"/>
          <w:sz w:val="21"/>
          <w:szCs w:val="21"/>
        </w:rPr>
        <w:t>La flessione</w:t>
      </w:r>
      <w:r w:rsidR="00513535" w:rsidRPr="0004409E">
        <w:rPr>
          <w:rFonts w:ascii="Arial" w:hAnsi="Arial" w:cs="Arial"/>
          <w:b w:val="0"/>
          <w:color w:val="000000"/>
          <w:kern w:val="28"/>
          <w:sz w:val="21"/>
          <w:szCs w:val="21"/>
        </w:rPr>
        <w:t xml:space="preserve"> </w:t>
      </w:r>
      <w:r w:rsidRPr="0004409E">
        <w:rPr>
          <w:rFonts w:ascii="Arial" w:hAnsi="Arial" w:cs="Arial"/>
          <w:b w:val="0"/>
          <w:color w:val="000000"/>
          <w:kern w:val="28"/>
          <w:sz w:val="21"/>
          <w:szCs w:val="21"/>
        </w:rPr>
        <w:t>su base mensile dell’import (-1</w:t>
      </w:r>
      <w:r w:rsidR="001A2B66" w:rsidRPr="0004409E">
        <w:rPr>
          <w:rFonts w:ascii="Arial" w:hAnsi="Arial" w:cs="Arial"/>
          <w:b w:val="0"/>
          <w:color w:val="000000"/>
          <w:kern w:val="28"/>
          <w:sz w:val="21"/>
          <w:szCs w:val="21"/>
        </w:rPr>
        <w:t>,</w:t>
      </w:r>
      <w:r w:rsidRPr="0004409E">
        <w:rPr>
          <w:rFonts w:ascii="Arial" w:hAnsi="Arial" w:cs="Arial"/>
          <w:b w:val="0"/>
          <w:color w:val="000000"/>
          <w:kern w:val="28"/>
          <w:sz w:val="21"/>
          <w:szCs w:val="21"/>
        </w:rPr>
        <w:t>7</w:t>
      </w:r>
      <w:r w:rsidR="00513535" w:rsidRPr="0004409E">
        <w:rPr>
          <w:rFonts w:ascii="Arial" w:hAnsi="Arial" w:cs="Arial"/>
          <w:b w:val="0"/>
          <w:color w:val="000000"/>
          <w:kern w:val="28"/>
          <w:sz w:val="21"/>
          <w:szCs w:val="21"/>
        </w:rPr>
        <w:t xml:space="preserve">%) </w:t>
      </w:r>
      <w:r w:rsidR="001A2B66" w:rsidRPr="0004409E">
        <w:rPr>
          <w:rFonts w:ascii="Arial" w:hAnsi="Arial" w:cs="Arial"/>
          <w:b w:val="0"/>
          <w:color w:val="000000"/>
          <w:kern w:val="28"/>
          <w:sz w:val="21"/>
          <w:szCs w:val="21"/>
        </w:rPr>
        <w:t>ri</w:t>
      </w:r>
      <w:r w:rsidRPr="0004409E">
        <w:rPr>
          <w:rFonts w:ascii="Arial" w:hAnsi="Arial" w:cs="Arial"/>
          <w:b w:val="0"/>
          <w:color w:val="000000"/>
          <w:kern w:val="28"/>
          <w:sz w:val="21"/>
          <w:szCs w:val="21"/>
        </w:rPr>
        <w:t xml:space="preserve">guarda tutti i </w:t>
      </w:r>
      <w:proofErr w:type="spellStart"/>
      <w:r w:rsidRPr="0004409E">
        <w:rPr>
          <w:rFonts w:ascii="Arial" w:hAnsi="Arial" w:cs="Arial"/>
          <w:b w:val="0"/>
          <w:color w:val="000000"/>
          <w:kern w:val="28"/>
          <w:sz w:val="21"/>
          <w:szCs w:val="21"/>
        </w:rPr>
        <w:t>i</w:t>
      </w:r>
      <w:proofErr w:type="spellEnd"/>
      <w:r w:rsidRPr="0004409E">
        <w:rPr>
          <w:rFonts w:ascii="Arial" w:hAnsi="Arial" w:cs="Arial"/>
          <w:b w:val="0"/>
          <w:color w:val="000000"/>
          <w:kern w:val="28"/>
          <w:sz w:val="21"/>
          <w:szCs w:val="21"/>
        </w:rPr>
        <w:t xml:space="preserve"> raggruppamenti, a esclusione dell’energia in aumento del 4</w:t>
      </w:r>
      <w:r w:rsidR="00513535" w:rsidRPr="0004409E">
        <w:rPr>
          <w:rFonts w:ascii="Arial" w:hAnsi="Arial" w:cs="Arial"/>
          <w:b w:val="0"/>
          <w:color w:val="000000"/>
          <w:kern w:val="28"/>
          <w:sz w:val="21"/>
          <w:szCs w:val="21"/>
        </w:rPr>
        <w:t>,</w:t>
      </w:r>
      <w:r w:rsidR="001A2B66" w:rsidRPr="0004409E">
        <w:rPr>
          <w:rFonts w:ascii="Arial" w:hAnsi="Arial" w:cs="Arial"/>
          <w:b w:val="0"/>
          <w:color w:val="000000"/>
          <w:kern w:val="28"/>
          <w:sz w:val="21"/>
          <w:szCs w:val="21"/>
        </w:rPr>
        <w:t>2</w:t>
      </w:r>
      <w:r w:rsidR="00B06C13">
        <w:rPr>
          <w:rFonts w:ascii="Arial" w:hAnsi="Arial" w:cs="Arial"/>
          <w:b w:val="0"/>
          <w:color w:val="000000"/>
          <w:kern w:val="28"/>
          <w:sz w:val="21"/>
          <w:szCs w:val="21"/>
        </w:rPr>
        <w:t>%; a contribuire alla flessione sono in particolare i beni intermedi (-6,3%).</w:t>
      </w:r>
      <w:r w:rsidR="00513535" w:rsidRPr="00513535">
        <w:rPr>
          <w:rFonts w:ascii="Arial" w:hAnsi="Arial" w:cs="Arial"/>
          <w:b w:val="0"/>
          <w:color w:val="000000"/>
          <w:kern w:val="28"/>
          <w:sz w:val="21"/>
          <w:szCs w:val="21"/>
        </w:rPr>
        <w:t xml:space="preserve"> </w:t>
      </w:r>
    </w:p>
    <w:p w14:paraId="0143F2ED" w14:textId="77777777" w:rsidR="002F4710" w:rsidRDefault="002F4710" w:rsidP="002900F6">
      <w:pPr>
        <w:pStyle w:val="Corpodeltesto1"/>
        <w:rPr>
          <w:rFonts w:ascii="Arial" w:hAnsi="Arial" w:cs="Arial"/>
          <w:b w:val="0"/>
          <w:color w:val="000000"/>
          <w:kern w:val="28"/>
          <w:sz w:val="21"/>
          <w:szCs w:val="21"/>
        </w:rPr>
      </w:pPr>
    </w:p>
    <w:p w14:paraId="7DF9A35B" w14:textId="1E93DAC7" w:rsidR="00116AB6" w:rsidRDefault="00116AB6" w:rsidP="006073FC">
      <w:pPr>
        <w:pStyle w:val="Corpodeltesto1"/>
        <w:rPr>
          <w:rFonts w:ascii="Arial" w:hAnsi="Arial" w:cs="Arial"/>
          <w:b w:val="0"/>
          <w:color w:val="000000"/>
          <w:kern w:val="28"/>
          <w:sz w:val="21"/>
          <w:szCs w:val="21"/>
        </w:rPr>
      </w:pPr>
    </w:p>
    <w:p w14:paraId="293CCEEC" w14:textId="77777777" w:rsidR="005C5F2C" w:rsidRDefault="005C5F2C" w:rsidP="006073FC">
      <w:pPr>
        <w:pStyle w:val="Corpodeltesto1"/>
        <w:rPr>
          <w:rFonts w:ascii="Arial" w:hAnsi="Arial" w:cs="Arial"/>
          <w:b w:val="0"/>
          <w:color w:val="000000"/>
          <w:kern w:val="28"/>
          <w:sz w:val="21"/>
          <w:szCs w:val="21"/>
        </w:rPr>
      </w:pPr>
    </w:p>
    <w:p w14:paraId="7603481A" w14:textId="77777777" w:rsidR="007F58F4" w:rsidRDefault="007F58F4" w:rsidP="006073FC">
      <w:pPr>
        <w:pStyle w:val="Corpodeltesto1"/>
        <w:rPr>
          <w:rFonts w:ascii="Arial" w:hAnsi="Arial" w:cs="Arial"/>
          <w:b w:val="0"/>
          <w:color w:val="000000"/>
          <w:kern w:val="28"/>
          <w:sz w:val="21"/>
          <w:szCs w:val="21"/>
        </w:rPr>
      </w:pPr>
    </w:p>
    <w:p w14:paraId="37EFB4E3" w14:textId="595F7A2C" w:rsidR="00116AB6" w:rsidRDefault="00116AB6" w:rsidP="006073FC">
      <w:pPr>
        <w:pStyle w:val="Corpodeltesto1"/>
        <w:rPr>
          <w:rFonts w:ascii="Arial" w:hAnsi="Arial" w:cs="Arial"/>
          <w:b w:val="0"/>
          <w:color w:val="000000"/>
          <w:kern w:val="28"/>
          <w:sz w:val="21"/>
          <w:szCs w:val="21"/>
        </w:rPr>
      </w:pPr>
    </w:p>
    <w:p w14:paraId="3EDEC972" w14:textId="77777777" w:rsidR="002865B7" w:rsidRDefault="002865B7" w:rsidP="006073FC">
      <w:pPr>
        <w:pStyle w:val="Corpodeltesto1"/>
        <w:rPr>
          <w:rFonts w:ascii="Arial" w:hAnsi="Arial" w:cs="Arial"/>
          <w:b w:val="0"/>
          <w:color w:val="000000"/>
          <w:kern w:val="28"/>
          <w:sz w:val="21"/>
          <w:szCs w:val="21"/>
        </w:rPr>
      </w:pPr>
    </w:p>
    <w:p w14:paraId="01FB2B3B" w14:textId="77777777" w:rsidR="006073FC" w:rsidRDefault="006073FC" w:rsidP="00636140">
      <w:pPr>
        <w:pStyle w:val="Corpodeltesto1"/>
        <w:jc w:val="left"/>
        <w:rPr>
          <w:rFonts w:ascii="Arial Narrow" w:hAnsi="Arial Narrow" w:cs="Arial"/>
          <w:bCs/>
          <w:color w:val="E42618"/>
          <w:kern w:val="28"/>
          <w:sz w:val="22"/>
          <w:szCs w:val="22"/>
        </w:rPr>
      </w:pPr>
    </w:p>
    <w:p w14:paraId="1BB623D8" w14:textId="1ADE042B" w:rsidR="00A323E0" w:rsidRDefault="00A323E0" w:rsidP="00636140">
      <w:pPr>
        <w:pStyle w:val="Corpodeltesto1"/>
        <w:jc w:val="left"/>
        <w:rPr>
          <w:rFonts w:ascii="Arial Narrow" w:hAnsi="Arial Narrow" w:cs="Arial"/>
          <w:bCs/>
          <w:color w:val="E42618"/>
          <w:kern w:val="28"/>
          <w:sz w:val="22"/>
          <w:szCs w:val="22"/>
        </w:rPr>
      </w:pPr>
    </w:p>
    <w:p w14:paraId="774137C1" w14:textId="77777777" w:rsidR="002865B7" w:rsidRDefault="002865B7" w:rsidP="00636140">
      <w:pPr>
        <w:pStyle w:val="Corpodeltesto1"/>
        <w:jc w:val="left"/>
        <w:rPr>
          <w:rFonts w:ascii="Arial Narrow" w:hAnsi="Arial Narrow" w:cs="Arial"/>
          <w:bCs/>
          <w:color w:val="E42618"/>
          <w:kern w:val="28"/>
          <w:sz w:val="22"/>
          <w:szCs w:val="22"/>
        </w:rPr>
      </w:pPr>
    </w:p>
    <w:p w14:paraId="20D22D07" w14:textId="695183FC" w:rsidR="006D02F3" w:rsidRDefault="00831F78" w:rsidP="00636140">
      <w:pPr>
        <w:pStyle w:val="Corpodeltesto1"/>
        <w:jc w:val="left"/>
        <w:rPr>
          <w:rFonts w:ascii="Arial Narrow" w:hAnsi="Arial Narrow" w:cs="Arial"/>
          <w:bCs/>
          <w:color w:val="5F5F5F"/>
          <w:kern w:val="28"/>
          <w:sz w:val="22"/>
          <w:szCs w:val="22"/>
        </w:rPr>
      </w:pPr>
      <w:r w:rsidRPr="002A153A">
        <w:rPr>
          <w:rFonts w:ascii="Arial Narrow" w:hAnsi="Arial Narrow" w:cs="Arial"/>
          <w:bCs/>
          <w:color w:val="E42618"/>
          <w:kern w:val="28"/>
          <w:sz w:val="22"/>
          <w:szCs w:val="22"/>
        </w:rPr>
        <w:t xml:space="preserve">FIGURA </w:t>
      </w:r>
      <w:r w:rsidR="006D02F3">
        <w:rPr>
          <w:rFonts w:ascii="Arial Narrow" w:hAnsi="Arial Narrow" w:cs="Arial"/>
          <w:bCs/>
          <w:color w:val="E42618"/>
          <w:kern w:val="28"/>
          <w:sz w:val="22"/>
          <w:szCs w:val="22"/>
        </w:rPr>
        <w:t>6</w:t>
      </w:r>
      <w:r w:rsidRPr="00F527AD">
        <w:rPr>
          <w:rFonts w:ascii="Arial Narrow" w:hAnsi="Arial Narrow" w:cs="Arial"/>
          <w:bCs/>
          <w:color w:val="E42618"/>
          <w:kern w:val="28"/>
          <w:sz w:val="22"/>
          <w:szCs w:val="22"/>
        </w:rPr>
        <w:t>.</w:t>
      </w:r>
      <w:r w:rsidRPr="002A153A">
        <w:rPr>
          <w:rFonts w:ascii="Arial Narrow" w:hAnsi="Arial Narrow" w:cs="Arial"/>
          <w:bCs/>
          <w:color w:val="5F5F5F"/>
          <w:kern w:val="28"/>
          <w:sz w:val="22"/>
          <w:szCs w:val="22"/>
        </w:rPr>
        <w:t xml:space="preserve"> </w:t>
      </w:r>
      <w:r w:rsidR="00D40C17">
        <w:rPr>
          <w:rFonts w:ascii="Arial Narrow" w:hAnsi="Arial Narrow" w:cs="Arial"/>
          <w:bCs/>
          <w:color w:val="5F5F5F"/>
          <w:kern w:val="28"/>
          <w:sz w:val="22"/>
          <w:szCs w:val="22"/>
        </w:rPr>
        <w:t>GRADUATORIA DEI SETTORI DI ATTIVIT</w:t>
      </w:r>
      <w:r w:rsidR="00AB6CA8" w:rsidRPr="00AB6CA8">
        <w:rPr>
          <w:rFonts w:ascii="Arial Narrow" w:hAnsi="Arial Narrow" w:cs="Arial"/>
          <w:bCs/>
          <w:color w:val="5F5F5F"/>
          <w:kern w:val="28"/>
          <w:sz w:val="22"/>
          <w:szCs w:val="22"/>
        </w:rPr>
        <w:t>À</w:t>
      </w:r>
      <w:r w:rsidR="00D40C17">
        <w:rPr>
          <w:rFonts w:ascii="Arial Narrow" w:hAnsi="Arial Narrow" w:cs="Arial"/>
          <w:bCs/>
          <w:color w:val="5F5F5F"/>
          <w:kern w:val="28"/>
          <w:sz w:val="22"/>
          <w:szCs w:val="22"/>
        </w:rPr>
        <w:t xml:space="preserve"> ECONOMICA</w:t>
      </w:r>
      <w:r w:rsidR="00D40C17" w:rsidRPr="00516EEC">
        <w:rPr>
          <w:rFonts w:ascii="Arial Narrow" w:hAnsi="Arial Narrow" w:cs="Arial"/>
          <w:bCs/>
          <w:color w:val="5F5F5F"/>
          <w:kern w:val="28"/>
          <w:sz w:val="22"/>
          <w:szCs w:val="22"/>
        </w:rPr>
        <w:t xml:space="preserve"> </w:t>
      </w:r>
      <w:r w:rsidR="00D40C17">
        <w:rPr>
          <w:rFonts w:ascii="Arial Narrow" w:hAnsi="Arial Narrow" w:cs="Arial"/>
          <w:bCs/>
          <w:color w:val="5F5F5F"/>
          <w:kern w:val="28"/>
          <w:sz w:val="22"/>
          <w:szCs w:val="22"/>
        </w:rPr>
        <w:t>SECONDO I</w:t>
      </w:r>
      <w:r w:rsidR="00D40C17" w:rsidRPr="00516EEC">
        <w:rPr>
          <w:rFonts w:ascii="Arial Narrow" w:hAnsi="Arial Narrow" w:cs="Arial"/>
          <w:bCs/>
          <w:color w:val="5F5F5F"/>
          <w:kern w:val="28"/>
          <w:sz w:val="22"/>
          <w:szCs w:val="22"/>
        </w:rPr>
        <w:t xml:space="preserve"> CONTRIBUT</w:t>
      </w:r>
      <w:r w:rsidR="00D40C17">
        <w:rPr>
          <w:rFonts w:ascii="Arial Narrow" w:hAnsi="Arial Narrow" w:cs="Arial"/>
          <w:bCs/>
          <w:color w:val="5F5F5F"/>
          <w:kern w:val="28"/>
          <w:sz w:val="22"/>
          <w:szCs w:val="22"/>
        </w:rPr>
        <w:t>I ALL’EXPORT</w:t>
      </w:r>
    </w:p>
    <w:p w14:paraId="3A161C78" w14:textId="73692FA2" w:rsidR="00282F5A" w:rsidRDefault="005F4885" w:rsidP="00282F5A">
      <w:pPr>
        <w:pStyle w:val="Corpodeltesto1"/>
        <w:spacing w:after="120"/>
        <w:jc w:val="left"/>
        <w:rPr>
          <w:noProof/>
        </w:rPr>
      </w:pPr>
      <w:r w:rsidRPr="005F4885">
        <w:rPr>
          <w:rFonts w:ascii="Arial Narrow" w:hAnsi="Arial Narrow" w:cs="Arial"/>
          <w:b w:val="0"/>
          <w:color w:val="5F5F5F"/>
          <w:kern w:val="28"/>
          <w:sz w:val="20"/>
          <w:szCs w:val="20"/>
        </w:rPr>
        <w:t xml:space="preserve">Settembre </w:t>
      </w:r>
      <w:r w:rsidR="00470B67">
        <w:rPr>
          <w:rFonts w:ascii="Arial Narrow" w:hAnsi="Arial Narrow" w:cs="Arial"/>
          <w:b w:val="0"/>
          <w:color w:val="5F5F5F"/>
          <w:kern w:val="28"/>
          <w:sz w:val="20"/>
          <w:szCs w:val="20"/>
        </w:rPr>
        <w:t>2022</w:t>
      </w:r>
      <w:r w:rsidR="005C343A" w:rsidRPr="005C343A">
        <w:rPr>
          <w:rFonts w:ascii="Arial Narrow" w:hAnsi="Arial Narrow" w:cs="Arial"/>
          <w:b w:val="0"/>
          <w:color w:val="5F5F5F"/>
          <w:kern w:val="28"/>
          <w:sz w:val="20"/>
          <w:szCs w:val="20"/>
        </w:rPr>
        <w:t>, contributi alla variazione in punti percentuali e vari</w:t>
      </w:r>
      <w:r w:rsidR="00041D56">
        <w:rPr>
          <w:rFonts w:ascii="Arial Narrow" w:hAnsi="Arial Narrow" w:cs="Arial"/>
          <w:b w:val="0"/>
          <w:color w:val="5F5F5F"/>
          <w:kern w:val="28"/>
          <w:sz w:val="20"/>
          <w:szCs w:val="20"/>
        </w:rPr>
        <w:t>azioni</w:t>
      </w:r>
      <w:r w:rsidR="005C343A" w:rsidRPr="005C343A">
        <w:rPr>
          <w:rFonts w:ascii="Arial Narrow" w:hAnsi="Arial Narrow" w:cs="Arial"/>
          <w:b w:val="0"/>
          <w:color w:val="5F5F5F"/>
          <w:kern w:val="28"/>
          <w:sz w:val="20"/>
          <w:szCs w:val="20"/>
        </w:rPr>
        <w:t xml:space="preserve"> percentuali tendenziali</w:t>
      </w:r>
      <w:r w:rsidR="00282F5A">
        <w:rPr>
          <w:rFonts w:ascii="Arial Narrow" w:hAnsi="Arial Narrow" w:cs="Arial"/>
          <w:b w:val="0"/>
          <w:color w:val="5F5F5F"/>
          <w:kern w:val="28"/>
          <w:sz w:val="20"/>
          <w:szCs w:val="20"/>
        </w:rPr>
        <w:t xml:space="preserve"> </w:t>
      </w:r>
      <w:r w:rsidR="00282F5A" w:rsidRPr="00E35121">
        <w:rPr>
          <w:rFonts w:ascii="Arial Narrow" w:hAnsi="Arial Narrow" w:cs="Arial"/>
          <w:b w:val="0"/>
          <w:bCs/>
          <w:color w:val="5F5F5F"/>
          <w:kern w:val="28"/>
          <w:sz w:val="20"/>
          <w:szCs w:val="22"/>
        </w:rPr>
        <w:t>(a)</w:t>
      </w:r>
    </w:p>
    <w:p w14:paraId="7D4EF78A" w14:textId="64709C7F" w:rsidR="004D2796" w:rsidRDefault="00F374E1" w:rsidP="007F58F4">
      <w:pPr>
        <w:pStyle w:val="Corpodeltesto1"/>
        <w:spacing w:after="120"/>
        <w:jc w:val="left"/>
        <w:rPr>
          <w:rFonts w:ascii="Arial Narrow" w:hAnsi="Arial Narrow" w:cs="Arial"/>
          <w:b w:val="0"/>
          <w:color w:val="5F5F5F"/>
          <w:kern w:val="28"/>
          <w:sz w:val="20"/>
          <w:szCs w:val="20"/>
        </w:rPr>
      </w:pPr>
      <w:r>
        <w:rPr>
          <w:noProof/>
        </w:rPr>
        <w:drawing>
          <wp:inline distT="0" distB="0" distL="0" distR="0" wp14:anchorId="4F30A713" wp14:editId="2E04614C">
            <wp:extent cx="6660000" cy="2160000"/>
            <wp:effectExtent l="0" t="0" r="7620" b="0"/>
            <wp:docPr id="18" name="Gra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97B6211" w14:textId="77777777" w:rsidR="0025622B" w:rsidRDefault="0025622B" w:rsidP="006D02F3">
      <w:pPr>
        <w:pStyle w:val="Corpodeltesto1"/>
        <w:jc w:val="left"/>
        <w:rPr>
          <w:rFonts w:ascii="Arial Narrow" w:hAnsi="Arial Narrow" w:cs="Arial"/>
          <w:bCs/>
          <w:color w:val="E42618"/>
          <w:kern w:val="28"/>
          <w:sz w:val="22"/>
          <w:szCs w:val="22"/>
        </w:rPr>
      </w:pPr>
    </w:p>
    <w:p w14:paraId="6D6E069B" w14:textId="77777777" w:rsidR="006D02F3" w:rsidRDefault="006D02F3" w:rsidP="006D02F3">
      <w:pPr>
        <w:pStyle w:val="Corpodeltesto1"/>
        <w:jc w:val="left"/>
        <w:rPr>
          <w:rFonts w:ascii="Arial Narrow" w:hAnsi="Arial Narrow" w:cs="Arial"/>
          <w:bCs/>
          <w:color w:val="5F5F5F"/>
          <w:kern w:val="28"/>
          <w:sz w:val="22"/>
          <w:szCs w:val="22"/>
        </w:rPr>
      </w:pPr>
      <w:r w:rsidRPr="002A153A">
        <w:rPr>
          <w:rFonts w:ascii="Arial Narrow" w:hAnsi="Arial Narrow" w:cs="Arial"/>
          <w:bCs/>
          <w:color w:val="E42618"/>
          <w:kern w:val="28"/>
          <w:sz w:val="22"/>
          <w:szCs w:val="22"/>
        </w:rPr>
        <w:t xml:space="preserve">FIGURA </w:t>
      </w:r>
      <w:r>
        <w:rPr>
          <w:rFonts w:ascii="Arial Narrow" w:hAnsi="Arial Narrow" w:cs="Arial"/>
          <w:bCs/>
          <w:color w:val="E42618"/>
          <w:kern w:val="28"/>
          <w:sz w:val="22"/>
          <w:szCs w:val="22"/>
        </w:rPr>
        <w:t>7</w:t>
      </w:r>
      <w:r w:rsidRPr="00F527AD">
        <w:rPr>
          <w:rFonts w:ascii="Arial Narrow" w:hAnsi="Arial Narrow" w:cs="Arial"/>
          <w:bCs/>
          <w:color w:val="E42618"/>
          <w:kern w:val="28"/>
          <w:sz w:val="22"/>
          <w:szCs w:val="22"/>
        </w:rPr>
        <w:t>.</w:t>
      </w:r>
      <w:r w:rsidRPr="002A153A">
        <w:rPr>
          <w:rFonts w:ascii="Arial Narrow" w:hAnsi="Arial Narrow" w:cs="Arial"/>
          <w:bCs/>
          <w:color w:val="5F5F5F"/>
          <w:kern w:val="28"/>
          <w:sz w:val="22"/>
          <w:szCs w:val="22"/>
        </w:rPr>
        <w:t xml:space="preserve"> </w:t>
      </w:r>
      <w:r w:rsidR="00D40C17">
        <w:rPr>
          <w:rFonts w:ascii="Arial Narrow" w:hAnsi="Arial Narrow" w:cs="Arial"/>
          <w:bCs/>
          <w:color w:val="5F5F5F"/>
          <w:kern w:val="28"/>
          <w:sz w:val="22"/>
          <w:szCs w:val="22"/>
        </w:rPr>
        <w:t>GRADUATORIA DEI SETTORI DI ATTIVIT</w:t>
      </w:r>
      <w:r w:rsidR="00C25C1A" w:rsidRPr="00AB6CA8">
        <w:rPr>
          <w:rFonts w:ascii="Arial Narrow" w:hAnsi="Arial Narrow" w:cs="Arial"/>
          <w:bCs/>
          <w:color w:val="5F5F5F"/>
          <w:kern w:val="28"/>
          <w:sz w:val="22"/>
          <w:szCs w:val="22"/>
        </w:rPr>
        <w:t>À</w:t>
      </w:r>
      <w:r w:rsidR="00D40C17">
        <w:rPr>
          <w:rFonts w:ascii="Arial Narrow" w:hAnsi="Arial Narrow" w:cs="Arial"/>
          <w:bCs/>
          <w:color w:val="5F5F5F"/>
          <w:kern w:val="28"/>
          <w:sz w:val="22"/>
          <w:szCs w:val="22"/>
        </w:rPr>
        <w:t xml:space="preserve"> ECONOMICA</w:t>
      </w:r>
      <w:r w:rsidR="00D40C17" w:rsidRPr="00516EEC">
        <w:rPr>
          <w:rFonts w:ascii="Arial Narrow" w:hAnsi="Arial Narrow" w:cs="Arial"/>
          <w:bCs/>
          <w:color w:val="5F5F5F"/>
          <w:kern w:val="28"/>
          <w:sz w:val="22"/>
          <w:szCs w:val="22"/>
        </w:rPr>
        <w:t xml:space="preserve"> </w:t>
      </w:r>
      <w:r w:rsidR="00D40C17">
        <w:rPr>
          <w:rFonts w:ascii="Arial Narrow" w:hAnsi="Arial Narrow" w:cs="Arial"/>
          <w:bCs/>
          <w:color w:val="5F5F5F"/>
          <w:kern w:val="28"/>
          <w:sz w:val="22"/>
          <w:szCs w:val="22"/>
        </w:rPr>
        <w:t>SECONDO I</w:t>
      </w:r>
      <w:r w:rsidR="00D40C17" w:rsidRPr="00516EEC">
        <w:rPr>
          <w:rFonts w:ascii="Arial Narrow" w:hAnsi="Arial Narrow" w:cs="Arial"/>
          <w:bCs/>
          <w:color w:val="5F5F5F"/>
          <w:kern w:val="28"/>
          <w:sz w:val="22"/>
          <w:szCs w:val="22"/>
        </w:rPr>
        <w:t xml:space="preserve"> CONTRIBUT</w:t>
      </w:r>
      <w:r w:rsidR="00D40C17">
        <w:rPr>
          <w:rFonts w:ascii="Arial Narrow" w:hAnsi="Arial Narrow" w:cs="Arial"/>
          <w:bCs/>
          <w:color w:val="5F5F5F"/>
          <w:kern w:val="28"/>
          <w:sz w:val="22"/>
          <w:szCs w:val="22"/>
        </w:rPr>
        <w:t>I ALL’IMPORT</w:t>
      </w:r>
    </w:p>
    <w:p w14:paraId="31005FBF" w14:textId="78D2D236" w:rsidR="00DD774B" w:rsidRDefault="005F4885" w:rsidP="00DD774B">
      <w:pPr>
        <w:pStyle w:val="Corpodeltesto1"/>
        <w:spacing w:after="120"/>
        <w:jc w:val="left"/>
        <w:rPr>
          <w:rFonts w:ascii="Arial Narrow" w:hAnsi="Arial Narrow" w:cs="Arial"/>
          <w:b w:val="0"/>
          <w:bCs/>
          <w:color w:val="5F5F5F"/>
          <w:kern w:val="28"/>
          <w:sz w:val="20"/>
          <w:szCs w:val="22"/>
        </w:rPr>
      </w:pPr>
      <w:r w:rsidRPr="005F4885">
        <w:rPr>
          <w:rFonts w:ascii="Arial Narrow" w:hAnsi="Arial Narrow" w:cs="Arial"/>
          <w:b w:val="0"/>
          <w:color w:val="5F5F5F"/>
          <w:kern w:val="28"/>
          <w:sz w:val="20"/>
          <w:szCs w:val="20"/>
        </w:rPr>
        <w:t xml:space="preserve">Settembre </w:t>
      </w:r>
      <w:r w:rsidR="00470B67">
        <w:rPr>
          <w:rFonts w:ascii="Arial Narrow" w:hAnsi="Arial Narrow" w:cs="Arial"/>
          <w:b w:val="0"/>
          <w:color w:val="5F5F5F"/>
          <w:kern w:val="28"/>
          <w:sz w:val="20"/>
          <w:szCs w:val="20"/>
        </w:rPr>
        <w:t>2022</w:t>
      </w:r>
      <w:r w:rsidR="00041D56" w:rsidRPr="005C343A">
        <w:rPr>
          <w:rFonts w:ascii="Arial Narrow" w:hAnsi="Arial Narrow" w:cs="Arial"/>
          <w:b w:val="0"/>
          <w:color w:val="5F5F5F"/>
          <w:kern w:val="28"/>
          <w:sz w:val="20"/>
          <w:szCs w:val="20"/>
        </w:rPr>
        <w:t>, contributi alla variazione in punti perc</w:t>
      </w:r>
      <w:r w:rsidR="00592CBA" w:rsidRPr="005C343A">
        <w:rPr>
          <w:rFonts w:ascii="Arial Narrow" w:hAnsi="Arial Narrow" w:cs="Arial"/>
          <w:b w:val="0"/>
          <w:color w:val="5F5F5F"/>
          <w:kern w:val="28"/>
          <w:sz w:val="20"/>
          <w:szCs w:val="20"/>
        </w:rPr>
        <w:t>entuali e vari</w:t>
      </w:r>
      <w:r w:rsidR="00592CBA">
        <w:rPr>
          <w:rFonts w:ascii="Arial Narrow" w:hAnsi="Arial Narrow" w:cs="Arial"/>
          <w:b w:val="0"/>
          <w:color w:val="5F5F5F"/>
          <w:kern w:val="28"/>
          <w:sz w:val="20"/>
          <w:szCs w:val="20"/>
        </w:rPr>
        <w:t>azioni</w:t>
      </w:r>
      <w:r w:rsidR="00592CBA" w:rsidRPr="005C343A">
        <w:rPr>
          <w:rFonts w:ascii="Arial Narrow" w:hAnsi="Arial Narrow" w:cs="Arial"/>
          <w:b w:val="0"/>
          <w:color w:val="5F5F5F"/>
          <w:kern w:val="28"/>
          <w:sz w:val="20"/>
          <w:szCs w:val="20"/>
        </w:rPr>
        <w:t xml:space="preserve"> percentuali tendenziali</w:t>
      </w:r>
      <w:r w:rsidR="00592CBA">
        <w:rPr>
          <w:rFonts w:ascii="Arial Narrow" w:hAnsi="Arial Narrow" w:cs="Arial"/>
          <w:b w:val="0"/>
          <w:color w:val="5F5F5F"/>
          <w:kern w:val="28"/>
          <w:sz w:val="20"/>
          <w:szCs w:val="20"/>
        </w:rPr>
        <w:t xml:space="preserve"> </w:t>
      </w:r>
      <w:r w:rsidR="00DD774B">
        <w:rPr>
          <w:rFonts w:ascii="Arial Narrow" w:hAnsi="Arial Narrow" w:cs="Arial"/>
          <w:b w:val="0"/>
          <w:bCs/>
          <w:color w:val="5F5F5F"/>
          <w:kern w:val="28"/>
          <w:sz w:val="20"/>
          <w:szCs w:val="22"/>
        </w:rPr>
        <w:t>(a)</w:t>
      </w:r>
    </w:p>
    <w:p w14:paraId="62220090" w14:textId="3826FA8F" w:rsidR="00BC59CE" w:rsidRDefault="00F374E1" w:rsidP="00DD774B">
      <w:pPr>
        <w:pStyle w:val="Corpodeltesto1"/>
        <w:spacing w:after="120"/>
        <w:jc w:val="left"/>
        <w:rPr>
          <w:rFonts w:ascii="Arial Narrow" w:hAnsi="Arial Narrow" w:cs="Arial"/>
          <w:b w:val="0"/>
          <w:bCs/>
          <w:color w:val="5F5F5F"/>
          <w:kern w:val="28"/>
          <w:sz w:val="20"/>
          <w:szCs w:val="22"/>
        </w:rPr>
      </w:pPr>
      <w:r>
        <w:rPr>
          <w:noProof/>
        </w:rPr>
        <w:drawing>
          <wp:inline distT="0" distB="0" distL="0" distR="0" wp14:anchorId="4A6713B8" wp14:editId="457C69C6">
            <wp:extent cx="6660000" cy="2160000"/>
            <wp:effectExtent l="0" t="0" r="7620" b="0"/>
            <wp:docPr id="19" name="Gra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EE3AD43" w14:textId="478B2528" w:rsidR="00282F5A" w:rsidRDefault="00282F5A" w:rsidP="00282F5A">
      <w:pPr>
        <w:spacing w:after="120"/>
        <w:jc w:val="both"/>
        <w:rPr>
          <w:rFonts w:ascii="Arial Narrow" w:hAnsi="Arial Narrow" w:cs="Calibri"/>
          <w:sz w:val="15"/>
          <w:szCs w:val="15"/>
        </w:rPr>
      </w:pPr>
      <w:r w:rsidRPr="009F2C56">
        <w:rPr>
          <w:rFonts w:ascii="Arial Narrow" w:hAnsi="Arial Narrow" w:cs="Calibri"/>
          <w:sz w:val="15"/>
          <w:szCs w:val="15"/>
        </w:rPr>
        <w:t xml:space="preserve">(a) </w:t>
      </w:r>
      <w:r w:rsidRPr="00AC09DF">
        <w:rPr>
          <w:rFonts w:ascii="Arial Narrow" w:hAnsi="Arial Narrow" w:cs="Calibri"/>
          <w:sz w:val="15"/>
          <w:szCs w:val="15"/>
        </w:rPr>
        <w:t>Limitatamente ai settori la cui quota sull’export (import) per l’anno 20</w:t>
      </w:r>
      <w:r w:rsidR="001E77DD">
        <w:rPr>
          <w:rFonts w:ascii="Arial Narrow" w:hAnsi="Arial Narrow" w:cs="Calibri"/>
          <w:sz w:val="15"/>
          <w:szCs w:val="15"/>
        </w:rPr>
        <w:t>2</w:t>
      </w:r>
      <w:r w:rsidR="0075218A">
        <w:rPr>
          <w:rFonts w:ascii="Arial Narrow" w:hAnsi="Arial Narrow" w:cs="Calibri"/>
          <w:sz w:val="15"/>
          <w:szCs w:val="15"/>
        </w:rPr>
        <w:t>1</w:t>
      </w:r>
      <w:r w:rsidRPr="00AC09DF">
        <w:rPr>
          <w:rFonts w:ascii="Arial Narrow" w:hAnsi="Arial Narrow" w:cs="Calibri"/>
          <w:sz w:val="15"/>
          <w:szCs w:val="15"/>
        </w:rPr>
        <w:t xml:space="preserve"> è superiore all’1,5%.</w:t>
      </w:r>
    </w:p>
    <w:p w14:paraId="3F7ACA5E" w14:textId="534E6710" w:rsidR="00971A17" w:rsidRDefault="00971A17" w:rsidP="00E224CF">
      <w:pPr>
        <w:spacing w:after="120"/>
        <w:jc w:val="both"/>
        <w:rPr>
          <w:rFonts w:ascii="Arial" w:hAnsi="Arial"/>
          <w:sz w:val="21"/>
          <w:szCs w:val="21"/>
        </w:rPr>
      </w:pPr>
      <w:r w:rsidRPr="009F2C56">
        <w:rPr>
          <w:rFonts w:ascii="Arial Narrow" w:hAnsi="Arial Narrow" w:cs="Calibri"/>
          <w:sz w:val="15"/>
          <w:szCs w:val="15"/>
        </w:rPr>
        <w:t>Abbreviazioni</w:t>
      </w:r>
      <w:r>
        <w:rPr>
          <w:rFonts w:ascii="Arial Narrow" w:hAnsi="Arial Narrow"/>
          <w:sz w:val="15"/>
          <w:szCs w:val="15"/>
        </w:rPr>
        <w:t xml:space="preserve"> dei settori di attività economica</w:t>
      </w:r>
      <w:r w:rsidRPr="004D645B">
        <w:rPr>
          <w:rFonts w:ascii="Arial Narrow" w:hAnsi="Arial Narrow"/>
          <w:sz w:val="15"/>
          <w:szCs w:val="15"/>
        </w:rPr>
        <w:t>:</w:t>
      </w:r>
      <w:r w:rsidRPr="004D645B">
        <w:rPr>
          <w:rFonts w:ascii="Arial Narrow" w:hAnsi="Arial Narrow" w:cs="Calibri"/>
          <w:sz w:val="15"/>
          <w:szCs w:val="15"/>
        </w:rPr>
        <w:t xml:space="preserve"> </w:t>
      </w:r>
      <w:r w:rsidRPr="00456679">
        <w:rPr>
          <w:rFonts w:ascii="Arial Narrow" w:hAnsi="Arial Narrow" w:cs="Calibri"/>
          <w:sz w:val="15"/>
          <w:szCs w:val="15"/>
        </w:rPr>
        <w:t>Metalli</w:t>
      </w:r>
      <w:r w:rsidRPr="004D645B">
        <w:rPr>
          <w:rFonts w:ascii="Arial Narrow" w:hAnsi="Arial Narrow" w:cs="Calibri"/>
          <w:sz w:val="15"/>
          <w:szCs w:val="15"/>
        </w:rPr>
        <w:t>=</w:t>
      </w:r>
      <w:r w:rsidRPr="00456679">
        <w:rPr>
          <w:rFonts w:ascii="Arial Narrow" w:hAnsi="Arial Narrow" w:cs="Calibri"/>
          <w:sz w:val="15"/>
          <w:szCs w:val="15"/>
        </w:rPr>
        <w:t>Metalli di base e prodotti in metallo, esclusi macchine e impianti</w:t>
      </w:r>
      <w:r w:rsidRPr="004D645B">
        <w:rPr>
          <w:rFonts w:ascii="Arial Narrow" w:hAnsi="Arial Narrow" w:cs="Calibri"/>
          <w:sz w:val="15"/>
          <w:szCs w:val="15"/>
        </w:rPr>
        <w:t xml:space="preserve">; </w:t>
      </w:r>
      <w:r w:rsidRPr="00456679">
        <w:rPr>
          <w:rFonts w:ascii="Arial Narrow" w:hAnsi="Arial Narrow" w:cs="Calibri"/>
          <w:sz w:val="15"/>
          <w:szCs w:val="15"/>
        </w:rPr>
        <w:t>Altri m</w:t>
      </w:r>
      <w:r w:rsidR="00A61899">
        <w:rPr>
          <w:rFonts w:ascii="Arial Narrow" w:hAnsi="Arial Narrow" w:cs="Calibri"/>
          <w:sz w:val="15"/>
          <w:szCs w:val="15"/>
        </w:rPr>
        <w:t>ezzi</w:t>
      </w:r>
      <w:r w:rsidRPr="00456679">
        <w:rPr>
          <w:rFonts w:ascii="Arial Narrow" w:hAnsi="Arial Narrow" w:cs="Calibri"/>
          <w:sz w:val="15"/>
          <w:szCs w:val="15"/>
        </w:rPr>
        <w:t xml:space="preserve"> trasp</w:t>
      </w:r>
      <w:r w:rsidR="00A61899">
        <w:rPr>
          <w:rFonts w:ascii="Arial Narrow" w:hAnsi="Arial Narrow" w:cs="Calibri"/>
          <w:sz w:val="15"/>
          <w:szCs w:val="15"/>
        </w:rPr>
        <w:t>orto</w:t>
      </w:r>
      <w:r w:rsidRPr="004D645B">
        <w:rPr>
          <w:rFonts w:ascii="Arial Narrow" w:hAnsi="Arial Narrow" w:cs="Calibri"/>
          <w:sz w:val="15"/>
          <w:szCs w:val="15"/>
        </w:rPr>
        <w:t>=</w:t>
      </w:r>
      <w:r w:rsidRPr="00456679">
        <w:rPr>
          <w:rFonts w:ascii="Arial Narrow" w:hAnsi="Arial Narrow" w:cs="Calibri"/>
          <w:sz w:val="15"/>
          <w:szCs w:val="15"/>
        </w:rPr>
        <w:t>Mezzi di trasporto (</w:t>
      </w:r>
      <w:proofErr w:type="spellStart"/>
      <w:r w:rsidRPr="00456679">
        <w:rPr>
          <w:rFonts w:ascii="Arial Narrow" w:hAnsi="Arial Narrow" w:cs="Calibri"/>
          <w:sz w:val="15"/>
          <w:szCs w:val="15"/>
        </w:rPr>
        <w:t>escl</w:t>
      </w:r>
      <w:proofErr w:type="spellEnd"/>
      <w:r w:rsidRPr="00456679">
        <w:rPr>
          <w:rFonts w:ascii="Arial Narrow" w:hAnsi="Arial Narrow" w:cs="Calibri"/>
          <w:sz w:val="15"/>
          <w:szCs w:val="15"/>
        </w:rPr>
        <w:t>. autoveicoli)</w:t>
      </w:r>
      <w:r w:rsidRPr="004D645B">
        <w:rPr>
          <w:rFonts w:ascii="Arial Narrow" w:hAnsi="Arial Narrow" w:cs="Calibri"/>
          <w:sz w:val="15"/>
          <w:szCs w:val="15"/>
        </w:rPr>
        <w:t xml:space="preserve">; </w:t>
      </w:r>
      <w:r w:rsidRPr="00456679">
        <w:rPr>
          <w:rFonts w:ascii="Arial Narrow" w:hAnsi="Arial Narrow" w:cs="Calibri"/>
          <w:sz w:val="15"/>
          <w:szCs w:val="15"/>
        </w:rPr>
        <w:t>Macchinari</w:t>
      </w:r>
      <w:r w:rsidRPr="004D645B">
        <w:rPr>
          <w:rFonts w:ascii="Arial Narrow" w:hAnsi="Arial Narrow" w:cs="Calibri"/>
          <w:sz w:val="15"/>
          <w:szCs w:val="15"/>
        </w:rPr>
        <w:t>=</w:t>
      </w:r>
      <w:r w:rsidR="008D0F0F">
        <w:rPr>
          <w:rFonts w:ascii="Arial Narrow" w:hAnsi="Arial Narrow" w:cs="Calibri"/>
          <w:sz w:val="15"/>
          <w:szCs w:val="15"/>
        </w:rPr>
        <w:t>Macchinari</w:t>
      </w:r>
      <w:r w:rsidRPr="00456679">
        <w:rPr>
          <w:rFonts w:ascii="Arial Narrow" w:hAnsi="Arial Narrow" w:cs="Calibri"/>
          <w:sz w:val="15"/>
          <w:szCs w:val="15"/>
        </w:rPr>
        <w:t xml:space="preserve"> e apparecchi </w:t>
      </w:r>
      <w:proofErr w:type="spellStart"/>
      <w:r w:rsidRPr="00456679">
        <w:rPr>
          <w:rFonts w:ascii="Arial Narrow" w:hAnsi="Arial Narrow" w:cs="Calibri"/>
          <w:sz w:val="15"/>
          <w:szCs w:val="15"/>
        </w:rPr>
        <w:t>n.c.a</w:t>
      </w:r>
      <w:proofErr w:type="spellEnd"/>
      <w:r w:rsidRPr="00456679">
        <w:rPr>
          <w:rFonts w:ascii="Arial Narrow" w:hAnsi="Arial Narrow" w:cs="Calibri"/>
          <w:sz w:val="15"/>
          <w:szCs w:val="15"/>
        </w:rPr>
        <w:t>.</w:t>
      </w:r>
      <w:r w:rsidRPr="004D645B">
        <w:rPr>
          <w:rFonts w:ascii="Arial Narrow" w:hAnsi="Arial Narrow" w:cs="Calibri"/>
          <w:sz w:val="15"/>
          <w:szCs w:val="15"/>
        </w:rPr>
        <w:t xml:space="preserve">; </w:t>
      </w:r>
      <w:r w:rsidRPr="00456679">
        <w:rPr>
          <w:rFonts w:ascii="Arial Narrow" w:hAnsi="Arial Narrow" w:cs="Calibri"/>
          <w:sz w:val="15"/>
          <w:szCs w:val="15"/>
        </w:rPr>
        <w:t>Carta-stampa</w:t>
      </w:r>
      <w:r w:rsidRPr="004D645B">
        <w:rPr>
          <w:rFonts w:ascii="Arial Narrow" w:hAnsi="Arial Narrow" w:cs="Calibri"/>
          <w:sz w:val="15"/>
          <w:szCs w:val="15"/>
        </w:rPr>
        <w:t>=</w:t>
      </w:r>
      <w:r w:rsidRPr="00456679">
        <w:rPr>
          <w:rFonts w:ascii="Arial Narrow" w:hAnsi="Arial Narrow" w:cs="Calibri"/>
          <w:sz w:val="15"/>
          <w:szCs w:val="15"/>
        </w:rPr>
        <w:t>Carta e prodotti di carta; prodotti della stampa e della riproduzione di supporti registrati</w:t>
      </w:r>
      <w:r w:rsidRPr="004D645B">
        <w:rPr>
          <w:rFonts w:ascii="Arial Narrow" w:hAnsi="Arial Narrow" w:cs="Calibri"/>
          <w:sz w:val="15"/>
          <w:szCs w:val="15"/>
        </w:rPr>
        <w:t xml:space="preserve">; </w:t>
      </w:r>
      <w:r w:rsidRPr="00456679">
        <w:rPr>
          <w:rFonts w:ascii="Arial Narrow" w:hAnsi="Arial Narrow" w:cs="Calibri"/>
          <w:sz w:val="15"/>
          <w:szCs w:val="15"/>
        </w:rPr>
        <w:t>Chimica</w:t>
      </w:r>
      <w:r w:rsidRPr="004D645B">
        <w:rPr>
          <w:rFonts w:ascii="Arial Narrow" w:hAnsi="Arial Narrow" w:cs="Calibri"/>
          <w:sz w:val="15"/>
          <w:szCs w:val="15"/>
        </w:rPr>
        <w:t>=</w:t>
      </w:r>
      <w:r w:rsidRPr="00456679">
        <w:rPr>
          <w:rFonts w:ascii="Arial Narrow" w:hAnsi="Arial Narrow" w:cs="Calibri"/>
          <w:sz w:val="15"/>
          <w:szCs w:val="15"/>
        </w:rPr>
        <w:t>Sostanze e prodotti chimici</w:t>
      </w:r>
      <w:r w:rsidRPr="004D645B">
        <w:rPr>
          <w:rFonts w:ascii="Arial Narrow" w:hAnsi="Arial Narrow" w:cs="Calibri"/>
          <w:sz w:val="15"/>
          <w:szCs w:val="15"/>
        </w:rPr>
        <w:t xml:space="preserve">; </w:t>
      </w:r>
      <w:r w:rsidR="00A61899">
        <w:rPr>
          <w:rFonts w:ascii="Arial Narrow" w:hAnsi="Arial Narrow" w:cs="Calibri"/>
          <w:sz w:val="15"/>
          <w:szCs w:val="15"/>
        </w:rPr>
        <w:t>Minerali non metalliferi</w:t>
      </w:r>
      <w:r w:rsidRPr="004D645B">
        <w:rPr>
          <w:rFonts w:ascii="Arial Narrow" w:hAnsi="Arial Narrow" w:cs="Calibri"/>
          <w:sz w:val="15"/>
          <w:szCs w:val="15"/>
        </w:rPr>
        <w:t>=</w:t>
      </w:r>
      <w:r w:rsidRPr="00456679">
        <w:rPr>
          <w:rFonts w:ascii="Arial Narrow" w:hAnsi="Arial Narrow" w:cs="Calibri"/>
          <w:sz w:val="15"/>
          <w:szCs w:val="15"/>
        </w:rPr>
        <w:t>Altri prodotti della lavorazione di minerali non metalliferi</w:t>
      </w:r>
      <w:r w:rsidRPr="004D645B">
        <w:rPr>
          <w:rFonts w:ascii="Arial Narrow" w:hAnsi="Arial Narrow" w:cs="Calibri"/>
          <w:sz w:val="15"/>
          <w:szCs w:val="15"/>
        </w:rPr>
        <w:t xml:space="preserve">; </w:t>
      </w:r>
      <w:r w:rsidR="00A61899">
        <w:rPr>
          <w:rFonts w:ascii="Arial Narrow" w:hAnsi="Arial Narrow" w:cs="Calibri"/>
          <w:sz w:val="15"/>
          <w:szCs w:val="15"/>
        </w:rPr>
        <w:t>Altra</w:t>
      </w:r>
      <w:r w:rsidRPr="00456679">
        <w:rPr>
          <w:rFonts w:ascii="Arial Narrow" w:hAnsi="Arial Narrow" w:cs="Calibri"/>
          <w:sz w:val="15"/>
          <w:szCs w:val="15"/>
        </w:rPr>
        <w:t xml:space="preserve"> manif</w:t>
      </w:r>
      <w:r w:rsidR="00A61899">
        <w:rPr>
          <w:rFonts w:ascii="Arial Narrow" w:hAnsi="Arial Narrow" w:cs="Calibri"/>
          <w:sz w:val="15"/>
          <w:szCs w:val="15"/>
        </w:rPr>
        <w:t>attura</w:t>
      </w:r>
      <w:r w:rsidRPr="004D645B">
        <w:rPr>
          <w:rFonts w:ascii="Arial Narrow" w:hAnsi="Arial Narrow" w:cs="Calibri"/>
          <w:sz w:val="15"/>
          <w:szCs w:val="15"/>
        </w:rPr>
        <w:t>=</w:t>
      </w:r>
      <w:r w:rsidR="00A61899" w:rsidRPr="00A61899">
        <w:rPr>
          <w:rFonts w:ascii="Arial Narrow" w:hAnsi="Arial Narrow" w:cs="Calibri"/>
          <w:sz w:val="15"/>
          <w:szCs w:val="15"/>
        </w:rPr>
        <w:t xml:space="preserve">Articoli sportivi, giochi, </w:t>
      </w:r>
      <w:proofErr w:type="spellStart"/>
      <w:r w:rsidR="00A61899" w:rsidRPr="00A61899">
        <w:rPr>
          <w:rFonts w:ascii="Arial Narrow" w:hAnsi="Arial Narrow" w:cs="Calibri"/>
          <w:sz w:val="15"/>
          <w:szCs w:val="15"/>
        </w:rPr>
        <w:t>strum</w:t>
      </w:r>
      <w:proofErr w:type="spellEnd"/>
      <w:r w:rsidR="00A61899" w:rsidRPr="00A61899">
        <w:rPr>
          <w:rFonts w:ascii="Arial Narrow" w:hAnsi="Arial Narrow" w:cs="Calibri"/>
          <w:sz w:val="15"/>
          <w:szCs w:val="15"/>
        </w:rPr>
        <w:t xml:space="preserve">. musicali, preziosi, </w:t>
      </w:r>
      <w:proofErr w:type="spellStart"/>
      <w:r w:rsidR="00A61899" w:rsidRPr="00A61899">
        <w:rPr>
          <w:rFonts w:ascii="Arial Narrow" w:hAnsi="Arial Narrow" w:cs="Calibri"/>
          <w:sz w:val="15"/>
          <w:szCs w:val="15"/>
        </w:rPr>
        <w:t>strum</w:t>
      </w:r>
      <w:proofErr w:type="spellEnd"/>
      <w:r w:rsidR="00A61899" w:rsidRPr="00A61899">
        <w:rPr>
          <w:rFonts w:ascii="Arial Narrow" w:hAnsi="Arial Narrow" w:cs="Calibri"/>
          <w:sz w:val="15"/>
          <w:szCs w:val="15"/>
        </w:rPr>
        <w:t xml:space="preserve">. medici e altri prodotti </w:t>
      </w:r>
      <w:proofErr w:type="spellStart"/>
      <w:r w:rsidR="00A61899" w:rsidRPr="00A61899">
        <w:rPr>
          <w:rFonts w:ascii="Arial Narrow" w:hAnsi="Arial Narrow" w:cs="Calibri"/>
          <w:sz w:val="15"/>
          <w:szCs w:val="15"/>
        </w:rPr>
        <w:t>n.c.a</w:t>
      </w:r>
      <w:proofErr w:type="spellEnd"/>
      <w:r w:rsidR="00A61899" w:rsidRPr="00A61899">
        <w:rPr>
          <w:rFonts w:ascii="Arial Narrow" w:hAnsi="Arial Narrow" w:cs="Calibri"/>
          <w:sz w:val="15"/>
          <w:szCs w:val="15"/>
        </w:rPr>
        <w:t>.</w:t>
      </w:r>
      <w:r w:rsidRPr="004D645B">
        <w:rPr>
          <w:rFonts w:ascii="Arial Narrow" w:hAnsi="Arial Narrow" w:cs="Calibri"/>
          <w:sz w:val="15"/>
          <w:szCs w:val="15"/>
        </w:rPr>
        <w:t xml:space="preserve">; </w:t>
      </w:r>
      <w:r w:rsidRPr="00456679">
        <w:rPr>
          <w:rFonts w:ascii="Arial Narrow" w:hAnsi="Arial Narrow" w:cs="Calibri"/>
          <w:sz w:val="15"/>
          <w:szCs w:val="15"/>
        </w:rPr>
        <w:t>Gomma-plastica</w:t>
      </w:r>
      <w:r w:rsidRPr="004D645B">
        <w:rPr>
          <w:rFonts w:ascii="Arial Narrow" w:hAnsi="Arial Narrow" w:cs="Calibri"/>
          <w:sz w:val="15"/>
          <w:szCs w:val="15"/>
        </w:rPr>
        <w:t>=</w:t>
      </w:r>
      <w:r w:rsidRPr="00456679">
        <w:rPr>
          <w:rFonts w:ascii="Arial Narrow" w:hAnsi="Arial Narrow" w:cs="Calibri"/>
          <w:sz w:val="15"/>
          <w:szCs w:val="15"/>
        </w:rPr>
        <w:t>Articoli in gomma e materie plastiche</w:t>
      </w:r>
      <w:r w:rsidRPr="004D645B">
        <w:rPr>
          <w:rFonts w:ascii="Arial Narrow" w:hAnsi="Arial Narrow" w:cs="Calibri"/>
          <w:sz w:val="15"/>
          <w:szCs w:val="15"/>
        </w:rPr>
        <w:t xml:space="preserve">; </w:t>
      </w:r>
      <w:r w:rsidRPr="00456679">
        <w:rPr>
          <w:rFonts w:ascii="Arial Narrow" w:hAnsi="Arial Narrow" w:cs="Calibri"/>
          <w:sz w:val="15"/>
          <w:szCs w:val="15"/>
        </w:rPr>
        <w:t>Pelletteria</w:t>
      </w:r>
      <w:r w:rsidRPr="004D645B">
        <w:rPr>
          <w:rFonts w:ascii="Arial Narrow" w:hAnsi="Arial Narrow" w:cs="Calibri"/>
          <w:sz w:val="15"/>
          <w:szCs w:val="15"/>
        </w:rPr>
        <w:t>=A</w:t>
      </w:r>
      <w:r w:rsidRPr="00456679">
        <w:rPr>
          <w:rFonts w:ascii="Arial Narrow" w:hAnsi="Arial Narrow" w:cs="Calibri"/>
          <w:sz w:val="15"/>
          <w:szCs w:val="15"/>
        </w:rPr>
        <w:t>rticoli in pelle (escluso abbigliamento) e simili</w:t>
      </w:r>
      <w:r w:rsidRPr="004D645B">
        <w:rPr>
          <w:rFonts w:ascii="Arial Narrow" w:hAnsi="Arial Narrow" w:cs="Calibri"/>
          <w:sz w:val="15"/>
          <w:szCs w:val="15"/>
        </w:rPr>
        <w:t xml:space="preserve">; </w:t>
      </w:r>
      <w:r w:rsidRPr="00456679">
        <w:rPr>
          <w:rFonts w:ascii="Arial Narrow" w:hAnsi="Arial Narrow" w:cs="Calibri"/>
          <w:sz w:val="15"/>
          <w:szCs w:val="15"/>
        </w:rPr>
        <w:t>Abbigliamento</w:t>
      </w:r>
      <w:r w:rsidRPr="004D645B">
        <w:rPr>
          <w:rFonts w:ascii="Arial Narrow" w:hAnsi="Arial Narrow" w:cs="Calibri"/>
          <w:sz w:val="15"/>
          <w:szCs w:val="15"/>
        </w:rPr>
        <w:t>=</w:t>
      </w:r>
      <w:r w:rsidRPr="00456679">
        <w:rPr>
          <w:rFonts w:ascii="Arial Narrow" w:hAnsi="Arial Narrow" w:cs="Calibri"/>
          <w:sz w:val="15"/>
          <w:szCs w:val="15"/>
        </w:rPr>
        <w:t>Articoli di abbigliamento (anche in pelle e in pelliccia)</w:t>
      </w:r>
      <w:r w:rsidRPr="004D645B">
        <w:rPr>
          <w:rFonts w:ascii="Arial Narrow" w:hAnsi="Arial Narrow" w:cs="Calibri"/>
          <w:sz w:val="15"/>
          <w:szCs w:val="15"/>
        </w:rPr>
        <w:t xml:space="preserve">; </w:t>
      </w:r>
      <w:r w:rsidRPr="00456679">
        <w:rPr>
          <w:rFonts w:ascii="Arial Narrow" w:hAnsi="Arial Narrow" w:cs="Calibri"/>
          <w:sz w:val="15"/>
          <w:szCs w:val="15"/>
        </w:rPr>
        <w:t>Tessili</w:t>
      </w:r>
      <w:r w:rsidRPr="004D645B">
        <w:rPr>
          <w:rFonts w:ascii="Arial Narrow" w:hAnsi="Arial Narrow" w:cs="Calibri"/>
          <w:sz w:val="15"/>
          <w:szCs w:val="15"/>
        </w:rPr>
        <w:t>=</w:t>
      </w:r>
      <w:r w:rsidRPr="00456679">
        <w:rPr>
          <w:rFonts w:ascii="Arial Narrow" w:hAnsi="Arial Narrow" w:cs="Calibri"/>
          <w:sz w:val="15"/>
          <w:szCs w:val="15"/>
        </w:rPr>
        <w:t>Prodotti tessili</w:t>
      </w:r>
      <w:r w:rsidRPr="004D645B">
        <w:rPr>
          <w:rFonts w:ascii="Arial Narrow" w:hAnsi="Arial Narrow" w:cs="Calibri"/>
          <w:sz w:val="15"/>
          <w:szCs w:val="15"/>
        </w:rPr>
        <w:t xml:space="preserve">; </w:t>
      </w:r>
      <w:r w:rsidRPr="00456679">
        <w:rPr>
          <w:rFonts w:ascii="Arial Narrow" w:hAnsi="Arial Narrow" w:cs="Calibri"/>
          <w:sz w:val="15"/>
          <w:szCs w:val="15"/>
        </w:rPr>
        <w:t>Agricoltura</w:t>
      </w:r>
      <w:r w:rsidRPr="004D645B">
        <w:rPr>
          <w:rFonts w:ascii="Arial Narrow" w:hAnsi="Arial Narrow" w:cs="Calibri"/>
          <w:sz w:val="15"/>
          <w:szCs w:val="15"/>
        </w:rPr>
        <w:t>=</w:t>
      </w:r>
      <w:r w:rsidRPr="00456679">
        <w:rPr>
          <w:rFonts w:ascii="Arial Narrow" w:hAnsi="Arial Narrow" w:cs="Calibri"/>
          <w:sz w:val="15"/>
          <w:szCs w:val="15"/>
        </w:rPr>
        <w:t>Prodotti dell'agricoltura, della silvicoltura e della pesca</w:t>
      </w:r>
      <w:r w:rsidRPr="004D645B">
        <w:rPr>
          <w:rFonts w:ascii="Arial Narrow" w:hAnsi="Arial Narrow" w:cs="Calibri"/>
          <w:sz w:val="15"/>
          <w:szCs w:val="15"/>
        </w:rPr>
        <w:t xml:space="preserve">; </w:t>
      </w:r>
      <w:r w:rsidRPr="00456679">
        <w:rPr>
          <w:rFonts w:ascii="Arial Narrow" w:hAnsi="Arial Narrow" w:cs="Calibri"/>
          <w:sz w:val="15"/>
          <w:szCs w:val="15"/>
        </w:rPr>
        <w:t>Elettronica</w:t>
      </w:r>
      <w:r w:rsidRPr="004D645B">
        <w:rPr>
          <w:rFonts w:ascii="Arial Narrow" w:hAnsi="Arial Narrow" w:cs="Calibri"/>
          <w:sz w:val="15"/>
          <w:szCs w:val="15"/>
        </w:rPr>
        <w:t>=</w:t>
      </w:r>
      <w:r w:rsidRPr="00456679">
        <w:rPr>
          <w:rFonts w:ascii="Arial Narrow" w:hAnsi="Arial Narrow" w:cs="Calibri"/>
          <w:sz w:val="15"/>
          <w:szCs w:val="15"/>
        </w:rPr>
        <w:t>Computer, apparecchi elettronici e ottici</w:t>
      </w:r>
      <w:r w:rsidRPr="004D645B">
        <w:rPr>
          <w:rFonts w:ascii="Arial Narrow" w:hAnsi="Arial Narrow" w:cs="Calibri"/>
          <w:sz w:val="15"/>
          <w:szCs w:val="15"/>
        </w:rPr>
        <w:t xml:space="preserve">; </w:t>
      </w:r>
      <w:r w:rsidRPr="00456679">
        <w:rPr>
          <w:rFonts w:ascii="Arial Narrow" w:hAnsi="Arial Narrow" w:cs="Calibri"/>
          <w:sz w:val="15"/>
          <w:szCs w:val="15"/>
        </w:rPr>
        <w:t>Raffinazione</w:t>
      </w:r>
      <w:r w:rsidRPr="004D645B">
        <w:rPr>
          <w:rFonts w:ascii="Arial Narrow" w:hAnsi="Arial Narrow" w:cs="Calibri"/>
          <w:sz w:val="15"/>
          <w:szCs w:val="15"/>
        </w:rPr>
        <w:t>=</w:t>
      </w:r>
      <w:r w:rsidRPr="00456679">
        <w:rPr>
          <w:rFonts w:ascii="Arial Narrow" w:hAnsi="Arial Narrow" w:cs="Calibri"/>
          <w:sz w:val="15"/>
          <w:szCs w:val="15"/>
        </w:rPr>
        <w:t>Coke e prodotti petroliferi raffinati</w:t>
      </w:r>
      <w:r w:rsidRPr="004D645B">
        <w:rPr>
          <w:rFonts w:ascii="Arial Narrow" w:hAnsi="Arial Narrow" w:cs="Calibri"/>
          <w:sz w:val="15"/>
          <w:szCs w:val="15"/>
        </w:rPr>
        <w:t xml:space="preserve">; </w:t>
      </w:r>
      <w:r w:rsidRPr="00456679">
        <w:rPr>
          <w:rFonts w:ascii="Arial Narrow" w:hAnsi="Arial Narrow" w:cs="Calibri"/>
          <w:sz w:val="15"/>
          <w:szCs w:val="15"/>
        </w:rPr>
        <w:t>Alimentari</w:t>
      </w:r>
      <w:r w:rsidRPr="004D645B">
        <w:rPr>
          <w:rFonts w:ascii="Arial Narrow" w:hAnsi="Arial Narrow" w:cs="Calibri"/>
          <w:sz w:val="15"/>
          <w:szCs w:val="15"/>
        </w:rPr>
        <w:t>=</w:t>
      </w:r>
      <w:r w:rsidRPr="00456679">
        <w:rPr>
          <w:rFonts w:ascii="Arial Narrow" w:hAnsi="Arial Narrow" w:cs="Calibri"/>
          <w:sz w:val="15"/>
          <w:szCs w:val="15"/>
        </w:rPr>
        <w:t>Prodotti alimentari, bevande e tabacco</w:t>
      </w:r>
      <w:r w:rsidRPr="004D645B">
        <w:rPr>
          <w:rFonts w:ascii="Arial Narrow" w:hAnsi="Arial Narrow" w:cs="Calibri"/>
          <w:sz w:val="15"/>
          <w:szCs w:val="15"/>
        </w:rPr>
        <w:t xml:space="preserve">; </w:t>
      </w:r>
      <w:r w:rsidRPr="00456679">
        <w:rPr>
          <w:rFonts w:ascii="Arial Narrow" w:hAnsi="Arial Narrow" w:cs="Calibri"/>
          <w:sz w:val="15"/>
          <w:szCs w:val="15"/>
        </w:rPr>
        <w:t>Farmaceutica</w:t>
      </w:r>
      <w:r w:rsidRPr="004D645B">
        <w:rPr>
          <w:rFonts w:ascii="Arial Narrow" w:hAnsi="Arial Narrow" w:cs="Calibri"/>
          <w:sz w:val="15"/>
          <w:szCs w:val="15"/>
        </w:rPr>
        <w:t>=</w:t>
      </w:r>
      <w:r w:rsidRPr="00456679">
        <w:rPr>
          <w:rFonts w:ascii="Arial Narrow" w:hAnsi="Arial Narrow" w:cs="Calibri"/>
          <w:sz w:val="15"/>
          <w:szCs w:val="15"/>
        </w:rPr>
        <w:t>Articoli farmaceutici, chimico-medicinali e botanici</w:t>
      </w:r>
      <w:r>
        <w:rPr>
          <w:rFonts w:ascii="Arial Narrow" w:hAnsi="Arial Narrow" w:cs="Calibri"/>
          <w:sz w:val="15"/>
          <w:szCs w:val="15"/>
        </w:rPr>
        <w:t>.</w:t>
      </w:r>
    </w:p>
    <w:p w14:paraId="64B2489F" w14:textId="77777777" w:rsidR="00C6666F" w:rsidRDefault="00C6666F" w:rsidP="00BC4705">
      <w:pPr>
        <w:spacing w:after="60"/>
        <w:jc w:val="both"/>
        <w:rPr>
          <w:rFonts w:ascii="Arial" w:hAnsi="Arial"/>
          <w:sz w:val="21"/>
          <w:szCs w:val="21"/>
        </w:rPr>
      </w:pPr>
    </w:p>
    <w:p w14:paraId="50C0012F" w14:textId="77777777" w:rsidR="00660BD3" w:rsidRDefault="00660BD3" w:rsidP="0020174D">
      <w:pPr>
        <w:spacing w:after="120"/>
        <w:jc w:val="both"/>
        <w:rPr>
          <w:rFonts w:ascii="Arial" w:hAnsi="Arial"/>
          <w:sz w:val="21"/>
          <w:szCs w:val="21"/>
        </w:rPr>
      </w:pPr>
    </w:p>
    <w:p w14:paraId="70FA5431" w14:textId="77777777" w:rsidR="00CC2949" w:rsidRPr="00067430" w:rsidRDefault="0025622B" w:rsidP="00CC2949">
      <w:pPr>
        <w:pStyle w:val="001TitoloBolocco"/>
        <w:spacing w:after="0" w:line="240" w:lineRule="auto"/>
        <w:rPr>
          <w:rFonts w:ascii="Arial Narrow" w:hAnsi="Arial Narrow"/>
          <w:bCs w:val="0"/>
          <w:caps w:val="0"/>
          <w:sz w:val="22"/>
        </w:rPr>
      </w:pPr>
      <w:r>
        <w:rPr>
          <w:bCs w:val="0"/>
          <w:caps w:val="0"/>
        </w:rPr>
        <w:br w:type="page"/>
      </w:r>
    </w:p>
    <w:p w14:paraId="4E7CE020" w14:textId="77777777" w:rsidR="00ED1109" w:rsidRPr="00ED1109" w:rsidRDefault="00ED1109" w:rsidP="00ED1109">
      <w:pPr>
        <w:pStyle w:val="Corpodeltesto1"/>
        <w:jc w:val="left"/>
        <w:rPr>
          <w:rFonts w:ascii="Arial Narrow" w:hAnsi="Arial Narrow"/>
          <w:bCs/>
          <w:caps/>
          <w:sz w:val="22"/>
        </w:rPr>
      </w:pPr>
    </w:p>
    <w:p w14:paraId="27AEFD13" w14:textId="77777777" w:rsidR="00BF702B" w:rsidRDefault="00BF702B" w:rsidP="00BF702B">
      <w:pPr>
        <w:pStyle w:val="001TitoloBolocco"/>
        <w:spacing w:after="120" w:line="240" w:lineRule="auto"/>
      </w:pPr>
      <w:r>
        <w:rPr>
          <w:bCs w:val="0"/>
          <w:caps w:val="0"/>
        </w:rPr>
        <w:t>P</w:t>
      </w:r>
      <w:r w:rsidR="002A153A">
        <w:rPr>
          <w:bCs w:val="0"/>
          <w:caps w:val="0"/>
        </w:rPr>
        <w:t>A</w:t>
      </w:r>
      <w:r>
        <w:rPr>
          <w:bCs w:val="0"/>
          <w:caps w:val="0"/>
        </w:rPr>
        <w:t>E</w:t>
      </w:r>
      <w:r w:rsidR="002A153A">
        <w:rPr>
          <w:bCs w:val="0"/>
          <w:caps w:val="0"/>
        </w:rPr>
        <w:t>SI PARTNER NEL COMMERCIO ESTERO</w:t>
      </w:r>
    </w:p>
    <w:p w14:paraId="7F2F8662" w14:textId="77777777" w:rsidR="00D40C17" w:rsidRPr="00D40C17" w:rsidRDefault="002A153A" w:rsidP="00D40C17">
      <w:pPr>
        <w:pStyle w:val="Corpodeltesto1"/>
        <w:jc w:val="left"/>
        <w:rPr>
          <w:rFonts w:ascii="Arial Narrow" w:hAnsi="Arial Narrow" w:cs="Arial"/>
          <w:bCs/>
          <w:color w:val="E42618"/>
          <w:kern w:val="28"/>
          <w:sz w:val="22"/>
          <w:szCs w:val="22"/>
        </w:rPr>
      </w:pPr>
      <w:r w:rsidRPr="00D40C17">
        <w:rPr>
          <w:rFonts w:ascii="Arial Narrow" w:hAnsi="Arial Narrow" w:cs="Arial"/>
          <w:bCs/>
          <w:color w:val="E42618"/>
          <w:kern w:val="28"/>
          <w:sz w:val="22"/>
          <w:szCs w:val="22"/>
        </w:rPr>
        <w:t xml:space="preserve">FIGURA </w:t>
      </w:r>
      <w:r w:rsidR="00864908" w:rsidRPr="00D40C17">
        <w:rPr>
          <w:rFonts w:ascii="Arial Narrow" w:hAnsi="Arial Narrow" w:cs="Arial"/>
          <w:bCs/>
          <w:color w:val="E42618"/>
          <w:kern w:val="28"/>
          <w:sz w:val="22"/>
          <w:szCs w:val="22"/>
        </w:rPr>
        <w:t>8</w:t>
      </w:r>
      <w:r w:rsidRPr="00D40C17">
        <w:rPr>
          <w:rFonts w:ascii="Arial Narrow" w:hAnsi="Arial Narrow" w:cs="Arial"/>
          <w:bCs/>
          <w:color w:val="E42618"/>
          <w:kern w:val="28"/>
          <w:sz w:val="22"/>
          <w:szCs w:val="22"/>
        </w:rPr>
        <w:t xml:space="preserve">. </w:t>
      </w:r>
      <w:r w:rsidR="00D40C17" w:rsidRPr="00D40C17">
        <w:rPr>
          <w:rFonts w:ascii="Arial Narrow" w:hAnsi="Arial Narrow" w:cs="Arial"/>
          <w:bCs/>
          <w:color w:val="5F5F5F"/>
          <w:kern w:val="28"/>
          <w:sz w:val="22"/>
          <w:szCs w:val="22"/>
        </w:rPr>
        <w:t>PRINCIPALI PARTNER COMMERCIALI: GRADUATORIA DEI PAESI SECONDO I CONTRIBUTI ALL’</w:t>
      </w:r>
      <w:r w:rsidR="00D40C17" w:rsidRPr="00D40C17">
        <w:rPr>
          <w:rFonts w:ascii="Arial Narrow" w:hAnsi="Arial Narrow" w:cs="Arial"/>
          <w:bCs/>
          <w:color w:val="E42618"/>
          <w:kern w:val="28"/>
          <w:sz w:val="22"/>
          <w:szCs w:val="22"/>
        </w:rPr>
        <w:t xml:space="preserve"> </w:t>
      </w:r>
      <w:r w:rsidR="00D40C17" w:rsidRPr="00D40C17">
        <w:rPr>
          <w:rFonts w:ascii="Arial Narrow" w:hAnsi="Arial Narrow" w:cs="Arial"/>
          <w:bCs/>
          <w:color w:val="5F5F5F"/>
          <w:kern w:val="28"/>
          <w:sz w:val="22"/>
          <w:szCs w:val="22"/>
        </w:rPr>
        <w:t xml:space="preserve">EXPORT  </w:t>
      </w:r>
      <w:r w:rsidR="00D40C17" w:rsidRPr="00D40C17">
        <w:rPr>
          <w:rFonts w:ascii="Arial Narrow" w:hAnsi="Arial Narrow" w:cs="Arial"/>
          <w:bCs/>
          <w:color w:val="E42618"/>
          <w:kern w:val="28"/>
          <w:sz w:val="22"/>
          <w:szCs w:val="22"/>
        </w:rPr>
        <w:t xml:space="preserve">  </w:t>
      </w:r>
    </w:p>
    <w:p w14:paraId="5D435E8D" w14:textId="71D41946" w:rsidR="00041D56" w:rsidRDefault="005F4885" w:rsidP="00041D56">
      <w:pPr>
        <w:pStyle w:val="Corpodeltesto1"/>
        <w:spacing w:after="120"/>
        <w:jc w:val="left"/>
        <w:rPr>
          <w:noProof/>
        </w:rPr>
      </w:pPr>
      <w:r w:rsidRPr="005F4885">
        <w:rPr>
          <w:rFonts w:ascii="Arial Narrow" w:hAnsi="Arial Narrow" w:cs="Arial"/>
          <w:b w:val="0"/>
          <w:color w:val="5F5F5F"/>
          <w:kern w:val="28"/>
          <w:sz w:val="20"/>
          <w:szCs w:val="20"/>
        </w:rPr>
        <w:t xml:space="preserve">Settembre </w:t>
      </w:r>
      <w:r w:rsidR="00756458" w:rsidRPr="00756458">
        <w:rPr>
          <w:rFonts w:ascii="Arial Narrow" w:hAnsi="Arial Narrow" w:cs="Arial"/>
          <w:b w:val="0"/>
          <w:color w:val="5F5F5F"/>
          <w:kern w:val="28"/>
          <w:sz w:val="20"/>
          <w:szCs w:val="20"/>
        </w:rPr>
        <w:t>202</w:t>
      </w:r>
      <w:r w:rsidR="00470B67">
        <w:rPr>
          <w:rFonts w:ascii="Arial Narrow" w:hAnsi="Arial Narrow" w:cs="Arial"/>
          <w:b w:val="0"/>
          <w:color w:val="5F5F5F"/>
          <w:kern w:val="28"/>
          <w:sz w:val="20"/>
          <w:szCs w:val="20"/>
        </w:rPr>
        <w:t>2</w:t>
      </w:r>
      <w:r w:rsidR="00041D56" w:rsidRPr="005C343A">
        <w:rPr>
          <w:rFonts w:ascii="Arial Narrow" w:hAnsi="Arial Narrow" w:cs="Arial"/>
          <w:b w:val="0"/>
          <w:color w:val="5F5F5F"/>
          <w:kern w:val="28"/>
          <w:sz w:val="20"/>
          <w:szCs w:val="20"/>
        </w:rPr>
        <w:t>, contributi alla variazione in punti percentuali e vari</w:t>
      </w:r>
      <w:r w:rsidR="00041D56">
        <w:rPr>
          <w:rFonts w:ascii="Arial Narrow" w:hAnsi="Arial Narrow" w:cs="Arial"/>
          <w:b w:val="0"/>
          <w:color w:val="5F5F5F"/>
          <w:kern w:val="28"/>
          <w:sz w:val="20"/>
          <w:szCs w:val="20"/>
        </w:rPr>
        <w:t>azioni</w:t>
      </w:r>
      <w:r w:rsidR="00041D56" w:rsidRPr="005C343A">
        <w:rPr>
          <w:rFonts w:ascii="Arial Narrow" w:hAnsi="Arial Narrow" w:cs="Arial"/>
          <w:b w:val="0"/>
          <w:color w:val="5F5F5F"/>
          <w:kern w:val="28"/>
          <w:sz w:val="20"/>
          <w:szCs w:val="20"/>
        </w:rPr>
        <w:t xml:space="preserve"> percentuali tendenziali</w:t>
      </w:r>
      <w:r w:rsidR="00041D56">
        <w:rPr>
          <w:rFonts w:ascii="Arial Narrow" w:hAnsi="Arial Narrow" w:cs="Arial"/>
          <w:b w:val="0"/>
          <w:color w:val="5F5F5F"/>
          <w:kern w:val="28"/>
          <w:sz w:val="20"/>
          <w:szCs w:val="20"/>
        </w:rPr>
        <w:t xml:space="preserve"> </w:t>
      </w:r>
      <w:r w:rsidR="00041D56" w:rsidRPr="00E35121">
        <w:rPr>
          <w:rFonts w:ascii="Arial Narrow" w:hAnsi="Arial Narrow" w:cs="Arial"/>
          <w:b w:val="0"/>
          <w:bCs/>
          <w:color w:val="5F5F5F"/>
          <w:kern w:val="28"/>
          <w:sz w:val="20"/>
          <w:szCs w:val="22"/>
        </w:rPr>
        <w:t>(a)</w:t>
      </w:r>
    </w:p>
    <w:p w14:paraId="7C8F3849" w14:textId="63D43B9B" w:rsidR="00147CB5" w:rsidRDefault="00F374E1" w:rsidP="002A153A">
      <w:pPr>
        <w:pStyle w:val="Corpodeltesto1"/>
        <w:spacing w:after="120"/>
        <w:jc w:val="left"/>
        <w:rPr>
          <w:rFonts w:ascii="Arial Narrow" w:hAnsi="Arial Narrow" w:cs="Arial"/>
          <w:b w:val="0"/>
          <w:color w:val="5F5F5F"/>
          <w:kern w:val="28"/>
          <w:sz w:val="20"/>
          <w:szCs w:val="20"/>
        </w:rPr>
      </w:pPr>
      <w:r>
        <w:rPr>
          <w:noProof/>
        </w:rPr>
        <w:drawing>
          <wp:inline distT="0" distB="0" distL="0" distR="0" wp14:anchorId="5FFF986D" wp14:editId="3C3539BB">
            <wp:extent cx="6660000" cy="2160000"/>
            <wp:effectExtent l="0" t="0" r="7620" b="0"/>
            <wp:docPr id="23" name="Gra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D6F4C65" w14:textId="77777777" w:rsidR="009D29C9" w:rsidRDefault="009D29C9" w:rsidP="00763EB2">
      <w:pPr>
        <w:pStyle w:val="Corpodeltesto1"/>
        <w:rPr>
          <w:rFonts w:ascii="Arial Narrow" w:hAnsi="Arial Narrow" w:cs="Arial"/>
          <w:color w:val="E42618"/>
          <w:kern w:val="28"/>
          <w:sz w:val="22"/>
          <w:szCs w:val="22"/>
        </w:rPr>
      </w:pPr>
    </w:p>
    <w:p w14:paraId="51D28C8B" w14:textId="77777777" w:rsidR="00B145A1" w:rsidRDefault="00B145A1" w:rsidP="00763EB2">
      <w:pPr>
        <w:pStyle w:val="Corpodeltesto1"/>
        <w:rPr>
          <w:rFonts w:ascii="Arial Narrow" w:hAnsi="Arial Narrow" w:cs="Arial"/>
          <w:bCs/>
          <w:color w:val="5F5F5F"/>
          <w:kern w:val="28"/>
          <w:sz w:val="22"/>
          <w:szCs w:val="22"/>
        </w:rPr>
      </w:pPr>
      <w:r w:rsidRPr="002A153A">
        <w:rPr>
          <w:rFonts w:ascii="Arial Narrow" w:hAnsi="Arial Narrow" w:cs="Arial"/>
          <w:color w:val="E42618"/>
          <w:kern w:val="28"/>
          <w:sz w:val="22"/>
          <w:szCs w:val="22"/>
        </w:rPr>
        <w:t xml:space="preserve">FIGURA </w:t>
      </w:r>
      <w:r>
        <w:rPr>
          <w:rFonts w:ascii="Arial Narrow" w:hAnsi="Arial Narrow" w:cs="Arial"/>
          <w:color w:val="E42618"/>
          <w:kern w:val="28"/>
          <w:sz w:val="22"/>
          <w:szCs w:val="22"/>
        </w:rPr>
        <w:t>9</w:t>
      </w:r>
      <w:r w:rsidRPr="002A153A">
        <w:rPr>
          <w:rFonts w:ascii="Arial Narrow" w:hAnsi="Arial Narrow" w:cs="Arial"/>
          <w:color w:val="E42618"/>
          <w:kern w:val="28"/>
          <w:sz w:val="22"/>
          <w:szCs w:val="22"/>
        </w:rPr>
        <w:t>.</w:t>
      </w:r>
      <w:r w:rsidRPr="00B37F7D">
        <w:rPr>
          <w:rFonts w:ascii="Arial Narrow" w:hAnsi="Arial Narrow" w:cs="Arial"/>
          <w:color w:val="5F5F5F"/>
          <w:spacing w:val="-8"/>
          <w:sz w:val="20"/>
        </w:rPr>
        <w:t xml:space="preserve"> </w:t>
      </w:r>
      <w:r w:rsidR="00D40C17" w:rsidRPr="00D40C17">
        <w:rPr>
          <w:rFonts w:ascii="Arial Narrow" w:hAnsi="Arial Narrow" w:cs="Arial"/>
          <w:bCs/>
          <w:color w:val="5F5F5F"/>
          <w:kern w:val="28"/>
          <w:sz w:val="22"/>
          <w:szCs w:val="22"/>
        </w:rPr>
        <w:t>PRINCIPALI PARTNER COMMERCIALI: GRADUATORIA DEI PAESI SECONDO I CONTRIBUTI ALL’</w:t>
      </w:r>
      <w:r w:rsidR="00D40C17" w:rsidRPr="00D40C17">
        <w:rPr>
          <w:rFonts w:ascii="Arial Narrow" w:hAnsi="Arial Narrow" w:cs="Arial"/>
          <w:bCs/>
          <w:color w:val="E42618"/>
          <w:kern w:val="28"/>
          <w:sz w:val="22"/>
          <w:szCs w:val="22"/>
        </w:rPr>
        <w:t xml:space="preserve"> </w:t>
      </w:r>
      <w:r w:rsidR="00D40C17">
        <w:rPr>
          <w:rFonts w:ascii="Arial Narrow" w:hAnsi="Arial Narrow" w:cs="Arial"/>
          <w:bCs/>
          <w:color w:val="5F5F5F"/>
          <w:kern w:val="28"/>
          <w:sz w:val="22"/>
          <w:szCs w:val="22"/>
        </w:rPr>
        <w:t>IM</w:t>
      </w:r>
      <w:r w:rsidR="00D40C17" w:rsidRPr="00D40C17">
        <w:rPr>
          <w:rFonts w:ascii="Arial Narrow" w:hAnsi="Arial Narrow" w:cs="Arial"/>
          <w:bCs/>
          <w:color w:val="5F5F5F"/>
          <w:kern w:val="28"/>
          <w:sz w:val="22"/>
          <w:szCs w:val="22"/>
        </w:rPr>
        <w:t xml:space="preserve">PORT  </w:t>
      </w:r>
      <w:r w:rsidR="00D40C17" w:rsidRPr="00D40C17">
        <w:rPr>
          <w:rFonts w:ascii="Arial Narrow" w:hAnsi="Arial Narrow" w:cs="Arial"/>
          <w:bCs/>
          <w:color w:val="E42618"/>
          <w:kern w:val="28"/>
          <w:sz w:val="22"/>
          <w:szCs w:val="22"/>
        </w:rPr>
        <w:t xml:space="preserve">  </w:t>
      </w:r>
    </w:p>
    <w:p w14:paraId="15667FC6" w14:textId="242C89EB" w:rsidR="00041D56" w:rsidRDefault="005F4885" w:rsidP="00041D56">
      <w:pPr>
        <w:pStyle w:val="Corpodeltesto1"/>
        <w:spacing w:after="120"/>
        <w:jc w:val="left"/>
        <w:rPr>
          <w:noProof/>
        </w:rPr>
      </w:pPr>
      <w:r w:rsidRPr="005F4885">
        <w:rPr>
          <w:rFonts w:ascii="Arial Narrow" w:hAnsi="Arial Narrow" w:cs="Arial"/>
          <w:b w:val="0"/>
          <w:color w:val="5F5F5F"/>
          <w:kern w:val="28"/>
          <w:sz w:val="20"/>
          <w:szCs w:val="20"/>
        </w:rPr>
        <w:t xml:space="preserve">Settembre </w:t>
      </w:r>
      <w:r w:rsidR="00470B67">
        <w:rPr>
          <w:rFonts w:ascii="Arial Narrow" w:hAnsi="Arial Narrow" w:cs="Arial"/>
          <w:b w:val="0"/>
          <w:color w:val="5F5F5F"/>
          <w:kern w:val="28"/>
          <w:sz w:val="20"/>
          <w:szCs w:val="20"/>
        </w:rPr>
        <w:t>2022</w:t>
      </w:r>
      <w:r w:rsidR="00041D56" w:rsidRPr="005C343A">
        <w:rPr>
          <w:rFonts w:ascii="Arial Narrow" w:hAnsi="Arial Narrow" w:cs="Arial"/>
          <w:b w:val="0"/>
          <w:color w:val="5F5F5F"/>
          <w:kern w:val="28"/>
          <w:sz w:val="20"/>
          <w:szCs w:val="20"/>
        </w:rPr>
        <w:t>, contributi alla variazione in punti percentuali e vari</w:t>
      </w:r>
      <w:r w:rsidR="00041D56">
        <w:rPr>
          <w:rFonts w:ascii="Arial Narrow" w:hAnsi="Arial Narrow" w:cs="Arial"/>
          <w:b w:val="0"/>
          <w:color w:val="5F5F5F"/>
          <w:kern w:val="28"/>
          <w:sz w:val="20"/>
          <w:szCs w:val="20"/>
        </w:rPr>
        <w:t>azioni</w:t>
      </w:r>
      <w:r w:rsidR="00041D56" w:rsidRPr="005C343A">
        <w:rPr>
          <w:rFonts w:ascii="Arial Narrow" w:hAnsi="Arial Narrow" w:cs="Arial"/>
          <w:b w:val="0"/>
          <w:color w:val="5F5F5F"/>
          <w:kern w:val="28"/>
          <w:sz w:val="20"/>
          <w:szCs w:val="20"/>
        </w:rPr>
        <w:t xml:space="preserve"> percentuali tendenziali</w:t>
      </w:r>
      <w:r w:rsidR="00041D56">
        <w:rPr>
          <w:rFonts w:ascii="Arial Narrow" w:hAnsi="Arial Narrow" w:cs="Arial"/>
          <w:b w:val="0"/>
          <w:color w:val="5F5F5F"/>
          <w:kern w:val="28"/>
          <w:sz w:val="20"/>
          <w:szCs w:val="20"/>
        </w:rPr>
        <w:t xml:space="preserve"> </w:t>
      </w:r>
      <w:r w:rsidR="00041D56" w:rsidRPr="00E35121">
        <w:rPr>
          <w:rFonts w:ascii="Arial Narrow" w:hAnsi="Arial Narrow" w:cs="Arial"/>
          <w:b w:val="0"/>
          <w:bCs/>
          <w:color w:val="5F5F5F"/>
          <w:kern w:val="28"/>
          <w:sz w:val="20"/>
          <w:szCs w:val="22"/>
        </w:rPr>
        <w:t>(a)</w:t>
      </w:r>
    </w:p>
    <w:p w14:paraId="18408927" w14:textId="044F6F90" w:rsidR="00403189" w:rsidRDefault="00F374E1" w:rsidP="002A153A">
      <w:pPr>
        <w:pStyle w:val="Corpodeltesto1"/>
        <w:spacing w:after="120"/>
        <w:jc w:val="left"/>
        <w:rPr>
          <w:rFonts w:ascii="Arial Narrow" w:hAnsi="Arial Narrow" w:cs="Arial"/>
          <w:b w:val="0"/>
          <w:color w:val="5F5F5F"/>
          <w:kern w:val="28"/>
          <w:sz w:val="20"/>
          <w:szCs w:val="20"/>
        </w:rPr>
      </w:pPr>
      <w:r>
        <w:rPr>
          <w:noProof/>
        </w:rPr>
        <w:drawing>
          <wp:inline distT="0" distB="0" distL="0" distR="0" wp14:anchorId="76779431" wp14:editId="247EF1D5">
            <wp:extent cx="6696000" cy="2160000"/>
            <wp:effectExtent l="0" t="0" r="0" b="0"/>
            <wp:docPr id="25" name="Gra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EDA55CF" w14:textId="4D3D29C9" w:rsidR="00C22E24" w:rsidRDefault="00C0323B" w:rsidP="00C22E24">
      <w:pPr>
        <w:spacing w:before="60"/>
        <w:jc w:val="both"/>
        <w:rPr>
          <w:rFonts w:ascii="Arial Narrow" w:hAnsi="Arial Narrow" w:cs="Calibri"/>
          <w:sz w:val="15"/>
          <w:szCs w:val="15"/>
        </w:rPr>
      </w:pPr>
      <w:r w:rsidRPr="009F2C56">
        <w:rPr>
          <w:rFonts w:ascii="Arial Narrow" w:hAnsi="Arial Narrow" w:cs="Calibri"/>
          <w:sz w:val="15"/>
          <w:szCs w:val="15"/>
        </w:rPr>
        <w:t xml:space="preserve">(a) </w:t>
      </w:r>
      <w:r w:rsidRPr="00C97A46">
        <w:rPr>
          <w:rFonts w:ascii="Arial Narrow" w:hAnsi="Arial Narrow" w:cs="Calibri"/>
          <w:sz w:val="15"/>
          <w:szCs w:val="15"/>
        </w:rPr>
        <w:t>Limitatamente ai paesi la cui quota sull</w:t>
      </w:r>
      <w:r w:rsidR="00B67619">
        <w:rPr>
          <w:rFonts w:ascii="Arial Narrow" w:hAnsi="Arial Narrow" w:cs="Calibri"/>
          <w:sz w:val="15"/>
          <w:szCs w:val="15"/>
        </w:rPr>
        <w:t>’export (import)</w:t>
      </w:r>
      <w:r w:rsidR="001E77DD">
        <w:rPr>
          <w:rFonts w:ascii="Arial Narrow" w:hAnsi="Arial Narrow" w:cs="Calibri"/>
          <w:sz w:val="15"/>
          <w:szCs w:val="15"/>
        </w:rPr>
        <w:t xml:space="preserve"> per l’anno 202</w:t>
      </w:r>
      <w:r w:rsidR="0075218A">
        <w:rPr>
          <w:rFonts w:ascii="Arial Narrow" w:hAnsi="Arial Narrow" w:cs="Calibri"/>
          <w:sz w:val="15"/>
          <w:szCs w:val="15"/>
        </w:rPr>
        <w:t>1</w:t>
      </w:r>
      <w:r w:rsidRPr="00C97A46">
        <w:rPr>
          <w:rFonts w:ascii="Arial Narrow" w:hAnsi="Arial Narrow" w:cs="Calibri"/>
          <w:sz w:val="15"/>
          <w:szCs w:val="15"/>
        </w:rPr>
        <w:t xml:space="preserve"> è superiore all’1%.</w:t>
      </w:r>
    </w:p>
    <w:p w14:paraId="191AF2B1" w14:textId="77777777" w:rsidR="00C0323B" w:rsidRDefault="00C0323B" w:rsidP="00E74CD4">
      <w:pPr>
        <w:spacing w:before="60"/>
        <w:jc w:val="both"/>
        <w:rPr>
          <w:rFonts w:ascii="Arial Narrow" w:hAnsi="Arial Narrow" w:cs="Calibri"/>
          <w:sz w:val="15"/>
          <w:szCs w:val="15"/>
        </w:rPr>
      </w:pPr>
    </w:p>
    <w:p w14:paraId="39DD39F5" w14:textId="77777777" w:rsidR="008D59B2" w:rsidRPr="008D59B2" w:rsidRDefault="008D59B2" w:rsidP="008D59B2">
      <w:pPr>
        <w:spacing w:after="120"/>
        <w:jc w:val="both"/>
        <w:rPr>
          <w:rFonts w:ascii="Arial" w:hAnsi="Arial"/>
          <w:sz w:val="21"/>
          <w:szCs w:val="21"/>
        </w:rPr>
      </w:pPr>
    </w:p>
    <w:p w14:paraId="770534AE" w14:textId="77777777" w:rsidR="00833A77" w:rsidRPr="00055CB6" w:rsidRDefault="00525F9A" w:rsidP="00E84E4F">
      <w:pPr>
        <w:pStyle w:val="001TitoloBolocco"/>
        <w:spacing w:after="120" w:line="240" w:lineRule="auto"/>
      </w:pPr>
      <w:r w:rsidRPr="00055CB6">
        <w:rPr>
          <w:bCs w:val="0"/>
          <w:caps w:val="0"/>
        </w:rPr>
        <w:t>A</w:t>
      </w:r>
      <w:r w:rsidR="00885870" w:rsidRPr="00055CB6">
        <w:rPr>
          <w:bCs w:val="0"/>
          <w:caps w:val="0"/>
        </w:rPr>
        <w:t>NALISI PER PRODOTTO E PAESE</w:t>
      </w:r>
    </w:p>
    <w:p w14:paraId="5E23DD54" w14:textId="0F12E638" w:rsidR="00DE12CB" w:rsidRPr="00252584" w:rsidRDefault="00DE12CB" w:rsidP="00DE12CB">
      <w:pPr>
        <w:pStyle w:val="Corpotesto1"/>
        <w:spacing w:after="120"/>
        <w:rPr>
          <w:rFonts w:ascii="Arial" w:hAnsi="Arial"/>
          <w:b w:val="0"/>
          <w:sz w:val="21"/>
          <w:szCs w:val="21"/>
          <w:highlight w:val="green"/>
          <w:lang w:val="it-IT" w:eastAsia="it-IT"/>
        </w:rPr>
      </w:pPr>
      <w:r w:rsidRPr="0004409E">
        <w:rPr>
          <w:rFonts w:ascii="Arial" w:hAnsi="Arial"/>
          <w:b w:val="0"/>
          <w:sz w:val="21"/>
          <w:szCs w:val="21"/>
          <w:lang w:val="it-IT" w:eastAsia="it-IT"/>
        </w:rPr>
        <w:t>Sulla base delle elaborazioni allegate al presente comunicato nel file “Grafici aggiuntivi commercio estero”, risulta che la crescita tendenzi</w:t>
      </w:r>
      <w:r w:rsidR="00CB137B" w:rsidRPr="0004409E">
        <w:rPr>
          <w:rFonts w:ascii="Arial" w:hAnsi="Arial"/>
          <w:b w:val="0"/>
          <w:sz w:val="21"/>
          <w:szCs w:val="21"/>
          <w:lang w:val="it-IT" w:eastAsia="it-IT"/>
        </w:rPr>
        <w:t>ale dell’export è spiegata per 2</w:t>
      </w:r>
      <w:r w:rsidRPr="0004409E">
        <w:rPr>
          <w:rFonts w:ascii="Arial" w:hAnsi="Arial"/>
          <w:b w:val="0"/>
          <w:sz w:val="21"/>
          <w:szCs w:val="21"/>
          <w:lang w:val="it-IT" w:eastAsia="it-IT"/>
        </w:rPr>
        <w:t>,</w:t>
      </w:r>
      <w:r w:rsidR="00456900" w:rsidRPr="0004409E">
        <w:rPr>
          <w:rFonts w:ascii="Arial" w:hAnsi="Arial"/>
          <w:b w:val="0"/>
          <w:sz w:val="21"/>
          <w:szCs w:val="21"/>
          <w:lang w:val="it-IT" w:eastAsia="it-IT"/>
        </w:rPr>
        <w:t>0</w:t>
      </w:r>
      <w:r w:rsidRPr="0004409E">
        <w:rPr>
          <w:rFonts w:ascii="Arial" w:hAnsi="Arial"/>
          <w:b w:val="0"/>
          <w:sz w:val="21"/>
          <w:szCs w:val="21"/>
          <w:lang w:val="it-IT" w:eastAsia="it-IT"/>
        </w:rPr>
        <w:t xml:space="preserve"> punti percentuali dall’incremento delle vendite di articoli farmaceutici, chimico-medicinali e botanici verso </w:t>
      </w:r>
      <w:r w:rsidR="00456900" w:rsidRPr="0004409E">
        <w:rPr>
          <w:rFonts w:ascii="Arial" w:hAnsi="Arial"/>
          <w:b w:val="0"/>
          <w:sz w:val="21"/>
          <w:szCs w:val="21"/>
          <w:lang w:val="it-IT" w:eastAsia="it-IT"/>
        </w:rPr>
        <w:t>gli Stati Uniti</w:t>
      </w:r>
      <w:r w:rsidRPr="0004409E">
        <w:rPr>
          <w:rFonts w:ascii="Arial" w:hAnsi="Arial"/>
          <w:b w:val="0"/>
          <w:sz w:val="21"/>
          <w:szCs w:val="21"/>
          <w:lang w:val="it-IT" w:eastAsia="it-IT"/>
        </w:rPr>
        <w:t xml:space="preserve">. </w:t>
      </w:r>
      <w:r w:rsidRPr="008C346A">
        <w:rPr>
          <w:rFonts w:ascii="Arial" w:hAnsi="Arial"/>
          <w:b w:val="0"/>
          <w:sz w:val="21"/>
          <w:szCs w:val="21"/>
          <w:lang w:val="it-IT" w:eastAsia="it-IT"/>
        </w:rPr>
        <w:t xml:space="preserve">Un ulteriore contributo positivo di </w:t>
      </w:r>
      <w:r w:rsidR="0004409E" w:rsidRPr="008C346A">
        <w:rPr>
          <w:rFonts w:ascii="Arial" w:hAnsi="Arial"/>
          <w:b w:val="0"/>
          <w:sz w:val="21"/>
          <w:szCs w:val="21"/>
          <w:lang w:val="it-IT" w:eastAsia="it-IT"/>
        </w:rPr>
        <w:t>1,3 punti percentuali</w:t>
      </w:r>
      <w:r w:rsidRPr="008C346A">
        <w:rPr>
          <w:rFonts w:ascii="Arial" w:hAnsi="Arial"/>
          <w:b w:val="0"/>
          <w:sz w:val="21"/>
          <w:szCs w:val="21"/>
          <w:lang w:val="it-IT" w:eastAsia="it-IT"/>
        </w:rPr>
        <w:t xml:space="preserve"> deriva dall’incremento delle vendite </w:t>
      </w:r>
      <w:r w:rsidR="008C346A" w:rsidRPr="008C346A">
        <w:rPr>
          <w:rFonts w:ascii="Arial" w:hAnsi="Arial"/>
          <w:b w:val="0"/>
          <w:sz w:val="21"/>
          <w:szCs w:val="21"/>
          <w:lang w:val="it-IT" w:eastAsia="it-IT"/>
        </w:rPr>
        <w:t xml:space="preserve">di mezzi di trasporto, autoveicoli esclusi, </w:t>
      </w:r>
      <w:r w:rsidRPr="008C346A">
        <w:rPr>
          <w:rFonts w:ascii="Arial" w:hAnsi="Arial"/>
          <w:b w:val="0"/>
          <w:sz w:val="21"/>
          <w:szCs w:val="21"/>
          <w:lang w:val="it-IT" w:eastAsia="it-IT"/>
        </w:rPr>
        <w:t>verso</w:t>
      </w:r>
      <w:r w:rsidR="00456900" w:rsidRPr="008C346A">
        <w:rPr>
          <w:rFonts w:ascii="Arial" w:hAnsi="Arial"/>
          <w:b w:val="0"/>
          <w:sz w:val="21"/>
          <w:szCs w:val="21"/>
          <w:lang w:val="it-IT" w:eastAsia="it-IT"/>
        </w:rPr>
        <w:t xml:space="preserve"> </w:t>
      </w:r>
      <w:r w:rsidR="008C346A" w:rsidRPr="008C346A">
        <w:rPr>
          <w:rFonts w:ascii="Arial" w:hAnsi="Arial"/>
          <w:b w:val="0"/>
          <w:sz w:val="21"/>
          <w:szCs w:val="21"/>
          <w:lang w:val="it-IT" w:eastAsia="it-IT"/>
        </w:rPr>
        <w:t xml:space="preserve">i </w:t>
      </w:r>
      <w:r w:rsidR="00456900" w:rsidRPr="008C346A">
        <w:rPr>
          <w:rFonts w:ascii="Arial" w:hAnsi="Arial"/>
          <w:b w:val="0"/>
          <w:sz w:val="21"/>
          <w:szCs w:val="21"/>
          <w:lang w:val="it-IT" w:eastAsia="it-IT"/>
        </w:rPr>
        <w:t xml:space="preserve">paesi OPEC </w:t>
      </w:r>
      <w:r w:rsidR="0004409E" w:rsidRPr="008C346A">
        <w:rPr>
          <w:rFonts w:ascii="Arial" w:hAnsi="Arial"/>
          <w:b w:val="0"/>
          <w:sz w:val="21"/>
          <w:szCs w:val="21"/>
          <w:lang w:val="it-IT" w:eastAsia="it-IT"/>
        </w:rPr>
        <w:t xml:space="preserve">e di macchinari e apparecchi </w:t>
      </w:r>
      <w:proofErr w:type="spellStart"/>
      <w:r w:rsidR="0004409E" w:rsidRPr="008C346A">
        <w:rPr>
          <w:rFonts w:ascii="Arial" w:hAnsi="Arial"/>
          <w:b w:val="0"/>
          <w:sz w:val="21"/>
          <w:szCs w:val="21"/>
          <w:lang w:val="it-IT" w:eastAsia="it-IT"/>
        </w:rPr>
        <w:t>n.c.a</w:t>
      </w:r>
      <w:proofErr w:type="spellEnd"/>
      <w:r w:rsidR="0004409E" w:rsidRPr="008C346A">
        <w:rPr>
          <w:rFonts w:ascii="Arial" w:hAnsi="Arial"/>
          <w:b w:val="0"/>
          <w:sz w:val="21"/>
          <w:szCs w:val="21"/>
          <w:lang w:val="it-IT" w:eastAsia="it-IT"/>
        </w:rPr>
        <w:t>. verso</w:t>
      </w:r>
      <w:r w:rsidR="00456900" w:rsidRPr="008C346A">
        <w:rPr>
          <w:rFonts w:ascii="Arial" w:hAnsi="Arial"/>
          <w:b w:val="0"/>
          <w:sz w:val="21"/>
          <w:szCs w:val="21"/>
          <w:lang w:val="it-IT" w:eastAsia="it-IT"/>
        </w:rPr>
        <w:t xml:space="preserve"> Germania</w:t>
      </w:r>
      <w:r w:rsidR="008C346A" w:rsidRPr="008C346A">
        <w:rPr>
          <w:rFonts w:ascii="Arial" w:hAnsi="Arial"/>
          <w:b w:val="0"/>
          <w:sz w:val="21"/>
          <w:szCs w:val="21"/>
          <w:lang w:val="it-IT" w:eastAsia="it-IT"/>
        </w:rPr>
        <w:t xml:space="preserve"> e Stati Uniti</w:t>
      </w:r>
      <w:r w:rsidRPr="008C346A">
        <w:rPr>
          <w:rFonts w:ascii="Arial" w:hAnsi="Arial"/>
          <w:b w:val="0"/>
          <w:sz w:val="21"/>
          <w:szCs w:val="21"/>
          <w:lang w:val="it-IT" w:eastAsia="it-IT"/>
        </w:rPr>
        <w:t xml:space="preserve">. All’opposto, il calo delle vendite di </w:t>
      </w:r>
      <w:r w:rsidR="00456900" w:rsidRPr="008C346A">
        <w:rPr>
          <w:rFonts w:ascii="Arial" w:hAnsi="Arial"/>
          <w:b w:val="0"/>
          <w:sz w:val="21"/>
          <w:szCs w:val="21"/>
          <w:lang w:val="it-IT" w:eastAsia="it-IT"/>
        </w:rPr>
        <w:t>articoli farmaceutici, chimico-medicinali e bo</w:t>
      </w:r>
      <w:r w:rsidR="008C346A" w:rsidRPr="008C346A">
        <w:rPr>
          <w:rFonts w:ascii="Arial" w:hAnsi="Arial"/>
          <w:b w:val="0"/>
          <w:sz w:val="21"/>
          <w:szCs w:val="21"/>
          <w:lang w:val="it-IT" w:eastAsia="it-IT"/>
        </w:rPr>
        <w:t>tanici verso B</w:t>
      </w:r>
      <w:r w:rsidR="00456900" w:rsidRPr="008C346A">
        <w:rPr>
          <w:rFonts w:ascii="Arial" w:hAnsi="Arial"/>
          <w:b w:val="0"/>
          <w:sz w:val="21"/>
          <w:szCs w:val="21"/>
          <w:lang w:val="it-IT" w:eastAsia="it-IT"/>
        </w:rPr>
        <w:t xml:space="preserve">elgio e Germania e di macchinari e apparecchi </w:t>
      </w:r>
      <w:proofErr w:type="spellStart"/>
      <w:r w:rsidR="00456900" w:rsidRPr="008C346A">
        <w:rPr>
          <w:rFonts w:ascii="Arial" w:hAnsi="Arial"/>
          <w:b w:val="0"/>
          <w:sz w:val="21"/>
          <w:szCs w:val="21"/>
          <w:lang w:val="it-IT" w:eastAsia="it-IT"/>
        </w:rPr>
        <w:t>n.c.a</w:t>
      </w:r>
      <w:proofErr w:type="spellEnd"/>
      <w:r w:rsidR="00456900" w:rsidRPr="008C346A">
        <w:rPr>
          <w:rFonts w:ascii="Arial" w:hAnsi="Arial"/>
          <w:b w:val="0"/>
          <w:sz w:val="21"/>
          <w:szCs w:val="21"/>
          <w:lang w:val="it-IT" w:eastAsia="it-IT"/>
        </w:rPr>
        <w:t xml:space="preserve">. verso Russia e Cina </w:t>
      </w:r>
      <w:r w:rsidRPr="008C346A">
        <w:rPr>
          <w:rFonts w:ascii="Arial" w:hAnsi="Arial"/>
          <w:b w:val="0"/>
          <w:sz w:val="21"/>
          <w:szCs w:val="21"/>
          <w:lang w:val="it-IT" w:eastAsia="it-IT"/>
        </w:rPr>
        <w:t xml:space="preserve">apporta un contributo negativo di </w:t>
      </w:r>
      <w:r w:rsidR="00456900" w:rsidRPr="008C346A">
        <w:rPr>
          <w:rFonts w:ascii="Arial" w:hAnsi="Arial"/>
          <w:b w:val="0"/>
          <w:sz w:val="21"/>
          <w:szCs w:val="21"/>
          <w:lang w:val="it-IT" w:eastAsia="it-IT"/>
        </w:rPr>
        <w:t xml:space="preserve">0,8 </w:t>
      </w:r>
      <w:r w:rsidR="00CB137B" w:rsidRPr="008C346A">
        <w:rPr>
          <w:rFonts w:ascii="Arial" w:hAnsi="Arial"/>
          <w:b w:val="0"/>
          <w:sz w:val="21"/>
          <w:szCs w:val="21"/>
          <w:lang w:val="it-IT" w:eastAsia="it-IT"/>
        </w:rPr>
        <w:t>punt</w:t>
      </w:r>
      <w:r w:rsidR="00456900" w:rsidRPr="008C346A">
        <w:rPr>
          <w:rFonts w:ascii="Arial" w:hAnsi="Arial"/>
          <w:b w:val="0"/>
          <w:sz w:val="21"/>
          <w:szCs w:val="21"/>
          <w:lang w:val="it-IT" w:eastAsia="it-IT"/>
        </w:rPr>
        <w:t>i</w:t>
      </w:r>
      <w:r w:rsidR="00CB137B" w:rsidRPr="008C346A">
        <w:rPr>
          <w:rFonts w:ascii="Arial" w:hAnsi="Arial"/>
          <w:b w:val="0"/>
          <w:sz w:val="21"/>
          <w:szCs w:val="21"/>
          <w:lang w:val="it-IT" w:eastAsia="it-IT"/>
        </w:rPr>
        <w:t xml:space="preserve"> </w:t>
      </w:r>
      <w:r w:rsidRPr="008C346A">
        <w:rPr>
          <w:rFonts w:ascii="Arial" w:hAnsi="Arial"/>
          <w:b w:val="0"/>
          <w:sz w:val="21"/>
          <w:szCs w:val="21"/>
          <w:lang w:val="it-IT" w:eastAsia="it-IT"/>
        </w:rPr>
        <w:t>percentual</w:t>
      </w:r>
      <w:r w:rsidR="00456900" w:rsidRPr="008C346A">
        <w:rPr>
          <w:rFonts w:ascii="Arial" w:hAnsi="Arial"/>
          <w:b w:val="0"/>
          <w:sz w:val="21"/>
          <w:szCs w:val="21"/>
          <w:lang w:val="it-IT" w:eastAsia="it-IT"/>
        </w:rPr>
        <w:t>i</w:t>
      </w:r>
      <w:r w:rsidRPr="008C346A">
        <w:rPr>
          <w:rFonts w:ascii="Arial" w:hAnsi="Arial"/>
          <w:b w:val="0"/>
          <w:sz w:val="21"/>
          <w:szCs w:val="21"/>
          <w:lang w:val="it-IT" w:eastAsia="it-IT"/>
        </w:rPr>
        <w:t xml:space="preserve">. </w:t>
      </w:r>
    </w:p>
    <w:p w14:paraId="09F6B42A" w14:textId="6192E03D" w:rsidR="0075218A" w:rsidRDefault="00DE12CB" w:rsidP="00DE12CB">
      <w:pPr>
        <w:pStyle w:val="Corpotesto1"/>
        <w:spacing w:after="120"/>
        <w:rPr>
          <w:rFonts w:ascii="Arial" w:hAnsi="Arial"/>
          <w:b w:val="0"/>
          <w:sz w:val="21"/>
          <w:szCs w:val="21"/>
          <w:lang w:val="it-IT" w:eastAsia="it-IT"/>
        </w:rPr>
      </w:pPr>
      <w:r w:rsidRPr="0053049D">
        <w:rPr>
          <w:rFonts w:ascii="Arial" w:hAnsi="Arial"/>
          <w:b w:val="0"/>
          <w:sz w:val="21"/>
          <w:szCs w:val="21"/>
          <w:lang w:val="it-IT" w:eastAsia="it-IT"/>
        </w:rPr>
        <w:t>L’incremento degli acquisti di gas naturale da</w:t>
      </w:r>
      <w:r w:rsidR="00456900" w:rsidRPr="0053049D">
        <w:rPr>
          <w:rFonts w:ascii="Arial" w:hAnsi="Arial"/>
          <w:b w:val="0"/>
          <w:sz w:val="21"/>
          <w:szCs w:val="21"/>
          <w:lang w:val="it-IT" w:eastAsia="it-IT"/>
        </w:rPr>
        <w:t>i</w:t>
      </w:r>
      <w:r w:rsidRPr="0053049D">
        <w:rPr>
          <w:rFonts w:ascii="Arial" w:hAnsi="Arial"/>
          <w:b w:val="0"/>
          <w:sz w:val="21"/>
          <w:szCs w:val="21"/>
          <w:lang w:val="it-IT" w:eastAsia="it-IT"/>
        </w:rPr>
        <w:t xml:space="preserve"> paesi OPEC</w:t>
      </w:r>
      <w:r w:rsidR="00456900" w:rsidRPr="0053049D">
        <w:rPr>
          <w:rFonts w:ascii="Arial" w:hAnsi="Arial"/>
          <w:b w:val="0"/>
          <w:sz w:val="21"/>
          <w:szCs w:val="21"/>
          <w:lang w:val="it-IT" w:eastAsia="it-IT"/>
        </w:rPr>
        <w:t xml:space="preserve">, </w:t>
      </w:r>
      <w:r w:rsidRPr="0053049D">
        <w:rPr>
          <w:rFonts w:ascii="Arial" w:hAnsi="Arial"/>
          <w:b w:val="0"/>
          <w:sz w:val="21"/>
          <w:szCs w:val="21"/>
          <w:lang w:val="it-IT" w:eastAsia="it-IT"/>
        </w:rPr>
        <w:t xml:space="preserve">petrolio greggio </w:t>
      </w:r>
      <w:r w:rsidR="00456900" w:rsidRPr="0053049D">
        <w:rPr>
          <w:rFonts w:ascii="Arial" w:hAnsi="Arial"/>
          <w:b w:val="0"/>
          <w:sz w:val="21"/>
          <w:szCs w:val="21"/>
          <w:lang w:val="it-IT" w:eastAsia="it-IT"/>
        </w:rPr>
        <w:t xml:space="preserve">dalla Russia, </w:t>
      </w:r>
      <w:r w:rsidRPr="0053049D">
        <w:rPr>
          <w:rFonts w:ascii="Arial" w:hAnsi="Arial"/>
          <w:b w:val="0"/>
          <w:sz w:val="21"/>
          <w:szCs w:val="21"/>
          <w:lang w:val="it-IT" w:eastAsia="it-IT"/>
        </w:rPr>
        <w:t xml:space="preserve">energia elettrica, gas, vapore e aria condizionata dalla Francia </w:t>
      </w:r>
      <w:r w:rsidR="00456900" w:rsidRPr="0053049D">
        <w:rPr>
          <w:rFonts w:ascii="Arial" w:hAnsi="Arial"/>
          <w:b w:val="0"/>
          <w:sz w:val="21"/>
          <w:szCs w:val="21"/>
          <w:lang w:val="it-IT" w:eastAsia="it-IT"/>
        </w:rPr>
        <w:t xml:space="preserve">e prodotti petroliferi raffinati dai paesi OPEC </w:t>
      </w:r>
      <w:r w:rsidRPr="0053049D">
        <w:rPr>
          <w:rFonts w:ascii="Arial" w:hAnsi="Arial"/>
          <w:b w:val="0"/>
          <w:sz w:val="21"/>
          <w:szCs w:val="21"/>
          <w:lang w:val="it-IT" w:eastAsia="it-IT"/>
        </w:rPr>
        <w:t xml:space="preserve">spiega per </w:t>
      </w:r>
      <w:r w:rsidR="00695994">
        <w:rPr>
          <w:rFonts w:ascii="Arial" w:hAnsi="Arial"/>
          <w:b w:val="0"/>
          <w:sz w:val="21"/>
          <w:szCs w:val="21"/>
          <w:lang w:val="it-IT" w:eastAsia="it-IT"/>
        </w:rPr>
        <w:t>7</w:t>
      </w:r>
      <w:r w:rsidRPr="0053049D">
        <w:rPr>
          <w:rFonts w:ascii="Arial" w:hAnsi="Arial"/>
          <w:b w:val="0"/>
          <w:sz w:val="21"/>
          <w:szCs w:val="21"/>
          <w:lang w:val="it-IT" w:eastAsia="it-IT"/>
        </w:rPr>
        <w:t>,</w:t>
      </w:r>
      <w:r w:rsidR="00695994">
        <w:rPr>
          <w:rFonts w:ascii="Arial" w:hAnsi="Arial"/>
          <w:b w:val="0"/>
          <w:sz w:val="21"/>
          <w:szCs w:val="21"/>
          <w:lang w:val="it-IT" w:eastAsia="it-IT"/>
        </w:rPr>
        <w:t>3</w:t>
      </w:r>
      <w:r w:rsidRPr="0053049D">
        <w:rPr>
          <w:rFonts w:ascii="Arial" w:hAnsi="Arial"/>
          <w:b w:val="0"/>
          <w:sz w:val="21"/>
          <w:szCs w:val="21"/>
          <w:lang w:val="it-IT" w:eastAsia="it-IT"/>
        </w:rPr>
        <w:t xml:space="preserve"> punti percentuali la crescita tendenziale dell’import.</w:t>
      </w:r>
      <w:r w:rsidR="00E20B71" w:rsidRPr="0053049D">
        <w:rPr>
          <w:rFonts w:ascii="Arial" w:hAnsi="Arial"/>
          <w:b w:val="0"/>
          <w:sz w:val="21"/>
          <w:szCs w:val="21"/>
          <w:lang w:val="it-IT" w:eastAsia="it-IT"/>
        </w:rPr>
        <w:t xml:space="preserve"> </w:t>
      </w:r>
      <w:r w:rsidR="00CB137B" w:rsidRPr="0053049D">
        <w:rPr>
          <w:rFonts w:ascii="Arial" w:hAnsi="Arial"/>
          <w:b w:val="0"/>
          <w:sz w:val="21"/>
          <w:szCs w:val="21"/>
          <w:lang w:val="it-IT" w:eastAsia="it-IT"/>
        </w:rPr>
        <w:t xml:space="preserve">All’opposto, il calo degli acquisti di </w:t>
      </w:r>
      <w:r w:rsidR="00456900" w:rsidRPr="0053049D">
        <w:rPr>
          <w:rFonts w:ascii="Arial" w:hAnsi="Arial"/>
          <w:b w:val="0"/>
          <w:sz w:val="21"/>
          <w:szCs w:val="21"/>
          <w:lang w:val="it-IT" w:eastAsia="it-IT"/>
        </w:rPr>
        <w:t>gas naturale</w:t>
      </w:r>
      <w:r w:rsidR="00CB137B" w:rsidRPr="0053049D">
        <w:rPr>
          <w:rFonts w:ascii="Arial" w:hAnsi="Arial"/>
          <w:b w:val="0"/>
          <w:sz w:val="21"/>
          <w:szCs w:val="21"/>
          <w:lang w:val="it-IT" w:eastAsia="it-IT"/>
        </w:rPr>
        <w:t xml:space="preserve"> da</w:t>
      </w:r>
      <w:r w:rsidR="00456900" w:rsidRPr="0053049D">
        <w:rPr>
          <w:rFonts w:ascii="Arial" w:hAnsi="Arial"/>
          <w:b w:val="0"/>
          <w:sz w:val="21"/>
          <w:szCs w:val="21"/>
          <w:lang w:val="it-IT" w:eastAsia="it-IT"/>
        </w:rPr>
        <w:t>lla</w:t>
      </w:r>
      <w:r w:rsidR="00CB137B" w:rsidRPr="0053049D">
        <w:rPr>
          <w:rFonts w:ascii="Arial" w:hAnsi="Arial"/>
          <w:b w:val="0"/>
          <w:sz w:val="21"/>
          <w:szCs w:val="21"/>
          <w:lang w:val="it-IT" w:eastAsia="it-IT"/>
        </w:rPr>
        <w:t xml:space="preserve"> Russia apporta un contributo negativo di </w:t>
      </w:r>
      <w:r w:rsidR="00456900" w:rsidRPr="0053049D">
        <w:rPr>
          <w:rFonts w:ascii="Arial" w:hAnsi="Arial"/>
          <w:b w:val="0"/>
          <w:sz w:val="21"/>
          <w:szCs w:val="21"/>
          <w:lang w:val="it-IT" w:eastAsia="it-IT"/>
        </w:rPr>
        <w:t>0,7 punti percentuali</w:t>
      </w:r>
      <w:r w:rsidR="00D47C3A" w:rsidRPr="0053049D">
        <w:rPr>
          <w:rFonts w:ascii="Arial" w:hAnsi="Arial"/>
          <w:b w:val="0"/>
          <w:sz w:val="21"/>
          <w:szCs w:val="21"/>
          <w:lang w:val="it-IT" w:eastAsia="it-IT"/>
        </w:rPr>
        <w:t>.</w:t>
      </w:r>
    </w:p>
    <w:p w14:paraId="6509650D" w14:textId="0F19A6AA" w:rsidR="00B7102C" w:rsidRDefault="00B7102C" w:rsidP="00D02297">
      <w:pPr>
        <w:pStyle w:val="Corpotesto1"/>
        <w:spacing w:after="120"/>
        <w:rPr>
          <w:rFonts w:ascii="Arial" w:hAnsi="Arial"/>
          <w:b w:val="0"/>
          <w:sz w:val="21"/>
          <w:szCs w:val="21"/>
          <w:lang w:val="it-IT" w:eastAsia="it-IT"/>
        </w:rPr>
      </w:pPr>
    </w:p>
    <w:p w14:paraId="661B8BB7" w14:textId="59989733" w:rsidR="0075218A" w:rsidRDefault="0075218A" w:rsidP="00D02297">
      <w:pPr>
        <w:pStyle w:val="Corpotesto1"/>
        <w:spacing w:after="120"/>
        <w:rPr>
          <w:rFonts w:ascii="Arial" w:hAnsi="Arial"/>
          <w:b w:val="0"/>
          <w:sz w:val="21"/>
          <w:szCs w:val="21"/>
          <w:lang w:val="it-IT" w:eastAsia="it-IT"/>
        </w:rPr>
      </w:pPr>
    </w:p>
    <w:p w14:paraId="4DED66EE" w14:textId="3FC2C4CB" w:rsidR="0075218A" w:rsidRDefault="0075218A" w:rsidP="00D02297">
      <w:pPr>
        <w:pStyle w:val="Corpotesto1"/>
        <w:spacing w:after="120"/>
        <w:rPr>
          <w:rFonts w:ascii="Arial" w:hAnsi="Arial"/>
          <w:b w:val="0"/>
          <w:sz w:val="21"/>
          <w:szCs w:val="21"/>
          <w:lang w:val="it-IT" w:eastAsia="it-IT"/>
        </w:rPr>
      </w:pPr>
    </w:p>
    <w:p w14:paraId="2E046C2D" w14:textId="77777777" w:rsidR="0075218A" w:rsidRPr="008F0E70" w:rsidRDefault="0075218A" w:rsidP="00B83BC7">
      <w:pPr>
        <w:pStyle w:val="Corpotesto1"/>
        <w:rPr>
          <w:rFonts w:ascii="Arial" w:hAnsi="Arial"/>
          <w:b w:val="0"/>
          <w:sz w:val="21"/>
          <w:szCs w:val="21"/>
          <w:lang w:val="it-IT" w:eastAsia="it-IT"/>
        </w:rPr>
      </w:pPr>
    </w:p>
    <w:p w14:paraId="7D2AB499" w14:textId="52A00457" w:rsidR="00833A77" w:rsidRPr="00D078CE" w:rsidRDefault="002B3BA3" w:rsidP="00D422DA">
      <w:pPr>
        <w:pStyle w:val="001TitoloBolocco"/>
        <w:spacing w:after="100" w:line="240" w:lineRule="auto"/>
      </w:pPr>
      <w:r>
        <w:t>VALORI MEDI UNITA</w:t>
      </w:r>
      <w:r w:rsidR="006F2133">
        <w:t>RI E VOLUMI ALL’EXPORT E ALL’IMPORT</w:t>
      </w:r>
    </w:p>
    <w:p w14:paraId="6A5F4E56" w14:textId="53507E37" w:rsidR="006F2133" w:rsidRDefault="006F2133" w:rsidP="006F2133">
      <w:pPr>
        <w:pStyle w:val="Corpodeltesto1"/>
        <w:spacing w:after="120"/>
        <w:jc w:val="left"/>
        <w:rPr>
          <w:rFonts w:ascii="Arial Narrow" w:hAnsi="Arial Narrow" w:cs="Arial"/>
          <w:b w:val="0"/>
          <w:color w:val="5F5F5F"/>
          <w:kern w:val="28"/>
          <w:sz w:val="20"/>
          <w:szCs w:val="20"/>
        </w:rPr>
      </w:pPr>
      <w:r w:rsidRPr="006F2133">
        <w:rPr>
          <w:rFonts w:ascii="Arial Narrow" w:hAnsi="Arial Narrow" w:cs="Arial"/>
          <w:color w:val="E42618"/>
          <w:kern w:val="28"/>
          <w:sz w:val="22"/>
          <w:szCs w:val="22"/>
        </w:rPr>
        <w:t xml:space="preserve">FIGURA </w:t>
      </w:r>
      <w:r w:rsidR="00B145A1">
        <w:rPr>
          <w:rFonts w:ascii="Arial Narrow" w:hAnsi="Arial Narrow" w:cs="Arial"/>
          <w:color w:val="E42618"/>
          <w:kern w:val="28"/>
          <w:sz w:val="22"/>
          <w:szCs w:val="22"/>
        </w:rPr>
        <w:t>10</w:t>
      </w:r>
      <w:r w:rsidRPr="006F2133">
        <w:rPr>
          <w:rFonts w:ascii="Arial Narrow" w:hAnsi="Arial Narrow" w:cs="Arial"/>
          <w:color w:val="E42618"/>
          <w:kern w:val="28"/>
          <w:sz w:val="22"/>
          <w:szCs w:val="22"/>
        </w:rPr>
        <w:t xml:space="preserve">. </w:t>
      </w:r>
      <w:r w:rsidRPr="006F2133">
        <w:rPr>
          <w:rFonts w:ascii="Arial Narrow" w:hAnsi="Arial Narrow" w:cs="Arial"/>
          <w:color w:val="5F5F5F"/>
          <w:kern w:val="28"/>
          <w:sz w:val="22"/>
          <w:szCs w:val="22"/>
        </w:rPr>
        <w:t>VALORI MEDI UNITARI E VOLUMI</w:t>
      </w:r>
      <w:r w:rsidR="00147CB5">
        <w:rPr>
          <w:rFonts w:ascii="Arial Narrow" w:hAnsi="Arial Narrow" w:cs="Arial"/>
          <w:color w:val="5F5F5F"/>
          <w:kern w:val="28"/>
          <w:sz w:val="22"/>
          <w:szCs w:val="22"/>
        </w:rPr>
        <w:t xml:space="preserve"> </w:t>
      </w:r>
      <w:r>
        <w:rPr>
          <w:rFonts w:ascii="Arial Narrow" w:hAnsi="Arial Narrow" w:cs="Arial"/>
          <w:b w:val="0"/>
          <w:bCs/>
          <w:sz w:val="19"/>
          <w:szCs w:val="19"/>
        </w:rPr>
        <w:br/>
      </w:r>
      <w:r w:rsidR="00403189" w:rsidRPr="00367843">
        <w:rPr>
          <w:rFonts w:ascii="Arial Narrow" w:hAnsi="Arial Narrow" w:cs="Arial"/>
          <w:b w:val="0"/>
          <w:color w:val="5F5F5F"/>
          <w:kern w:val="28"/>
          <w:sz w:val="20"/>
          <w:szCs w:val="20"/>
        </w:rPr>
        <w:t>Gennaio 201</w:t>
      </w:r>
      <w:r w:rsidR="00470B67">
        <w:rPr>
          <w:rFonts w:ascii="Arial Narrow" w:hAnsi="Arial Narrow" w:cs="Arial"/>
          <w:b w:val="0"/>
          <w:color w:val="5F5F5F"/>
          <w:kern w:val="28"/>
          <w:sz w:val="20"/>
          <w:szCs w:val="20"/>
        </w:rPr>
        <w:t>8</w:t>
      </w:r>
      <w:r w:rsidR="00784638">
        <w:rPr>
          <w:rFonts w:ascii="Arial Narrow" w:hAnsi="Arial Narrow" w:cs="Arial"/>
          <w:b w:val="0"/>
          <w:color w:val="5F5F5F"/>
          <w:kern w:val="28"/>
          <w:sz w:val="20"/>
          <w:szCs w:val="20"/>
        </w:rPr>
        <w:t xml:space="preserve"> </w:t>
      </w:r>
      <w:r w:rsidR="00403189" w:rsidRPr="00367843">
        <w:rPr>
          <w:rFonts w:ascii="Arial Narrow" w:hAnsi="Arial Narrow" w:cs="Arial"/>
          <w:b w:val="0"/>
          <w:color w:val="5F5F5F"/>
          <w:kern w:val="28"/>
          <w:sz w:val="20"/>
          <w:szCs w:val="20"/>
        </w:rPr>
        <w:t>-</w:t>
      </w:r>
      <w:r w:rsidR="00EA029A" w:rsidRPr="00EA029A">
        <w:t xml:space="preserve"> </w:t>
      </w:r>
      <w:r w:rsidR="005F4885">
        <w:rPr>
          <w:rFonts w:ascii="Arial Narrow" w:hAnsi="Arial Narrow" w:cs="Arial"/>
          <w:b w:val="0"/>
          <w:color w:val="5F5F5F"/>
          <w:kern w:val="28"/>
          <w:sz w:val="20"/>
          <w:szCs w:val="20"/>
        </w:rPr>
        <w:t>settembre</w:t>
      </w:r>
      <w:r w:rsidR="00EA029A" w:rsidRPr="00EA029A">
        <w:rPr>
          <w:rFonts w:ascii="Arial Narrow" w:hAnsi="Arial Narrow" w:cs="Arial"/>
          <w:b w:val="0"/>
          <w:color w:val="5F5F5F"/>
          <w:kern w:val="28"/>
          <w:sz w:val="20"/>
          <w:szCs w:val="20"/>
        </w:rPr>
        <w:t xml:space="preserve"> </w:t>
      </w:r>
      <w:r w:rsidR="00470B67">
        <w:rPr>
          <w:rFonts w:ascii="Arial Narrow" w:hAnsi="Arial Narrow" w:cs="Arial"/>
          <w:b w:val="0"/>
          <w:color w:val="5F5F5F"/>
          <w:kern w:val="28"/>
          <w:sz w:val="20"/>
          <w:szCs w:val="20"/>
        </w:rPr>
        <w:t>2022</w:t>
      </w:r>
      <w:r w:rsidR="00403189" w:rsidRPr="00367843">
        <w:rPr>
          <w:rFonts w:ascii="Arial Narrow" w:hAnsi="Arial Narrow" w:cs="Arial"/>
          <w:b w:val="0"/>
          <w:color w:val="5F5F5F"/>
          <w:kern w:val="28"/>
          <w:sz w:val="20"/>
          <w:szCs w:val="20"/>
        </w:rPr>
        <w:t xml:space="preserve">, variazioni percentuali </w:t>
      </w:r>
      <w:r w:rsidR="00147CB5" w:rsidRPr="00367843">
        <w:rPr>
          <w:rFonts w:ascii="Arial Narrow" w:hAnsi="Arial Narrow" w:cs="Arial"/>
          <w:b w:val="0"/>
          <w:color w:val="5F5F5F"/>
          <w:kern w:val="28"/>
          <w:sz w:val="20"/>
          <w:szCs w:val="20"/>
        </w:rPr>
        <w:t xml:space="preserve">tendenziali </w:t>
      </w:r>
      <w:r w:rsidR="00403189" w:rsidRPr="00367843">
        <w:rPr>
          <w:rFonts w:ascii="Arial Narrow" w:hAnsi="Arial Narrow" w:cs="Arial"/>
          <w:b w:val="0"/>
          <w:color w:val="5F5F5F"/>
          <w:kern w:val="28"/>
          <w:sz w:val="20"/>
          <w:szCs w:val="20"/>
        </w:rPr>
        <w:t>(</w:t>
      </w:r>
      <w:r w:rsidR="00B145A1" w:rsidRPr="00367843">
        <w:rPr>
          <w:rFonts w:ascii="Arial Narrow" w:hAnsi="Arial Narrow" w:cs="Arial"/>
          <w:b w:val="0"/>
          <w:color w:val="5F5F5F"/>
          <w:kern w:val="28"/>
          <w:sz w:val="20"/>
          <w:szCs w:val="20"/>
        </w:rPr>
        <w:t>base 2015</w:t>
      </w:r>
      <w:r w:rsidRPr="00367843">
        <w:rPr>
          <w:rFonts w:ascii="Arial Narrow" w:hAnsi="Arial Narrow" w:cs="Arial"/>
          <w:b w:val="0"/>
          <w:color w:val="5F5F5F"/>
          <w:kern w:val="28"/>
          <w:sz w:val="20"/>
          <w:szCs w:val="20"/>
        </w:rPr>
        <w:t>=100</w:t>
      </w:r>
      <w:r w:rsidR="00403189" w:rsidRPr="00367843">
        <w:rPr>
          <w:rFonts w:ascii="Arial Narrow" w:hAnsi="Arial Narrow" w:cs="Arial"/>
          <w:b w:val="0"/>
          <w:color w:val="5F5F5F"/>
          <w:kern w:val="28"/>
          <w:sz w:val="20"/>
          <w:szCs w:val="20"/>
        </w:rPr>
        <w:t>)</w:t>
      </w:r>
    </w:p>
    <w:p w14:paraId="654D23B7" w14:textId="428B4BEE" w:rsidR="00403189" w:rsidRDefault="00F374E1" w:rsidP="00975B97">
      <w:pPr>
        <w:pStyle w:val="Corpodeltesto1"/>
        <w:spacing w:after="160"/>
        <w:jc w:val="left"/>
        <w:rPr>
          <w:rFonts w:ascii="Arial Narrow" w:hAnsi="Arial Narrow" w:cs="Arial"/>
          <w:b w:val="0"/>
          <w:color w:val="5F5F5F"/>
          <w:kern w:val="28"/>
          <w:sz w:val="20"/>
          <w:szCs w:val="20"/>
        </w:rPr>
      </w:pPr>
      <w:r>
        <w:rPr>
          <w:noProof/>
        </w:rPr>
        <w:drawing>
          <wp:inline distT="0" distB="0" distL="0" distR="0" wp14:anchorId="74ECB2AA" wp14:editId="32976303">
            <wp:extent cx="3150000" cy="2160000"/>
            <wp:effectExtent l="0" t="0" r="0" b="0"/>
            <wp:docPr id="28" name="Gra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noProof/>
        </w:rPr>
        <w:drawing>
          <wp:inline distT="0" distB="0" distL="0" distR="0" wp14:anchorId="064CE99C" wp14:editId="74BE3431">
            <wp:extent cx="3150000" cy="2160000"/>
            <wp:effectExtent l="0" t="0" r="0" b="0"/>
            <wp:docPr id="29" name="Gra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B4CE579" w14:textId="2AD185FF" w:rsidR="00740689" w:rsidRPr="007C052D" w:rsidRDefault="004133BF" w:rsidP="00740689">
      <w:pPr>
        <w:pStyle w:val="Corpotesto1"/>
        <w:spacing w:before="40" w:after="140"/>
        <w:rPr>
          <w:rFonts w:ascii="Arial" w:hAnsi="Arial"/>
          <w:b w:val="0"/>
          <w:kern w:val="28"/>
          <w:sz w:val="21"/>
          <w:szCs w:val="21"/>
          <w:lang w:val="it-IT" w:eastAsia="it-IT"/>
        </w:rPr>
      </w:pPr>
      <w:r w:rsidRPr="00695994">
        <w:rPr>
          <w:rFonts w:ascii="Arial" w:hAnsi="Arial"/>
          <w:b w:val="0"/>
          <w:kern w:val="28"/>
          <w:sz w:val="21"/>
          <w:szCs w:val="21"/>
          <w:lang w:val="it-IT" w:eastAsia="it-IT"/>
        </w:rPr>
        <w:t>A</w:t>
      </w:r>
      <w:r w:rsidR="00252584" w:rsidRPr="00695994">
        <w:rPr>
          <w:rFonts w:ascii="Arial" w:hAnsi="Arial"/>
          <w:b w:val="0"/>
          <w:kern w:val="28"/>
          <w:sz w:val="21"/>
          <w:szCs w:val="21"/>
          <w:lang w:val="it-IT" w:eastAsia="it-IT"/>
        </w:rPr>
        <w:t xml:space="preserve"> settembre</w:t>
      </w:r>
      <w:r w:rsidRPr="00695994">
        <w:rPr>
          <w:rFonts w:ascii="Arial" w:hAnsi="Arial"/>
          <w:b w:val="0"/>
          <w:kern w:val="28"/>
          <w:sz w:val="21"/>
          <w:szCs w:val="21"/>
          <w:lang w:val="it-IT" w:eastAsia="it-IT"/>
        </w:rPr>
        <w:t xml:space="preserve"> 2022, si registra un ampio aumento tendenziale dei valori me</w:t>
      </w:r>
      <w:r w:rsidR="00252584" w:rsidRPr="00695994">
        <w:rPr>
          <w:rFonts w:ascii="Arial" w:hAnsi="Arial"/>
          <w:b w:val="0"/>
          <w:kern w:val="28"/>
          <w:sz w:val="21"/>
          <w:szCs w:val="21"/>
          <w:lang w:val="it-IT" w:eastAsia="it-IT"/>
        </w:rPr>
        <w:t>di unitari sia all’export (+19</w:t>
      </w:r>
      <w:r w:rsidR="009A0434" w:rsidRPr="00695994">
        <w:rPr>
          <w:rFonts w:ascii="Arial" w:hAnsi="Arial"/>
          <w:b w:val="0"/>
          <w:kern w:val="28"/>
          <w:sz w:val="21"/>
          <w:szCs w:val="21"/>
          <w:lang w:val="it-IT" w:eastAsia="it-IT"/>
        </w:rPr>
        <w:t>,</w:t>
      </w:r>
      <w:r w:rsidR="00252584" w:rsidRPr="00695994">
        <w:rPr>
          <w:rFonts w:ascii="Arial" w:hAnsi="Arial"/>
          <w:b w:val="0"/>
          <w:kern w:val="28"/>
          <w:sz w:val="21"/>
          <w:szCs w:val="21"/>
          <w:lang w:val="it-IT" w:eastAsia="it-IT"/>
        </w:rPr>
        <w:t>0</w:t>
      </w:r>
      <w:r w:rsidRPr="00695994">
        <w:rPr>
          <w:rFonts w:ascii="Arial" w:hAnsi="Arial"/>
          <w:b w:val="0"/>
          <w:kern w:val="28"/>
          <w:sz w:val="21"/>
          <w:szCs w:val="21"/>
          <w:lang w:val="it-IT" w:eastAsia="it-IT"/>
        </w:rPr>
        <w:t>%) sia all’import (+4</w:t>
      </w:r>
      <w:r w:rsidR="00252584" w:rsidRPr="00695994">
        <w:rPr>
          <w:rFonts w:ascii="Arial" w:hAnsi="Arial"/>
          <w:b w:val="0"/>
          <w:kern w:val="28"/>
          <w:sz w:val="21"/>
          <w:szCs w:val="21"/>
          <w:lang w:val="it-IT" w:eastAsia="it-IT"/>
        </w:rPr>
        <w:t>1</w:t>
      </w:r>
      <w:r w:rsidRPr="00695994">
        <w:rPr>
          <w:rFonts w:ascii="Arial" w:hAnsi="Arial"/>
          <w:b w:val="0"/>
          <w:kern w:val="28"/>
          <w:sz w:val="21"/>
          <w:szCs w:val="21"/>
          <w:lang w:val="it-IT" w:eastAsia="it-IT"/>
        </w:rPr>
        <w:t>,</w:t>
      </w:r>
      <w:r w:rsidR="00252584" w:rsidRPr="00695994">
        <w:rPr>
          <w:rFonts w:ascii="Arial" w:hAnsi="Arial"/>
          <w:b w:val="0"/>
          <w:kern w:val="28"/>
          <w:sz w:val="21"/>
          <w:szCs w:val="21"/>
          <w:lang w:val="it-IT" w:eastAsia="it-IT"/>
        </w:rPr>
        <w:t>0%</w:t>
      </w:r>
      <w:r w:rsidRPr="00695994">
        <w:rPr>
          <w:rFonts w:ascii="Arial" w:hAnsi="Arial"/>
          <w:b w:val="0"/>
          <w:kern w:val="28"/>
          <w:sz w:val="21"/>
          <w:szCs w:val="21"/>
          <w:lang w:val="it-IT" w:eastAsia="it-IT"/>
        </w:rPr>
        <w:t xml:space="preserve">). I volumi scambiati </w:t>
      </w:r>
      <w:r w:rsidR="00252584" w:rsidRPr="00695994">
        <w:rPr>
          <w:rFonts w:ascii="Arial" w:hAnsi="Arial"/>
          <w:b w:val="0"/>
          <w:kern w:val="28"/>
          <w:sz w:val="21"/>
          <w:szCs w:val="21"/>
          <w:lang w:val="it-IT" w:eastAsia="it-IT"/>
        </w:rPr>
        <w:t>crescono del 2</w:t>
      </w:r>
      <w:r w:rsidRPr="00695994">
        <w:rPr>
          <w:rFonts w:ascii="Arial" w:hAnsi="Arial"/>
          <w:b w:val="0"/>
          <w:kern w:val="28"/>
          <w:sz w:val="21"/>
          <w:szCs w:val="21"/>
          <w:lang w:val="it-IT" w:eastAsia="it-IT"/>
        </w:rPr>
        <w:t>,</w:t>
      </w:r>
      <w:r w:rsidR="00252584" w:rsidRPr="00695994">
        <w:rPr>
          <w:rFonts w:ascii="Arial" w:hAnsi="Arial"/>
          <w:b w:val="0"/>
          <w:kern w:val="28"/>
          <w:sz w:val="21"/>
          <w:szCs w:val="21"/>
          <w:lang w:val="it-IT" w:eastAsia="it-IT"/>
        </w:rPr>
        <w:t>1</w:t>
      </w:r>
      <w:r w:rsidRPr="00695994">
        <w:rPr>
          <w:rFonts w:ascii="Arial" w:hAnsi="Arial"/>
          <w:b w:val="0"/>
          <w:kern w:val="28"/>
          <w:sz w:val="21"/>
          <w:szCs w:val="21"/>
          <w:lang w:val="it-IT" w:eastAsia="it-IT"/>
        </w:rPr>
        <w:t>%</w:t>
      </w:r>
      <w:r w:rsidR="00D65709" w:rsidRPr="00695994">
        <w:rPr>
          <w:rFonts w:ascii="Arial" w:hAnsi="Arial"/>
          <w:b w:val="0"/>
          <w:kern w:val="28"/>
          <w:sz w:val="21"/>
          <w:szCs w:val="21"/>
          <w:lang w:val="it-IT" w:eastAsia="it-IT"/>
        </w:rPr>
        <w:t xml:space="preserve"> per le esportazioni e </w:t>
      </w:r>
      <w:r w:rsidR="00252584" w:rsidRPr="00695994">
        <w:rPr>
          <w:rFonts w:ascii="Arial" w:hAnsi="Arial"/>
          <w:b w:val="0"/>
          <w:kern w:val="28"/>
          <w:sz w:val="21"/>
          <w:szCs w:val="21"/>
          <w:lang w:val="it-IT" w:eastAsia="it-IT"/>
        </w:rPr>
        <w:t xml:space="preserve">diminuiscono </w:t>
      </w:r>
      <w:r w:rsidR="00D65709" w:rsidRPr="00695994">
        <w:rPr>
          <w:rFonts w:ascii="Arial" w:hAnsi="Arial"/>
          <w:b w:val="0"/>
          <w:kern w:val="28"/>
          <w:sz w:val="21"/>
          <w:szCs w:val="21"/>
          <w:lang w:val="it-IT" w:eastAsia="it-IT"/>
        </w:rPr>
        <w:t>del</w:t>
      </w:r>
      <w:r w:rsidR="00252584" w:rsidRPr="00695994">
        <w:rPr>
          <w:rFonts w:ascii="Arial" w:hAnsi="Arial"/>
          <w:b w:val="0"/>
          <w:kern w:val="28"/>
          <w:sz w:val="21"/>
          <w:szCs w:val="21"/>
          <w:lang w:val="it-IT" w:eastAsia="it-IT"/>
        </w:rPr>
        <w:t>lo</w:t>
      </w:r>
      <w:r w:rsidR="00D65709" w:rsidRPr="00695994">
        <w:rPr>
          <w:rFonts w:ascii="Arial" w:hAnsi="Arial"/>
          <w:b w:val="0"/>
          <w:kern w:val="28"/>
          <w:sz w:val="21"/>
          <w:szCs w:val="21"/>
          <w:lang w:val="it-IT" w:eastAsia="it-IT"/>
        </w:rPr>
        <w:t xml:space="preserve"> </w:t>
      </w:r>
      <w:r w:rsidR="00252584" w:rsidRPr="00695994">
        <w:rPr>
          <w:rFonts w:ascii="Arial" w:hAnsi="Arial"/>
          <w:b w:val="0"/>
          <w:kern w:val="28"/>
          <w:sz w:val="21"/>
          <w:szCs w:val="21"/>
          <w:lang w:val="it-IT" w:eastAsia="it-IT"/>
        </w:rPr>
        <w:t>0</w:t>
      </w:r>
      <w:r w:rsidR="00D65709" w:rsidRPr="00695994">
        <w:rPr>
          <w:rFonts w:ascii="Arial" w:hAnsi="Arial"/>
          <w:b w:val="0"/>
          <w:kern w:val="28"/>
          <w:sz w:val="21"/>
          <w:szCs w:val="21"/>
          <w:lang w:val="it-IT" w:eastAsia="it-IT"/>
        </w:rPr>
        <w:t>,</w:t>
      </w:r>
      <w:r w:rsidR="00252584" w:rsidRPr="00695994">
        <w:rPr>
          <w:rFonts w:ascii="Arial" w:hAnsi="Arial"/>
          <w:b w:val="0"/>
          <w:kern w:val="28"/>
          <w:sz w:val="21"/>
          <w:szCs w:val="21"/>
          <w:lang w:val="it-IT" w:eastAsia="it-IT"/>
        </w:rPr>
        <w:t>5</w:t>
      </w:r>
      <w:r w:rsidR="00D65709" w:rsidRPr="00695994">
        <w:rPr>
          <w:rFonts w:ascii="Arial" w:hAnsi="Arial"/>
          <w:b w:val="0"/>
          <w:kern w:val="28"/>
          <w:sz w:val="21"/>
          <w:szCs w:val="21"/>
          <w:lang w:val="it-IT" w:eastAsia="it-IT"/>
        </w:rPr>
        <w:t>% per le importazioni.</w:t>
      </w:r>
    </w:p>
    <w:p w14:paraId="0D29DD18" w14:textId="009DC183" w:rsidR="00A03714" w:rsidRPr="006304A5" w:rsidRDefault="00A03714" w:rsidP="009308ED">
      <w:pPr>
        <w:pStyle w:val="Corpodeltesto1"/>
        <w:spacing w:after="100"/>
        <w:jc w:val="left"/>
        <w:rPr>
          <w:rFonts w:ascii="Arial Narrow" w:hAnsi="Arial Narrow" w:cs="Arial"/>
          <w:b w:val="0"/>
          <w:bCs/>
          <w:sz w:val="19"/>
          <w:szCs w:val="19"/>
        </w:rPr>
      </w:pPr>
      <w:r w:rsidRPr="007C052D">
        <w:rPr>
          <w:rFonts w:ascii="Arial Narrow" w:hAnsi="Arial Narrow" w:cs="Arial"/>
          <w:color w:val="E42618"/>
          <w:kern w:val="28"/>
          <w:sz w:val="22"/>
          <w:szCs w:val="22"/>
        </w:rPr>
        <w:t xml:space="preserve">PROSPETTO 3. </w:t>
      </w:r>
      <w:r w:rsidRPr="007C052D">
        <w:rPr>
          <w:rFonts w:ascii="Arial Narrow" w:hAnsi="Arial Narrow" w:cs="Arial"/>
          <w:color w:val="5F5F5F"/>
          <w:kern w:val="28"/>
          <w:sz w:val="22"/>
          <w:szCs w:val="22"/>
        </w:rPr>
        <w:t>VALORI MEDI UNITARI E VOLUMI PER AREA UE</w:t>
      </w:r>
      <w:r w:rsidR="00C90F76" w:rsidRPr="007C052D">
        <w:rPr>
          <w:rFonts w:ascii="Arial Narrow" w:hAnsi="Arial Narrow" w:cs="Arial"/>
          <w:color w:val="5F5F5F"/>
          <w:kern w:val="28"/>
          <w:sz w:val="22"/>
          <w:szCs w:val="22"/>
        </w:rPr>
        <w:t>27</w:t>
      </w:r>
      <w:r w:rsidRPr="007C052D">
        <w:rPr>
          <w:rFonts w:ascii="Arial Narrow" w:hAnsi="Arial Narrow" w:cs="Arial"/>
          <w:color w:val="5F5F5F"/>
          <w:kern w:val="28"/>
          <w:sz w:val="22"/>
          <w:szCs w:val="22"/>
        </w:rPr>
        <w:t>, EXTRA UE</w:t>
      </w:r>
      <w:r w:rsidR="00C90F76" w:rsidRPr="007C052D">
        <w:rPr>
          <w:rFonts w:ascii="Arial Narrow" w:hAnsi="Arial Narrow" w:cs="Arial"/>
          <w:color w:val="5F5F5F"/>
          <w:kern w:val="28"/>
          <w:sz w:val="22"/>
          <w:szCs w:val="22"/>
        </w:rPr>
        <w:t>27</w:t>
      </w:r>
      <w:r w:rsidRPr="007C052D">
        <w:rPr>
          <w:rFonts w:ascii="Arial Narrow" w:hAnsi="Arial Narrow" w:cs="Arial"/>
          <w:color w:val="5F5F5F"/>
          <w:kern w:val="28"/>
          <w:sz w:val="22"/>
          <w:szCs w:val="22"/>
        </w:rPr>
        <w:t xml:space="preserve"> E MONDO</w:t>
      </w:r>
      <w:r w:rsidRPr="007C052D">
        <w:rPr>
          <w:rFonts w:ascii="Arial Narrow" w:hAnsi="Arial Narrow" w:cs="Arial Narrow"/>
          <w:color w:val="5F5F5F"/>
          <w:sz w:val="20"/>
        </w:rPr>
        <w:br/>
      </w:r>
      <w:r w:rsidR="005F4885" w:rsidRPr="005F4885">
        <w:rPr>
          <w:rFonts w:ascii="Arial Narrow" w:hAnsi="Arial Narrow" w:cs="Arial"/>
          <w:b w:val="0"/>
          <w:color w:val="5F5F5F"/>
          <w:kern w:val="28"/>
          <w:sz w:val="20"/>
          <w:szCs w:val="20"/>
        </w:rPr>
        <w:t xml:space="preserve">Settembre </w:t>
      </w:r>
      <w:r w:rsidR="00470B67">
        <w:rPr>
          <w:rFonts w:ascii="Arial Narrow" w:hAnsi="Arial Narrow" w:cs="Arial"/>
          <w:b w:val="0"/>
          <w:color w:val="5F5F5F"/>
          <w:kern w:val="28"/>
          <w:sz w:val="20"/>
          <w:szCs w:val="20"/>
        </w:rPr>
        <w:t>2022</w:t>
      </w:r>
      <w:r w:rsidRPr="007C052D">
        <w:rPr>
          <w:rFonts w:ascii="Arial Narrow" w:hAnsi="Arial Narrow" w:cs="Arial"/>
          <w:b w:val="0"/>
          <w:color w:val="5F5F5F"/>
          <w:kern w:val="28"/>
          <w:sz w:val="20"/>
          <w:szCs w:val="20"/>
        </w:rPr>
        <w:t xml:space="preserve">, </w:t>
      </w:r>
      <w:r w:rsidR="00C03605" w:rsidRPr="007C052D">
        <w:rPr>
          <w:rFonts w:ascii="Arial Narrow" w:hAnsi="Arial Narrow" w:cs="Arial"/>
          <w:b w:val="0"/>
          <w:color w:val="5F5F5F"/>
          <w:kern w:val="28"/>
          <w:sz w:val="20"/>
          <w:szCs w:val="20"/>
        </w:rPr>
        <w:t xml:space="preserve">variazioni percentuali </w:t>
      </w:r>
      <w:r w:rsidR="00147CB5" w:rsidRPr="007C052D">
        <w:rPr>
          <w:rFonts w:ascii="Arial Narrow" w:hAnsi="Arial Narrow" w:cs="Arial"/>
          <w:b w:val="0"/>
          <w:color w:val="5F5F5F"/>
          <w:kern w:val="28"/>
          <w:sz w:val="20"/>
          <w:szCs w:val="20"/>
        </w:rPr>
        <w:t xml:space="preserve">tendenziali </w:t>
      </w:r>
      <w:r w:rsidR="00C03605" w:rsidRPr="007C052D">
        <w:rPr>
          <w:rFonts w:ascii="Arial Narrow" w:hAnsi="Arial Narrow" w:cs="Arial"/>
          <w:b w:val="0"/>
          <w:color w:val="5F5F5F"/>
          <w:kern w:val="28"/>
          <w:sz w:val="20"/>
          <w:szCs w:val="20"/>
        </w:rPr>
        <w:t>(</w:t>
      </w:r>
      <w:r w:rsidR="00B145A1" w:rsidRPr="007C052D">
        <w:rPr>
          <w:rFonts w:ascii="Arial Narrow" w:hAnsi="Arial Narrow" w:cs="Arial"/>
          <w:b w:val="0"/>
          <w:color w:val="5F5F5F"/>
          <w:kern w:val="28"/>
          <w:sz w:val="20"/>
          <w:szCs w:val="20"/>
        </w:rPr>
        <w:t>base 2015</w:t>
      </w:r>
      <w:r w:rsidRPr="007C052D">
        <w:rPr>
          <w:rFonts w:ascii="Arial Narrow" w:hAnsi="Arial Narrow" w:cs="Arial"/>
          <w:b w:val="0"/>
          <w:color w:val="5F5F5F"/>
          <w:kern w:val="28"/>
          <w:sz w:val="20"/>
          <w:szCs w:val="20"/>
        </w:rPr>
        <w:t>=</w:t>
      </w:r>
      <w:r w:rsidRPr="00273960">
        <w:rPr>
          <w:rFonts w:ascii="Arial Narrow" w:hAnsi="Arial Narrow" w:cs="Arial"/>
          <w:b w:val="0"/>
          <w:color w:val="5F5F5F"/>
          <w:kern w:val="28"/>
          <w:sz w:val="20"/>
          <w:szCs w:val="20"/>
        </w:rPr>
        <w:t>100</w:t>
      </w:r>
      <w:r w:rsidR="00C03605" w:rsidRPr="00273960">
        <w:rPr>
          <w:rFonts w:ascii="Arial Narrow" w:hAnsi="Arial Narrow" w:cs="Arial"/>
          <w:b w:val="0"/>
          <w:color w:val="5F5F5F"/>
          <w:kern w:val="28"/>
          <w:sz w:val="20"/>
          <w:szCs w:val="20"/>
        </w:rPr>
        <w:t>)</w:t>
      </w:r>
    </w:p>
    <w:tbl>
      <w:tblPr>
        <w:tblW w:w="10206" w:type="dxa"/>
        <w:tblInd w:w="70" w:type="dxa"/>
        <w:tblLayout w:type="fixed"/>
        <w:tblCellMar>
          <w:left w:w="70" w:type="dxa"/>
          <w:right w:w="70" w:type="dxa"/>
        </w:tblCellMar>
        <w:tblLook w:val="0000" w:firstRow="0" w:lastRow="0" w:firstColumn="0" w:lastColumn="0" w:noHBand="0" w:noVBand="0"/>
      </w:tblPr>
      <w:tblGrid>
        <w:gridCol w:w="1647"/>
        <w:gridCol w:w="823"/>
        <w:gridCol w:w="1316"/>
        <w:gridCol w:w="823"/>
        <w:gridCol w:w="1317"/>
        <w:gridCol w:w="823"/>
        <w:gridCol w:w="1317"/>
        <w:gridCol w:w="823"/>
        <w:gridCol w:w="1317"/>
      </w:tblGrid>
      <w:tr w:rsidR="0075218A" w:rsidRPr="006304A5" w14:paraId="168C3C36" w14:textId="77777777" w:rsidTr="0075218A">
        <w:trPr>
          <w:trHeight w:val="255"/>
        </w:trPr>
        <w:tc>
          <w:tcPr>
            <w:tcW w:w="1647" w:type="dxa"/>
            <w:vMerge w:val="restart"/>
            <w:tcBorders>
              <w:top w:val="single" w:sz="4" w:space="0" w:color="auto"/>
              <w:left w:val="nil"/>
              <w:right w:val="nil"/>
            </w:tcBorders>
            <w:noWrap/>
            <w:vAlign w:val="center"/>
          </w:tcPr>
          <w:p w14:paraId="771580B8" w14:textId="77777777" w:rsidR="0075218A" w:rsidRDefault="0075218A" w:rsidP="0075218A">
            <w:pPr>
              <w:spacing w:before="40" w:after="20"/>
              <w:jc w:val="center"/>
              <w:rPr>
                <w:rFonts w:ascii="Arial Narrow" w:hAnsi="Arial Narrow" w:cs="Arial"/>
                <w:b/>
                <w:sz w:val="18"/>
                <w:szCs w:val="18"/>
              </w:rPr>
            </w:pPr>
            <w:r w:rsidRPr="006304A5">
              <w:rPr>
                <w:rFonts w:ascii="Arial Narrow" w:hAnsi="Arial Narrow" w:cs="Arial"/>
                <w:b/>
                <w:sz w:val="18"/>
                <w:szCs w:val="18"/>
              </w:rPr>
              <w:t xml:space="preserve">PRINCIPALI AREE </w:t>
            </w:r>
          </w:p>
          <w:p w14:paraId="0EF80FE7" w14:textId="77777777" w:rsidR="0075218A" w:rsidRPr="006304A5" w:rsidRDefault="0075218A" w:rsidP="0075218A">
            <w:pPr>
              <w:spacing w:before="40" w:after="20"/>
              <w:jc w:val="center"/>
              <w:rPr>
                <w:rFonts w:ascii="Arial Narrow" w:hAnsi="Arial Narrow" w:cs="Arial"/>
                <w:b/>
                <w:sz w:val="18"/>
                <w:szCs w:val="18"/>
              </w:rPr>
            </w:pPr>
            <w:r w:rsidRPr="006304A5">
              <w:rPr>
                <w:rFonts w:ascii="Arial Narrow" w:hAnsi="Arial Narrow" w:cs="Arial"/>
                <w:b/>
                <w:sz w:val="18"/>
                <w:szCs w:val="18"/>
              </w:rPr>
              <w:t>DI INTERSCAMBIO</w:t>
            </w:r>
          </w:p>
        </w:tc>
        <w:tc>
          <w:tcPr>
            <w:tcW w:w="4279" w:type="dxa"/>
            <w:gridSpan w:val="4"/>
            <w:tcBorders>
              <w:top w:val="single" w:sz="4" w:space="0" w:color="auto"/>
              <w:left w:val="nil"/>
              <w:bottom w:val="single" w:sz="4" w:space="0" w:color="auto"/>
              <w:right w:val="nil"/>
            </w:tcBorders>
            <w:shd w:val="clear" w:color="auto" w:fill="D9D9D9"/>
            <w:noWrap/>
            <w:vAlign w:val="center"/>
          </w:tcPr>
          <w:p w14:paraId="5D86CA89" w14:textId="77777777" w:rsidR="0075218A" w:rsidRPr="006304A5" w:rsidRDefault="0075218A" w:rsidP="0075218A">
            <w:pPr>
              <w:spacing w:before="40" w:after="20"/>
              <w:jc w:val="center"/>
              <w:rPr>
                <w:rFonts w:ascii="Arial Narrow" w:hAnsi="Arial Narrow"/>
                <w:b/>
                <w:bCs/>
                <w:sz w:val="18"/>
                <w:szCs w:val="18"/>
              </w:rPr>
            </w:pPr>
            <w:r w:rsidRPr="006304A5">
              <w:rPr>
                <w:rFonts w:ascii="Arial Narrow" w:hAnsi="Arial Narrow" w:cs="Arial"/>
                <w:b/>
                <w:bCs/>
                <w:sz w:val="18"/>
                <w:szCs w:val="18"/>
              </w:rPr>
              <w:t>VALORI MEDI UNITARI</w:t>
            </w:r>
          </w:p>
        </w:tc>
        <w:tc>
          <w:tcPr>
            <w:tcW w:w="4280" w:type="dxa"/>
            <w:gridSpan w:val="4"/>
            <w:tcBorders>
              <w:top w:val="single" w:sz="4" w:space="0" w:color="auto"/>
              <w:left w:val="nil"/>
              <w:bottom w:val="single" w:sz="4" w:space="0" w:color="auto"/>
              <w:right w:val="nil"/>
            </w:tcBorders>
            <w:shd w:val="clear" w:color="auto" w:fill="auto"/>
            <w:noWrap/>
            <w:vAlign w:val="center"/>
          </w:tcPr>
          <w:p w14:paraId="1714DDC3" w14:textId="77777777" w:rsidR="0075218A" w:rsidRPr="006304A5" w:rsidRDefault="0075218A" w:rsidP="0075218A">
            <w:pPr>
              <w:spacing w:before="40" w:after="20"/>
              <w:jc w:val="center"/>
              <w:rPr>
                <w:rFonts w:ascii="Arial Narrow" w:hAnsi="Arial Narrow"/>
                <w:b/>
                <w:bCs/>
                <w:sz w:val="18"/>
                <w:szCs w:val="18"/>
              </w:rPr>
            </w:pPr>
            <w:r w:rsidRPr="006304A5">
              <w:rPr>
                <w:rFonts w:ascii="Arial Narrow" w:hAnsi="Arial Narrow" w:cs="Arial"/>
                <w:b/>
                <w:bCs/>
                <w:sz w:val="18"/>
                <w:szCs w:val="18"/>
              </w:rPr>
              <w:t>VOLUMI</w:t>
            </w:r>
          </w:p>
        </w:tc>
      </w:tr>
      <w:tr w:rsidR="0075218A" w:rsidRPr="006304A5" w14:paraId="45601B5E" w14:textId="77777777" w:rsidTr="0075218A">
        <w:trPr>
          <w:trHeight w:val="255"/>
        </w:trPr>
        <w:tc>
          <w:tcPr>
            <w:tcW w:w="1647" w:type="dxa"/>
            <w:vMerge/>
            <w:tcBorders>
              <w:left w:val="nil"/>
              <w:right w:val="nil"/>
            </w:tcBorders>
            <w:noWrap/>
            <w:vAlign w:val="bottom"/>
          </w:tcPr>
          <w:p w14:paraId="1CEEAA34" w14:textId="77777777" w:rsidR="0075218A" w:rsidRPr="006304A5" w:rsidRDefault="0075218A" w:rsidP="0075218A">
            <w:pPr>
              <w:spacing w:before="40" w:after="20"/>
              <w:rPr>
                <w:rFonts w:ascii="Arial Narrow" w:hAnsi="Arial Narrow" w:cs="Arial"/>
                <w:sz w:val="18"/>
                <w:szCs w:val="18"/>
              </w:rPr>
            </w:pPr>
          </w:p>
        </w:tc>
        <w:tc>
          <w:tcPr>
            <w:tcW w:w="2139" w:type="dxa"/>
            <w:gridSpan w:val="2"/>
            <w:tcBorders>
              <w:top w:val="single" w:sz="4" w:space="0" w:color="auto"/>
              <w:left w:val="nil"/>
              <w:bottom w:val="single" w:sz="4" w:space="0" w:color="auto"/>
              <w:right w:val="nil"/>
            </w:tcBorders>
            <w:shd w:val="clear" w:color="auto" w:fill="D9D9D9"/>
            <w:vAlign w:val="center"/>
          </w:tcPr>
          <w:p w14:paraId="0B04446B" w14:textId="77777777" w:rsidR="0075218A" w:rsidRPr="0063317A" w:rsidRDefault="0075218A" w:rsidP="0075218A">
            <w:pPr>
              <w:spacing w:before="40" w:after="20"/>
              <w:jc w:val="center"/>
              <w:rPr>
                <w:rFonts w:ascii="Arial Narrow" w:hAnsi="Arial Narrow" w:cs="Arial"/>
                <w:b/>
                <w:bCs/>
                <w:sz w:val="18"/>
                <w:szCs w:val="18"/>
              </w:rPr>
            </w:pPr>
            <w:r w:rsidRPr="0063317A">
              <w:rPr>
                <w:rFonts w:ascii="Arial Narrow" w:hAnsi="Arial Narrow" w:cs="Arial"/>
                <w:b/>
                <w:bCs/>
                <w:sz w:val="18"/>
                <w:szCs w:val="18"/>
              </w:rPr>
              <w:t>Esportazioni</w:t>
            </w:r>
          </w:p>
        </w:tc>
        <w:tc>
          <w:tcPr>
            <w:tcW w:w="2140" w:type="dxa"/>
            <w:gridSpan w:val="2"/>
            <w:tcBorders>
              <w:top w:val="single" w:sz="4" w:space="0" w:color="auto"/>
              <w:left w:val="nil"/>
              <w:bottom w:val="single" w:sz="4" w:space="0" w:color="auto"/>
              <w:right w:val="nil"/>
            </w:tcBorders>
            <w:vAlign w:val="center"/>
          </w:tcPr>
          <w:p w14:paraId="3DC160D6" w14:textId="77777777" w:rsidR="0075218A" w:rsidRPr="0063317A" w:rsidRDefault="0075218A" w:rsidP="0075218A">
            <w:pPr>
              <w:spacing w:before="40" w:after="20"/>
              <w:jc w:val="center"/>
              <w:rPr>
                <w:rFonts w:ascii="Arial Narrow" w:hAnsi="Arial Narrow" w:cs="Arial"/>
                <w:b/>
                <w:bCs/>
                <w:sz w:val="18"/>
                <w:szCs w:val="18"/>
              </w:rPr>
            </w:pPr>
            <w:r w:rsidRPr="0063317A">
              <w:rPr>
                <w:rFonts w:ascii="Arial Narrow" w:hAnsi="Arial Narrow" w:cs="Arial"/>
                <w:b/>
                <w:bCs/>
                <w:sz w:val="18"/>
                <w:szCs w:val="18"/>
              </w:rPr>
              <w:t>Importazioni</w:t>
            </w:r>
          </w:p>
        </w:tc>
        <w:tc>
          <w:tcPr>
            <w:tcW w:w="2140" w:type="dxa"/>
            <w:gridSpan w:val="2"/>
            <w:tcBorders>
              <w:top w:val="single" w:sz="4" w:space="0" w:color="auto"/>
              <w:left w:val="nil"/>
              <w:bottom w:val="single" w:sz="4" w:space="0" w:color="auto"/>
              <w:right w:val="nil"/>
            </w:tcBorders>
            <w:shd w:val="clear" w:color="auto" w:fill="D9D9D9"/>
            <w:vAlign w:val="center"/>
          </w:tcPr>
          <w:p w14:paraId="3EACD2C6" w14:textId="77777777" w:rsidR="0075218A" w:rsidRPr="0063317A" w:rsidRDefault="0075218A" w:rsidP="0075218A">
            <w:pPr>
              <w:spacing w:before="40" w:after="20"/>
              <w:jc w:val="center"/>
              <w:rPr>
                <w:rFonts w:ascii="Arial Narrow" w:hAnsi="Arial Narrow" w:cs="Arial"/>
                <w:b/>
                <w:bCs/>
                <w:sz w:val="18"/>
                <w:szCs w:val="18"/>
              </w:rPr>
            </w:pPr>
            <w:r w:rsidRPr="0063317A">
              <w:rPr>
                <w:rFonts w:ascii="Arial Narrow" w:hAnsi="Arial Narrow" w:cs="Arial"/>
                <w:b/>
                <w:bCs/>
                <w:sz w:val="18"/>
                <w:szCs w:val="18"/>
              </w:rPr>
              <w:t>Esportazioni</w:t>
            </w:r>
          </w:p>
        </w:tc>
        <w:tc>
          <w:tcPr>
            <w:tcW w:w="2140" w:type="dxa"/>
            <w:gridSpan w:val="2"/>
            <w:tcBorders>
              <w:top w:val="single" w:sz="4" w:space="0" w:color="auto"/>
              <w:left w:val="nil"/>
              <w:bottom w:val="single" w:sz="4" w:space="0" w:color="auto"/>
              <w:right w:val="nil"/>
            </w:tcBorders>
            <w:vAlign w:val="center"/>
          </w:tcPr>
          <w:p w14:paraId="071ED864" w14:textId="77777777" w:rsidR="0075218A" w:rsidRPr="0063317A" w:rsidRDefault="0075218A" w:rsidP="0075218A">
            <w:pPr>
              <w:spacing w:before="40" w:after="20"/>
              <w:jc w:val="center"/>
              <w:rPr>
                <w:rFonts w:ascii="Arial Narrow" w:hAnsi="Arial Narrow" w:cs="Arial"/>
                <w:b/>
                <w:bCs/>
                <w:sz w:val="18"/>
                <w:szCs w:val="18"/>
              </w:rPr>
            </w:pPr>
            <w:r w:rsidRPr="0063317A">
              <w:rPr>
                <w:rFonts w:ascii="Arial Narrow" w:hAnsi="Arial Narrow" w:cs="Arial"/>
                <w:b/>
                <w:bCs/>
                <w:sz w:val="18"/>
                <w:szCs w:val="18"/>
              </w:rPr>
              <w:t>Importazioni</w:t>
            </w:r>
          </w:p>
        </w:tc>
      </w:tr>
      <w:tr w:rsidR="0075218A" w:rsidRPr="006304A5" w14:paraId="1C922A06" w14:textId="77777777" w:rsidTr="0075218A">
        <w:trPr>
          <w:trHeight w:val="255"/>
        </w:trPr>
        <w:tc>
          <w:tcPr>
            <w:tcW w:w="1647" w:type="dxa"/>
            <w:vMerge/>
            <w:tcBorders>
              <w:left w:val="nil"/>
              <w:right w:val="nil"/>
            </w:tcBorders>
            <w:noWrap/>
            <w:vAlign w:val="bottom"/>
          </w:tcPr>
          <w:p w14:paraId="1306B0FB" w14:textId="77777777" w:rsidR="0075218A" w:rsidRPr="006304A5" w:rsidRDefault="0075218A" w:rsidP="0075218A">
            <w:pPr>
              <w:spacing w:before="40" w:after="20"/>
              <w:rPr>
                <w:rFonts w:ascii="Arial Narrow" w:hAnsi="Arial Narrow" w:cs="Arial"/>
                <w:sz w:val="18"/>
                <w:szCs w:val="18"/>
              </w:rPr>
            </w:pPr>
          </w:p>
        </w:tc>
        <w:tc>
          <w:tcPr>
            <w:tcW w:w="2139" w:type="dxa"/>
            <w:gridSpan w:val="2"/>
            <w:tcBorders>
              <w:top w:val="single" w:sz="4" w:space="0" w:color="auto"/>
              <w:left w:val="nil"/>
              <w:right w:val="nil"/>
            </w:tcBorders>
            <w:shd w:val="clear" w:color="auto" w:fill="auto"/>
            <w:vAlign w:val="center"/>
          </w:tcPr>
          <w:p w14:paraId="02C039C5" w14:textId="77777777" w:rsidR="0075218A" w:rsidRPr="00C03605" w:rsidRDefault="0075218A" w:rsidP="0075218A">
            <w:pPr>
              <w:spacing w:before="40" w:after="20"/>
              <w:jc w:val="center"/>
              <w:rPr>
                <w:rFonts w:ascii="Arial Narrow" w:hAnsi="Arial Narrow"/>
                <w:sz w:val="18"/>
                <w:szCs w:val="18"/>
                <w:lang w:val="en-US"/>
              </w:rPr>
            </w:pPr>
            <w:r w:rsidRPr="00C90F76">
              <w:rPr>
                <w:rFonts w:ascii="Arial Narrow" w:hAnsi="Arial Narrow"/>
                <w:sz w:val="18"/>
                <w:szCs w:val="18"/>
              </w:rPr>
              <w:t xml:space="preserve">Variazioni </w:t>
            </w:r>
            <w:proofErr w:type="spellStart"/>
            <w:r w:rsidRPr="00C03605">
              <w:rPr>
                <w:rFonts w:ascii="Arial Narrow" w:hAnsi="Arial Narrow"/>
                <w:sz w:val="18"/>
                <w:szCs w:val="18"/>
                <w:lang w:val="en-US"/>
              </w:rPr>
              <w:t>tendenziali</w:t>
            </w:r>
            <w:proofErr w:type="spellEnd"/>
          </w:p>
        </w:tc>
        <w:tc>
          <w:tcPr>
            <w:tcW w:w="2140" w:type="dxa"/>
            <w:gridSpan w:val="2"/>
            <w:tcBorders>
              <w:top w:val="single" w:sz="4" w:space="0" w:color="auto"/>
              <w:left w:val="nil"/>
              <w:right w:val="nil"/>
            </w:tcBorders>
            <w:shd w:val="clear" w:color="auto" w:fill="auto"/>
            <w:vAlign w:val="center"/>
          </w:tcPr>
          <w:p w14:paraId="2374F0F7" w14:textId="77777777" w:rsidR="0075218A" w:rsidRPr="00C03605" w:rsidRDefault="0075218A" w:rsidP="0075218A">
            <w:pPr>
              <w:spacing w:before="40" w:after="20"/>
              <w:jc w:val="center"/>
              <w:rPr>
                <w:rFonts w:ascii="Arial Narrow" w:hAnsi="Arial Narrow"/>
                <w:sz w:val="18"/>
                <w:szCs w:val="18"/>
                <w:u w:val="single"/>
                <w:lang w:val="en-US"/>
              </w:rPr>
            </w:pPr>
            <w:proofErr w:type="spellStart"/>
            <w:r w:rsidRPr="00C03605">
              <w:rPr>
                <w:rFonts w:ascii="Arial Narrow" w:hAnsi="Arial Narrow"/>
                <w:sz w:val="18"/>
                <w:szCs w:val="18"/>
                <w:lang w:val="en-US"/>
              </w:rPr>
              <w:t>Variazioni</w:t>
            </w:r>
            <w:proofErr w:type="spellEnd"/>
            <w:r w:rsidRPr="00C03605">
              <w:rPr>
                <w:rFonts w:ascii="Arial Narrow" w:hAnsi="Arial Narrow"/>
                <w:sz w:val="18"/>
                <w:szCs w:val="18"/>
                <w:lang w:val="en-US"/>
              </w:rPr>
              <w:t xml:space="preserve"> </w:t>
            </w:r>
            <w:proofErr w:type="spellStart"/>
            <w:r w:rsidRPr="00C03605">
              <w:rPr>
                <w:rFonts w:ascii="Arial Narrow" w:hAnsi="Arial Narrow"/>
                <w:sz w:val="18"/>
                <w:szCs w:val="18"/>
                <w:lang w:val="en-US"/>
              </w:rPr>
              <w:t>tendenziali</w:t>
            </w:r>
            <w:proofErr w:type="spellEnd"/>
          </w:p>
        </w:tc>
        <w:tc>
          <w:tcPr>
            <w:tcW w:w="2140" w:type="dxa"/>
            <w:gridSpan w:val="2"/>
            <w:tcBorders>
              <w:top w:val="single" w:sz="4" w:space="0" w:color="auto"/>
              <w:left w:val="nil"/>
              <w:right w:val="nil"/>
            </w:tcBorders>
            <w:shd w:val="clear" w:color="auto" w:fill="auto"/>
            <w:vAlign w:val="center"/>
          </w:tcPr>
          <w:p w14:paraId="584D08A0" w14:textId="77777777" w:rsidR="0075218A" w:rsidRPr="00C03605" w:rsidRDefault="0075218A" w:rsidP="0075218A">
            <w:pPr>
              <w:spacing w:before="40" w:after="20"/>
              <w:jc w:val="center"/>
              <w:rPr>
                <w:rFonts w:ascii="Arial Narrow" w:hAnsi="Arial Narrow"/>
                <w:sz w:val="18"/>
                <w:szCs w:val="18"/>
                <w:u w:val="single"/>
                <w:lang w:val="en-US"/>
              </w:rPr>
            </w:pPr>
            <w:proofErr w:type="spellStart"/>
            <w:r w:rsidRPr="00C03605">
              <w:rPr>
                <w:rFonts w:ascii="Arial Narrow" w:hAnsi="Arial Narrow"/>
                <w:sz w:val="18"/>
                <w:szCs w:val="18"/>
                <w:lang w:val="en-US"/>
              </w:rPr>
              <w:t>Variazioni</w:t>
            </w:r>
            <w:proofErr w:type="spellEnd"/>
            <w:r w:rsidRPr="00C03605">
              <w:rPr>
                <w:rFonts w:ascii="Arial Narrow" w:hAnsi="Arial Narrow"/>
                <w:sz w:val="18"/>
                <w:szCs w:val="18"/>
                <w:lang w:val="en-US"/>
              </w:rPr>
              <w:t xml:space="preserve"> </w:t>
            </w:r>
            <w:proofErr w:type="spellStart"/>
            <w:r w:rsidRPr="00C03605">
              <w:rPr>
                <w:rFonts w:ascii="Arial Narrow" w:hAnsi="Arial Narrow"/>
                <w:sz w:val="18"/>
                <w:szCs w:val="18"/>
                <w:lang w:val="en-US"/>
              </w:rPr>
              <w:t>tendenziali</w:t>
            </w:r>
            <w:proofErr w:type="spellEnd"/>
          </w:p>
        </w:tc>
        <w:tc>
          <w:tcPr>
            <w:tcW w:w="2140" w:type="dxa"/>
            <w:gridSpan w:val="2"/>
            <w:tcBorders>
              <w:top w:val="single" w:sz="4" w:space="0" w:color="auto"/>
              <w:left w:val="nil"/>
              <w:right w:val="nil"/>
            </w:tcBorders>
            <w:shd w:val="clear" w:color="auto" w:fill="auto"/>
            <w:vAlign w:val="center"/>
          </w:tcPr>
          <w:p w14:paraId="1E50CB40" w14:textId="77777777" w:rsidR="0075218A" w:rsidRPr="00C03605" w:rsidRDefault="0075218A" w:rsidP="0075218A">
            <w:pPr>
              <w:spacing w:before="40" w:after="20"/>
              <w:jc w:val="center"/>
              <w:rPr>
                <w:rFonts w:ascii="Arial Narrow" w:hAnsi="Arial Narrow"/>
                <w:sz w:val="18"/>
                <w:szCs w:val="18"/>
                <w:u w:val="single"/>
                <w:lang w:val="en-US"/>
              </w:rPr>
            </w:pPr>
            <w:proofErr w:type="spellStart"/>
            <w:r w:rsidRPr="00C03605">
              <w:rPr>
                <w:rFonts w:ascii="Arial Narrow" w:hAnsi="Arial Narrow"/>
                <w:sz w:val="18"/>
                <w:szCs w:val="18"/>
                <w:lang w:val="en-US"/>
              </w:rPr>
              <w:t>Variazioni</w:t>
            </w:r>
            <w:proofErr w:type="spellEnd"/>
            <w:r w:rsidRPr="00C03605">
              <w:rPr>
                <w:rFonts w:ascii="Arial Narrow" w:hAnsi="Arial Narrow"/>
                <w:sz w:val="18"/>
                <w:szCs w:val="18"/>
                <w:lang w:val="en-US"/>
              </w:rPr>
              <w:t xml:space="preserve"> </w:t>
            </w:r>
            <w:proofErr w:type="spellStart"/>
            <w:r w:rsidRPr="00C03605">
              <w:rPr>
                <w:rFonts w:ascii="Arial Narrow" w:hAnsi="Arial Narrow"/>
                <w:sz w:val="18"/>
                <w:szCs w:val="18"/>
                <w:lang w:val="en-US"/>
              </w:rPr>
              <w:t>tendenziali</w:t>
            </w:r>
            <w:proofErr w:type="spellEnd"/>
          </w:p>
        </w:tc>
      </w:tr>
      <w:tr w:rsidR="005F4885" w:rsidRPr="006304A5" w14:paraId="2B0880B8" w14:textId="77777777" w:rsidTr="0075218A">
        <w:trPr>
          <w:trHeight w:val="255"/>
        </w:trPr>
        <w:tc>
          <w:tcPr>
            <w:tcW w:w="1647" w:type="dxa"/>
            <w:vMerge/>
            <w:tcBorders>
              <w:left w:val="nil"/>
              <w:right w:val="nil"/>
            </w:tcBorders>
            <w:noWrap/>
            <w:vAlign w:val="bottom"/>
          </w:tcPr>
          <w:p w14:paraId="2E62DE81" w14:textId="77777777" w:rsidR="005F4885" w:rsidRPr="006304A5" w:rsidRDefault="005F4885" w:rsidP="005F4885">
            <w:pPr>
              <w:spacing w:before="40" w:after="20"/>
              <w:rPr>
                <w:rFonts w:ascii="Arial Narrow" w:hAnsi="Arial Narrow" w:cs="Arial"/>
                <w:sz w:val="18"/>
                <w:szCs w:val="18"/>
              </w:rPr>
            </w:pPr>
          </w:p>
        </w:tc>
        <w:tc>
          <w:tcPr>
            <w:tcW w:w="823" w:type="dxa"/>
            <w:tcBorders>
              <w:top w:val="single" w:sz="4" w:space="0" w:color="auto"/>
              <w:left w:val="nil"/>
              <w:right w:val="nil"/>
            </w:tcBorders>
            <w:shd w:val="clear" w:color="auto" w:fill="auto"/>
            <w:vAlign w:val="center"/>
          </w:tcPr>
          <w:p w14:paraId="21FEC8CA" w14:textId="21327351" w:rsidR="005F4885" w:rsidRPr="0069402A" w:rsidRDefault="005F4885" w:rsidP="005F4885">
            <w:pPr>
              <w:spacing w:before="40" w:after="20"/>
              <w:jc w:val="center"/>
              <w:rPr>
                <w:rFonts w:ascii="Arial Narrow" w:hAnsi="Arial Narrow"/>
                <w:sz w:val="18"/>
                <w:szCs w:val="18"/>
                <w:u w:val="single"/>
                <w:lang w:val="en-US"/>
              </w:rPr>
            </w:pPr>
            <w:r>
              <w:rPr>
                <w:rFonts w:ascii="Arial Narrow" w:hAnsi="Arial Narrow"/>
                <w:sz w:val="18"/>
                <w:szCs w:val="18"/>
                <w:u w:val="single"/>
                <w:lang w:val="en-US"/>
              </w:rPr>
              <w:t>set 22</w:t>
            </w:r>
          </w:p>
          <w:p w14:paraId="4669C3A0" w14:textId="192F77A4" w:rsidR="005F4885" w:rsidRPr="003C7722" w:rsidRDefault="005F4885" w:rsidP="005F4885">
            <w:pPr>
              <w:spacing w:before="40" w:after="20"/>
              <w:jc w:val="center"/>
              <w:rPr>
                <w:rFonts w:ascii="Arial Narrow" w:hAnsi="Arial Narrow"/>
                <w:sz w:val="18"/>
                <w:szCs w:val="18"/>
                <w:lang w:val="en-US"/>
              </w:rPr>
            </w:pPr>
            <w:r>
              <w:rPr>
                <w:rFonts w:ascii="Arial Narrow" w:hAnsi="Arial Narrow"/>
                <w:sz w:val="18"/>
                <w:szCs w:val="18"/>
                <w:lang w:val="en-US"/>
              </w:rPr>
              <w:t>set 21</w:t>
            </w:r>
          </w:p>
        </w:tc>
        <w:tc>
          <w:tcPr>
            <w:tcW w:w="1316" w:type="dxa"/>
            <w:tcBorders>
              <w:top w:val="single" w:sz="4" w:space="0" w:color="auto"/>
              <w:left w:val="nil"/>
              <w:right w:val="nil"/>
            </w:tcBorders>
            <w:shd w:val="clear" w:color="auto" w:fill="auto"/>
            <w:vAlign w:val="center"/>
          </w:tcPr>
          <w:p w14:paraId="6282AD96" w14:textId="4B58C639" w:rsidR="005F4885" w:rsidRPr="0069402A" w:rsidRDefault="005F4885" w:rsidP="005F4885">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gen-set 22</w:t>
            </w:r>
          </w:p>
          <w:p w14:paraId="4A4A32E0" w14:textId="06677847" w:rsidR="005F4885" w:rsidRPr="003C7722" w:rsidRDefault="005F4885" w:rsidP="005F4885">
            <w:pPr>
              <w:spacing w:before="40" w:after="20"/>
              <w:jc w:val="center"/>
              <w:rPr>
                <w:rFonts w:ascii="Arial Narrow" w:hAnsi="Arial Narrow"/>
                <w:sz w:val="18"/>
                <w:szCs w:val="18"/>
                <w:lang w:val="en-US"/>
              </w:rPr>
            </w:pPr>
            <w:r>
              <w:rPr>
                <w:rFonts w:ascii="Arial Narrow" w:hAnsi="Arial Narrow"/>
                <w:sz w:val="18"/>
                <w:szCs w:val="18"/>
                <w:lang w:val="en-US"/>
              </w:rPr>
              <w:t>gen-set 21</w:t>
            </w:r>
          </w:p>
        </w:tc>
        <w:tc>
          <w:tcPr>
            <w:tcW w:w="823" w:type="dxa"/>
            <w:tcBorders>
              <w:top w:val="single" w:sz="4" w:space="0" w:color="auto"/>
              <w:left w:val="nil"/>
              <w:right w:val="nil"/>
            </w:tcBorders>
            <w:shd w:val="clear" w:color="auto" w:fill="auto"/>
            <w:vAlign w:val="center"/>
          </w:tcPr>
          <w:p w14:paraId="7B752ACC" w14:textId="77777777" w:rsidR="005F4885" w:rsidRPr="0069402A" w:rsidRDefault="005F4885" w:rsidP="005F4885">
            <w:pPr>
              <w:spacing w:before="40" w:after="20"/>
              <w:jc w:val="center"/>
              <w:rPr>
                <w:rFonts w:ascii="Arial Narrow" w:hAnsi="Arial Narrow"/>
                <w:sz w:val="18"/>
                <w:szCs w:val="18"/>
                <w:u w:val="single"/>
                <w:lang w:val="en-US"/>
              </w:rPr>
            </w:pPr>
            <w:r>
              <w:rPr>
                <w:rFonts w:ascii="Arial Narrow" w:hAnsi="Arial Narrow"/>
                <w:sz w:val="18"/>
                <w:szCs w:val="18"/>
                <w:u w:val="single"/>
                <w:lang w:val="en-US"/>
              </w:rPr>
              <w:t>set 22</w:t>
            </w:r>
          </w:p>
          <w:p w14:paraId="494F8185" w14:textId="58F7D044" w:rsidR="005F4885" w:rsidRPr="003C7722" w:rsidRDefault="005F4885" w:rsidP="005F4885">
            <w:pPr>
              <w:spacing w:before="40" w:after="20"/>
              <w:jc w:val="center"/>
              <w:rPr>
                <w:rFonts w:ascii="Arial Narrow" w:hAnsi="Arial Narrow"/>
                <w:sz w:val="18"/>
                <w:szCs w:val="18"/>
                <w:lang w:val="en-US"/>
              </w:rPr>
            </w:pPr>
            <w:r>
              <w:rPr>
                <w:rFonts w:ascii="Arial Narrow" w:hAnsi="Arial Narrow"/>
                <w:sz w:val="18"/>
                <w:szCs w:val="18"/>
                <w:lang w:val="en-US"/>
              </w:rPr>
              <w:t>set 21</w:t>
            </w:r>
          </w:p>
        </w:tc>
        <w:tc>
          <w:tcPr>
            <w:tcW w:w="1317" w:type="dxa"/>
            <w:tcBorders>
              <w:top w:val="single" w:sz="4" w:space="0" w:color="auto"/>
              <w:left w:val="nil"/>
              <w:right w:val="nil"/>
            </w:tcBorders>
            <w:shd w:val="clear" w:color="auto" w:fill="auto"/>
            <w:vAlign w:val="center"/>
          </w:tcPr>
          <w:p w14:paraId="5D01D976" w14:textId="77777777" w:rsidR="005F4885" w:rsidRPr="0069402A" w:rsidRDefault="005F4885" w:rsidP="005F4885">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gen-set 22</w:t>
            </w:r>
          </w:p>
          <w:p w14:paraId="56BEC566" w14:textId="2B00601B" w:rsidR="005F4885" w:rsidRPr="003C7722" w:rsidRDefault="005F4885" w:rsidP="005F4885">
            <w:pPr>
              <w:spacing w:before="40" w:after="20"/>
              <w:jc w:val="center"/>
              <w:rPr>
                <w:rFonts w:ascii="Arial Narrow" w:hAnsi="Arial Narrow"/>
                <w:sz w:val="18"/>
                <w:szCs w:val="18"/>
                <w:lang w:val="en-US"/>
              </w:rPr>
            </w:pPr>
            <w:r>
              <w:rPr>
                <w:rFonts w:ascii="Arial Narrow" w:hAnsi="Arial Narrow"/>
                <w:sz w:val="18"/>
                <w:szCs w:val="18"/>
                <w:lang w:val="en-US"/>
              </w:rPr>
              <w:t>gen-set 21</w:t>
            </w:r>
          </w:p>
        </w:tc>
        <w:tc>
          <w:tcPr>
            <w:tcW w:w="823" w:type="dxa"/>
            <w:tcBorders>
              <w:top w:val="single" w:sz="4" w:space="0" w:color="auto"/>
              <w:left w:val="nil"/>
              <w:right w:val="nil"/>
            </w:tcBorders>
            <w:shd w:val="clear" w:color="auto" w:fill="auto"/>
            <w:vAlign w:val="center"/>
          </w:tcPr>
          <w:p w14:paraId="0EDC25EC" w14:textId="77777777" w:rsidR="005F4885" w:rsidRPr="0069402A" w:rsidRDefault="005F4885" w:rsidP="005F4885">
            <w:pPr>
              <w:spacing w:before="40" w:after="20"/>
              <w:jc w:val="center"/>
              <w:rPr>
                <w:rFonts w:ascii="Arial Narrow" w:hAnsi="Arial Narrow"/>
                <w:sz w:val="18"/>
                <w:szCs w:val="18"/>
                <w:u w:val="single"/>
                <w:lang w:val="en-US"/>
              </w:rPr>
            </w:pPr>
            <w:r>
              <w:rPr>
                <w:rFonts w:ascii="Arial Narrow" w:hAnsi="Arial Narrow"/>
                <w:sz w:val="18"/>
                <w:szCs w:val="18"/>
                <w:u w:val="single"/>
                <w:lang w:val="en-US"/>
              </w:rPr>
              <w:t>set 22</w:t>
            </w:r>
          </w:p>
          <w:p w14:paraId="0F0F10FB" w14:textId="2EA7886F" w:rsidR="005F4885" w:rsidRPr="003C7722" w:rsidRDefault="005F4885" w:rsidP="005F4885">
            <w:pPr>
              <w:spacing w:before="40" w:after="20"/>
              <w:jc w:val="center"/>
              <w:rPr>
                <w:rFonts w:ascii="Arial Narrow" w:hAnsi="Arial Narrow"/>
                <w:sz w:val="18"/>
                <w:szCs w:val="18"/>
                <w:lang w:val="en-US"/>
              </w:rPr>
            </w:pPr>
            <w:r>
              <w:rPr>
                <w:rFonts w:ascii="Arial Narrow" w:hAnsi="Arial Narrow"/>
                <w:sz w:val="18"/>
                <w:szCs w:val="18"/>
                <w:lang w:val="en-US"/>
              </w:rPr>
              <w:t>set 21</w:t>
            </w:r>
          </w:p>
        </w:tc>
        <w:tc>
          <w:tcPr>
            <w:tcW w:w="1317" w:type="dxa"/>
            <w:tcBorders>
              <w:top w:val="single" w:sz="4" w:space="0" w:color="auto"/>
              <w:left w:val="nil"/>
              <w:right w:val="nil"/>
            </w:tcBorders>
            <w:shd w:val="clear" w:color="auto" w:fill="auto"/>
            <w:vAlign w:val="center"/>
          </w:tcPr>
          <w:p w14:paraId="1B0C747F" w14:textId="77777777" w:rsidR="005F4885" w:rsidRPr="0069402A" w:rsidRDefault="005F4885" w:rsidP="005F4885">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gen-set 22</w:t>
            </w:r>
          </w:p>
          <w:p w14:paraId="555B4BCA" w14:textId="47DDF3FE" w:rsidR="005F4885" w:rsidRPr="003C7722" w:rsidRDefault="005F4885" w:rsidP="005F4885">
            <w:pPr>
              <w:spacing w:before="40" w:after="20"/>
              <w:jc w:val="center"/>
              <w:rPr>
                <w:rFonts w:ascii="Arial Narrow" w:hAnsi="Arial Narrow"/>
                <w:sz w:val="18"/>
                <w:szCs w:val="18"/>
                <w:lang w:val="en-US"/>
              </w:rPr>
            </w:pPr>
            <w:r>
              <w:rPr>
                <w:rFonts w:ascii="Arial Narrow" w:hAnsi="Arial Narrow"/>
                <w:sz w:val="18"/>
                <w:szCs w:val="18"/>
                <w:lang w:val="en-US"/>
              </w:rPr>
              <w:t>gen-set 21</w:t>
            </w:r>
          </w:p>
        </w:tc>
        <w:tc>
          <w:tcPr>
            <w:tcW w:w="823" w:type="dxa"/>
            <w:tcBorders>
              <w:top w:val="single" w:sz="4" w:space="0" w:color="auto"/>
              <w:left w:val="nil"/>
              <w:right w:val="nil"/>
            </w:tcBorders>
            <w:shd w:val="clear" w:color="auto" w:fill="auto"/>
            <w:vAlign w:val="center"/>
          </w:tcPr>
          <w:p w14:paraId="3A9BD2C3" w14:textId="77777777" w:rsidR="005F4885" w:rsidRPr="0069402A" w:rsidRDefault="005F4885" w:rsidP="005F4885">
            <w:pPr>
              <w:spacing w:before="40" w:after="20"/>
              <w:jc w:val="center"/>
              <w:rPr>
                <w:rFonts w:ascii="Arial Narrow" w:hAnsi="Arial Narrow"/>
                <w:sz w:val="18"/>
                <w:szCs w:val="18"/>
                <w:u w:val="single"/>
                <w:lang w:val="en-US"/>
              </w:rPr>
            </w:pPr>
            <w:r>
              <w:rPr>
                <w:rFonts w:ascii="Arial Narrow" w:hAnsi="Arial Narrow"/>
                <w:sz w:val="18"/>
                <w:szCs w:val="18"/>
                <w:u w:val="single"/>
                <w:lang w:val="en-US"/>
              </w:rPr>
              <w:t>set 22</w:t>
            </w:r>
          </w:p>
          <w:p w14:paraId="43B39C5B" w14:textId="06F1496D" w:rsidR="005F4885" w:rsidRPr="003C7722" w:rsidRDefault="005F4885" w:rsidP="005F4885">
            <w:pPr>
              <w:spacing w:before="40" w:after="20"/>
              <w:jc w:val="center"/>
              <w:rPr>
                <w:rFonts w:ascii="Arial Narrow" w:hAnsi="Arial Narrow"/>
                <w:sz w:val="18"/>
                <w:szCs w:val="18"/>
                <w:lang w:val="en-US"/>
              </w:rPr>
            </w:pPr>
            <w:r>
              <w:rPr>
                <w:rFonts w:ascii="Arial Narrow" w:hAnsi="Arial Narrow"/>
                <w:sz w:val="18"/>
                <w:szCs w:val="18"/>
                <w:lang w:val="en-US"/>
              </w:rPr>
              <w:t>set 21</w:t>
            </w:r>
          </w:p>
        </w:tc>
        <w:tc>
          <w:tcPr>
            <w:tcW w:w="1317" w:type="dxa"/>
            <w:tcBorders>
              <w:top w:val="single" w:sz="4" w:space="0" w:color="auto"/>
              <w:left w:val="nil"/>
              <w:right w:val="nil"/>
            </w:tcBorders>
            <w:shd w:val="clear" w:color="auto" w:fill="auto"/>
            <w:vAlign w:val="center"/>
          </w:tcPr>
          <w:p w14:paraId="51E47997" w14:textId="77777777" w:rsidR="005F4885" w:rsidRPr="0069402A" w:rsidRDefault="005F4885" w:rsidP="005F4885">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gen-set 22</w:t>
            </w:r>
          </w:p>
          <w:p w14:paraId="0ABDB655" w14:textId="451976E3" w:rsidR="005F4885" w:rsidRPr="003C7722" w:rsidRDefault="005F4885" w:rsidP="005F4885">
            <w:pPr>
              <w:spacing w:before="40" w:after="20"/>
              <w:jc w:val="center"/>
              <w:rPr>
                <w:rFonts w:ascii="Arial Narrow" w:hAnsi="Arial Narrow"/>
                <w:sz w:val="18"/>
                <w:szCs w:val="18"/>
                <w:lang w:val="en-US"/>
              </w:rPr>
            </w:pPr>
            <w:r>
              <w:rPr>
                <w:rFonts w:ascii="Arial Narrow" w:hAnsi="Arial Narrow"/>
                <w:sz w:val="18"/>
                <w:szCs w:val="18"/>
                <w:lang w:val="en-US"/>
              </w:rPr>
              <w:t>gen-set 21</w:t>
            </w:r>
          </w:p>
        </w:tc>
      </w:tr>
      <w:tr w:rsidR="00F374E1" w:rsidRPr="008C0651" w14:paraId="66852D06" w14:textId="77777777" w:rsidTr="00F374E1">
        <w:trPr>
          <w:trHeight w:val="255"/>
        </w:trPr>
        <w:tc>
          <w:tcPr>
            <w:tcW w:w="1647" w:type="dxa"/>
            <w:tcBorders>
              <w:top w:val="single" w:sz="4" w:space="0" w:color="auto"/>
              <w:left w:val="nil"/>
              <w:bottom w:val="single" w:sz="4" w:space="0" w:color="auto"/>
            </w:tcBorders>
            <w:noWrap/>
            <w:vAlign w:val="bottom"/>
          </w:tcPr>
          <w:p w14:paraId="003EE246" w14:textId="77777777" w:rsidR="00F374E1" w:rsidRPr="007C052D" w:rsidRDefault="00F374E1" w:rsidP="00F374E1">
            <w:pPr>
              <w:spacing w:before="40" w:after="20"/>
              <w:rPr>
                <w:rFonts w:ascii="Arial Narrow" w:hAnsi="Arial Narrow" w:cs="Arial"/>
                <w:sz w:val="18"/>
                <w:szCs w:val="18"/>
              </w:rPr>
            </w:pPr>
            <w:r w:rsidRPr="007C052D">
              <w:rPr>
                <w:rFonts w:ascii="Arial Narrow" w:hAnsi="Arial Narrow" w:cs="Arial"/>
                <w:sz w:val="18"/>
                <w:szCs w:val="18"/>
              </w:rPr>
              <w:t>Paesi Ue27</w:t>
            </w:r>
          </w:p>
        </w:tc>
        <w:tc>
          <w:tcPr>
            <w:tcW w:w="823" w:type="dxa"/>
            <w:tcBorders>
              <w:top w:val="single" w:sz="4" w:space="0" w:color="auto"/>
              <w:bottom w:val="single" w:sz="4" w:space="0" w:color="auto"/>
            </w:tcBorders>
            <w:shd w:val="clear" w:color="auto" w:fill="D9D9D9"/>
            <w:vAlign w:val="center"/>
          </w:tcPr>
          <w:p w14:paraId="077B393A" w14:textId="06702EC6" w:rsidR="00F374E1" w:rsidRDefault="00F374E1" w:rsidP="00F374E1">
            <w:pPr>
              <w:jc w:val="center"/>
              <w:rPr>
                <w:rFonts w:ascii="Arial Narrow" w:hAnsi="Arial Narrow"/>
                <w:sz w:val="18"/>
                <w:szCs w:val="18"/>
              </w:rPr>
            </w:pPr>
            <w:r>
              <w:rPr>
                <w:rFonts w:ascii="Arial Narrow" w:hAnsi="Arial Narrow"/>
                <w:sz w:val="18"/>
                <w:szCs w:val="18"/>
              </w:rPr>
              <w:t>+16,5</w:t>
            </w:r>
          </w:p>
        </w:tc>
        <w:tc>
          <w:tcPr>
            <w:tcW w:w="1316" w:type="dxa"/>
            <w:tcBorders>
              <w:top w:val="single" w:sz="4" w:space="0" w:color="auto"/>
              <w:bottom w:val="single" w:sz="4" w:space="0" w:color="auto"/>
            </w:tcBorders>
            <w:shd w:val="clear" w:color="auto" w:fill="D9D9D9"/>
            <w:vAlign w:val="center"/>
          </w:tcPr>
          <w:p w14:paraId="1D4F167A" w14:textId="765D002C" w:rsidR="00F374E1" w:rsidRDefault="00F374E1" w:rsidP="00F374E1">
            <w:pPr>
              <w:jc w:val="center"/>
              <w:rPr>
                <w:rFonts w:ascii="Arial Narrow" w:hAnsi="Arial Narrow"/>
                <w:sz w:val="18"/>
                <w:szCs w:val="18"/>
              </w:rPr>
            </w:pPr>
            <w:r>
              <w:rPr>
                <w:rFonts w:ascii="Arial Narrow" w:hAnsi="Arial Narrow"/>
                <w:sz w:val="18"/>
                <w:szCs w:val="18"/>
              </w:rPr>
              <w:t>+20,8</w:t>
            </w:r>
          </w:p>
        </w:tc>
        <w:tc>
          <w:tcPr>
            <w:tcW w:w="823" w:type="dxa"/>
            <w:tcBorders>
              <w:top w:val="single" w:sz="4" w:space="0" w:color="auto"/>
              <w:bottom w:val="single" w:sz="4" w:space="0" w:color="auto"/>
            </w:tcBorders>
            <w:vAlign w:val="center"/>
          </w:tcPr>
          <w:p w14:paraId="7E1E1535" w14:textId="726DF3AE" w:rsidR="00F374E1" w:rsidRDefault="00F374E1" w:rsidP="00F374E1">
            <w:pPr>
              <w:jc w:val="center"/>
              <w:rPr>
                <w:rFonts w:ascii="Arial Narrow" w:hAnsi="Arial Narrow"/>
                <w:sz w:val="18"/>
                <w:szCs w:val="18"/>
              </w:rPr>
            </w:pPr>
            <w:r>
              <w:rPr>
                <w:rFonts w:ascii="Arial Narrow" w:hAnsi="Arial Narrow"/>
                <w:sz w:val="18"/>
                <w:szCs w:val="18"/>
              </w:rPr>
              <w:t>+20,1</w:t>
            </w:r>
          </w:p>
        </w:tc>
        <w:tc>
          <w:tcPr>
            <w:tcW w:w="1317" w:type="dxa"/>
            <w:tcBorders>
              <w:top w:val="single" w:sz="4" w:space="0" w:color="auto"/>
              <w:bottom w:val="single" w:sz="4" w:space="0" w:color="auto"/>
            </w:tcBorders>
            <w:vAlign w:val="center"/>
          </w:tcPr>
          <w:p w14:paraId="63208D79" w14:textId="16824A31" w:rsidR="00F374E1" w:rsidRDefault="00F374E1" w:rsidP="00F374E1">
            <w:pPr>
              <w:jc w:val="center"/>
              <w:rPr>
                <w:rFonts w:ascii="Arial Narrow" w:hAnsi="Arial Narrow"/>
                <w:sz w:val="18"/>
                <w:szCs w:val="18"/>
              </w:rPr>
            </w:pPr>
            <w:r>
              <w:rPr>
                <w:rFonts w:ascii="Arial Narrow" w:hAnsi="Arial Narrow"/>
                <w:sz w:val="18"/>
                <w:szCs w:val="18"/>
              </w:rPr>
              <w:t>+23,9</w:t>
            </w:r>
          </w:p>
        </w:tc>
        <w:tc>
          <w:tcPr>
            <w:tcW w:w="823" w:type="dxa"/>
            <w:tcBorders>
              <w:top w:val="single" w:sz="4" w:space="0" w:color="auto"/>
              <w:bottom w:val="single" w:sz="4" w:space="0" w:color="auto"/>
            </w:tcBorders>
            <w:shd w:val="clear" w:color="auto" w:fill="D9D9D9"/>
            <w:vAlign w:val="center"/>
          </w:tcPr>
          <w:p w14:paraId="72E03CE3" w14:textId="7FC6F940" w:rsidR="00F374E1" w:rsidRDefault="00F374E1" w:rsidP="00F374E1">
            <w:pPr>
              <w:jc w:val="center"/>
              <w:rPr>
                <w:rFonts w:ascii="Arial Narrow" w:hAnsi="Arial Narrow"/>
                <w:sz w:val="18"/>
                <w:szCs w:val="18"/>
              </w:rPr>
            </w:pPr>
            <w:r>
              <w:rPr>
                <w:rFonts w:ascii="Arial Narrow" w:hAnsi="Arial Narrow"/>
                <w:sz w:val="18"/>
                <w:szCs w:val="18"/>
              </w:rPr>
              <w:t>+0,4</w:t>
            </w:r>
          </w:p>
        </w:tc>
        <w:tc>
          <w:tcPr>
            <w:tcW w:w="1317" w:type="dxa"/>
            <w:tcBorders>
              <w:top w:val="single" w:sz="4" w:space="0" w:color="auto"/>
              <w:bottom w:val="single" w:sz="4" w:space="0" w:color="auto"/>
            </w:tcBorders>
            <w:shd w:val="clear" w:color="auto" w:fill="D9D9D9"/>
            <w:vAlign w:val="center"/>
          </w:tcPr>
          <w:p w14:paraId="1F8CB9D1" w14:textId="4EEDB751" w:rsidR="00F374E1" w:rsidRDefault="00F374E1" w:rsidP="00F374E1">
            <w:pPr>
              <w:jc w:val="center"/>
              <w:rPr>
                <w:rFonts w:ascii="Arial Narrow" w:hAnsi="Arial Narrow"/>
                <w:sz w:val="18"/>
                <w:szCs w:val="18"/>
              </w:rPr>
            </w:pPr>
            <w:r>
              <w:rPr>
                <w:rFonts w:ascii="Arial Narrow" w:hAnsi="Arial Narrow"/>
                <w:sz w:val="18"/>
                <w:szCs w:val="18"/>
              </w:rPr>
              <w:t>+0,8</w:t>
            </w:r>
          </w:p>
        </w:tc>
        <w:tc>
          <w:tcPr>
            <w:tcW w:w="823" w:type="dxa"/>
            <w:tcBorders>
              <w:top w:val="single" w:sz="4" w:space="0" w:color="auto"/>
              <w:bottom w:val="single" w:sz="4" w:space="0" w:color="auto"/>
            </w:tcBorders>
            <w:vAlign w:val="center"/>
          </w:tcPr>
          <w:p w14:paraId="74C14962" w14:textId="29170A49" w:rsidR="00F374E1" w:rsidRDefault="00F374E1" w:rsidP="00F374E1">
            <w:pPr>
              <w:jc w:val="center"/>
              <w:rPr>
                <w:rFonts w:ascii="Arial Narrow" w:hAnsi="Arial Narrow"/>
                <w:sz w:val="18"/>
                <w:szCs w:val="18"/>
              </w:rPr>
            </w:pPr>
            <w:r>
              <w:rPr>
                <w:rFonts w:ascii="Arial Narrow" w:hAnsi="Arial Narrow"/>
                <w:sz w:val="18"/>
                <w:szCs w:val="18"/>
              </w:rPr>
              <w:t>+4,2</w:t>
            </w:r>
          </w:p>
        </w:tc>
        <w:tc>
          <w:tcPr>
            <w:tcW w:w="1317" w:type="dxa"/>
            <w:tcBorders>
              <w:top w:val="single" w:sz="4" w:space="0" w:color="auto"/>
              <w:bottom w:val="single" w:sz="4" w:space="0" w:color="auto"/>
            </w:tcBorders>
            <w:vAlign w:val="center"/>
          </w:tcPr>
          <w:p w14:paraId="3629393A" w14:textId="319C2BFD" w:rsidR="00F374E1" w:rsidRDefault="00F374E1" w:rsidP="00F374E1">
            <w:pPr>
              <w:jc w:val="center"/>
              <w:rPr>
                <w:rFonts w:ascii="Arial Narrow" w:hAnsi="Arial Narrow"/>
                <w:sz w:val="18"/>
                <w:szCs w:val="18"/>
              </w:rPr>
            </w:pPr>
            <w:r>
              <w:rPr>
                <w:rFonts w:ascii="Arial Narrow" w:hAnsi="Arial Narrow"/>
                <w:sz w:val="18"/>
                <w:szCs w:val="18"/>
              </w:rPr>
              <w:t>+2,1</w:t>
            </w:r>
          </w:p>
        </w:tc>
      </w:tr>
      <w:tr w:rsidR="00F374E1" w:rsidRPr="008C0651" w14:paraId="530D5F0F" w14:textId="77777777" w:rsidTr="00F374E1">
        <w:trPr>
          <w:trHeight w:val="255"/>
        </w:trPr>
        <w:tc>
          <w:tcPr>
            <w:tcW w:w="1647" w:type="dxa"/>
            <w:tcBorders>
              <w:top w:val="single" w:sz="4" w:space="0" w:color="auto"/>
              <w:left w:val="nil"/>
              <w:bottom w:val="single" w:sz="4" w:space="0" w:color="auto"/>
            </w:tcBorders>
            <w:noWrap/>
            <w:vAlign w:val="bottom"/>
          </w:tcPr>
          <w:p w14:paraId="1E1D3FE9" w14:textId="77777777" w:rsidR="00F374E1" w:rsidRPr="007C052D" w:rsidRDefault="00F374E1" w:rsidP="00F374E1">
            <w:pPr>
              <w:spacing w:before="40" w:after="20"/>
              <w:rPr>
                <w:rFonts w:ascii="Arial Narrow" w:hAnsi="Arial Narrow" w:cs="Arial"/>
                <w:sz w:val="18"/>
                <w:szCs w:val="18"/>
              </w:rPr>
            </w:pPr>
            <w:r w:rsidRPr="007C052D">
              <w:rPr>
                <w:rFonts w:ascii="Arial Narrow" w:hAnsi="Arial Narrow" w:cs="Arial"/>
                <w:sz w:val="18"/>
                <w:szCs w:val="18"/>
              </w:rPr>
              <w:t>Paesi extra Ue27</w:t>
            </w:r>
          </w:p>
        </w:tc>
        <w:tc>
          <w:tcPr>
            <w:tcW w:w="823" w:type="dxa"/>
            <w:tcBorders>
              <w:top w:val="single" w:sz="4" w:space="0" w:color="auto"/>
              <w:bottom w:val="single" w:sz="4" w:space="0" w:color="auto"/>
            </w:tcBorders>
            <w:shd w:val="clear" w:color="auto" w:fill="D9D9D9"/>
            <w:vAlign w:val="center"/>
          </w:tcPr>
          <w:p w14:paraId="6329835E" w14:textId="597BF656" w:rsidR="00F374E1" w:rsidRDefault="00F374E1" w:rsidP="00F374E1">
            <w:pPr>
              <w:jc w:val="center"/>
              <w:rPr>
                <w:rFonts w:ascii="Arial Narrow" w:hAnsi="Arial Narrow"/>
                <w:sz w:val="18"/>
                <w:szCs w:val="18"/>
              </w:rPr>
            </w:pPr>
            <w:r>
              <w:rPr>
                <w:rFonts w:ascii="Arial Narrow" w:hAnsi="Arial Narrow"/>
                <w:sz w:val="18"/>
                <w:szCs w:val="18"/>
              </w:rPr>
              <w:t>+22,3</w:t>
            </w:r>
          </w:p>
        </w:tc>
        <w:tc>
          <w:tcPr>
            <w:tcW w:w="1316" w:type="dxa"/>
            <w:tcBorders>
              <w:top w:val="single" w:sz="4" w:space="0" w:color="auto"/>
              <w:bottom w:val="single" w:sz="4" w:space="0" w:color="auto"/>
            </w:tcBorders>
            <w:shd w:val="clear" w:color="auto" w:fill="D9D9D9"/>
            <w:vAlign w:val="center"/>
          </w:tcPr>
          <w:p w14:paraId="4AA1900E" w14:textId="16D141A6" w:rsidR="00F374E1" w:rsidRDefault="00F374E1" w:rsidP="00F374E1">
            <w:pPr>
              <w:jc w:val="center"/>
              <w:rPr>
                <w:rFonts w:ascii="Arial Narrow" w:hAnsi="Arial Narrow"/>
                <w:sz w:val="18"/>
                <w:szCs w:val="18"/>
              </w:rPr>
            </w:pPr>
            <w:r>
              <w:rPr>
                <w:rFonts w:ascii="Arial Narrow" w:hAnsi="Arial Narrow"/>
                <w:sz w:val="18"/>
                <w:szCs w:val="18"/>
              </w:rPr>
              <w:t>+19,8</w:t>
            </w:r>
          </w:p>
        </w:tc>
        <w:tc>
          <w:tcPr>
            <w:tcW w:w="823" w:type="dxa"/>
            <w:tcBorders>
              <w:top w:val="single" w:sz="4" w:space="0" w:color="auto"/>
              <w:bottom w:val="single" w:sz="4" w:space="0" w:color="auto"/>
            </w:tcBorders>
            <w:vAlign w:val="center"/>
          </w:tcPr>
          <w:p w14:paraId="332039EF" w14:textId="729E724F" w:rsidR="00F374E1" w:rsidRDefault="00F374E1" w:rsidP="00F374E1">
            <w:pPr>
              <w:jc w:val="center"/>
              <w:rPr>
                <w:rFonts w:ascii="Arial Narrow" w:hAnsi="Arial Narrow"/>
                <w:sz w:val="18"/>
                <w:szCs w:val="18"/>
              </w:rPr>
            </w:pPr>
            <w:r>
              <w:rPr>
                <w:rFonts w:ascii="Arial Narrow" w:hAnsi="Arial Narrow"/>
                <w:sz w:val="18"/>
                <w:szCs w:val="18"/>
              </w:rPr>
              <w:t>+64,5</w:t>
            </w:r>
          </w:p>
        </w:tc>
        <w:tc>
          <w:tcPr>
            <w:tcW w:w="1317" w:type="dxa"/>
            <w:tcBorders>
              <w:top w:val="single" w:sz="4" w:space="0" w:color="auto"/>
              <w:bottom w:val="single" w:sz="4" w:space="0" w:color="auto"/>
            </w:tcBorders>
            <w:vAlign w:val="center"/>
          </w:tcPr>
          <w:p w14:paraId="765B5F49" w14:textId="25ADDC28" w:rsidR="00F374E1" w:rsidRDefault="00F374E1" w:rsidP="00F374E1">
            <w:pPr>
              <w:jc w:val="center"/>
              <w:rPr>
                <w:rFonts w:ascii="Arial Narrow" w:hAnsi="Arial Narrow"/>
                <w:sz w:val="18"/>
                <w:szCs w:val="18"/>
              </w:rPr>
            </w:pPr>
            <w:r>
              <w:rPr>
                <w:rFonts w:ascii="Arial Narrow" w:hAnsi="Arial Narrow"/>
                <w:sz w:val="18"/>
                <w:szCs w:val="18"/>
              </w:rPr>
              <w:t>+62,2</w:t>
            </w:r>
          </w:p>
        </w:tc>
        <w:tc>
          <w:tcPr>
            <w:tcW w:w="823" w:type="dxa"/>
            <w:tcBorders>
              <w:top w:val="single" w:sz="4" w:space="0" w:color="auto"/>
              <w:bottom w:val="single" w:sz="4" w:space="0" w:color="auto"/>
            </w:tcBorders>
            <w:shd w:val="clear" w:color="auto" w:fill="D9D9D9"/>
            <w:vAlign w:val="center"/>
          </w:tcPr>
          <w:p w14:paraId="2A636F14" w14:textId="4CE69C40" w:rsidR="00F374E1" w:rsidRDefault="00F374E1" w:rsidP="00F374E1">
            <w:pPr>
              <w:jc w:val="center"/>
              <w:rPr>
                <w:rFonts w:ascii="Arial Narrow" w:hAnsi="Arial Narrow"/>
                <w:sz w:val="18"/>
                <w:szCs w:val="18"/>
              </w:rPr>
            </w:pPr>
            <w:r>
              <w:rPr>
                <w:rFonts w:ascii="Arial Narrow" w:hAnsi="Arial Narrow"/>
                <w:sz w:val="18"/>
                <w:szCs w:val="18"/>
              </w:rPr>
              <w:t>+4,0</w:t>
            </w:r>
          </w:p>
        </w:tc>
        <w:tc>
          <w:tcPr>
            <w:tcW w:w="1317" w:type="dxa"/>
            <w:tcBorders>
              <w:top w:val="single" w:sz="4" w:space="0" w:color="auto"/>
              <w:bottom w:val="single" w:sz="4" w:space="0" w:color="auto"/>
            </w:tcBorders>
            <w:shd w:val="clear" w:color="auto" w:fill="D9D9D9"/>
            <w:vAlign w:val="center"/>
          </w:tcPr>
          <w:p w14:paraId="43A919F9" w14:textId="4E7E9E6A" w:rsidR="00F374E1" w:rsidRDefault="00F374E1" w:rsidP="00F374E1">
            <w:pPr>
              <w:jc w:val="center"/>
              <w:rPr>
                <w:rFonts w:ascii="Arial Narrow" w:hAnsi="Arial Narrow"/>
                <w:sz w:val="18"/>
                <w:szCs w:val="18"/>
              </w:rPr>
            </w:pPr>
            <w:r>
              <w:rPr>
                <w:rFonts w:ascii="Arial Narrow" w:hAnsi="Arial Narrow"/>
                <w:sz w:val="18"/>
                <w:szCs w:val="18"/>
              </w:rPr>
              <w:t>+0,6</w:t>
            </w:r>
          </w:p>
        </w:tc>
        <w:tc>
          <w:tcPr>
            <w:tcW w:w="823" w:type="dxa"/>
            <w:tcBorders>
              <w:top w:val="single" w:sz="4" w:space="0" w:color="auto"/>
              <w:bottom w:val="single" w:sz="4" w:space="0" w:color="auto"/>
            </w:tcBorders>
            <w:vAlign w:val="center"/>
          </w:tcPr>
          <w:p w14:paraId="495638C7" w14:textId="35A52BF7" w:rsidR="00F374E1" w:rsidRDefault="00F374E1" w:rsidP="00F374E1">
            <w:pPr>
              <w:jc w:val="center"/>
              <w:rPr>
                <w:rFonts w:ascii="Arial Narrow" w:hAnsi="Arial Narrow"/>
                <w:sz w:val="18"/>
                <w:szCs w:val="18"/>
              </w:rPr>
            </w:pPr>
            <w:r>
              <w:rPr>
                <w:rFonts w:ascii="Arial Narrow" w:hAnsi="Arial Narrow"/>
                <w:sz w:val="18"/>
                <w:szCs w:val="18"/>
              </w:rPr>
              <w:t>-3,4</w:t>
            </w:r>
          </w:p>
        </w:tc>
        <w:tc>
          <w:tcPr>
            <w:tcW w:w="1317" w:type="dxa"/>
            <w:tcBorders>
              <w:top w:val="single" w:sz="4" w:space="0" w:color="auto"/>
              <w:bottom w:val="single" w:sz="4" w:space="0" w:color="auto"/>
            </w:tcBorders>
            <w:vAlign w:val="center"/>
          </w:tcPr>
          <w:p w14:paraId="0BCD0389" w14:textId="033A4FBB" w:rsidR="00F374E1" w:rsidRDefault="00F374E1" w:rsidP="00F374E1">
            <w:pPr>
              <w:jc w:val="center"/>
              <w:rPr>
                <w:rFonts w:ascii="Arial Narrow" w:hAnsi="Arial Narrow"/>
                <w:sz w:val="18"/>
                <w:szCs w:val="18"/>
              </w:rPr>
            </w:pPr>
            <w:r>
              <w:rPr>
                <w:rFonts w:ascii="Arial Narrow" w:hAnsi="Arial Narrow"/>
                <w:sz w:val="18"/>
                <w:szCs w:val="18"/>
              </w:rPr>
              <w:t>+2,5</w:t>
            </w:r>
          </w:p>
        </w:tc>
      </w:tr>
      <w:tr w:rsidR="00F374E1" w:rsidRPr="002662C0" w14:paraId="1FE047BB" w14:textId="77777777" w:rsidTr="00F374E1">
        <w:trPr>
          <w:trHeight w:val="255"/>
        </w:trPr>
        <w:tc>
          <w:tcPr>
            <w:tcW w:w="1647" w:type="dxa"/>
            <w:tcBorders>
              <w:top w:val="single" w:sz="4" w:space="0" w:color="auto"/>
              <w:left w:val="nil"/>
              <w:bottom w:val="single" w:sz="4" w:space="0" w:color="auto"/>
            </w:tcBorders>
            <w:shd w:val="clear" w:color="auto" w:fill="FF0000"/>
            <w:noWrap/>
            <w:vAlign w:val="bottom"/>
          </w:tcPr>
          <w:p w14:paraId="43049672" w14:textId="77777777" w:rsidR="00F374E1" w:rsidRPr="002662C0" w:rsidRDefault="00F374E1" w:rsidP="00F374E1">
            <w:pPr>
              <w:spacing w:before="40" w:after="20"/>
              <w:rPr>
                <w:rFonts w:ascii="Arial Narrow" w:hAnsi="Arial Narrow" w:cs="Arial"/>
                <w:b/>
                <w:color w:val="FFFFFF" w:themeColor="background1"/>
                <w:sz w:val="18"/>
                <w:szCs w:val="18"/>
              </w:rPr>
            </w:pPr>
            <w:r w:rsidRPr="002662C0">
              <w:rPr>
                <w:rFonts w:ascii="Arial Narrow" w:hAnsi="Arial Narrow" w:cs="Arial"/>
                <w:b/>
                <w:color w:val="FFFFFF" w:themeColor="background1"/>
                <w:sz w:val="18"/>
                <w:szCs w:val="18"/>
              </w:rPr>
              <w:t>Mondo</w:t>
            </w:r>
          </w:p>
        </w:tc>
        <w:tc>
          <w:tcPr>
            <w:tcW w:w="823" w:type="dxa"/>
            <w:tcBorders>
              <w:top w:val="single" w:sz="4" w:space="0" w:color="auto"/>
              <w:bottom w:val="single" w:sz="4" w:space="0" w:color="auto"/>
            </w:tcBorders>
            <w:shd w:val="clear" w:color="auto" w:fill="FF0000"/>
            <w:vAlign w:val="center"/>
          </w:tcPr>
          <w:p w14:paraId="220C5EA5" w14:textId="08C0FD9C" w:rsidR="00F374E1" w:rsidRPr="00F374E1" w:rsidRDefault="00F374E1" w:rsidP="00F374E1">
            <w:pPr>
              <w:jc w:val="center"/>
              <w:rPr>
                <w:rFonts w:ascii="Arial Narrow" w:hAnsi="Arial Narrow"/>
                <w:b/>
                <w:color w:val="FFFFFF" w:themeColor="background1"/>
                <w:sz w:val="18"/>
                <w:szCs w:val="18"/>
              </w:rPr>
            </w:pPr>
            <w:r w:rsidRPr="00F374E1">
              <w:rPr>
                <w:rFonts w:ascii="Arial Narrow" w:hAnsi="Arial Narrow"/>
                <w:b/>
                <w:color w:val="FFFFFF" w:themeColor="background1"/>
                <w:sz w:val="18"/>
                <w:szCs w:val="18"/>
              </w:rPr>
              <w:t>+19,0</w:t>
            </w:r>
          </w:p>
        </w:tc>
        <w:tc>
          <w:tcPr>
            <w:tcW w:w="1316" w:type="dxa"/>
            <w:tcBorders>
              <w:top w:val="single" w:sz="4" w:space="0" w:color="auto"/>
              <w:bottom w:val="single" w:sz="4" w:space="0" w:color="auto"/>
            </w:tcBorders>
            <w:shd w:val="clear" w:color="auto" w:fill="FF0000"/>
            <w:vAlign w:val="center"/>
          </w:tcPr>
          <w:p w14:paraId="4F97A181" w14:textId="6F97EAEC" w:rsidR="00F374E1" w:rsidRPr="00F374E1" w:rsidRDefault="00F374E1" w:rsidP="00F374E1">
            <w:pPr>
              <w:jc w:val="center"/>
              <w:rPr>
                <w:rFonts w:ascii="Arial Narrow" w:hAnsi="Arial Narrow"/>
                <w:b/>
                <w:color w:val="FFFFFF" w:themeColor="background1"/>
                <w:sz w:val="18"/>
                <w:szCs w:val="18"/>
              </w:rPr>
            </w:pPr>
            <w:r w:rsidRPr="00F374E1">
              <w:rPr>
                <w:rFonts w:ascii="Arial Narrow" w:hAnsi="Arial Narrow"/>
                <w:b/>
                <w:color w:val="FFFFFF" w:themeColor="background1"/>
                <w:sz w:val="18"/>
                <w:szCs w:val="18"/>
              </w:rPr>
              <w:t>+20,3</w:t>
            </w:r>
          </w:p>
        </w:tc>
        <w:tc>
          <w:tcPr>
            <w:tcW w:w="823" w:type="dxa"/>
            <w:tcBorders>
              <w:top w:val="single" w:sz="4" w:space="0" w:color="auto"/>
              <w:bottom w:val="single" w:sz="4" w:space="0" w:color="auto"/>
            </w:tcBorders>
            <w:shd w:val="clear" w:color="auto" w:fill="FF0000"/>
            <w:vAlign w:val="center"/>
          </w:tcPr>
          <w:p w14:paraId="071BA93C" w14:textId="03E45F99" w:rsidR="00F374E1" w:rsidRPr="00F374E1" w:rsidRDefault="00F374E1" w:rsidP="00F374E1">
            <w:pPr>
              <w:jc w:val="center"/>
              <w:rPr>
                <w:rFonts w:ascii="Arial Narrow" w:hAnsi="Arial Narrow"/>
                <w:b/>
                <w:color w:val="FFFFFF" w:themeColor="background1"/>
                <w:sz w:val="18"/>
                <w:szCs w:val="18"/>
              </w:rPr>
            </w:pPr>
            <w:r w:rsidRPr="00F374E1">
              <w:rPr>
                <w:rFonts w:ascii="Arial Narrow" w:hAnsi="Arial Narrow"/>
                <w:b/>
                <w:color w:val="FFFFFF" w:themeColor="background1"/>
                <w:sz w:val="18"/>
                <w:szCs w:val="18"/>
              </w:rPr>
              <w:t>+41,0</w:t>
            </w:r>
          </w:p>
        </w:tc>
        <w:tc>
          <w:tcPr>
            <w:tcW w:w="1317" w:type="dxa"/>
            <w:tcBorders>
              <w:top w:val="single" w:sz="4" w:space="0" w:color="auto"/>
              <w:bottom w:val="single" w:sz="4" w:space="0" w:color="auto"/>
            </w:tcBorders>
            <w:shd w:val="clear" w:color="auto" w:fill="FF0000"/>
            <w:vAlign w:val="center"/>
          </w:tcPr>
          <w:p w14:paraId="4B380E54" w14:textId="4775665C" w:rsidR="00F374E1" w:rsidRPr="00F374E1" w:rsidRDefault="00F374E1" w:rsidP="00F374E1">
            <w:pPr>
              <w:jc w:val="center"/>
              <w:rPr>
                <w:rFonts w:ascii="Arial Narrow" w:hAnsi="Arial Narrow"/>
                <w:b/>
                <w:color w:val="FFFFFF" w:themeColor="background1"/>
                <w:sz w:val="18"/>
                <w:szCs w:val="18"/>
              </w:rPr>
            </w:pPr>
            <w:r w:rsidRPr="00F374E1">
              <w:rPr>
                <w:rFonts w:ascii="Arial Narrow" w:hAnsi="Arial Narrow"/>
                <w:b/>
                <w:color w:val="FFFFFF" w:themeColor="background1"/>
                <w:sz w:val="18"/>
                <w:szCs w:val="18"/>
              </w:rPr>
              <w:t>+41,8</w:t>
            </w:r>
          </w:p>
        </w:tc>
        <w:tc>
          <w:tcPr>
            <w:tcW w:w="823" w:type="dxa"/>
            <w:tcBorders>
              <w:top w:val="single" w:sz="4" w:space="0" w:color="auto"/>
              <w:bottom w:val="single" w:sz="4" w:space="0" w:color="auto"/>
            </w:tcBorders>
            <w:shd w:val="clear" w:color="auto" w:fill="FF0000"/>
            <w:vAlign w:val="center"/>
          </w:tcPr>
          <w:p w14:paraId="408A9ACF" w14:textId="472103A7" w:rsidR="00F374E1" w:rsidRPr="00F374E1" w:rsidRDefault="00F374E1" w:rsidP="00F374E1">
            <w:pPr>
              <w:jc w:val="center"/>
              <w:rPr>
                <w:rFonts w:ascii="Arial Narrow" w:hAnsi="Arial Narrow"/>
                <w:b/>
                <w:color w:val="FFFFFF" w:themeColor="background1"/>
                <w:sz w:val="18"/>
                <w:szCs w:val="18"/>
              </w:rPr>
            </w:pPr>
            <w:r w:rsidRPr="00F374E1">
              <w:rPr>
                <w:rFonts w:ascii="Arial Narrow" w:hAnsi="Arial Narrow"/>
                <w:b/>
                <w:color w:val="FFFFFF" w:themeColor="background1"/>
                <w:sz w:val="18"/>
                <w:szCs w:val="18"/>
              </w:rPr>
              <w:t>+2,1</w:t>
            </w:r>
          </w:p>
        </w:tc>
        <w:tc>
          <w:tcPr>
            <w:tcW w:w="1317" w:type="dxa"/>
            <w:tcBorders>
              <w:top w:val="single" w:sz="4" w:space="0" w:color="auto"/>
              <w:bottom w:val="single" w:sz="4" w:space="0" w:color="auto"/>
            </w:tcBorders>
            <w:shd w:val="clear" w:color="auto" w:fill="FF0000"/>
            <w:vAlign w:val="center"/>
          </w:tcPr>
          <w:p w14:paraId="2061DF6D" w14:textId="0CF18024" w:rsidR="00F374E1" w:rsidRPr="00F374E1" w:rsidRDefault="00F374E1" w:rsidP="00F374E1">
            <w:pPr>
              <w:jc w:val="center"/>
              <w:rPr>
                <w:rFonts w:ascii="Arial Narrow" w:hAnsi="Arial Narrow"/>
                <w:b/>
                <w:color w:val="FFFFFF" w:themeColor="background1"/>
                <w:sz w:val="18"/>
                <w:szCs w:val="18"/>
              </w:rPr>
            </w:pPr>
            <w:r w:rsidRPr="00F374E1">
              <w:rPr>
                <w:rFonts w:ascii="Arial Narrow" w:hAnsi="Arial Narrow"/>
                <w:b/>
                <w:color w:val="FFFFFF" w:themeColor="background1"/>
                <w:sz w:val="18"/>
                <w:szCs w:val="18"/>
              </w:rPr>
              <w:t>+0,7</w:t>
            </w:r>
          </w:p>
        </w:tc>
        <w:tc>
          <w:tcPr>
            <w:tcW w:w="823" w:type="dxa"/>
            <w:tcBorders>
              <w:top w:val="single" w:sz="4" w:space="0" w:color="auto"/>
              <w:bottom w:val="single" w:sz="4" w:space="0" w:color="auto"/>
            </w:tcBorders>
            <w:shd w:val="clear" w:color="auto" w:fill="FF0000"/>
            <w:vAlign w:val="center"/>
          </w:tcPr>
          <w:p w14:paraId="65C52579" w14:textId="18816D4F" w:rsidR="00F374E1" w:rsidRPr="00F374E1" w:rsidRDefault="00F374E1" w:rsidP="00F374E1">
            <w:pPr>
              <w:jc w:val="center"/>
              <w:rPr>
                <w:rFonts w:ascii="Arial Narrow" w:hAnsi="Arial Narrow"/>
                <w:b/>
                <w:color w:val="FFFFFF" w:themeColor="background1"/>
                <w:sz w:val="18"/>
                <w:szCs w:val="18"/>
              </w:rPr>
            </w:pPr>
            <w:r w:rsidRPr="00F374E1">
              <w:rPr>
                <w:rFonts w:ascii="Arial Narrow" w:hAnsi="Arial Narrow"/>
                <w:b/>
                <w:color w:val="FFFFFF" w:themeColor="background1"/>
                <w:sz w:val="18"/>
                <w:szCs w:val="18"/>
              </w:rPr>
              <w:t>-0,5</w:t>
            </w:r>
          </w:p>
        </w:tc>
        <w:tc>
          <w:tcPr>
            <w:tcW w:w="1317" w:type="dxa"/>
            <w:tcBorders>
              <w:top w:val="single" w:sz="4" w:space="0" w:color="auto"/>
              <w:bottom w:val="single" w:sz="4" w:space="0" w:color="auto"/>
            </w:tcBorders>
            <w:shd w:val="clear" w:color="auto" w:fill="FF0000"/>
            <w:vAlign w:val="center"/>
          </w:tcPr>
          <w:p w14:paraId="573B7ABB" w14:textId="36493EBE" w:rsidR="00F374E1" w:rsidRPr="00F374E1" w:rsidRDefault="00F374E1" w:rsidP="00F374E1">
            <w:pPr>
              <w:jc w:val="center"/>
              <w:rPr>
                <w:rFonts w:ascii="Arial Narrow" w:hAnsi="Arial Narrow"/>
                <w:b/>
                <w:color w:val="FFFFFF" w:themeColor="background1"/>
                <w:sz w:val="18"/>
                <w:szCs w:val="18"/>
              </w:rPr>
            </w:pPr>
            <w:r w:rsidRPr="00F374E1">
              <w:rPr>
                <w:rFonts w:ascii="Arial Narrow" w:hAnsi="Arial Narrow"/>
                <w:b/>
                <w:color w:val="FFFFFF" w:themeColor="background1"/>
                <w:sz w:val="18"/>
                <w:szCs w:val="18"/>
              </w:rPr>
              <w:t>+1,2</w:t>
            </w:r>
          </w:p>
        </w:tc>
      </w:tr>
    </w:tbl>
    <w:p w14:paraId="7B232AB5" w14:textId="77777777" w:rsidR="00A03714" w:rsidRPr="00F214EE" w:rsidRDefault="00A03714" w:rsidP="00A03714">
      <w:pPr>
        <w:pStyle w:val="Corpodeltesto1"/>
        <w:spacing w:after="60"/>
        <w:jc w:val="left"/>
        <w:rPr>
          <w:rFonts w:ascii="Arial Narrow" w:hAnsi="Arial Narrow" w:cs="Arial Narrow"/>
          <w:color w:val="5F5F5F"/>
          <w:sz w:val="8"/>
          <w:szCs w:val="8"/>
        </w:rPr>
      </w:pPr>
    </w:p>
    <w:p w14:paraId="0F2A66E8" w14:textId="77777777" w:rsidR="00147CB5" w:rsidRDefault="00A03714" w:rsidP="00A127A9">
      <w:pPr>
        <w:pStyle w:val="Corpodeltesto1"/>
        <w:spacing w:before="120"/>
        <w:rPr>
          <w:rFonts w:ascii="Arial Narrow" w:hAnsi="Arial Narrow" w:cs="Arial"/>
          <w:b w:val="0"/>
          <w:bCs/>
          <w:sz w:val="19"/>
          <w:szCs w:val="19"/>
        </w:rPr>
      </w:pPr>
      <w:r w:rsidRPr="00A03714">
        <w:rPr>
          <w:rFonts w:ascii="Arial Narrow" w:hAnsi="Arial Narrow" w:cs="Arial"/>
          <w:color w:val="E42618"/>
          <w:kern w:val="28"/>
          <w:sz w:val="22"/>
          <w:szCs w:val="22"/>
        </w:rPr>
        <w:t xml:space="preserve">PROSPETTO </w:t>
      </w:r>
      <w:r>
        <w:rPr>
          <w:rFonts w:ascii="Arial Narrow" w:hAnsi="Arial Narrow" w:cs="Arial"/>
          <w:color w:val="E42618"/>
          <w:kern w:val="28"/>
          <w:sz w:val="22"/>
          <w:szCs w:val="22"/>
        </w:rPr>
        <w:t>4</w:t>
      </w:r>
      <w:r w:rsidRPr="00A03714">
        <w:rPr>
          <w:rFonts w:ascii="Arial Narrow" w:hAnsi="Arial Narrow" w:cs="Arial"/>
          <w:color w:val="E42618"/>
          <w:kern w:val="28"/>
          <w:sz w:val="22"/>
          <w:szCs w:val="22"/>
        </w:rPr>
        <w:t>.</w:t>
      </w:r>
      <w:r w:rsidRPr="006304A5">
        <w:rPr>
          <w:rFonts w:ascii="Arial Narrow" w:hAnsi="Arial Narrow" w:cs="Arial Narrow"/>
          <w:color w:val="5F5F5F"/>
          <w:sz w:val="20"/>
        </w:rPr>
        <w:t xml:space="preserve"> </w:t>
      </w:r>
      <w:r w:rsidRPr="00147CB5">
        <w:rPr>
          <w:rFonts w:ascii="Arial Narrow" w:hAnsi="Arial Narrow" w:cs="Arial"/>
          <w:color w:val="5F5F5F"/>
          <w:kern w:val="28"/>
          <w:sz w:val="22"/>
          <w:szCs w:val="22"/>
        </w:rPr>
        <w:t>VALORI MEDI UNITARI E VOLUMI SECONDO I RAGGRUPPAMENTI PRINCIPALI</w:t>
      </w:r>
      <w:r w:rsidR="00C03605" w:rsidRPr="00147CB5">
        <w:rPr>
          <w:rFonts w:ascii="Arial Narrow" w:hAnsi="Arial Narrow" w:cs="Arial"/>
          <w:color w:val="5F5F5F"/>
          <w:kern w:val="28"/>
          <w:sz w:val="22"/>
          <w:szCs w:val="22"/>
        </w:rPr>
        <w:t xml:space="preserve"> </w:t>
      </w:r>
      <w:r w:rsidRPr="00147CB5">
        <w:rPr>
          <w:rFonts w:ascii="Arial Narrow" w:hAnsi="Arial Narrow" w:cs="Arial"/>
          <w:color w:val="5F5F5F"/>
          <w:kern w:val="28"/>
          <w:sz w:val="22"/>
          <w:szCs w:val="22"/>
        </w:rPr>
        <w:t>DI INDUSTRIE</w:t>
      </w:r>
    </w:p>
    <w:p w14:paraId="68BA7D37" w14:textId="13A1720C" w:rsidR="00537BEB" w:rsidRPr="006304A5" w:rsidRDefault="005F4885" w:rsidP="009308ED">
      <w:pPr>
        <w:pStyle w:val="Corpodeltesto1"/>
        <w:spacing w:after="100"/>
        <w:jc w:val="left"/>
        <w:rPr>
          <w:rFonts w:ascii="Arial Narrow" w:hAnsi="Arial Narrow" w:cs="Arial"/>
          <w:b w:val="0"/>
          <w:bCs/>
          <w:sz w:val="19"/>
          <w:szCs w:val="19"/>
        </w:rPr>
      </w:pPr>
      <w:r w:rsidRPr="005F4885">
        <w:rPr>
          <w:rFonts w:ascii="Arial Narrow" w:hAnsi="Arial Narrow" w:cs="Arial"/>
          <w:b w:val="0"/>
          <w:color w:val="5F5F5F"/>
          <w:kern w:val="28"/>
          <w:sz w:val="20"/>
          <w:szCs w:val="20"/>
        </w:rPr>
        <w:t xml:space="preserve">Settembre </w:t>
      </w:r>
      <w:r w:rsidR="00470B67">
        <w:rPr>
          <w:rFonts w:ascii="Arial Narrow" w:hAnsi="Arial Narrow" w:cs="Arial"/>
          <w:b w:val="0"/>
          <w:color w:val="5F5F5F"/>
          <w:kern w:val="28"/>
          <w:sz w:val="20"/>
          <w:szCs w:val="20"/>
        </w:rPr>
        <w:t>2022</w:t>
      </w:r>
      <w:r w:rsidR="00537BEB" w:rsidRPr="003705A2">
        <w:rPr>
          <w:rFonts w:ascii="Arial Narrow" w:hAnsi="Arial Narrow" w:cs="Arial"/>
          <w:b w:val="0"/>
          <w:color w:val="5F5F5F"/>
          <w:kern w:val="28"/>
          <w:sz w:val="20"/>
          <w:szCs w:val="20"/>
        </w:rPr>
        <w:t>, variazioni percentuali tendenziali (base 2015=100)</w:t>
      </w:r>
    </w:p>
    <w:tbl>
      <w:tblPr>
        <w:tblW w:w="10206" w:type="dxa"/>
        <w:tblInd w:w="70" w:type="dxa"/>
        <w:tblLayout w:type="fixed"/>
        <w:tblCellMar>
          <w:left w:w="70" w:type="dxa"/>
          <w:right w:w="70" w:type="dxa"/>
        </w:tblCellMar>
        <w:tblLook w:val="0000" w:firstRow="0" w:lastRow="0" w:firstColumn="0" w:lastColumn="0" w:noHBand="0" w:noVBand="0"/>
      </w:tblPr>
      <w:tblGrid>
        <w:gridCol w:w="1647"/>
        <w:gridCol w:w="823"/>
        <w:gridCol w:w="1316"/>
        <w:gridCol w:w="823"/>
        <w:gridCol w:w="1317"/>
        <w:gridCol w:w="823"/>
        <w:gridCol w:w="1317"/>
        <w:gridCol w:w="823"/>
        <w:gridCol w:w="1317"/>
      </w:tblGrid>
      <w:tr w:rsidR="0075218A" w:rsidRPr="00B076CD" w14:paraId="0C3E0E5F" w14:textId="77777777" w:rsidTr="0075218A">
        <w:trPr>
          <w:trHeight w:val="255"/>
        </w:trPr>
        <w:tc>
          <w:tcPr>
            <w:tcW w:w="1647" w:type="dxa"/>
            <w:vMerge w:val="restart"/>
            <w:tcBorders>
              <w:top w:val="single" w:sz="4" w:space="0" w:color="auto"/>
              <w:left w:val="nil"/>
              <w:right w:val="nil"/>
            </w:tcBorders>
            <w:shd w:val="clear" w:color="auto" w:fill="FFFFFF"/>
            <w:vAlign w:val="center"/>
          </w:tcPr>
          <w:p w14:paraId="56852810" w14:textId="77777777" w:rsidR="0075218A" w:rsidRPr="00B076CD" w:rsidRDefault="0075218A" w:rsidP="0075218A">
            <w:pPr>
              <w:spacing w:before="40" w:after="20"/>
              <w:rPr>
                <w:rFonts w:ascii="Arial Narrow" w:hAnsi="Arial Narrow" w:cs="Arial"/>
                <w:sz w:val="18"/>
                <w:szCs w:val="18"/>
              </w:rPr>
            </w:pPr>
            <w:r w:rsidRPr="00B076CD">
              <w:rPr>
                <w:rFonts w:ascii="Arial Narrow" w:hAnsi="Arial Narrow" w:cs="Arial"/>
                <w:b/>
                <w:sz w:val="18"/>
                <w:szCs w:val="18"/>
              </w:rPr>
              <w:t>RAGGRUPPAMENTI PRINCIPALI DI INDUSTRIE</w:t>
            </w:r>
          </w:p>
        </w:tc>
        <w:tc>
          <w:tcPr>
            <w:tcW w:w="4279" w:type="dxa"/>
            <w:gridSpan w:val="4"/>
            <w:tcBorders>
              <w:top w:val="single" w:sz="4" w:space="0" w:color="auto"/>
              <w:left w:val="nil"/>
              <w:right w:val="nil"/>
            </w:tcBorders>
            <w:shd w:val="clear" w:color="auto" w:fill="D9D9D9"/>
            <w:vAlign w:val="center"/>
          </w:tcPr>
          <w:p w14:paraId="4D5EC4A7" w14:textId="77777777" w:rsidR="0075218A" w:rsidRPr="00B076CD" w:rsidRDefault="0075218A" w:rsidP="0075218A">
            <w:pPr>
              <w:spacing w:before="40" w:after="20"/>
              <w:jc w:val="center"/>
              <w:rPr>
                <w:rFonts w:ascii="Arial Narrow" w:hAnsi="Arial Narrow" w:cs="Arial"/>
                <w:b/>
                <w:bCs/>
                <w:color w:val="000000"/>
                <w:sz w:val="18"/>
                <w:szCs w:val="18"/>
              </w:rPr>
            </w:pPr>
            <w:r w:rsidRPr="00B076CD">
              <w:rPr>
                <w:rFonts w:ascii="Arial Narrow" w:hAnsi="Arial Narrow" w:cs="Arial"/>
                <w:b/>
                <w:bCs/>
                <w:color w:val="000000"/>
                <w:sz w:val="18"/>
                <w:szCs w:val="18"/>
              </w:rPr>
              <w:t>VALORI MEDI UNITARI</w:t>
            </w:r>
          </w:p>
        </w:tc>
        <w:tc>
          <w:tcPr>
            <w:tcW w:w="4280" w:type="dxa"/>
            <w:gridSpan w:val="4"/>
            <w:tcBorders>
              <w:top w:val="single" w:sz="4" w:space="0" w:color="auto"/>
              <w:left w:val="nil"/>
              <w:right w:val="nil"/>
            </w:tcBorders>
            <w:shd w:val="clear" w:color="auto" w:fill="auto"/>
            <w:vAlign w:val="center"/>
          </w:tcPr>
          <w:p w14:paraId="47AB2883" w14:textId="77777777" w:rsidR="0075218A" w:rsidRPr="00B076CD" w:rsidRDefault="0075218A" w:rsidP="0075218A">
            <w:pPr>
              <w:spacing w:before="40" w:after="20"/>
              <w:jc w:val="center"/>
              <w:rPr>
                <w:rFonts w:ascii="Arial Narrow" w:hAnsi="Arial Narrow" w:cs="Arial"/>
                <w:b/>
                <w:bCs/>
                <w:color w:val="000000"/>
                <w:sz w:val="18"/>
                <w:szCs w:val="18"/>
              </w:rPr>
            </w:pPr>
            <w:r w:rsidRPr="00B076CD">
              <w:rPr>
                <w:rFonts w:ascii="Arial Narrow" w:hAnsi="Arial Narrow" w:cs="Arial"/>
                <w:b/>
                <w:bCs/>
                <w:color w:val="000000"/>
                <w:sz w:val="18"/>
                <w:szCs w:val="18"/>
              </w:rPr>
              <w:t>VOLUMI</w:t>
            </w:r>
          </w:p>
        </w:tc>
      </w:tr>
      <w:tr w:rsidR="0075218A" w:rsidRPr="00B076CD" w14:paraId="62A65489" w14:textId="77777777" w:rsidTr="0075218A">
        <w:trPr>
          <w:trHeight w:val="255"/>
        </w:trPr>
        <w:tc>
          <w:tcPr>
            <w:tcW w:w="1647" w:type="dxa"/>
            <w:vMerge/>
            <w:tcBorders>
              <w:left w:val="nil"/>
              <w:right w:val="nil"/>
            </w:tcBorders>
            <w:shd w:val="clear" w:color="auto" w:fill="FFFFFF"/>
            <w:vAlign w:val="center"/>
          </w:tcPr>
          <w:p w14:paraId="43BA11C0" w14:textId="77777777" w:rsidR="0075218A" w:rsidRPr="00B076CD" w:rsidRDefault="0075218A" w:rsidP="0075218A">
            <w:pPr>
              <w:spacing w:before="40" w:after="20"/>
              <w:rPr>
                <w:rFonts w:ascii="Arial Narrow" w:hAnsi="Arial Narrow" w:cs="Arial"/>
                <w:sz w:val="18"/>
                <w:szCs w:val="18"/>
              </w:rPr>
            </w:pPr>
          </w:p>
        </w:tc>
        <w:tc>
          <w:tcPr>
            <w:tcW w:w="2139" w:type="dxa"/>
            <w:gridSpan w:val="2"/>
            <w:tcBorders>
              <w:top w:val="single" w:sz="4" w:space="0" w:color="auto"/>
              <w:left w:val="nil"/>
              <w:bottom w:val="single" w:sz="4" w:space="0" w:color="auto"/>
            </w:tcBorders>
            <w:shd w:val="clear" w:color="auto" w:fill="D9D9D9"/>
            <w:vAlign w:val="center"/>
          </w:tcPr>
          <w:p w14:paraId="5447D847" w14:textId="77777777" w:rsidR="0075218A" w:rsidRPr="0063317A" w:rsidRDefault="0075218A" w:rsidP="0075218A">
            <w:pPr>
              <w:spacing w:before="40" w:after="20"/>
              <w:jc w:val="center"/>
              <w:rPr>
                <w:rFonts w:ascii="Arial Narrow" w:hAnsi="Arial Narrow" w:cs="Arial"/>
                <w:b/>
                <w:color w:val="000000"/>
                <w:sz w:val="18"/>
                <w:szCs w:val="18"/>
              </w:rPr>
            </w:pPr>
            <w:r w:rsidRPr="0063317A">
              <w:rPr>
                <w:rFonts w:ascii="Arial Narrow" w:hAnsi="Arial Narrow" w:cs="Arial"/>
                <w:b/>
                <w:color w:val="000000"/>
                <w:sz w:val="18"/>
                <w:szCs w:val="18"/>
              </w:rPr>
              <w:t>Esportazioni</w:t>
            </w:r>
          </w:p>
        </w:tc>
        <w:tc>
          <w:tcPr>
            <w:tcW w:w="2140" w:type="dxa"/>
            <w:gridSpan w:val="2"/>
            <w:tcBorders>
              <w:top w:val="single" w:sz="4" w:space="0" w:color="auto"/>
              <w:bottom w:val="single" w:sz="4" w:space="0" w:color="auto"/>
            </w:tcBorders>
            <w:vAlign w:val="center"/>
          </w:tcPr>
          <w:p w14:paraId="6340FA5A" w14:textId="77777777" w:rsidR="0075218A" w:rsidRPr="0063317A" w:rsidRDefault="0075218A" w:rsidP="0075218A">
            <w:pPr>
              <w:spacing w:before="40" w:after="20"/>
              <w:jc w:val="center"/>
              <w:rPr>
                <w:rFonts w:ascii="Arial Narrow" w:hAnsi="Arial Narrow" w:cs="Arial"/>
                <w:b/>
                <w:color w:val="000000"/>
                <w:sz w:val="18"/>
                <w:szCs w:val="18"/>
              </w:rPr>
            </w:pPr>
            <w:r w:rsidRPr="0063317A">
              <w:rPr>
                <w:rFonts w:ascii="Arial Narrow" w:hAnsi="Arial Narrow" w:cs="Arial"/>
                <w:b/>
                <w:color w:val="000000"/>
                <w:sz w:val="18"/>
                <w:szCs w:val="18"/>
              </w:rPr>
              <w:t>Importazioni</w:t>
            </w:r>
          </w:p>
        </w:tc>
        <w:tc>
          <w:tcPr>
            <w:tcW w:w="2140" w:type="dxa"/>
            <w:gridSpan w:val="2"/>
            <w:tcBorders>
              <w:top w:val="single" w:sz="4" w:space="0" w:color="auto"/>
              <w:bottom w:val="single" w:sz="4" w:space="0" w:color="auto"/>
            </w:tcBorders>
            <w:shd w:val="clear" w:color="auto" w:fill="D9D9D9"/>
            <w:vAlign w:val="center"/>
          </w:tcPr>
          <w:p w14:paraId="4ED13160" w14:textId="77777777" w:rsidR="0075218A" w:rsidRPr="0063317A" w:rsidRDefault="0075218A" w:rsidP="0075218A">
            <w:pPr>
              <w:spacing w:before="40" w:after="20"/>
              <w:jc w:val="center"/>
              <w:rPr>
                <w:rFonts w:ascii="Arial Narrow" w:hAnsi="Arial Narrow" w:cs="Arial"/>
                <w:b/>
                <w:color w:val="000000"/>
                <w:sz w:val="18"/>
                <w:szCs w:val="18"/>
              </w:rPr>
            </w:pPr>
            <w:r w:rsidRPr="0063317A">
              <w:rPr>
                <w:rFonts w:ascii="Arial Narrow" w:hAnsi="Arial Narrow" w:cs="Arial"/>
                <w:b/>
                <w:color w:val="000000"/>
                <w:sz w:val="18"/>
                <w:szCs w:val="18"/>
              </w:rPr>
              <w:t>Esportazioni</w:t>
            </w:r>
          </w:p>
        </w:tc>
        <w:tc>
          <w:tcPr>
            <w:tcW w:w="2140" w:type="dxa"/>
            <w:gridSpan w:val="2"/>
            <w:tcBorders>
              <w:top w:val="single" w:sz="4" w:space="0" w:color="auto"/>
              <w:left w:val="nil"/>
              <w:bottom w:val="single" w:sz="4" w:space="0" w:color="auto"/>
              <w:right w:val="nil"/>
            </w:tcBorders>
            <w:vAlign w:val="center"/>
          </w:tcPr>
          <w:p w14:paraId="4A60122E" w14:textId="77777777" w:rsidR="0075218A" w:rsidRPr="0063317A" w:rsidRDefault="0075218A" w:rsidP="0075218A">
            <w:pPr>
              <w:spacing w:before="40" w:after="20"/>
              <w:jc w:val="center"/>
              <w:rPr>
                <w:rFonts w:ascii="Arial Narrow" w:hAnsi="Arial Narrow" w:cs="Arial"/>
                <w:b/>
                <w:color w:val="000000"/>
                <w:sz w:val="18"/>
                <w:szCs w:val="18"/>
              </w:rPr>
            </w:pPr>
            <w:r w:rsidRPr="0063317A">
              <w:rPr>
                <w:rFonts w:ascii="Arial Narrow" w:hAnsi="Arial Narrow" w:cs="Arial"/>
                <w:b/>
                <w:color w:val="000000"/>
                <w:sz w:val="18"/>
                <w:szCs w:val="18"/>
              </w:rPr>
              <w:t>Importazioni</w:t>
            </w:r>
          </w:p>
        </w:tc>
      </w:tr>
      <w:tr w:rsidR="0075218A" w:rsidRPr="00B076CD" w14:paraId="633BC6BA" w14:textId="77777777" w:rsidTr="0075218A">
        <w:trPr>
          <w:trHeight w:val="255"/>
        </w:trPr>
        <w:tc>
          <w:tcPr>
            <w:tcW w:w="1647" w:type="dxa"/>
            <w:vMerge/>
            <w:tcBorders>
              <w:left w:val="nil"/>
              <w:right w:val="nil"/>
            </w:tcBorders>
            <w:shd w:val="clear" w:color="auto" w:fill="FFFFFF"/>
            <w:vAlign w:val="center"/>
          </w:tcPr>
          <w:p w14:paraId="22060634" w14:textId="77777777" w:rsidR="0075218A" w:rsidRPr="00B076CD" w:rsidRDefault="0075218A" w:rsidP="0075218A">
            <w:pPr>
              <w:spacing w:before="40" w:after="20"/>
              <w:rPr>
                <w:rFonts w:ascii="Arial Narrow" w:hAnsi="Arial Narrow" w:cs="Arial"/>
                <w:sz w:val="18"/>
                <w:szCs w:val="18"/>
              </w:rPr>
            </w:pPr>
          </w:p>
        </w:tc>
        <w:tc>
          <w:tcPr>
            <w:tcW w:w="2139" w:type="dxa"/>
            <w:gridSpan w:val="2"/>
            <w:tcBorders>
              <w:top w:val="single" w:sz="4" w:space="0" w:color="auto"/>
              <w:left w:val="nil"/>
              <w:bottom w:val="single" w:sz="4" w:space="0" w:color="auto"/>
            </w:tcBorders>
            <w:shd w:val="clear" w:color="auto" w:fill="D9D9D9"/>
            <w:vAlign w:val="center"/>
          </w:tcPr>
          <w:p w14:paraId="5C28CB16" w14:textId="77777777" w:rsidR="0075218A" w:rsidRPr="00C03605" w:rsidRDefault="0075218A" w:rsidP="0075218A">
            <w:pPr>
              <w:spacing w:before="40" w:after="20"/>
              <w:jc w:val="center"/>
              <w:rPr>
                <w:rFonts w:ascii="Arial Narrow" w:hAnsi="Arial Narrow" w:cs="Arial"/>
                <w:b/>
                <w:color w:val="000000"/>
                <w:sz w:val="18"/>
                <w:szCs w:val="18"/>
              </w:rPr>
            </w:pPr>
            <w:proofErr w:type="spellStart"/>
            <w:r w:rsidRPr="00C03605">
              <w:rPr>
                <w:rFonts w:ascii="Arial Narrow" w:hAnsi="Arial Narrow"/>
                <w:sz w:val="18"/>
                <w:szCs w:val="18"/>
                <w:lang w:val="en-US"/>
              </w:rPr>
              <w:t>Variazioni</w:t>
            </w:r>
            <w:proofErr w:type="spellEnd"/>
            <w:r w:rsidRPr="00C03605">
              <w:rPr>
                <w:rFonts w:ascii="Arial Narrow" w:hAnsi="Arial Narrow"/>
                <w:sz w:val="18"/>
                <w:szCs w:val="18"/>
                <w:lang w:val="en-US"/>
              </w:rPr>
              <w:t xml:space="preserve"> </w:t>
            </w:r>
            <w:proofErr w:type="spellStart"/>
            <w:r w:rsidRPr="00C03605">
              <w:rPr>
                <w:rFonts w:ascii="Arial Narrow" w:hAnsi="Arial Narrow"/>
                <w:sz w:val="18"/>
                <w:szCs w:val="18"/>
                <w:lang w:val="en-US"/>
              </w:rPr>
              <w:t>tendenziali</w:t>
            </w:r>
            <w:proofErr w:type="spellEnd"/>
          </w:p>
        </w:tc>
        <w:tc>
          <w:tcPr>
            <w:tcW w:w="2140" w:type="dxa"/>
            <w:gridSpan w:val="2"/>
            <w:tcBorders>
              <w:top w:val="single" w:sz="4" w:space="0" w:color="auto"/>
              <w:bottom w:val="single" w:sz="4" w:space="0" w:color="auto"/>
            </w:tcBorders>
            <w:vAlign w:val="center"/>
          </w:tcPr>
          <w:p w14:paraId="2403EECC" w14:textId="77777777" w:rsidR="0075218A" w:rsidRPr="00C03605" w:rsidRDefault="0075218A" w:rsidP="0075218A">
            <w:pPr>
              <w:spacing w:before="40" w:after="20"/>
              <w:jc w:val="center"/>
              <w:rPr>
                <w:rFonts w:ascii="Arial Narrow" w:hAnsi="Arial Narrow"/>
                <w:sz w:val="18"/>
                <w:szCs w:val="18"/>
                <w:lang w:val="en-US"/>
              </w:rPr>
            </w:pPr>
            <w:proofErr w:type="spellStart"/>
            <w:r w:rsidRPr="00C03605">
              <w:rPr>
                <w:rFonts w:ascii="Arial Narrow" w:hAnsi="Arial Narrow"/>
                <w:sz w:val="18"/>
                <w:szCs w:val="18"/>
                <w:lang w:val="en-US"/>
              </w:rPr>
              <w:t>Variazioni</w:t>
            </w:r>
            <w:proofErr w:type="spellEnd"/>
            <w:r w:rsidRPr="00C03605">
              <w:rPr>
                <w:rFonts w:ascii="Arial Narrow" w:hAnsi="Arial Narrow"/>
                <w:sz w:val="18"/>
                <w:szCs w:val="18"/>
                <w:lang w:val="en-US"/>
              </w:rPr>
              <w:t xml:space="preserve"> </w:t>
            </w:r>
            <w:proofErr w:type="spellStart"/>
            <w:r w:rsidRPr="00C03605">
              <w:rPr>
                <w:rFonts w:ascii="Arial Narrow" w:hAnsi="Arial Narrow"/>
                <w:sz w:val="18"/>
                <w:szCs w:val="18"/>
                <w:lang w:val="en-US"/>
              </w:rPr>
              <w:t>tendenziali</w:t>
            </w:r>
            <w:proofErr w:type="spellEnd"/>
          </w:p>
        </w:tc>
        <w:tc>
          <w:tcPr>
            <w:tcW w:w="2140" w:type="dxa"/>
            <w:gridSpan w:val="2"/>
            <w:tcBorders>
              <w:top w:val="single" w:sz="4" w:space="0" w:color="auto"/>
              <w:bottom w:val="single" w:sz="4" w:space="0" w:color="auto"/>
            </w:tcBorders>
            <w:shd w:val="clear" w:color="auto" w:fill="D9D9D9"/>
            <w:vAlign w:val="center"/>
          </w:tcPr>
          <w:p w14:paraId="45ECDFDA" w14:textId="77777777" w:rsidR="0075218A" w:rsidRPr="00C03605" w:rsidRDefault="0075218A" w:rsidP="0075218A">
            <w:pPr>
              <w:spacing w:before="40" w:after="20"/>
              <w:jc w:val="center"/>
              <w:rPr>
                <w:rFonts w:ascii="Arial Narrow" w:hAnsi="Arial Narrow"/>
                <w:sz w:val="18"/>
                <w:szCs w:val="18"/>
                <w:lang w:val="en-US"/>
              </w:rPr>
            </w:pPr>
            <w:proofErr w:type="spellStart"/>
            <w:r w:rsidRPr="00C03605">
              <w:rPr>
                <w:rFonts w:ascii="Arial Narrow" w:hAnsi="Arial Narrow"/>
                <w:sz w:val="18"/>
                <w:szCs w:val="18"/>
                <w:lang w:val="en-US"/>
              </w:rPr>
              <w:t>Variazioni</w:t>
            </w:r>
            <w:proofErr w:type="spellEnd"/>
            <w:r w:rsidRPr="00C03605">
              <w:rPr>
                <w:rFonts w:ascii="Arial Narrow" w:hAnsi="Arial Narrow"/>
                <w:sz w:val="18"/>
                <w:szCs w:val="18"/>
                <w:lang w:val="en-US"/>
              </w:rPr>
              <w:t xml:space="preserve"> </w:t>
            </w:r>
            <w:proofErr w:type="spellStart"/>
            <w:r w:rsidRPr="00C03605">
              <w:rPr>
                <w:rFonts w:ascii="Arial Narrow" w:hAnsi="Arial Narrow"/>
                <w:sz w:val="18"/>
                <w:szCs w:val="18"/>
                <w:lang w:val="en-US"/>
              </w:rPr>
              <w:t>tendenziali</w:t>
            </w:r>
            <w:proofErr w:type="spellEnd"/>
          </w:p>
        </w:tc>
        <w:tc>
          <w:tcPr>
            <w:tcW w:w="2140" w:type="dxa"/>
            <w:gridSpan w:val="2"/>
            <w:tcBorders>
              <w:top w:val="single" w:sz="4" w:space="0" w:color="auto"/>
              <w:left w:val="nil"/>
              <w:bottom w:val="single" w:sz="4" w:space="0" w:color="auto"/>
              <w:right w:val="nil"/>
            </w:tcBorders>
            <w:vAlign w:val="center"/>
          </w:tcPr>
          <w:p w14:paraId="2B547C92" w14:textId="77777777" w:rsidR="0075218A" w:rsidRPr="00C03605" w:rsidRDefault="0075218A" w:rsidP="0075218A">
            <w:pPr>
              <w:spacing w:before="40" w:after="20"/>
              <w:jc w:val="center"/>
              <w:rPr>
                <w:rFonts w:ascii="Arial Narrow" w:hAnsi="Arial Narrow"/>
                <w:sz w:val="18"/>
                <w:szCs w:val="18"/>
                <w:lang w:val="en-US"/>
              </w:rPr>
            </w:pPr>
            <w:proofErr w:type="spellStart"/>
            <w:r w:rsidRPr="00C03605">
              <w:rPr>
                <w:rFonts w:ascii="Arial Narrow" w:hAnsi="Arial Narrow"/>
                <w:sz w:val="18"/>
                <w:szCs w:val="18"/>
                <w:lang w:val="en-US"/>
              </w:rPr>
              <w:t>Variazioni</w:t>
            </w:r>
            <w:proofErr w:type="spellEnd"/>
            <w:r w:rsidRPr="00C03605">
              <w:rPr>
                <w:rFonts w:ascii="Arial Narrow" w:hAnsi="Arial Narrow"/>
                <w:sz w:val="18"/>
                <w:szCs w:val="18"/>
                <w:lang w:val="en-US"/>
              </w:rPr>
              <w:t xml:space="preserve"> </w:t>
            </w:r>
            <w:proofErr w:type="spellStart"/>
            <w:r w:rsidRPr="00C03605">
              <w:rPr>
                <w:rFonts w:ascii="Arial Narrow" w:hAnsi="Arial Narrow"/>
                <w:sz w:val="18"/>
                <w:szCs w:val="18"/>
                <w:lang w:val="en-US"/>
              </w:rPr>
              <w:t>tendenziali</w:t>
            </w:r>
            <w:proofErr w:type="spellEnd"/>
          </w:p>
        </w:tc>
      </w:tr>
      <w:tr w:rsidR="005F4885" w:rsidRPr="00B076CD" w14:paraId="57CB1BBB" w14:textId="77777777" w:rsidTr="0075218A">
        <w:trPr>
          <w:trHeight w:val="255"/>
        </w:trPr>
        <w:tc>
          <w:tcPr>
            <w:tcW w:w="1647" w:type="dxa"/>
            <w:vMerge/>
            <w:tcBorders>
              <w:left w:val="nil"/>
              <w:right w:val="nil"/>
            </w:tcBorders>
            <w:shd w:val="clear" w:color="auto" w:fill="FFFFFF"/>
            <w:vAlign w:val="center"/>
          </w:tcPr>
          <w:p w14:paraId="0743B7AC" w14:textId="77777777" w:rsidR="005F4885" w:rsidRPr="00B076CD" w:rsidRDefault="005F4885" w:rsidP="005F4885">
            <w:pPr>
              <w:spacing w:before="40" w:after="20"/>
              <w:rPr>
                <w:rFonts w:ascii="Arial Narrow" w:hAnsi="Arial Narrow" w:cs="Arial"/>
                <w:sz w:val="18"/>
                <w:szCs w:val="18"/>
              </w:rPr>
            </w:pPr>
          </w:p>
        </w:tc>
        <w:tc>
          <w:tcPr>
            <w:tcW w:w="823" w:type="dxa"/>
            <w:tcBorders>
              <w:top w:val="single" w:sz="4" w:space="0" w:color="auto"/>
              <w:left w:val="nil"/>
              <w:right w:val="nil"/>
            </w:tcBorders>
            <w:shd w:val="clear" w:color="auto" w:fill="auto"/>
            <w:vAlign w:val="center"/>
          </w:tcPr>
          <w:p w14:paraId="5552AA89" w14:textId="77777777" w:rsidR="005F4885" w:rsidRPr="0069402A" w:rsidRDefault="005F4885" w:rsidP="005F4885">
            <w:pPr>
              <w:spacing w:before="40" w:after="20"/>
              <w:jc w:val="center"/>
              <w:rPr>
                <w:rFonts w:ascii="Arial Narrow" w:hAnsi="Arial Narrow"/>
                <w:sz w:val="18"/>
                <w:szCs w:val="18"/>
                <w:u w:val="single"/>
                <w:lang w:val="en-US"/>
              </w:rPr>
            </w:pPr>
            <w:r>
              <w:rPr>
                <w:rFonts w:ascii="Arial Narrow" w:hAnsi="Arial Narrow"/>
                <w:sz w:val="18"/>
                <w:szCs w:val="18"/>
                <w:u w:val="single"/>
                <w:lang w:val="en-US"/>
              </w:rPr>
              <w:t>set 22</w:t>
            </w:r>
          </w:p>
          <w:p w14:paraId="6A924596" w14:textId="5F652CF9" w:rsidR="005F4885" w:rsidRPr="003C7722" w:rsidRDefault="005F4885" w:rsidP="005F4885">
            <w:pPr>
              <w:spacing w:before="40" w:after="20"/>
              <w:jc w:val="center"/>
              <w:rPr>
                <w:rFonts w:ascii="Arial Narrow" w:hAnsi="Arial Narrow"/>
                <w:sz w:val="18"/>
                <w:szCs w:val="18"/>
                <w:lang w:val="en-US"/>
              </w:rPr>
            </w:pPr>
            <w:r>
              <w:rPr>
                <w:rFonts w:ascii="Arial Narrow" w:hAnsi="Arial Narrow"/>
                <w:sz w:val="18"/>
                <w:szCs w:val="18"/>
                <w:lang w:val="en-US"/>
              </w:rPr>
              <w:t>set 21</w:t>
            </w:r>
          </w:p>
        </w:tc>
        <w:tc>
          <w:tcPr>
            <w:tcW w:w="1316" w:type="dxa"/>
            <w:tcBorders>
              <w:top w:val="single" w:sz="4" w:space="0" w:color="auto"/>
              <w:left w:val="nil"/>
              <w:right w:val="nil"/>
            </w:tcBorders>
            <w:shd w:val="clear" w:color="auto" w:fill="auto"/>
            <w:vAlign w:val="center"/>
          </w:tcPr>
          <w:p w14:paraId="5D4D62B1" w14:textId="77777777" w:rsidR="005F4885" w:rsidRPr="0069402A" w:rsidRDefault="005F4885" w:rsidP="005F4885">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gen-set 22</w:t>
            </w:r>
          </w:p>
          <w:p w14:paraId="5EE1C97E" w14:textId="7CCFF6FD" w:rsidR="005F4885" w:rsidRPr="003C7722" w:rsidRDefault="005F4885" w:rsidP="005F4885">
            <w:pPr>
              <w:spacing w:before="40" w:after="20"/>
              <w:jc w:val="center"/>
              <w:rPr>
                <w:rFonts w:ascii="Arial Narrow" w:hAnsi="Arial Narrow"/>
                <w:sz w:val="18"/>
                <w:szCs w:val="18"/>
                <w:lang w:val="en-US"/>
              </w:rPr>
            </w:pPr>
            <w:r>
              <w:rPr>
                <w:rFonts w:ascii="Arial Narrow" w:hAnsi="Arial Narrow"/>
                <w:sz w:val="18"/>
                <w:szCs w:val="18"/>
                <w:lang w:val="en-US"/>
              </w:rPr>
              <w:t>gen-set 21</w:t>
            </w:r>
          </w:p>
        </w:tc>
        <w:tc>
          <w:tcPr>
            <w:tcW w:w="823" w:type="dxa"/>
            <w:tcBorders>
              <w:top w:val="single" w:sz="4" w:space="0" w:color="auto"/>
              <w:left w:val="nil"/>
              <w:right w:val="nil"/>
            </w:tcBorders>
            <w:shd w:val="clear" w:color="auto" w:fill="auto"/>
            <w:vAlign w:val="center"/>
          </w:tcPr>
          <w:p w14:paraId="1E1B27BC" w14:textId="77777777" w:rsidR="005F4885" w:rsidRPr="0069402A" w:rsidRDefault="005F4885" w:rsidP="005F4885">
            <w:pPr>
              <w:spacing w:before="40" w:after="20"/>
              <w:jc w:val="center"/>
              <w:rPr>
                <w:rFonts w:ascii="Arial Narrow" w:hAnsi="Arial Narrow"/>
                <w:sz w:val="18"/>
                <w:szCs w:val="18"/>
                <w:u w:val="single"/>
                <w:lang w:val="en-US"/>
              </w:rPr>
            </w:pPr>
            <w:r>
              <w:rPr>
                <w:rFonts w:ascii="Arial Narrow" w:hAnsi="Arial Narrow"/>
                <w:sz w:val="18"/>
                <w:szCs w:val="18"/>
                <w:u w:val="single"/>
                <w:lang w:val="en-US"/>
              </w:rPr>
              <w:t>set 22</w:t>
            </w:r>
          </w:p>
          <w:p w14:paraId="53979304" w14:textId="12D015CA" w:rsidR="005F4885" w:rsidRPr="003C7722" w:rsidRDefault="005F4885" w:rsidP="005F4885">
            <w:pPr>
              <w:spacing w:before="40" w:after="20"/>
              <w:jc w:val="center"/>
              <w:rPr>
                <w:rFonts w:ascii="Arial Narrow" w:hAnsi="Arial Narrow"/>
                <w:sz w:val="18"/>
                <w:szCs w:val="18"/>
                <w:lang w:val="en-US"/>
              </w:rPr>
            </w:pPr>
            <w:r>
              <w:rPr>
                <w:rFonts w:ascii="Arial Narrow" w:hAnsi="Arial Narrow"/>
                <w:sz w:val="18"/>
                <w:szCs w:val="18"/>
                <w:lang w:val="en-US"/>
              </w:rPr>
              <w:t>set 21</w:t>
            </w:r>
          </w:p>
        </w:tc>
        <w:tc>
          <w:tcPr>
            <w:tcW w:w="1317" w:type="dxa"/>
            <w:tcBorders>
              <w:top w:val="single" w:sz="4" w:space="0" w:color="auto"/>
              <w:left w:val="nil"/>
              <w:right w:val="nil"/>
            </w:tcBorders>
            <w:shd w:val="clear" w:color="auto" w:fill="auto"/>
            <w:vAlign w:val="center"/>
          </w:tcPr>
          <w:p w14:paraId="6D49FE43" w14:textId="77777777" w:rsidR="005F4885" w:rsidRPr="0069402A" w:rsidRDefault="005F4885" w:rsidP="005F4885">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gen-set 22</w:t>
            </w:r>
          </w:p>
          <w:p w14:paraId="26176F97" w14:textId="4AAC2F46" w:rsidR="005F4885" w:rsidRPr="003C7722" w:rsidRDefault="005F4885" w:rsidP="005F4885">
            <w:pPr>
              <w:spacing w:before="40" w:after="20"/>
              <w:jc w:val="center"/>
              <w:rPr>
                <w:rFonts w:ascii="Arial Narrow" w:hAnsi="Arial Narrow"/>
                <w:sz w:val="18"/>
                <w:szCs w:val="18"/>
                <w:lang w:val="en-US"/>
              </w:rPr>
            </w:pPr>
            <w:r>
              <w:rPr>
                <w:rFonts w:ascii="Arial Narrow" w:hAnsi="Arial Narrow"/>
                <w:sz w:val="18"/>
                <w:szCs w:val="18"/>
                <w:lang w:val="en-US"/>
              </w:rPr>
              <w:t>gen-set 21</w:t>
            </w:r>
          </w:p>
        </w:tc>
        <w:tc>
          <w:tcPr>
            <w:tcW w:w="823" w:type="dxa"/>
            <w:tcBorders>
              <w:top w:val="single" w:sz="4" w:space="0" w:color="auto"/>
              <w:left w:val="nil"/>
              <w:right w:val="nil"/>
            </w:tcBorders>
            <w:shd w:val="clear" w:color="auto" w:fill="auto"/>
            <w:vAlign w:val="center"/>
          </w:tcPr>
          <w:p w14:paraId="3B2EA16D" w14:textId="77777777" w:rsidR="005F4885" w:rsidRPr="0069402A" w:rsidRDefault="005F4885" w:rsidP="005F4885">
            <w:pPr>
              <w:spacing w:before="40" w:after="20"/>
              <w:jc w:val="center"/>
              <w:rPr>
                <w:rFonts w:ascii="Arial Narrow" w:hAnsi="Arial Narrow"/>
                <w:sz w:val="18"/>
                <w:szCs w:val="18"/>
                <w:u w:val="single"/>
                <w:lang w:val="en-US"/>
              </w:rPr>
            </w:pPr>
            <w:r>
              <w:rPr>
                <w:rFonts w:ascii="Arial Narrow" w:hAnsi="Arial Narrow"/>
                <w:sz w:val="18"/>
                <w:szCs w:val="18"/>
                <w:u w:val="single"/>
                <w:lang w:val="en-US"/>
              </w:rPr>
              <w:t>set 22</w:t>
            </w:r>
          </w:p>
          <w:p w14:paraId="3F2A123C" w14:textId="06F3B62E" w:rsidR="005F4885" w:rsidRPr="003C7722" w:rsidRDefault="005F4885" w:rsidP="005F4885">
            <w:pPr>
              <w:spacing w:before="40" w:after="20"/>
              <w:jc w:val="center"/>
              <w:rPr>
                <w:rFonts w:ascii="Arial Narrow" w:hAnsi="Arial Narrow"/>
                <w:sz w:val="18"/>
                <w:szCs w:val="18"/>
                <w:lang w:val="en-US"/>
              </w:rPr>
            </w:pPr>
            <w:r>
              <w:rPr>
                <w:rFonts w:ascii="Arial Narrow" w:hAnsi="Arial Narrow"/>
                <w:sz w:val="18"/>
                <w:szCs w:val="18"/>
                <w:lang w:val="en-US"/>
              </w:rPr>
              <w:t>set 21</w:t>
            </w:r>
          </w:p>
        </w:tc>
        <w:tc>
          <w:tcPr>
            <w:tcW w:w="1317" w:type="dxa"/>
            <w:tcBorders>
              <w:top w:val="single" w:sz="4" w:space="0" w:color="auto"/>
              <w:left w:val="nil"/>
              <w:right w:val="nil"/>
            </w:tcBorders>
            <w:shd w:val="clear" w:color="auto" w:fill="auto"/>
            <w:vAlign w:val="center"/>
          </w:tcPr>
          <w:p w14:paraId="08C7669A" w14:textId="77777777" w:rsidR="005F4885" w:rsidRPr="0069402A" w:rsidRDefault="005F4885" w:rsidP="005F4885">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gen-set 22</w:t>
            </w:r>
          </w:p>
          <w:p w14:paraId="473EE5A4" w14:textId="64B7D425" w:rsidR="005F4885" w:rsidRPr="003C7722" w:rsidRDefault="005F4885" w:rsidP="005F4885">
            <w:pPr>
              <w:spacing w:before="40" w:after="20"/>
              <w:jc w:val="center"/>
              <w:rPr>
                <w:rFonts w:ascii="Arial Narrow" w:hAnsi="Arial Narrow"/>
                <w:sz w:val="18"/>
                <w:szCs w:val="18"/>
                <w:lang w:val="en-US"/>
              </w:rPr>
            </w:pPr>
            <w:r>
              <w:rPr>
                <w:rFonts w:ascii="Arial Narrow" w:hAnsi="Arial Narrow"/>
                <w:sz w:val="18"/>
                <w:szCs w:val="18"/>
                <w:lang w:val="en-US"/>
              </w:rPr>
              <w:t>gen-set 21</w:t>
            </w:r>
          </w:p>
        </w:tc>
        <w:tc>
          <w:tcPr>
            <w:tcW w:w="823" w:type="dxa"/>
            <w:tcBorders>
              <w:top w:val="single" w:sz="4" w:space="0" w:color="auto"/>
              <w:left w:val="nil"/>
              <w:right w:val="nil"/>
            </w:tcBorders>
            <w:shd w:val="clear" w:color="auto" w:fill="auto"/>
            <w:vAlign w:val="center"/>
          </w:tcPr>
          <w:p w14:paraId="27A2D288" w14:textId="77777777" w:rsidR="005F4885" w:rsidRPr="0069402A" w:rsidRDefault="005F4885" w:rsidP="005F4885">
            <w:pPr>
              <w:spacing w:before="40" w:after="20"/>
              <w:jc w:val="center"/>
              <w:rPr>
                <w:rFonts w:ascii="Arial Narrow" w:hAnsi="Arial Narrow"/>
                <w:sz w:val="18"/>
                <w:szCs w:val="18"/>
                <w:u w:val="single"/>
                <w:lang w:val="en-US"/>
              </w:rPr>
            </w:pPr>
            <w:r>
              <w:rPr>
                <w:rFonts w:ascii="Arial Narrow" w:hAnsi="Arial Narrow"/>
                <w:sz w:val="18"/>
                <w:szCs w:val="18"/>
                <w:u w:val="single"/>
                <w:lang w:val="en-US"/>
              </w:rPr>
              <w:t>set 22</w:t>
            </w:r>
          </w:p>
          <w:p w14:paraId="43475EA9" w14:textId="2C737344" w:rsidR="005F4885" w:rsidRPr="003C7722" w:rsidRDefault="005F4885" w:rsidP="005F4885">
            <w:pPr>
              <w:spacing w:before="40" w:after="20"/>
              <w:jc w:val="center"/>
              <w:rPr>
                <w:rFonts w:ascii="Arial Narrow" w:hAnsi="Arial Narrow"/>
                <w:sz w:val="18"/>
                <w:szCs w:val="18"/>
                <w:lang w:val="en-US"/>
              </w:rPr>
            </w:pPr>
            <w:r>
              <w:rPr>
                <w:rFonts w:ascii="Arial Narrow" w:hAnsi="Arial Narrow"/>
                <w:sz w:val="18"/>
                <w:szCs w:val="18"/>
                <w:lang w:val="en-US"/>
              </w:rPr>
              <w:t>set 21</w:t>
            </w:r>
          </w:p>
        </w:tc>
        <w:tc>
          <w:tcPr>
            <w:tcW w:w="1317" w:type="dxa"/>
            <w:tcBorders>
              <w:top w:val="single" w:sz="4" w:space="0" w:color="auto"/>
              <w:left w:val="nil"/>
              <w:right w:val="nil"/>
            </w:tcBorders>
            <w:shd w:val="clear" w:color="auto" w:fill="auto"/>
            <w:vAlign w:val="center"/>
          </w:tcPr>
          <w:p w14:paraId="48E56894" w14:textId="77777777" w:rsidR="005F4885" w:rsidRPr="0069402A" w:rsidRDefault="005F4885" w:rsidP="005F4885">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gen-set 22</w:t>
            </w:r>
          </w:p>
          <w:p w14:paraId="472B00D1" w14:textId="23E9DD2B" w:rsidR="005F4885" w:rsidRPr="003C7722" w:rsidRDefault="005F4885" w:rsidP="005F4885">
            <w:pPr>
              <w:spacing w:before="40" w:after="20"/>
              <w:jc w:val="center"/>
              <w:rPr>
                <w:rFonts w:ascii="Arial Narrow" w:hAnsi="Arial Narrow"/>
                <w:sz w:val="18"/>
                <w:szCs w:val="18"/>
                <w:lang w:val="en-US"/>
              </w:rPr>
            </w:pPr>
            <w:r>
              <w:rPr>
                <w:rFonts w:ascii="Arial Narrow" w:hAnsi="Arial Narrow"/>
                <w:sz w:val="18"/>
                <w:szCs w:val="18"/>
                <w:lang w:val="en-US"/>
              </w:rPr>
              <w:t>gen-set 21</w:t>
            </w:r>
          </w:p>
        </w:tc>
      </w:tr>
      <w:tr w:rsidR="00F374E1" w:rsidRPr="008C0651" w14:paraId="0CF6E2EB" w14:textId="77777777" w:rsidTr="00F374E1">
        <w:trPr>
          <w:trHeight w:val="255"/>
        </w:trPr>
        <w:tc>
          <w:tcPr>
            <w:tcW w:w="1647" w:type="dxa"/>
            <w:tcBorders>
              <w:top w:val="single" w:sz="4" w:space="0" w:color="auto"/>
              <w:left w:val="nil"/>
              <w:bottom w:val="single" w:sz="4" w:space="0" w:color="auto"/>
            </w:tcBorders>
            <w:vAlign w:val="center"/>
          </w:tcPr>
          <w:p w14:paraId="25F3AB8D" w14:textId="77777777" w:rsidR="00F374E1" w:rsidRPr="00B076CD" w:rsidRDefault="00F374E1" w:rsidP="00F374E1">
            <w:pPr>
              <w:spacing w:before="40" w:after="20"/>
              <w:rPr>
                <w:rFonts w:ascii="Arial Narrow" w:hAnsi="Arial Narrow" w:cs="Arial"/>
                <w:sz w:val="18"/>
                <w:szCs w:val="18"/>
              </w:rPr>
            </w:pPr>
            <w:r w:rsidRPr="00B076CD">
              <w:rPr>
                <w:rFonts w:ascii="Arial Narrow" w:hAnsi="Arial Narrow" w:cs="Arial"/>
                <w:sz w:val="18"/>
                <w:szCs w:val="18"/>
              </w:rPr>
              <w:t>Beni di consumo</w:t>
            </w:r>
          </w:p>
        </w:tc>
        <w:tc>
          <w:tcPr>
            <w:tcW w:w="823" w:type="dxa"/>
            <w:tcBorders>
              <w:top w:val="single" w:sz="4" w:space="0" w:color="auto"/>
              <w:bottom w:val="single" w:sz="4" w:space="0" w:color="auto"/>
            </w:tcBorders>
            <w:shd w:val="clear" w:color="auto" w:fill="D9D9D9"/>
            <w:vAlign w:val="center"/>
          </w:tcPr>
          <w:p w14:paraId="1009192A" w14:textId="7BF51D56" w:rsidR="00F374E1" w:rsidRDefault="00F374E1" w:rsidP="00F374E1">
            <w:pPr>
              <w:jc w:val="center"/>
              <w:rPr>
                <w:rFonts w:ascii="Arial Narrow" w:hAnsi="Arial Narrow"/>
                <w:sz w:val="18"/>
                <w:szCs w:val="18"/>
              </w:rPr>
            </w:pPr>
            <w:r>
              <w:rPr>
                <w:rFonts w:ascii="Arial Narrow" w:hAnsi="Arial Narrow"/>
                <w:sz w:val="18"/>
                <w:szCs w:val="18"/>
              </w:rPr>
              <w:t>+15,6</w:t>
            </w:r>
          </w:p>
        </w:tc>
        <w:tc>
          <w:tcPr>
            <w:tcW w:w="1316" w:type="dxa"/>
            <w:tcBorders>
              <w:top w:val="single" w:sz="4" w:space="0" w:color="auto"/>
              <w:bottom w:val="single" w:sz="4" w:space="0" w:color="auto"/>
            </w:tcBorders>
            <w:shd w:val="clear" w:color="auto" w:fill="D9D9D9"/>
            <w:vAlign w:val="center"/>
          </w:tcPr>
          <w:p w14:paraId="48172B09" w14:textId="37EBE4F9" w:rsidR="00F374E1" w:rsidRDefault="00F374E1" w:rsidP="00F374E1">
            <w:pPr>
              <w:jc w:val="center"/>
              <w:rPr>
                <w:rFonts w:ascii="Arial Narrow" w:hAnsi="Arial Narrow"/>
                <w:sz w:val="18"/>
                <w:szCs w:val="18"/>
              </w:rPr>
            </w:pPr>
            <w:r>
              <w:rPr>
                <w:rFonts w:ascii="Arial Narrow" w:hAnsi="Arial Narrow"/>
                <w:sz w:val="18"/>
                <w:szCs w:val="18"/>
              </w:rPr>
              <w:t>+14,8</w:t>
            </w:r>
          </w:p>
        </w:tc>
        <w:tc>
          <w:tcPr>
            <w:tcW w:w="823" w:type="dxa"/>
            <w:tcBorders>
              <w:top w:val="single" w:sz="4" w:space="0" w:color="auto"/>
              <w:bottom w:val="single" w:sz="4" w:space="0" w:color="auto"/>
            </w:tcBorders>
            <w:vAlign w:val="center"/>
          </w:tcPr>
          <w:p w14:paraId="3BDADCC0" w14:textId="183770E2" w:rsidR="00F374E1" w:rsidRDefault="00F374E1" w:rsidP="00F374E1">
            <w:pPr>
              <w:jc w:val="center"/>
              <w:rPr>
                <w:rFonts w:ascii="Arial Narrow" w:hAnsi="Arial Narrow"/>
                <w:sz w:val="18"/>
                <w:szCs w:val="18"/>
              </w:rPr>
            </w:pPr>
            <w:r>
              <w:rPr>
                <w:rFonts w:ascii="Arial Narrow" w:hAnsi="Arial Narrow"/>
                <w:sz w:val="18"/>
                <w:szCs w:val="18"/>
              </w:rPr>
              <w:t>+21,8</w:t>
            </w:r>
          </w:p>
        </w:tc>
        <w:tc>
          <w:tcPr>
            <w:tcW w:w="1317" w:type="dxa"/>
            <w:tcBorders>
              <w:top w:val="single" w:sz="4" w:space="0" w:color="auto"/>
              <w:bottom w:val="single" w:sz="4" w:space="0" w:color="auto"/>
            </w:tcBorders>
            <w:vAlign w:val="center"/>
          </w:tcPr>
          <w:p w14:paraId="56537B7A" w14:textId="65632117" w:rsidR="00F374E1" w:rsidRDefault="00F374E1" w:rsidP="00F374E1">
            <w:pPr>
              <w:jc w:val="center"/>
              <w:rPr>
                <w:rFonts w:ascii="Arial Narrow" w:hAnsi="Arial Narrow"/>
                <w:sz w:val="18"/>
                <w:szCs w:val="18"/>
              </w:rPr>
            </w:pPr>
            <w:r>
              <w:rPr>
                <w:rFonts w:ascii="Arial Narrow" w:hAnsi="Arial Narrow"/>
                <w:sz w:val="18"/>
                <w:szCs w:val="18"/>
              </w:rPr>
              <w:t>+20,5</w:t>
            </w:r>
          </w:p>
        </w:tc>
        <w:tc>
          <w:tcPr>
            <w:tcW w:w="823" w:type="dxa"/>
            <w:tcBorders>
              <w:top w:val="single" w:sz="4" w:space="0" w:color="auto"/>
              <w:bottom w:val="single" w:sz="4" w:space="0" w:color="auto"/>
            </w:tcBorders>
            <w:shd w:val="clear" w:color="auto" w:fill="D9D9D9"/>
            <w:vAlign w:val="center"/>
          </w:tcPr>
          <w:p w14:paraId="5BB4ED55" w14:textId="4964DC31" w:rsidR="00F374E1" w:rsidRDefault="00F374E1" w:rsidP="00F374E1">
            <w:pPr>
              <w:jc w:val="center"/>
              <w:rPr>
                <w:rFonts w:ascii="Arial Narrow" w:hAnsi="Arial Narrow"/>
                <w:sz w:val="18"/>
                <w:szCs w:val="18"/>
              </w:rPr>
            </w:pPr>
            <w:r>
              <w:rPr>
                <w:rFonts w:ascii="Arial Narrow" w:hAnsi="Arial Narrow"/>
                <w:sz w:val="18"/>
                <w:szCs w:val="18"/>
              </w:rPr>
              <w:t>+5,2</w:t>
            </w:r>
          </w:p>
        </w:tc>
        <w:tc>
          <w:tcPr>
            <w:tcW w:w="1317" w:type="dxa"/>
            <w:tcBorders>
              <w:top w:val="single" w:sz="4" w:space="0" w:color="auto"/>
              <w:bottom w:val="single" w:sz="4" w:space="0" w:color="auto"/>
            </w:tcBorders>
            <w:shd w:val="clear" w:color="auto" w:fill="D9D9D9"/>
            <w:vAlign w:val="center"/>
          </w:tcPr>
          <w:p w14:paraId="4701B2F1" w14:textId="2B01F264" w:rsidR="00F374E1" w:rsidRDefault="00F374E1" w:rsidP="00F374E1">
            <w:pPr>
              <w:jc w:val="center"/>
              <w:rPr>
                <w:rFonts w:ascii="Arial Narrow" w:hAnsi="Arial Narrow"/>
                <w:sz w:val="18"/>
                <w:szCs w:val="18"/>
              </w:rPr>
            </w:pPr>
            <w:r>
              <w:rPr>
                <w:rFonts w:ascii="Arial Narrow" w:hAnsi="Arial Narrow"/>
                <w:sz w:val="18"/>
                <w:szCs w:val="18"/>
              </w:rPr>
              <w:t>+6,1</w:t>
            </w:r>
          </w:p>
        </w:tc>
        <w:tc>
          <w:tcPr>
            <w:tcW w:w="823" w:type="dxa"/>
            <w:tcBorders>
              <w:top w:val="single" w:sz="4" w:space="0" w:color="auto"/>
              <w:bottom w:val="single" w:sz="4" w:space="0" w:color="auto"/>
            </w:tcBorders>
            <w:vAlign w:val="center"/>
          </w:tcPr>
          <w:p w14:paraId="273A91F5" w14:textId="54D7E950" w:rsidR="00F374E1" w:rsidRDefault="00F374E1" w:rsidP="00F374E1">
            <w:pPr>
              <w:jc w:val="center"/>
              <w:rPr>
                <w:rFonts w:ascii="Arial Narrow" w:hAnsi="Arial Narrow"/>
                <w:sz w:val="18"/>
                <w:szCs w:val="18"/>
              </w:rPr>
            </w:pPr>
            <w:r>
              <w:rPr>
                <w:rFonts w:ascii="Arial Narrow" w:hAnsi="Arial Narrow"/>
                <w:sz w:val="18"/>
                <w:szCs w:val="18"/>
              </w:rPr>
              <w:t>+1,7</w:t>
            </w:r>
          </w:p>
        </w:tc>
        <w:tc>
          <w:tcPr>
            <w:tcW w:w="1317" w:type="dxa"/>
            <w:tcBorders>
              <w:top w:val="single" w:sz="4" w:space="0" w:color="auto"/>
              <w:bottom w:val="single" w:sz="4" w:space="0" w:color="auto"/>
            </w:tcBorders>
            <w:vAlign w:val="center"/>
          </w:tcPr>
          <w:p w14:paraId="0CFE25A5" w14:textId="01CB78D5" w:rsidR="00F374E1" w:rsidRDefault="00F374E1" w:rsidP="00F374E1">
            <w:pPr>
              <w:jc w:val="center"/>
              <w:rPr>
                <w:rFonts w:ascii="Arial Narrow" w:hAnsi="Arial Narrow"/>
                <w:sz w:val="18"/>
                <w:szCs w:val="18"/>
              </w:rPr>
            </w:pPr>
            <w:r>
              <w:rPr>
                <w:rFonts w:ascii="Arial Narrow" w:hAnsi="Arial Narrow"/>
                <w:sz w:val="18"/>
                <w:szCs w:val="18"/>
              </w:rPr>
              <w:t>+5,6</w:t>
            </w:r>
          </w:p>
        </w:tc>
      </w:tr>
      <w:tr w:rsidR="00F374E1" w:rsidRPr="008C0651" w14:paraId="0AA49F05" w14:textId="77777777" w:rsidTr="00F374E1">
        <w:trPr>
          <w:trHeight w:val="255"/>
        </w:trPr>
        <w:tc>
          <w:tcPr>
            <w:tcW w:w="1647" w:type="dxa"/>
            <w:tcBorders>
              <w:top w:val="single" w:sz="4" w:space="0" w:color="auto"/>
              <w:left w:val="nil"/>
              <w:bottom w:val="single" w:sz="4" w:space="0" w:color="auto"/>
            </w:tcBorders>
            <w:vAlign w:val="center"/>
          </w:tcPr>
          <w:p w14:paraId="766BF8C8" w14:textId="77777777" w:rsidR="00F374E1" w:rsidRPr="00353F86" w:rsidRDefault="00F374E1" w:rsidP="00F374E1">
            <w:pPr>
              <w:spacing w:before="40" w:after="20"/>
              <w:rPr>
                <w:rFonts w:ascii="Arial Narrow" w:hAnsi="Arial Narrow" w:cs="Arial"/>
                <w:sz w:val="18"/>
                <w:szCs w:val="18"/>
              </w:rPr>
            </w:pPr>
            <w:r w:rsidRPr="00353F86">
              <w:rPr>
                <w:rFonts w:ascii="Arial Narrow" w:hAnsi="Arial Narrow" w:cs="Arial"/>
                <w:sz w:val="18"/>
                <w:szCs w:val="18"/>
              </w:rPr>
              <w:t>durevoli</w:t>
            </w:r>
          </w:p>
        </w:tc>
        <w:tc>
          <w:tcPr>
            <w:tcW w:w="823" w:type="dxa"/>
            <w:tcBorders>
              <w:top w:val="single" w:sz="4" w:space="0" w:color="auto"/>
              <w:bottom w:val="single" w:sz="4" w:space="0" w:color="auto"/>
            </w:tcBorders>
            <w:shd w:val="clear" w:color="auto" w:fill="D9D9D9"/>
            <w:vAlign w:val="center"/>
          </w:tcPr>
          <w:p w14:paraId="2733FF54" w14:textId="40085A10" w:rsidR="00F374E1" w:rsidRDefault="00F374E1" w:rsidP="00F374E1">
            <w:pPr>
              <w:jc w:val="center"/>
              <w:rPr>
                <w:rFonts w:ascii="Arial Narrow" w:hAnsi="Arial Narrow"/>
                <w:sz w:val="18"/>
                <w:szCs w:val="18"/>
              </w:rPr>
            </w:pPr>
            <w:r>
              <w:rPr>
                <w:rFonts w:ascii="Arial Narrow" w:hAnsi="Arial Narrow"/>
                <w:sz w:val="18"/>
                <w:szCs w:val="18"/>
              </w:rPr>
              <w:t>+17,0</w:t>
            </w:r>
          </w:p>
        </w:tc>
        <w:tc>
          <w:tcPr>
            <w:tcW w:w="1316" w:type="dxa"/>
            <w:tcBorders>
              <w:top w:val="single" w:sz="4" w:space="0" w:color="auto"/>
              <w:bottom w:val="single" w:sz="4" w:space="0" w:color="auto"/>
            </w:tcBorders>
            <w:shd w:val="clear" w:color="auto" w:fill="D9D9D9"/>
            <w:vAlign w:val="center"/>
          </w:tcPr>
          <w:p w14:paraId="10D6F7EF" w14:textId="4B46971D" w:rsidR="00F374E1" w:rsidRDefault="00F374E1" w:rsidP="00F374E1">
            <w:pPr>
              <w:jc w:val="center"/>
              <w:rPr>
                <w:rFonts w:ascii="Arial Narrow" w:hAnsi="Arial Narrow"/>
                <w:sz w:val="18"/>
                <w:szCs w:val="18"/>
              </w:rPr>
            </w:pPr>
            <w:r>
              <w:rPr>
                <w:rFonts w:ascii="Arial Narrow" w:hAnsi="Arial Narrow"/>
                <w:sz w:val="18"/>
                <w:szCs w:val="18"/>
              </w:rPr>
              <w:t>+14,3</w:t>
            </w:r>
          </w:p>
        </w:tc>
        <w:tc>
          <w:tcPr>
            <w:tcW w:w="823" w:type="dxa"/>
            <w:tcBorders>
              <w:top w:val="single" w:sz="4" w:space="0" w:color="auto"/>
              <w:bottom w:val="single" w:sz="4" w:space="0" w:color="auto"/>
            </w:tcBorders>
            <w:vAlign w:val="center"/>
          </w:tcPr>
          <w:p w14:paraId="21F24B11" w14:textId="5FAAE22A" w:rsidR="00F374E1" w:rsidRDefault="00F374E1" w:rsidP="00F374E1">
            <w:pPr>
              <w:jc w:val="center"/>
              <w:rPr>
                <w:rFonts w:ascii="Arial Narrow" w:hAnsi="Arial Narrow"/>
                <w:sz w:val="18"/>
                <w:szCs w:val="18"/>
              </w:rPr>
            </w:pPr>
            <w:r>
              <w:rPr>
                <w:rFonts w:ascii="Arial Narrow" w:hAnsi="Arial Narrow"/>
                <w:sz w:val="18"/>
                <w:szCs w:val="18"/>
              </w:rPr>
              <w:t>+14,8</w:t>
            </w:r>
          </w:p>
        </w:tc>
        <w:tc>
          <w:tcPr>
            <w:tcW w:w="1317" w:type="dxa"/>
            <w:tcBorders>
              <w:top w:val="single" w:sz="4" w:space="0" w:color="auto"/>
              <w:bottom w:val="single" w:sz="4" w:space="0" w:color="auto"/>
            </w:tcBorders>
            <w:vAlign w:val="center"/>
          </w:tcPr>
          <w:p w14:paraId="67368A57" w14:textId="2FA1D010" w:rsidR="00F374E1" w:rsidRDefault="00F374E1" w:rsidP="00F374E1">
            <w:pPr>
              <w:jc w:val="center"/>
              <w:rPr>
                <w:rFonts w:ascii="Arial Narrow" w:hAnsi="Arial Narrow"/>
                <w:sz w:val="18"/>
                <w:szCs w:val="18"/>
              </w:rPr>
            </w:pPr>
            <w:r>
              <w:rPr>
                <w:rFonts w:ascii="Arial Narrow" w:hAnsi="Arial Narrow"/>
                <w:sz w:val="18"/>
                <w:szCs w:val="18"/>
              </w:rPr>
              <w:t>+15,4</w:t>
            </w:r>
          </w:p>
        </w:tc>
        <w:tc>
          <w:tcPr>
            <w:tcW w:w="823" w:type="dxa"/>
            <w:tcBorders>
              <w:top w:val="single" w:sz="4" w:space="0" w:color="auto"/>
              <w:bottom w:val="single" w:sz="4" w:space="0" w:color="auto"/>
            </w:tcBorders>
            <w:shd w:val="clear" w:color="auto" w:fill="D9D9D9"/>
            <w:vAlign w:val="center"/>
          </w:tcPr>
          <w:p w14:paraId="32660A2B" w14:textId="3BDA770D" w:rsidR="00F374E1" w:rsidRDefault="00F374E1" w:rsidP="00F374E1">
            <w:pPr>
              <w:jc w:val="center"/>
              <w:rPr>
                <w:rFonts w:ascii="Arial Narrow" w:hAnsi="Arial Narrow"/>
                <w:sz w:val="18"/>
                <w:szCs w:val="18"/>
              </w:rPr>
            </w:pPr>
            <w:r>
              <w:rPr>
                <w:rFonts w:ascii="Arial Narrow" w:hAnsi="Arial Narrow"/>
                <w:sz w:val="18"/>
                <w:szCs w:val="18"/>
              </w:rPr>
              <w:t>+0,8</w:t>
            </w:r>
          </w:p>
        </w:tc>
        <w:tc>
          <w:tcPr>
            <w:tcW w:w="1317" w:type="dxa"/>
            <w:tcBorders>
              <w:top w:val="single" w:sz="4" w:space="0" w:color="auto"/>
              <w:bottom w:val="single" w:sz="4" w:space="0" w:color="auto"/>
            </w:tcBorders>
            <w:shd w:val="clear" w:color="auto" w:fill="D9D9D9"/>
            <w:vAlign w:val="center"/>
          </w:tcPr>
          <w:p w14:paraId="0FA0CFF1" w14:textId="34E1DD54" w:rsidR="00F374E1" w:rsidRDefault="00F374E1" w:rsidP="00F374E1">
            <w:pPr>
              <w:jc w:val="center"/>
              <w:rPr>
                <w:rFonts w:ascii="Arial Narrow" w:hAnsi="Arial Narrow"/>
                <w:sz w:val="18"/>
                <w:szCs w:val="18"/>
              </w:rPr>
            </w:pPr>
            <w:r>
              <w:rPr>
                <w:rFonts w:ascii="Arial Narrow" w:hAnsi="Arial Narrow"/>
                <w:sz w:val="18"/>
                <w:szCs w:val="18"/>
              </w:rPr>
              <w:t>+1,9</w:t>
            </w:r>
          </w:p>
        </w:tc>
        <w:tc>
          <w:tcPr>
            <w:tcW w:w="823" w:type="dxa"/>
            <w:tcBorders>
              <w:top w:val="single" w:sz="4" w:space="0" w:color="auto"/>
              <w:bottom w:val="single" w:sz="4" w:space="0" w:color="auto"/>
            </w:tcBorders>
            <w:vAlign w:val="center"/>
          </w:tcPr>
          <w:p w14:paraId="27560C7F" w14:textId="6083803B" w:rsidR="00F374E1" w:rsidRDefault="00F374E1" w:rsidP="00F374E1">
            <w:pPr>
              <w:jc w:val="center"/>
              <w:rPr>
                <w:rFonts w:ascii="Arial Narrow" w:hAnsi="Arial Narrow"/>
                <w:sz w:val="18"/>
                <w:szCs w:val="18"/>
              </w:rPr>
            </w:pPr>
            <w:r>
              <w:rPr>
                <w:rFonts w:ascii="Arial Narrow" w:hAnsi="Arial Narrow"/>
                <w:sz w:val="18"/>
                <w:szCs w:val="18"/>
              </w:rPr>
              <w:t>-8,6</w:t>
            </w:r>
          </w:p>
        </w:tc>
        <w:tc>
          <w:tcPr>
            <w:tcW w:w="1317" w:type="dxa"/>
            <w:tcBorders>
              <w:top w:val="single" w:sz="4" w:space="0" w:color="auto"/>
              <w:bottom w:val="single" w:sz="4" w:space="0" w:color="auto"/>
            </w:tcBorders>
            <w:vAlign w:val="center"/>
          </w:tcPr>
          <w:p w14:paraId="2B2A239A" w14:textId="0AE66F1A" w:rsidR="00F374E1" w:rsidRDefault="00F374E1" w:rsidP="00F374E1">
            <w:pPr>
              <w:jc w:val="center"/>
              <w:rPr>
                <w:rFonts w:ascii="Arial Narrow" w:hAnsi="Arial Narrow"/>
                <w:sz w:val="18"/>
                <w:szCs w:val="18"/>
              </w:rPr>
            </w:pPr>
            <w:r>
              <w:rPr>
                <w:rFonts w:ascii="Arial Narrow" w:hAnsi="Arial Narrow"/>
                <w:sz w:val="18"/>
                <w:szCs w:val="18"/>
              </w:rPr>
              <w:t>-2,4</w:t>
            </w:r>
          </w:p>
        </w:tc>
      </w:tr>
      <w:tr w:rsidR="00F374E1" w:rsidRPr="008C0651" w14:paraId="01F6E9DF" w14:textId="77777777" w:rsidTr="00F374E1">
        <w:trPr>
          <w:trHeight w:val="255"/>
        </w:trPr>
        <w:tc>
          <w:tcPr>
            <w:tcW w:w="1647" w:type="dxa"/>
            <w:tcBorders>
              <w:top w:val="single" w:sz="4" w:space="0" w:color="auto"/>
              <w:left w:val="nil"/>
              <w:bottom w:val="single" w:sz="4" w:space="0" w:color="auto"/>
            </w:tcBorders>
            <w:vAlign w:val="center"/>
          </w:tcPr>
          <w:p w14:paraId="68752EA6" w14:textId="77777777" w:rsidR="00F374E1" w:rsidRPr="00353F86" w:rsidRDefault="00F374E1" w:rsidP="00F374E1">
            <w:pPr>
              <w:spacing w:before="40" w:after="20"/>
              <w:rPr>
                <w:rFonts w:ascii="Arial Narrow" w:hAnsi="Arial Narrow" w:cs="Arial"/>
                <w:sz w:val="18"/>
                <w:szCs w:val="18"/>
              </w:rPr>
            </w:pPr>
            <w:r w:rsidRPr="00353F86">
              <w:rPr>
                <w:rFonts w:ascii="Arial Narrow" w:hAnsi="Arial Narrow" w:cs="Arial"/>
                <w:sz w:val="18"/>
                <w:szCs w:val="18"/>
              </w:rPr>
              <w:t>non durevoli</w:t>
            </w:r>
          </w:p>
        </w:tc>
        <w:tc>
          <w:tcPr>
            <w:tcW w:w="823" w:type="dxa"/>
            <w:tcBorders>
              <w:top w:val="single" w:sz="4" w:space="0" w:color="auto"/>
              <w:bottom w:val="single" w:sz="4" w:space="0" w:color="auto"/>
            </w:tcBorders>
            <w:shd w:val="clear" w:color="auto" w:fill="D9D9D9"/>
            <w:vAlign w:val="center"/>
          </w:tcPr>
          <w:p w14:paraId="728B7A1B" w14:textId="6462E887" w:rsidR="00F374E1" w:rsidRDefault="00F374E1" w:rsidP="00F374E1">
            <w:pPr>
              <w:jc w:val="center"/>
              <w:rPr>
                <w:rFonts w:ascii="Arial Narrow" w:hAnsi="Arial Narrow"/>
                <w:sz w:val="18"/>
                <w:szCs w:val="18"/>
              </w:rPr>
            </w:pPr>
            <w:r>
              <w:rPr>
                <w:rFonts w:ascii="Arial Narrow" w:hAnsi="Arial Narrow"/>
                <w:sz w:val="18"/>
                <w:szCs w:val="18"/>
              </w:rPr>
              <w:t>+15,1</w:t>
            </w:r>
          </w:p>
        </w:tc>
        <w:tc>
          <w:tcPr>
            <w:tcW w:w="1316" w:type="dxa"/>
            <w:tcBorders>
              <w:top w:val="single" w:sz="4" w:space="0" w:color="auto"/>
              <w:bottom w:val="single" w:sz="4" w:space="0" w:color="auto"/>
            </w:tcBorders>
            <w:shd w:val="clear" w:color="auto" w:fill="D9D9D9"/>
            <w:vAlign w:val="center"/>
          </w:tcPr>
          <w:p w14:paraId="6BD85BE9" w14:textId="520EEE40" w:rsidR="00F374E1" w:rsidRDefault="00F374E1" w:rsidP="00F374E1">
            <w:pPr>
              <w:jc w:val="center"/>
              <w:rPr>
                <w:rFonts w:ascii="Arial Narrow" w:hAnsi="Arial Narrow"/>
                <w:sz w:val="18"/>
                <w:szCs w:val="18"/>
              </w:rPr>
            </w:pPr>
            <w:r>
              <w:rPr>
                <w:rFonts w:ascii="Arial Narrow" w:hAnsi="Arial Narrow"/>
                <w:sz w:val="18"/>
                <w:szCs w:val="18"/>
              </w:rPr>
              <w:t>+15,0</w:t>
            </w:r>
          </w:p>
        </w:tc>
        <w:tc>
          <w:tcPr>
            <w:tcW w:w="823" w:type="dxa"/>
            <w:tcBorders>
              <w:top w:val="single" w:sz="4" w:space="0" w:color="auto"/>
              <w:bottom w:val="single" w:sz="4" w:space="0" w:color="auto"/>
            </w:tcBorders>
            <w:vAlign w:val="center"/>
          </w:tcPr>
          <w:p w14:paraId="664AEE75" w14:textId="4D6EE363" w:rsidR="00F374E1" w:rsidRDefault="00F374E1" w:rsidP="00F374E1">
            <w:pPr>
              <w:jc w:val="center"/>
              <w:rPr>
                <w:rFonts w:ascii="Arial Narrow" w:hAnsi="Arial Narrow"/>
                <w:sz w:val="18"/>
                <w:szCs w:val="18"/>
              </w:rPr>
            </w:pPr>
            <w:r>
              <w:rPr>
                <w:rFonts w:ascii="Arial Narrow" w:hAnsi="Arial Narrow"/>
                <w:sz w:val="18"/>
                <w:szCs w:val="18"/>
              </w:rPr>
              <w:t>+23,0</w:t>
            </w:r>
          </w:p>
        </w:tc>
        <w:tc>
          <w:tcPr>
            <w:tcW w:w="1317" w:type="dxa"/>
            <w:tcBorders>
              <w:top w:val="single" w:sz="4" w:space="0" w:color="auto"/>
              <w:bottom w:val="single" w:sz="4" w:space="0" w:color="auto"/>
            </w:tcBorders>
            <w:vAlign w:val="center"/>
          </w:tcPr>
          <w:p w14:paraId="63AADF3C" w14:textId="18B2E94D" w:rsidR="00F374E1" w:rsidRDefault="00F374E1" w:rsidP="00F374E1">
            <w:pPr>
              <w:jc w:val="center"/>
              <w:rPr>
                <w:rFonts w:ascii="Arial Narrow" w:hAnsi="Arial Narrow"/>
                <w:sz w:val="18"/>
                <w:szCs w:val="18"/>
              </w:rPr>
            </w:pPr>
            <w:r>
              <w:rPr>
                <w:rFonts w:ascii="Arial Narrow" w:hAnsi="Arial Narrow"/>
                <w:sz w:val="18"/>
                <w:szCs w:val="18"/>
              </w:rPr>
              <w:t>+21,4</w:t>
            </w:r>
          </w:p>
        </w:tc>
        <w:tc>
          <w:tcPr>
            <w:tcW w:w="823" w:type="dxa"/>
            <w:tcBorders>
              <w:top w:val="single" w:sz="4" w:space="0" w:color="auto"/>
              <w:bottom w:val="single" w:sz="4" w:space="0" w:color="auto"/>
            </w:tcBorders>
            <w:shd w:val="clear" w:color="auto" w:fill="D9D9D9"/>
            <w:vAlign w:val="center"/>
          </w:tcPr>
          <w:p w14:paraId="2D42EDBE" w14:textId="5F9A4EE0" w:rsidR="00F374E1" w:rsidRDefault="00F374E1" w:rsidP="00F374E1">
            <w:pPr>
              <w:jc w:val="center"/>
              <w:rPr>
                <w:rFonts w:ascii="Arial Narrow" w:hAnsi="Arial Narrow"/>
                <w:sz w:val="18"/>
                <w:szCs w:val="18"/>
              </w:rPr>
            </w:pPr>
            <w:r>
              <w:rPr>
                <w:rFonts w:ascii="Arial Narrow" w:hAnsi="Arial Narrow"/>
                <w:sz w:val="18"/>
                <w:szCs w:val="18"/>
              </w:rPr>
              <w:t>+6,3</w:t>
            </w:r>
          </w:p>
        </w:tc>
        <w:tc>
          <w:tcPr>
            <w:tcW w:w="1317" w:type="dxa"/>
            <w:tcBorders>
              <w:top w:val="single" w:sz="4" w:space="0" w:color="auto"/>
              <w:bottom w:val="single" w:sz="4" w:space="0" w:color="auto"/>
            </w:tcBorders>
            <w:shd w:val="clear" w:color="auto" w:fill="D9D9D9"/>
            <w:vAlign w:val="center"/>
          </w:tcPr>
          <w:p w14:paraId="7BA76FE8" w14:textId="0FE40660" w:rsidR="00F374E1" w:rsidRDefault="00F374E1" w:rsidP="00F374E1">
            <w:pPr>
              <w:jc w:val="center"/>
              <w:rPr>
                <w:rFonts w:ascii="Arial Narrow" w:hAnsi="Arial Narrow"/>
                <w:sz w:val="18"/>
                <w:szCs w:val="18"/>
              </w:rPr>
            </w:pPr>
            <w:r>
              <w:rPr>
                <w:rFonts w:ascii="Arial Narrow" w:hAnsi="Arial Narrow"/>
                <w:sz w:val="18"/>
                <w:szCs w:val="18"/>
              </w:rPr>
              <w:t>+6,9</w:t>
            </w:r>
          </w:p>
        </w:tc>
        <w:tc>
          <w:tcPr>
            <w:tcW w:w="823" w:type="dxa"/>
            <w:tcBorders>
              <w:top w:val="single" w:sz="4" w:space="0" w:color="auto"/>
              <w:bottom w:val="single" w:sz="4" w:space="0" w:color="auto"/>
            </w:tcBorders>
            <w:vAlign w:val="center"/>
          </w:tcPr>
          <w:p w14:paraId="617D07F9" w14:textId="46C5B5B1" w:rsidR="00F374E1" w:rsidRDefault="00F374E1" w:rsidP="00F374E1">
            <w:pPr>
              <w:jc w:val="center"/>
              <w:rPr>
                <w:rFonts w:ascii="Arial Narrow" w:hAnsi="Arial Narrow"/>
                <w:sz w:val="18"/>
                <w:szCs w:val="18"/>
              </w:rPr>
            </w:pPr>
            <w:r>
              <w:rPr>
                <w:rFonts w:ascii="Arial Narrow" w:hAnsi="Arial Narrow"/>
                <w:sz w:val="18"/>
                <w:szCs w:val="18"/>
              </w:rPr>
              <w:t>+3,2</w:t>
            </w:r>
          </w:p>
        </w:tc>
        <w:tc>
          <w:tcPr>
            <w:tcW w:w="1317" w:type="dxa"/>
            <w:tcBorders>
              <w:top w:val="single" w:sz="4" w:space="0" w:color="auto"/>
              <w:bottom w:val="single" w:sz="4" w:space="0" w:color="auto"/>
            </w:tcBorders>
            <w:vAlign w:val="center"/>
          </w:tcPr>
          <w:p w14:paraId="14A7BC7E" w14:textId="6622953A" w:rsidR="00F374E1" w:rsidRDefault="00F374E1" w:rsidP="00F374E1">
            <w:pPr>
              <w:jc w:val="center"/>
              <w:rPr>
                <w:rFonts w:ascii="Arial Narrow" w:hAnsi="Arial Narrow"/>
                <w:sz w:val="18"/>
                <w:szCs w:val="18"/>
              </w:rPr>
            </w:pPr>
            <w:r>
              <w:rPr>
                <w:rFonts w:ascii="Arial Narrow" w:hAnsi="Arial Narrow"/>
                <w:sz w:val="18"/>
                <w:szCs w:val="18"/>
              </w:rPr>
              <w:t>+6,8</w:t>
            </w:r>
          </w:p>
        </w:tc>
      </w:tr>
      <w:tr w:rsidR="00F374E1" w:rsidRPr="008C0651" w14:paraId="66B73643" w14:textId="77777777" w:rsidTr="00F374E1">
        <w:trPr>
          <w:trHeight w:val="255"/>
        </w:trPr>
        <w:tc>
          <w:tcPr>
            <w:tcW w:w="1647" w:type="dxa"/>
            <w:tcBorders>
              <w:top w:val="single" w:sz="4" w:space="0" w:color="auto"/>
              <w:left w:val="nil"/>
              <w:bottom w:val="single" w:sz="4" w:space="0" w:color="auto"/>
            </w:tcBorders>
            <w:vAlign w:val="center"/>
          </w:tcPr>
          <w:p w14:paraId="7876B70C" w14:textId="77777777" w:rsidR="00F374E1" w:rsidRPr="00B076CD" w:rsidRDefault="00F374E1" w:rsidP="00F374E1">
            <w:pPr>
              <w:spacing w:before="40" w:after="20"/>
              <w:rPr>
                <w:rFonts w:ascii="Arial Narrow" w:hAnsi="Arial Narrow" w:cs="Arial"/>
                <w:sz w:val="18"/>
                <w:szCs w:val="18"/>
              </w:rPr>
            </w:pPr>
            <w:r w:rsidRPr="00B076CD">
              <w:rPr>
                <w:rFonts w:ascii="Arial Narrow" w:hAnsi="Arial Narrow" w:cs="Arial"/>
                <w:sz w:val="18"/>
                <w:szCs w:val="18"/>
              </w:rPr>
              <w:t>Beni strumentali</w:t>
            </w:r>
          </w:p>
        </w:tc>
        <w:tc>
          <w:tcPr>
            <w:tcW w:w="823" w:type="dxa"/>
            <w:tcBorders>
              <w:top w:val="single" w:sz="4" w:space="0" w:color="auto"/>
              <w:bottom w:val="single" w:sz="4" w:space="0" w:color="auto"/>
            </w:tcBorders>
            <w:shd w:val="clear" w:color="auto" w:fill="D9D9D9"/>
            <w:vAlign w:val="center"/>
          </w:tcPr>
          <w:p w14:paraId="7D59398D" w14:textId="0C4FF129" w:rsidR="00F374E1" w:rsidRDefault="00F374E1" w:rsidP="00F374E1">
            <w:pPr>
              <w:jc w:val="center"/>
              <w:rPr>
                <w:rFonts w:ascii="Arial Narrow" w:hAnsi="Arial Narrow"/>
                <w:sz w:val="18"/>
                <w:szCs w:val="18"/>
              </w:rPr>
            </w:pPr>
            <w:r>
              <w:rPr>
                <w:rFonts w:ascii="Arial Narrow" w:hAnsi="Arial Narrow"/>
                <w:sz w:val="18"/>
                <w:szCs w:val="18"/>
              </w:rPr>
              <w:t>+15,5</w:t>
            </w:r>
          </w:p>
        </w:tc>
        <w:tc>
          <w:tcPr>
            <w:tcW w:w="1316" w:type="dxa"/>
            <w:tcBorders>
              <w:top w:val="single" w:sz="4" w:space="0" w:color="auto"/>
              <w:bottom w:val="single" w:sz="4" w:space="0" w:color="auto"/>
            </w:tcBorders>
            <w:shd w:val="clear" w:color="auto" w:fill="D9D9D9"/>
            <w:vAlign w:val="center"/>
          </w:tcPr>
          <w:p w14:paraId="6301C03F" w14:textId="3B86C141" w:rsidR="00F374E1" w:rsidRDefault="00F374E1" w:rsidP="00F374E1">
            <w:pPr>
              <w:jc w:val="center"/>
              <w:rPr>
                <w:rFonts w:ascii="Arial Narrow" w:hAnsi="Arial Narrow"/>
                <w:sz w:val="18"/>
                <w:szCs w:val="18"/>
              </w:rPr>
            </w:pPr>
            <w:r>
              <w:rPr>
                <w:rFonts w:ascii="Arial Narrow" w:hAnsi="Arial Narrow"/>
                <w:sz w:val="18"/>
                <w:szCs w:val="18"/>
              </w:rPr>
              <w:t>+13,6</w:t>
            </w:r>
          </w:p>
        </w:tc>
        <w:tc>
          <w:tcPr>
            <w:tcW w:w="823" w:type="dxa"/>
            <w:tcBorders>
              <w:top w:val="single" w:sz="4" w:space="0" w:color="auto"/>
              <w:bottom w:val="single" w:sz="4" w:space="0" w:color="auto"/>
            </w:tcBorders>
            <w:vAlign w:val="center"/>
          </w:tcPr>
          <w:p w14:paraId="55390BA0" w14:textId="035E2AF5" w:rsidR="00F374E1" w:rsidRDefault="00F374E1" w:rsidP="00F374E1">
            <w:pPr>
              <w:jc w:val="center"/>
              <w:rPr>
                <w:rFonts w:ascii="Arial Narrow" w:hAnsi="Arial Narrow"/>
                <w:sz w:val="18"/>
                <w:szCs w:val="18"/>
              </w:rPr>
            </w:pPr>
            <w:r>
              <w:rPr>
                <w:rFonts w:ascii="Arial Narrow" w:hAnsi="Arial Narrow"/>
                <w:sz w:val="18"/>
                <w:szCs w:val="18"/>
              </w:rPr>
              <w:t>+15,4</w:t>
            </w:r>
          </w:p>
        </w:tc>
        <w:tc>
          <w:tcPr>
            <w:tcW w:w="1317" w:type="dxa"/>
            <w:tcBorders>
              <w:top w:val="single" w:sz="4" w:space="0" w:color="auto"/>
              <w:bottom w:val="single" w:sz="4" w:space="0" w:color="auto"/>
            </w:tcBorders>
            <w:vAlign w:val="center"/>
          </w:tcPr>
          <w:p w14:paraId="087FD1B2" w14:textId="511903DB" w:rsidR="00F374E1" w:rsidRDefault="00F374E1" w:rsidP="00F374E1">
            <w:pPr>
              <w:jc w:val="center"/>
              <w:rPr>
                <w:rFonts w:ascii="Arial Narrow" w:hAnsi="Arial Narrow"/>
                <w:sz w:val="18"/>
                <w:szCs w:val="18"/>
              </w:rPr>
            </w:pPr>
            <w:r>
              <w:rPr>
                <w:rFonts w:ascii="Arial Narrow" w:hAnsi="Arial Narrow"/>
                <w:sz w:val="18"/>
                <w:szCs w:val="18"/>
              </w:rPr>
              <w:t>+13,1</w:t>
            </w:r>
          </w:p>
        </w:tc>
        <w:tc>
          <w:tcPr>
            <w:tcW w:w="823" w:type="dxa"/>
            <w:tcBorders>
              <w:top w:val="single" w:sz="4" w:space="0" w:color="auto"/>
              <w:bottom w:val="single" w:sz="4" w:space="0" w:color="auto"/>
            </w:tcBorders>
            <w:shd w:val="clear" w:color="auto" w:fill="D9D9D9"/>
            <w:vAlign w:val="center"/>
          </w:tcPr>
          <w:p w14:paraId="2A9C419A" w14:textId="2431863E" w:rsidR="00F374E1" w:rsidRDefault="00F374E1" w:rsidP="00F374E1">
            <w:pPr>
              <w:jc w:val="center"/>
              <w:rPr>
                <w:rFonts w:ascii="Arial Narrow" w:hAnsi="Arial Narrow"/>
                <w:sz w:val="18"/>
                <w:szCs w:val="18"/>
              </w:rPr>
            </w:pPr>
            <w:r>
              <w:rPr>
                <w:rFonts w:ascii="Arial Narrow" w:hAnsi="Arial Narrow"/>
                <w:sz w:val="18"/>
                <w:szCs w:val="18"/>
              </w:rPr>
              <w:t>+4,4</w:t>
            </w:r>
          </w:p>
        </w:tc>
        <w:tc>
          <w:tcPr>
            <w:tcW w:w="1317" w:type="dxa"/>
            <w:tcBorders>
              <w:top w:val="single" w:sz="4" w:space="0" w:color="auto"/>
              <w:bottom w:val="single" w:sz="4" w:space="0" w:color="auto"/>
            </w:tcBorders>
            <w:shd w:val="clear" w:color="auto" w:fill="D9D9D9"/>
            <w:vAlign w:val="center"/>
          </w:tcPr>
          <w:p w14:paraId="478D83AA" w14:textId="300ECE4E" w:rsidR="00F374E1" w:rsidRDefault="00F374E1" w:rsidP="00F374E1">
            <w:pPr>
              <w:jc w:val="center"/>
              <w:rPr>
                <w:rFonts w:ascii="Arial Narrow" w:hAnsi="Arial Narrow"/>
                <w:sz w:val="18"/>
                <w:szCs w:val="18"/>
              </w:rPr>
            </w:pPr>
            <w:r>
              <w:rPr>
                <w:rFonts w:ascii="Arial Narrow" w:hAnsi="Arial Narrow"/>
                <w:sz w:val="18"/>
                <w:szCs w:val="18"/>
              </w:rPr>
              <w:t>-2,6</w:t>
            </w:r>
          </w:p>
        </w:tc>
        <w:tc>
          <w:tcPr>
            <w:tcW w:w="823" w:type="dxa"/>
            <w:tcBorders>
              <w:top w:val="single" w:sz="4" w:space="0" w:color="auto"/>
              <w:bottom w:val="single" w:sz="4" w:space="0" w:color="auto"/>
            </w:tcBorders>
            <w:vAlign w:val="center"/>
          </w:tcPr>
          <w:p w14:paraId="1B00FEFB" w14:textId="6F751AF4" w:rsidR="00F374E1" w:rsidRDefault="00F374E1" w:rsidP="00F374E1">
            <w:pPr>
              <w:jc w:val="center"/>
              <w:rPr>
                <w:rFonts w:ascii="Arial Narrow" w:hAnsi="Arial Narrow"/>
                <w:sz w:val="18"/>
                <w:szCs w:val="18"/>
              </w:rPr>
            </w:pPr>
            <w:r>
              <w:rPr>
                <w:rFonts w:ascii="Arial Narrow" w:hAnsi="Arial Narrow"/>
                <w:sz w:val="18"/>
                <w:szCs w:val="18"/>
              </w:rPr>
              <w:t>+15,7</w:t>
            </w:r>
          </w:p>
        </w:tc>
        <w:tc>
          <w:tcPr>
            <w:tcW w:w="1317" w:type="dxa"/>
            <w:tcBorders>
              <w:top w:val="single" w:sz="4" w:space="0" w:color="auto"/>
              <w:bottom w:val="single" w:sz="4" w:space="0" w:color="auto"/>
            </w:tcBorders>
            <w:vAlign w:val="center"/>
          </w:tcPr>
          <w:p w14:paraId="10429E15" w14:textId="32B2413D" w:rsidR="00F374E1" w:rsidRDefault="00F374E1" w:rsidP="00F374E1">
            <w:pPr>
              <w:jc w:val="center"/>
              <w:rPr>
                <w:rFonts w:ascii="Arial Narrow" w:hAnsi="Arial Narrow"/>
                <w:sz w:val="18"/>
                <w:szCs w:val="18"/>
              </w:rPr>
            </w:pPr>
            <w:r>
              <w:rPr>
                <w:rFonts w:ascii="Arial Narrow" w:hAnsi="Arial Narrow"/>
                <w:sz w:val="18"/>
                <w:szCs w:val="18"/>
              </w:rPr>
              <w:t>+1,5</w:t>
            </w:r>
          </w:p>
        </w:tc>
      </w:tr>
      <w:tr w:rsidR="00F374E1" w:rsidRPr="008C0651" w14:paraId="220FC730" w14:textId="77777777" w:rsidTr="00F374E1">
        <w:trPr>
          <w:trHeight w:val="255"/>
        </w:trPr>
        <w:tc>
          <w:tcPr>
            <w:tcW w:w="1647" w:type="dxa"/>
            <w:tcBorders>
              <w:top w:val="single" w:sz="4" w:space="0" w:color="auto"/>
              <w:left w:val="nil"/>
              <w:bottom w:val="single" w:sz="4" w:space="0" w:color="auto"/>
            </w:tcBorders>
            <w:vAlign w:val="center"/>
          </w:tcPr>
          <w:p w14:paraId="1DA98FBE" w14:textId="77777777" w:rsidR="00F374E1" w:rsidRPr="00B076CD" w:rsidRDefault="00F374E1" w:rsidP="00F374E1">
            <w:pPr>
              <w:spacing w:before="40" w:after="20"/>
              <w:rPr>
                <w:rFonts w:ascii="Arial Narrow" w:hAnsi="Arial Narrow" w:cs="Arial"/>
                <w:sz w:val="18"/>
                <w:szCs w:val="18"/>
              </w:rPr>
            </w:pPr>
            <w:r w:rsidRPr="00B076CD">
              <w:rPr>
                <w:rFonts w:ascii="Arial Narrow" w:hAnsi="Arial Narrow" w:cs="Arial"/>
                <w:sz w:val="18"/>
                <w:szCs w:val="18"/>
              </w:rPr>
              <w:t>Beni intermedi</w:t>
            </w:r>
          </w:p>
        </w:tc>
        <w:tc>
          <w:tcPr>
            <w:tcW w:w="823" w:type="dxa"/>
            <w:tcBorders>
              <w:top w:val="single" w:sz="4" w:space="0" w:color="auto"/>
              <w:bottom w:val="single" w:sz="4" w:space="0" w:color="auto"/>
            </w:tcBorders>
            <w:shd w:val="clear" w:color="auto" w:fill="D9D9D9"/>
            <w:vAlign w:val="center"/>
          </w:tcPr>
          <w:p w14:paraId="0CFC38FA" w14:textId="189F8F7E" w:rsidR="00F374E1" w:rsidRDefault="00F374E1" w:rsidP="00F374E1">
            <w:pPr>
              <w:jc w:val="center"/>
              <w:rPr>
                <w:rFonts w:ascii="Arial Narrow" w:hAnsi="Arial Narrow"/>
                <w:sz w:val="18"/>
                <w:szCs w:val="18"/>
              </w:rPr>
            </w:pPr>
            <w:r>
              <w:rPr>
                <w:rFonts w:ascii="Arial Narrow" w:hAnsi="Arial Narrow"/>
                <w:sz w:val="18"/>
                <w:szCs w:val="18"/>
              </w:rPr>
              <w:t>+21,9</w:t>
            </w:r>
          </w:p>
        </w:tc>
        <w:tc>
          <w:tcPr>
            <w:tcW w:w="1316" w:type="dxa"/>
            <w:tcBorders>
              <w:top w:val="single" w:sz="4" w:space="0" w:color="auto"/>
              <w:bottom w:val="single" w:sz="4" w:space="0" w:color="auto"/>
            </w:tcBorders>
            <w:shd w:val="clear" w:color="auto" w:fill="D9D9D9"/>
            <w:vAlign w:val="center"/>
          </w:tcPr>
          <w:p w14:paraId="43229734" w14:textId="77CFD932" w:rsidR="00F374E1" w:rsidRDefault="00F374E1" w:rsidP="00F374E1">
            <w:pPr>
              <w:jc w:val="center"/>
              <w:rPr>
                <w:rFonts w:ascii="Arial Narrow" w:hAnsi="Arial Narrow"/>
                <w:sz w:val="18"/>
                <w:szCs w:val="18"/>
              </w:rPr>
            </w:pPr>
            <w:r>
              <w:rPr>
                <w:rFonts w:ascii="Arial Narrow" w:hAnsi="Arial Narrow"/>
                <w:sz w:val="18"/>
                <w:szCs w:val="18"/>
              </w:rPr>
              <w:t>+25,6</w:t>
            </w:r>
          </w:p>
        </w:tc>
        <w:tc>
          <w:tcPr>
            <w:tcW w:w="823" w:type="dxa"/>
            <w:tcBorders>
              <w:top w:val="single" w:sz="4" w:space="0" w:color="auto"/>
              <w:bottom w:val="single" w:sz="4" w:space="0" w:color="auto"/>
            </w:tcBorders>
            <w:vAlign w:val="center"/>
          </w:tcPr>
          <w:p w14:paraId="210F6B34" w14:textId="67DDD7F2" w:rsidR="00F374E1" w:rsidRDefault="00F374E1" w:rsidP="00F374E1">
            <w:pPr>
              <w:jc w:val="center"/>
              <w:rPr>
                <w:rFonts w:ascii="Arial Narrow" w:hAnsi="Arial Narrow"/>
                <w:sz w:val="18"/>
                <w:szCs w:val="18"/>
              </w:rPr>
            </w:pPr>
            <w:r>
              <w:rPr>
                <w:rFonts w:ascii="Arial Narrow" w:hAnsi="Arial Narrow"/>
                <w:sz w:val="18"/>
                <w:szCs w:val="18"/>
              </w:rPr>
              <w:t>+19,0</w:t>
            </w:r>
          </w:p>
        </w:tc>
        <w:tc>
          <w:tcPr>
            <w:tcW w:w="1317" w:type="dxa"/>
            <w:tcBorders>
              <w:top w:val="single" w:sz="4" w:space="0" w:color="auto"/>
              <w:bottom w:val="single" w:sz="4" w:space="0" w:color="auto"/>
            </w:tcBorders>
            <w:vAlign w:val="center"/>
          </w:tcPr>
          <w:p w14:paraId="67905E0A" w14:textId="0831A802" w:rsidR="00F374E1" w:rsidRDefault="00F374E1" w:rsidP="00F374E1">
            <w:pPr>
              <w:jc w:val="center"/>
              <w:rPr>
                <w:rFonts w:ascii="Arial Narrow" w:hAnsi="Arial Narrow"/>
                <w:sz w:val="18"/>
                <w:szCs w:val="18"/>
              </w:rPr>
            </w:pPr>
            <w:r>
              <w:rPr>
                <w:rFonts w:ascii="Arial Narrow" w:hAnsi="Arial Narrow"/>
                <w:sz w:val="18"/>
                <w:szCs w:val="18"/>
              </w:rPr>
              <w:t>+26,9</w:t>
            </w:r>
          </w:p>
        </w:tc>
        <w:tc>
          <w:tcPr>
            <w:tcW w:w="823" w:type="dxa"/>
            <w:tcBorders>
              <w:top w:val="single" w:sz="4" w:space="0" w:color="auto"/>
              <w:bottom w:val="single" w:sz="4" w:space="0" w:color="auto"/>
            </w:tcBorders>
            <w:shd w:val="clear" w:color="auto" w:fill="D9D9D9"/>
            <w:vAlign w:val="center"/>
          </w:tcPr>
          <w:p w14:paraId="28748FA8" w14:textId="4C990726" w:rsidR="00F374E1" w:rsidRDefault="00F374E1" w:rsidP="00F374E1">
            <w:pPr>
              <w:jc w:val="center"/>
              <w:rPr>
                <w:rFonts w:ascii="Arial Narrow" w:hAnsi="Arial Narrow"/>
                <w:sz w:val="18"/>
                <w:szCs w:val="18"/>
              </w:rPr>
            </w:pPr>
            <w:r>
              <w:rPr>
                <w:rFonts w:ascii="Arial Narrow" w:hAnsi="Arial Narrow"/>
                <w:sz w:val="18"/>
                <w:szCs w:val="18"/>
              </w:rPr>
              <w:t>-1,9</w:t>
            </w:r>
          </w:p>
        </w:tc>
        <w:tc>
          <w:tcPr>
            <w:tcW w:w="1317" w:type="dxa"/>
            <w:tcBorders>
              <w:top w:val="single" w:sz="4" w:space="0" w:color="auto"/>
              <w:bottom w:val="single" w:sz="4" w:space="0" w:color="auto"/>
            </w:tcBorders>
            <w:shd w:val="clear" w:color="auto" w:fill="D9D9D9"/>
            <w:vAlign w:val="center"/>
          </w:tcPr>
          <w:p w14:paraId="1AB7FAB2" w14:textId="09A4804E" w:rsidR="00F374E1" w:rsidRDefault="00F374E1" w:rsidP="00F374E1">
            <w:pPr>
              <w:jc w:val="center"/>
              <w:rPr>
                <w:rFonts w:ascii="Arial Narrow" w:hAnsi="Arial Narrow"/>
                <w:sz w:val="18"/>
                <w:szCs w:val="18"/>
              </w:rPr>
            </w:pPr>
            <w:r>
              <w:rPr>
                <w:rFonts w:ascii="Arial Narrow" w:hAnsi="Arial Narrow"/>
                <w:sz w:val="18"/>
                <w:szCs w:val="18"/>
              </w:rPr>
              <w:t>-1,9</w:t>
            </w:r>
          </w:p>
        </w:tc>
        <w:tc>
          <w:tcPr>
            <w:tcW w:w="823" w:type="dxa"/>
            <w:tcBorders>
              <w:top w:val="single" w:sz="4" w:space="0" w:color="auto"/>
              <w:bottom w:val="single" w:sz="4" w:space="0" w:color="auto"/>
            </w:tcBorders>
            <w:vAlign w:val="center"/>
          </w:tcPr>
          <w:p w14:paraId="1F195043" w14:textId="17D8236D" w:rsidR="00F374E1" w:rsidRDefault="00F374E1" w:rsidP="00F374E1">
            <w:pPr>
              <w:jc w:val="center"/>
              <w:rPr>
                <w:rFonts w:ascii="Arial Narrow" w:hAnsi="Arial Narrow"/>
                <w:sz w:val="18"/>
                <w:szCs w:val="18"/>
              </w:rPr>
            </w:pPr>
            <w:r>
              <w:rPr>
                <w:rFonts w:ascii="Arial Narrow" w:hAnsi="Arial Narrow"/>
                <w:sz w:val="18"/>
                <w:szCs w:val="18"/>
              </w:rPr>
              <w:t>-0,6</w:t>
            </w:r>
          </w:p>
        </w:tc>
        <w:tc>
          <w:tcPr>
            <w:tcW w:w="1317" w:type="dxa"/>
            <w:tcBorders>
              <w:top w:val="single" w:sz="4" w:space="0" w:color="auto"/>
              <w:bottom w:val="single" w:sz="4" w:space="0" w:color="auto"/>
            </w:tcBorders>
            <w:vAlign w:val="center"/>
          </w:tcPr>
          <w:p w14:paraId="2928ECC3" w14:textId="2B9EE906" w:rsidR="00F374E1" w:rsidRDefault="00F374E1" w:rsidP="00F374E1">
            <w:pPr>
              <w:jc w:val="center"/>
              <w:rPr>
                <w:rFonts w:ascii="Arial Narrow" w:hAnsi="Arial Narrow"/>
                <w:sz w:val="18"/>
                <w:szCs w:val="18"/>
              </w:rPr>
            </w:pPr>
            <w:r>
              <w:rPr>
                <w:rFonts w:ascii="Arial Narrow" w:hAnsi="Arial Narrow"/>
                <w:sz w:val="18"/>
                <w:szCs w:val="18"/>
              </w:rPr>
              <w:t>+6,4</w:t>
            </w:r>
          </w:p>
        </w:tc>
      </w:tr>
      <w:tr w:rsidR="00F374E1" w:rsidRPr="008C0651" w14:paraId="1F8F7598" w14:textId="77777777" w:rsidTr="00F374E1">
        <w:trPr>
          <w:trHeight w:val="255"/>
        </w:trPr>
        <w:tc>
          <w:tcPr>
            <w:tcW w:w="1647" w:type="dxa"/>
            <w:tcBorders>
              <w:top w:val="single" w:sz="4" w:space="0" w:color="auto"/>
              <w:left w:val="nil"/>
              <w:bottom w:val="single" w:sz="4" w:space="0" w:color="auto"/>
            </w:tcBorders>
            <w:vAlign w:val="center"/>
          </w:tcPr>
          <w:p w14:paraId="525947D1" w14:textId="77777777" w:rsidR="00F374E1" w:rsidRPr="00B076CD" w:rsidRDefault="00F374E1" w:rsidP="00F374E1">
            <w:pPr>
              <w:spacing w:before="40" w:after="20"/>
              <w:rPr>
                <w:rFonts w:ascii="Arial Narrow" w:hAnsi="Arial Narrow" w:cs="Arial"/>
                <w:sz w:val="18"/>
                <w:szCs w:val="18"/>
              </w:rPr>
            </w:pPr>
            <w:r w:rsidRPr="00B076CD">
              <w:rPr>
                <w:rFonts w:ascii="Arial Narrow" w:hAnsi="Arial Narrow" w:cs="Arial"/>
                <w:sz w:val="18"/>
                <w:szCs w:val="18"/>
              </w:rPr>
              <w:t>Energia</w:t>
            </w:r>
          </w:p>
        </w:tc>
        <w:tc>
          <w:tcPr>
            <w:tcW w:w="823" w:type="dxa"/>
            <w:tcBorders>
              <w:top w:val="single" w:sz="4" w:space="0" w:color="auto"/>
              <w:bottom w:val="single" w:sz="4" w:space="0" w:color="auto"/>
            </w:tcBorders>
            <w:shd w:val="clear" w:color="auto" w:fill="D9D9D9"/>
            <w:vAlign w:val="center"/>
          </w:tcPr>
          <w:p w14:paraId="4624EC6D" w14:textId="609B9667" w:rsidR="00F374E1" w:rsidRDefault="00F374E1" w:rsidP="00F374E1">
            <w:pPr>
              <w:jc w:val="center"/>
              <w:rPr>
                <w:rFonts w:ascii="Arial Narrow" w:hAnsi="Arial Narrow"/>
                <w:sz w:val="18"/>
                <w:szCs w:val="18"/>
              </w:rPr>
            </w:pPr>
            <w:r>
              <w:rPr>
                <w:rFonts w:ascii="Arial Narrow" w:hAnsi="Arial Narrow"/>
                <w:sz w:val="18"/>
                <w:szCs w:val="18"/>
              </w:rPr>
              <w:t>+54,1</w:t>
            </w:r>
          </w:p>
        </w:tc>
        <w:tc>
          <w:tcPr>
            <w:tcW w:w="1316" w:type="dxa"/>
            <w:tcBorders>
              <w:top w:val="single" w:sz="4" w:space="0" w:color="auto"/>
              <w:bottom w:val="single" w:sz="4" w:space="0" w:color="auto"/>
            </w:tcBorders>
            <w:shd w:val="clear" w:color="auto" w:fill="D9D9D9"/>
            <w:vAlign w:val="center"/>
          </w:tcPr>
          <w:p w14:paraId="118EE0BA" w14:textId="4C27DD79" w:rsidR="00F374E1" w:rsidRDefault="00F374E1" w:rsidP="00F374E1">
            <w:pPr>
              <w:jc w:val="center"/>
              <w:rPr>
                <w:rFonts w:ascii="Arial Narrow" w:hAnsi="Arial Narrow"/>
                <w:sz w:val="18"/>
                <w:szCs w:val="18"/>
              </w:rPr>
            </w:pPr>
            <w:r>
              <w:rPr>
                <w:rFonts w:ascii="Arial Narrow" w:hAnsi="Arial Narrow"/>
                <w:sz w:val="18"/>
                <w:szCs w:val="18"/>
              </w:rPr>
              <w:t>+79,5</w:t>
            </w:r>
          </w:p>
        </w:tc>
        <w:tc>
          <w:tcPr>
            <w:tcW w:w="823" w:type="dxa"/>
            <w:tcBorders>
              <w:top w:val="single" w:sz="4" w:space="0" w:color="auto"/>
              <w:bottom w:val="single" w:sz="4" w:space="0" w:color="auto"/>
            </w:tcBorders>
            <w:vAlign w:val="center"/>
          </w:tcPr>
          <w:p w14:paraId="314FEBDB" w14:textId="29D0E70B" w:rsidR="00F374E1" w:rsidRDefault="00F374E1" w:rsidP="00F374E1">
            <w:pPr>
              <w:jc w:val="center"/>
              <w:rPr>
                <w:rFonts w:ascii="Arial Narrow" w:hAnsi="Arial Narrow"/>
                <w:sz w:val="18"/>
                <w:szCs w:val="18"/>
              </w:rPr>
            </w:pPr>
            <w:r>
              <w:rPr>
                <w:rFonts w:ascii="Arial Narrow" w:hAnsi="Arial Narrow"/>
                <w:sz w:val="18"/>
                <w:szCs w:val="18"/>
              </w:rPr>
              <w:t>+144,3</w:t>
            </w:r>
          </w:p>
        </w:tc>
        <w:tc>
          <w:tcPr>
            <w:tcW w:w="1317" w:type="dxa"/>
            <w:tcBorders>
              <w:top w:val="single" w:sz="4" w:space="0" w:color="auto"/>
              <w:bottom w:val="single" w:sz="4" w:space="0" w:color="auto"/>
            </w:tcBorders>
            <w:vAlign w:val="center"/>
          </w:tcPr>
          <w:p w14:paraId="6217F172" w14:textId="7CECFBA8" w:rsidR="00F374E1" w:rsidRDefault="00F374E1" w:rsidP="00F374E1">
            <w:pPr>
              <w:jc w:val="center"/>
              <w:rPr>
                <w:rFonts w:ascii="Arial Narrow" w:hAnsi="Arial Narrow"/>
                <w:sz w:val="18"/>
                <w:szCs w:val="18"/>
              </w:rPr>
            </w:pPr>
            <w:r>
              <w:rPr>
                <w:rFonts w:ascii="Arial Narrow" w:hAnsi="Arial Narrow"/>
                <w:sz w:val="18"/>
                <w:szCs w:val="18"/>
              </w:rPr>
              <w:t>+158,5</w:t>
            </w:r>
          </w:p>
        </w:tc>
        <w:tc>
          <w:tcPr>
            <w:tcW w:w="823" w:type="dxa"/>
            <w:tcBorders>
              <w:top w:val="single" w:sz="4" w:space="0" w:color="auto"/>
              <w:bottom w:val="single" w:sz="4" w:space="0" w:color="auto"/>
            </w:tcBorders>
            <w:shd w:val="clear" w:color="auto" w:fill="D9D9D9"/>
            <w:vAlign w:val="center"/>
          </w:tcPr>
          <w:p w14:paraId="4B9687CB" w14:textId="6FEE9EFA" w:rsidR="00F374E1" w:rsidRDefault="00F374E1" w:rsidP="00F374E1">
            <w:pPr>
              <w:jc w:val="center"/>
              <w:rPr>
                <w:rFonts w:ascii="Arial Narrow" w:hAnsi="Arial Narrow"/>
                <w:sz w:val="18"/>
                <w:szCs w:val="18"/>
              </w:rPr>
            </w:pPr>
            <w:r>
              <w:rPr>
                <w:rFonts w:ascii="Arial Narrow" w:hAnsi="Arial Narrow"/>
                <w:sz w:val="18"/>
                <w:szCs w:val="18"/>
              </w:rPr>
              <w:t>-1,5</w:t>
            </w:r>
          </w:p>
        </w:tc>
        <w:tc>
          <w:tcPr>
            <w:tcW w:w="1317" w:type="dxa"/>
            <w:tcBorders>
              <w:top w:val="single" w:sz="4" w:space="0" w:color="auto"/>
              <w:bottom w:val="single" w:sz="4" w:space="0" w:color="auto"/>
            </w:tcBorders>
            <w:shd w:val="clear" w:color="auto" w:fill="D9D9D9"/>
            <w:vAlign w:val="center"/>
          </w:tcPr>
          <w:p w14:paraId="68E4475E" w14:textId="66C57B1A" w:rsidR="00F374E1" w:rsidRDefault="00F374E1" w:rsidP="00F374E1">
            <w:pPr>
              <w:jc w:val="center"/>
              <w:rPr>
                <w:rFonts w:ascii="Arial Narrow" w:hAnsi="Arial Narrow"/>
                <w:sz w:val="18"/>
                <w:szCs w:val="18"/>
              </w:rPr>
            </w:pPr>
            <w:r>
              <w:rPr>
                <w:rFonts w:ascii="Arial Narrow" w:hAnsi="Arial Narrow"/>
                <w:sz w:val="18"/>
                <w:szCs w:val="18"/>
              </w:rPr>
              <w:t>+18,4</w:t>
            </w:r>
          </w:p>
        </w:tc>
        <w:tc>
          <w:tcPr>
            <w:tcW w:w="823" w:type="dxa"/>
            <w:tcBorders>
              <w:top w:val="single" w:sz="4" w:space="0" w:color="auto"/>
              <w:bottom w:val="single" w:sz="4" w:space="0" w:color="auto"/>
            </w:tcBorders>
            <w:vAlign w:val="center"/>
          </w:tcPr>
          <w:p w14:paraId="1892CC13" w14:textId="32F5A38F" w:rsidR="00F374E1" w:rsidRDefault="00F374E1" w:rsidP="00F374E1">
            <w:pPr>
              <w:jc w:val="center"/>
              <w:rPr>
                <w:rFonts w:ascii="Arial Narrow" w:hAnsi="Arial Narrow"/>
                <w:sz w:val="18"/>
                <w:szCs w:val="18"/>
              </w:rPr>
            </w:pPr>
            <w:r>
              <w:rPr>
                <w:rFonts w:ascii="Arial Narrow" w:hAnsi="Arial Narrow"/>
                <w:sz w:val="18"/>
                <w:szCs w:val="18"/>
              </w:rPr>
              <w:t>+0,4</w:t>
            </w:r>
          </w:p>
        </w:tc>
        <w:tc>
          <w:tcPr>
            <w:tcW w:w="1317" w:type="dxa"/>
            <w:tcBorders>
              <w:top w:val="single" w:sz="4" w:space="0" w:color="auto"/>
              <w:bottom w:val="single" w:sz="4" w:space="0" w:color="auto"/>
            </w:tcBorders>
            <w:vAlign w:val="center"/>
          </w:tcPr>
          <w:p w14:paraId="52ABB018" w14:textId="0226ED8E" w:rsidR="00F374E1" w:rsidRDefault="00F374E1" w:rsidP="00F374E1">
            <w:pPr>
              <w:jc w:val="center"/>
              <w:rPr>
                <w:rFonts w:ascii="Arial Narrow" w:hAnsi="Arial Narrow"/>
                <w:sz w:val="18"/>
                <w:szCs w:val="18"/>
              </w:rPr>
            </w:pPr>
            <w:r>
              <w:rPr>
                <w:rFonts w:ascii="Arial Narrow" w:hAnsi="Arial Narrow"/>
                <w:sz w:val="18"/>
                <w:szCs w:val="18"/>
              </w:rPr>
              <w:t>+4,1</w:t>
            </w:r>
          </w:p>
        </w:tc>
      </w:tr>
      <w:tr w:rsidR="00F374E1" w:rsidRPr="008C0651" w14:paraId="3C81DF4C" w14:textId="77777777" w:rsidTr="00F374E1">
        <w:trPr>
          <w:trHeight w:val="255"/>
        </w:trPr>
        <w:tc>
          <w:tcPr>
            <w:tcW w:w="1647" w:type="dxa"/>
            <w:tcBorders>
              <w:top w:val="single" w:sz="4" w:space="0" w:color="auto"/>
              <w:left w:val="nil"/>
              <w:bottom w:val="single" w:sz="4" w:space="0" w:color="auto"/>
            </w:tcBorders>
            <w:vAlign w:val="center"/>
          </w:tcPr>
          <w:p w14:paraId="5D9EF8C5" w14:textId="77777777" w:rsidR="00F374E1" w:rsidRPr="00B076CD" w:rsidRDefault="00F374E1" w:rsidP="00F374E1">
            <w:pPr>
              <w:spacing w:before="40" w:after="20"/>
              <w:rPr>
                <w:rFonts w:ascii="Arial Narrow" w:hAnsi="Arial Narrow" w:cs="Arial"/>
                <w:sz w:val="18"/>
                <w:szCs w:val="18"/>
              </w:rPr>
            </w:pPr>
            <w:r w:rsidRPr="00B076CD">
              <w:rPr>
                <w:rFonts w:ascii="Arial Narrow" w:hAnsi="Arial Narrow" w:cs="Arial"/>
                <w:sz w:val="18"/>
                <w:szCs w:val="18"/>
              </w:rPr>
              <w:t>Totale al netto dell’energia</w:t>
            </w:r>
          </w:p>
        </w:tc>
        <w:tc>
          <w:tcPr>
            <w:tcW w:w="823" w:type="dxa"/>
            <w:tcBorders>
              <w:top w:val="single" w:sz="4" w:space="0" w:color="auto"/>
              <w:bottom w:val="single" w:sz="4" w:space="0" w:color="auto"/>
            </w:tcBorders>
            <w:shd w:val="clear" w:color="auto" w:fill="D9D9D9"/>
            <w:vAlign w:val="center"/>
          </w:tcPr>
          <w:p w14:paraId="36BA9261" w14:textId="43C20983" w:rsidR="00F374E1" w:rsidRDefault="00F374E1" w:rsidP="00F374E1">
            <w:pPr>
              <w:jc w:val="center"/>
              <w:rPr>
                <w:rFonts w:ascii="Arial Narrow" w:hAnsi="Arial Narrow"/>
                <w:sz w:val="18"/>
                <w:szCs w:val="18"/>
              </w:rPr>
            </w:pPr>
            <w:r>
              <w:rPr>
                <w:rFonts w:ascii="Arial Narrow" w:hAnsi="Arial Narrow"/>
                <w:sz w:val="18"/>
                <w:szCs w:val="18"/>
              </w:rPr>
              <w:t>+17,6</w:t>
            </w:r>
          </w:p>
        </w:tc>
        <w:tc>
          <w:tcPr>
            <w:tcW w:w="1316" w:type="dxa"/>
            <w:tcBorders>
              <w:top w:val="single" w:sz="4" w:space="0" w:color="auto"/>
              <w:bottom w:val="single" w:sz="4" w:space="0" w:color="auto"/>
            </w:tcBorders>
            <w:shd w:val="clear" w:color="auto" w:fill="D9D9D9"/>
            <w:vAlign w:val="center"/>
          </w:tcPr>
          <w:p w14:paraId="2E8E73E6" w14:textId="71302464" w:rsidR="00F374E1" w:rsidRDefault="00F374E1" w:rsidP="00F374E1">
            <w:pPr>
              <w:jc w:val="center"/>
              <w:rPr>
                <w:rFonts w:ascii="Arial Narrow" w:hAnsi="Arial Narrow"/>
                <w:sz w:val="18"/>
                <w:szCs w:val="18"/>
              </w:rPr>
            </w:pPr>
            <w:r>
              <w:rPr>
                <w:rFonts w:ascii="Arial Narrow" w:hAnsi="Arial Narrow"/>
                <w:sz w:val="18"/>
                <w:szCs w:val="18"/>
              </w:rPr>
              <w:t>+18,0</w:t>
            </w:r>
          </w:p>
        </w:tc>
        <w:tc>
          <w:tcPr>
            <w:tcW w:w="823" w:type="dxa"/>
            <w:tcBorders>
              <w:top w:val="single" w:sz="4" w:space="0" w:color="auto"/>
              <w:bottom w:val="single" w:sz="4" w:space="0" w:color="auto"/>
            </w:tcBorders>
            <w:vAlign w:val="center"/>
          </w:tcPr>
          <w:p w14:paraId="2A00FE2C" w14:textId="6078CA23" w:rsidR="00F374E1" w:rsidRDefault="00F374E1" w:rsidP="00F374E1">
            <w:pPr>
              <w:jc w:val="center"/>
              <w:rPr>
                <w:rFonts w:ascii="Arial Narrow" w:hAnsi="Arial Narrow"/>
                <w:sz w:val="18"/>
                <w:szCs w:val="18"/>
              </w:rPr>
            </w:pPr>
            <w:r>
              <w:rPr>
                <w:rFonts w:ascii="Arial Narrow" w:hAnsi="Arial Narrow"/>
                <w:sz w:val="18"/>
                <w:szCs w:val="18"/>
              </w:rPr>
              <w:t>+18,6</w:t>
            </w:r>
          </w:p>
        </w:tc>
        <w:tc>
          <w:tcPr>
            <w:tcW w:w="1317" w:type="dxa"/>
            <w:tcBorders>
              <w:top w:val="single" w:sz="4" w:space="0" w:color="auto"/>
              <w:bottom w:val="single" w:sz="4" w:space="0" w:color="auto"/>
            </w:tcBorders>
            <w:vAlign w:val="center"/>
          </w:tcPr>
          <w:p w14:paraId="032399A2" w14:textId="42124D33" w:rsidR="00F374E1" w:rsidRDefault="00F374E1" w:rsidP="00F374E1">
            <w:pPr>
              <w:jc w:val="center"/>
              <w:rPr>
                <w:rFonts w:ascii="Arial Narrow" w:hAnsi="Arial Narrow"/>
                <w:sz w:val="18"/>
                <w:szCs w:val="18"/>
              </w:rPr>
            </w:pPr>
            <w:r>
              <w:rPr>
                <w:rFonts w:ascii="Arial Narrow" w:hAnsi="Arial Narrow"/>
                <w:sz w:val="18"/>
                <w:szCs w:val="18"/>
              </w:rPr>
              <w:t>+21,1</w:t>
            </w:r>
          </w:p>
        </w:tc>
        <w:tc>
          <w:tcPr>
            <w:tcW w:w="823" w:type="dxa"/>
            <w:tcBorders>
              <w:top w:val="single" w:sz="4" w:space="0" w:color="auto"/>
              <w:bottom w:val="single" w:sz="4" w:space="0" w:color="auto"/>
            </w:tcBorders>
            <w:shd w:val="clear" w:color="auto" w:fill="D9D9D9"/>
            <w:vAlign w:val="center"/>
          </w:tcPr>
          <w:p w14:paraId="07C97F72" w14:textId="502ADD55" w:rsidR="00F374E1" w:rsidRDefault="00F374E1" w:rsidP="00F374E1">
            <w:pPr>
              <w:jc w:val="center"/>
              <w:rPr>
                <w:rFonts w:ascii="Arial Narrow" w:hAnsi="Arial Narrow"/>
                <w:sz w:val="18"/>
                <w:szCs w:val="18"/>
              </w:rPr>
            </w:pPr>
            <w:r>
              <w:rPr>
                <w:rFonts w:ascii="Arial Narrow" w:hAnsi="Arial Narrow"/>
                <w:sz w:val="18"/>
                <w:szCs w:val="18"/>
              </w:rPr>
              <w:t>+2,6</w:t>
            </w:r>
          </w:p>
        </w:tc>
        <w:tc>
          <w:tcPr>
            <w:tcW w:w="1317" w:type="dxa"/>
            <w:tcBorders>
              <w:top w:val="single" w:sz="4" w:space="0" w:color="auto"/>
              <w:bottom w:val="single" w:sz="4" w:space="0" w:color="auto"/>
            </w:tcBorders>
            <w:shd w:val="clear" w:color="auto" w:fill="D9D9D9"/>
            <w:vAlign w:val="center"/>
          </w:tcPr>
          <w:p w14:paraId="582AF69B" w14:textId="3996C6DF" w:rsidR="00F374E1" w:rsidRDefault="00F374E1" w:rsidP="00F374E1">
            <w:pPr>
              <w:jc w:val="center"/>
              <w:rPr>
                <w:rFonts w:ascii="Arial Narrow" w:hAnsi="Arial Narrow"/>
                <w:sz w:val="18"/>
                <w:szCs w:val="18"/>
              </w:rPr>
            </w:pPr>
            <w:r>
              <w:rPr>
                <w:rFonts w:ascii="Arial Narrow" w:hAnsi="Arial Narrow"/>
                <w:sz w:val="18"/>
                <w:szCs w:val="18"/>
              </w:rPr>
              <w:t>+0,5</w:t>
            </w:r>
          </w:p>
        </w:tc>
        <w:tc>
          <w:tcPr>
            <w:tcW w:w="823" w:type="dxa"/>
            <w:tcBorders>
              <w:top w:val="single" w:sz="4" w:space="0" w:color="auto"/>
              <w:bottom w:val="single" w:sz="4" w:space="0" w:color="auto"/>
            </w:tcBorders>
            <w:vAlign w:val="center"/>
          </w:tcPr>
          <w:p w14:paraId="03438001" w14:textId="177BEB36" w:rsidR="00F374E1" w:rsidRDefault="00F374E1" w:rsidP="00F374E1">
            <w:pPr>
              <w:jc w:val="center"/>
              <w:rPr>
                <w:rFonts w:ascii="Arial Narrow" w:hAnsi="Arial Narrow"/>
                <w:sz w:val="18"/>
                <w:szCs w:val="18"/>
              </w:rPr>
            </w:pPr>
            <w:r>
              <w:rPr>
                <w:rFonts w:ascii="Arial Narrow" w:hAnsi="Arial Narrow"/>
                <w:sz w:val="18"/>
                <w:szCs w:val="18"/>
              </w:rPr>
              <w:t>+4,4</w:t>
            </w:r>
          </w:p>
        </w:tc>
        <w:tc>
          <w:tcPr>
            <w:tcW w:w="1317" w:type="dxa"/>
            <w:tcBorders>
              <w:top w:val="single" w:sz="4" w:space="0" w:color="auto"/>
              <w:bottom w:val="single" w:sz="4" w:space="0" w:color="auto"/>
            </w:tcBorders>
            <w:vAlign w:val="center"/>
          </w:tcPr>
          <w:p w14:paraId="4F92598A" w14:textId="4A8A80E1" w:rsidR="00F374E1" w:rsidRDefault="00F374E1" w:rsidP="00F374E1">
            <w:pPr>
              <w:jc w:val="center"/>
              <w:rPr>
                <w:rFonts w:ascii="Arial Narrow" w:hAnsi="Arial Narrow"/>
                <w:sz w:val="18"/>
                <w:szCs w:val="18"/>
              </w:rPr>
            </w:pPr>
            <w:r>
              <w:rPr>
                <w:rFonts w:ascii="Arial Narrow" w:hAnsi="Arial Narrow"/>
                <w:sz w:val="18"/>
                <w:szCs w:val="18"/>
              </w:rPr>
              <w:t>+5,0</w:t>
            </w:r>
          </w:p>
        </w:tc>
      </w:tr>
      <w:tr w:rsidR="00F374E1" w:rsidRPr="002662C0" w14:paraId="34545F88" w14:textId="77777777" w:rsidTr="00F374E1">
        <w:trPr>
          <w:trHeight w:val="255"/>
        </w:trPr>
        <w:tc>
          <w:tcPr>
            <w:tcW w:w="1647" w:type="dxa"/>
            <w:tcBorders>
              <w:top w:val="single" w:sz="4" w:space="0" w:color="auto"/>
              <w:left w:val="nil"/>
              <w:bottom w:val="single" w:sz="4" w:space="0" w:color="auto"/>
            </w:tcBorders>
            <w:shd w:val="clear" w:color="auto" w:fill="FF0000"/>
            <w:vAlign w:val="center"/>
          </w:tcPr>
          <w:p w14:paraId="5D60411F" w14:textId="77777777" w:rsidR="00F374E1" w:rsidRPr="002662C0" w:rsidRDefault="00F374E1" w:rsidP="00F374E1">
            <w:pPr>
              <w:spacing w:before="40" w:after="20"/>
              <w:rPr>
                <w:rFonts w:ascii="Arial Narrow" w:hAnsi="Arial Narrow" w:cs="Arial"/>
                <w:b/>
                <w:color w:val="FFFFFF" w:themeColor="background1"/>
                <w:sz w:val="18"/>
                <w:szCs w:val="18"/>
              </w:rPr>
            </w:pPr>
            <w:r w:rsidRPr="002662C0">
              <w:rPr>
                <w:rFonts w:ascii="Arial Narrow" w:hAnsi="Arial Narrow" w:cs="Arial"/>
                <w:b/>
                <w:color w:val="FFFFFF" w:themeColor="background1"/>
                <w:sz w:val="18"/>
                <w:szCs w:val="18"/>
              </w:rPr>
              <w:t>Totale</w:t>
            </w:r>
          </w:p>
        </w:tc>
        <w:tc>
          <w:tcPr>
            <w:tcW w:w="823" w:type="dxa"/>
            <w:tcBorders>
              <w:top w:val="single" w:sz="4" w:space="0" w:color="auto"/>
              <w:bottom w:val="single" w:sz="4" w:space="0" w:color="auto"/>
            </w:tcBorders>
            <w:shd w:val="clear" w:color="auto" w:fill="FF0000"/>
            <w:vAlign w:val="center"/>
          </w:tcPr>
          <w:p w14:paraId="50AF2C49" w14:textId="2E47B01E" w:rsidR="00F374E1" w:rsidRPr="00F374E1" w:rsidRDefault="00F374E1" w:rsidP="00F374E1">
            <w:pPr>
              <w:jc w:val="center"/>
              <w:rPr>
                <w:rFonts w:ascii="Arial Narrow" w:hAnsi="Arial Narrow"/>
                <w:b/>
                <w:color w:val="FFFFFF" w:themeColor="background1"/>
                <w:sz w:val="18"/>
                <w:szCs w:val="18"/>
              </w:rPr>
            </w:pPr>
            <w:r w:rsidRPr="00F374E1">
              <w:rPr>
                <w:rFonts w:ascii="Arial Narrow" w:hAnsi="Arial Narrow"/>
                <w:b/>
                <w:color w:val="FFFFFF" w:themeColor="background1"/>
                <w:sz w:val="18"/>
                <w:szCs w:val="18"/>
              </w:rPr>
              <w:t>+19,0</w:t>
            </w:r>
          </w:p>
        </w:tc>
        <w:tc>
          <w:tcPr>
            <w:tcW w:w="1316" w:type="dxa"/>
            <w:tcBorders>
              <w:top w:val="single" w:sz="4" w:space="0" w:color="auto"/>
              <w:bottom w:val="single" w:sz="4" w:space="0" w:color="auto"/>
            </w:tcBorders>
            <w:shd w:val="clear" w:color="auto" w:fill="FF0000"/>
            <w:vAlign w:val="center"/>
          </w:tcPr>
          <w:p w14:paraId="6B42C72E" w14:textId="13A8CFE6" w:rsidR="00F374E1" w:rsidRPr="00F374E1" w:rsidRDefault="00F374E1" w:rsidP="00F374E1">
            <w:pPr>
              <w:jc w:val="center"/>
              <w:rPr>
                <w:rFonts w:ascii="Arial Narrow" w:hAnsi="Arial Narrow"/>
                <w:b/>
                <w:color w:val="FFFFFF" w:themeColor="background1"/>
                <w:sz w:val="18"/>
                <w:szCs w:val="18"/>
              </w:rPr>
            </w:pPr>
            <w:r w:rsidRPr="00F374E1">
              <w:rPr>
                <w:rFonts w:ascii="Arial Narrow" w:hAnsi="Arial Narrow"/>
                <w:b/>
                <w:color w:val="FFFFFF" w:themeColor="background1"/>
                <w:sz w:val="18"/>
                <w:szCs w:val="18"/>
              </w:rPr>
              <w:t>+20,3</w:t>
            </w:r>
          </w:p>
        </w:tc>
        <w:tc>
          <w:tcPr>
            <w:tcW w:w="823" w:type="dxa"/>
            <w:tcBorders>
              <w:top w:val="single" w:sz="4" w:space="0" w:color="auto"/>
              <w:bottom w:val="single" w:sz="4" w:space="0" w:color="auto"/>
            </w:tcBorders>
            <w:shd w:val="clear" w:color="auto" w:fill="FF0000"/>
            <w:vAlign w:val="center"/>
          </w:tcPr>
          <w:p w14:paraId="7BE027AB" w14:textId="7FFB2787" w:rsidR="00F374E1" w:rsidRPr="00F374E1" w:rsidRDefault="00F374E1" w:rsidP="00F374E1">
            <w:pPr>
              <w:jc w:val="center"/>
              <w:rPr>
                <w:rFonts w:ascii="Arial Narrow" w:hAnsi="Arial Narrow"/>
                <w:b/>
                <w:color w:val="FFFFFF" w:themeColor="background1"/>
                <w:sz w:val="18"/>
                <w:szCs w:val="18"/>
              </w:rPr>
            </w:pPr>
            <w:r w:rsidRPr="00F374E1">
              <w:rPr>
                <w:rFonts w:ascii="Arial Narrow" w:hAnsi="Arial Narrow"/>
                <w:b/>
                <w:color w:val="FFFFFF" w:themeColor="background1"/>
                <w:sz w:val="18"/>
                <w:szCs w:val="18"/>
              </w:rPr>
              <w:t>+41,0</w:t>
            </w:r>
          </w:p>
        </w:tc>
        <w:tc>
          <w:tcPr>
            <w:tcW w:w="1317" w:type="dxa"/>
            <w:tcBorders>
              <w:top w:val="single" w:sz="4" w:space="0" w:color="auto"/>
              <w:bottom w:val="single" w:sz="4" w:space="0" w:color="auto"/>
            </w:tcBorders>
            <w:shd w:val="clear" w:color="auto" w:fill="FF0000"/>
            <w:vAlign w:val="center"/>
          </w:tcPr>
          <w:p w14:paraId="615EC3FB" w14:textId="653238B4" w:rsidR="00F374E1" w:rsidRPr="00F374E1" w:rsidRDefault="00F374E1" w:rsidP="00F374E1">
            <w:pPr>
              <w:jc w:val="center"/>
              <w:rPr>
                <w:rFonts w:ascii="Arial Narrow" w:hAnsi="Arial Narrow"/>
                <w:b/>
                <w:color w:val="FFFFFF" w:themeColor="background1"/>
                <w:sz w:val="18"/>
                <w:szCs w:val="18"/>
              </w:rPr>
            </w:pPr>
            <w:r w:rsidRPr="00F374E1">
              <w:rPr>
                <w:rFonts w:ascii="Arial Narrow" w:hAnsi="Arial Narrow"/>
                <w:b/>
                <w:color w:val="FFFFFF" w:themeColor="background1"/>
                <w:sz w:val="18"/>
                <w:szCs w:val="18"/>
              </w:rPr>
              <w:t>+41,8</w:t>
            </w:r>
          </w:p>
        </w:tc>
        <w:tc>
          <w:tcPr>
            <w:tcW w:w="823" w:type="dxa"/>
            <w:tcBorders>
              <w:top w:val="single" w:sz="4" w:space="0" w:color="auto"/>
              <w:bottom w:val="single" w:sz="4" w:space="0" w:color="auto"/>
            </w:tcBorders>
            <w:shd w:val="clear" w:color="auto" w:fill="FF0000"/>
            <w:vAlign w:val="center"/>
          </w:tcPr>
          <w:p w14:paraId="0B914D94" w14:textId="35FDB60F" w:rsidR="00F374E1" w:rsidRPr="00F374E1" w:rsidRDefault="00F374E1" w:rsidP="00F374E1">
            <w:pPr>
              <w:jc w:val="center"/>
              <w:rPr>
                <w:rFonts w:ascii="Arial Narrow" w:hAnsi="Arial Narrow"/>
                <w:b/>
                <w:color w:val="FFFFFF" w:themeColor="background1"/>
                <w:sz w:val="18"/>
                <w:szCs w:val="18"/>
              </w:rPr>
            </w:pPr>
            <w:r w:rsidRPr="00F374E1">
              <w:rPr>
                <w:rFonts w:ascii="Arial Narrow" w:hAnsi="Arial Narrow"/>
                <w:b/>
                <w:color w:val="FFFFFF" w:themeColor="background1"/>
                <w:sz w:val="18"/>
                <w:szCs w:val="18"/>
              </w:rPr>
              <w:t>+2,1</w:t>
            </w:r>
          </w:p>
        </w:tc>
        <w:tc>
          <w:tcPr>
            <w:tcW w:w="1317" w:type="dxa"/>
            <w:tcBorders>
              <w:top w:val="single" w:sz="4" w:space="0" w:color="auto"/>
              <w:bottom w:val="single" w:sz="4" w:space="0" w:color="auto"/>
            </w:tcBorders>
            <w:shd w:val="clear" w:color="auto" w:fill="FF0000"/>
            <w:vAlign w:val="center"/>
          </w:tcPr>
          <w:p w14:paraId="6059CEA0" w14:textId="27806A3A" w:rsidR="00F374E1" w:rsidRPr="00F374E1" w:rsidRDefault="00F374E1" w:rsidP="00F374E1">
            <w:pPr>
              <w:jc w:val="center"/>
              <w:rPr>
                <w:rFonts w:ascii="Arial Narrow" w:hAnsi="Arial Narrow"/>
                <w:b/>
                <w:color w:val="FFFFFF" w:themeColor="background1"/>
                <w:sz w:val="18"/>
                <w:szCs w:val="18"/>
              </w:rPr>
            </w:pPr>
            <w:r w:rsidRPr="00F374E1">
              <w:rPr>
                <w:rFonts w:ascii="Arial Narrow" w:hAnsi="Arial Narrow"/>
                <w:b/>
                <w:color w:val="FFFFFF" w:themeColor="background1"/>
                <w:sz w:val="18"/>
                <w:szCs w:val="18"/>
              </w:rPr>
              <w:t>+0,7</w:t>
            </w:r>
          </w:p>
        </w:tc>
        <w:tc>
          <w:tcPr>
            <w:tcW w:w="823" w:type="dxa"/>
            <w:tcBorders>
              <w:top w:val="single" w:sz="4" w:space="0" w:color="auto"/>
              <w:bottom w:val="single" w:sz="4" w:space="0" w:color="auto"/>
            </w:tcBorders>
            <w:shd w:val="clear" w:color="auto" w:fill="FF0000"/>
            <w:vAlign w:val="center"/>
          </w:tcPr>
          <w:p w14:paraId="7058C23D" w14:textId="0772736C" w:rsidR="00F374E1" w:rsidRPr="00F374E1" w:rsidRDefault="00F374E1" w:rsidP="00F374E1">
            <w:pPr>
              <w:jc w:val="center"/>
              <w:rPr>
                <w:rFonts w:ascii="Arial Narrow" w:hAnsi="Arial Narrow"/>
                <w:b/>
                <w:color w:val="FFFFFF" w:themeColor="background1"/>
                <w:sz w:val="18"/>
                <w:szCs w:val="18"/>
              </w:rPr>
            </w:pPr>
            <w:r w:rsidRPr="00F374E1">
              <w:rPr>
                <w:rFonts w:ascii="Arial Narrow" w:hAnsi="Arial Narrow"/>
                <w:b/>
                <w:color w:val="FFFFFF" w:themeColor="background1"/>
                <w:sz w:val="18"/>
                <w:szCs w:val="18"/>
              </w:rPr>
              <w:t>-0,5</w:t>
            </w:r>
          </w:p>
        </w:tc>
        <w:tc>
          <w:tcPr>
            <w:tcW w:w="1317" w:type="dxa"/>
            <w:tcBorders>
              <w:top w:val="single" w:sz="4" w:space="0" w:color="auto"/>
              <w:bottom w:val="single" w:sz="4" w:space="0" w:color="auto"/>
            </w:tcBorders>
            <w:shd w:val="clear" w:color="auto" w:fill="FF0000"/>
            <w:vAlign w:val="center"/>
          </w:tcPr>
          <w:p w14:paraId="18209081" w14:textId="636B577C" w:rsidR="00F374E1" w:rsidRPr="00F374E1" w:rsidRDefault="00F374E1" w:rsidP="00F374E1">
            <w:pPr>
              <w:jc w:val="center"/>
              <w:rPr>
                <w:rFonts w:ascii="Arial Narrow" w:hAnsi="Arial Narrow"/>
                <w:b/>
                <w:color w:val="FFFFFF" w:themeColor="background1"/>
                <w:sz w:val="18"/>
                <w:szCs w:val="18"/>
              </w:rPr>
            </w:pPr>
            <w:r w:rsidRPr="00F374E1">
              <w:rPr>
                <w:rFonts w:ascii="Arial Narrow" w:hAnsi="Arial Narrow"/>
                <w:b/>
                <w:color w:val="FFFFFF" w:themeColor="background1"/>
                <w:sz w:val="18"/>
                <w:szCs w:val="18"/>
              </w:rPr>
              <w:t>+1,2</w:t>
            </w:r>
          </w:p>
        </w:tc>
      </w:tr>
    </w:tbl>
    <w:p w14:paraId="20693870" w14:textId="23627875" w:rsidR="002B3371" w:rsidRPr="009960AB" w:rsidRDefault="004133BF" w:rsidP="00870A39">
      <w:pPr>
        <w:pStyle w:val="Corpotesto1"/>
        <w:spacing w:before="120"/>
        <w:rPr>
          <w:rFonts w:ascii="Arial" w:hAnsi="Arial"/>
          <w:b w:val="0"/>
          <w:kern w:val="28"/>
          <w:sz w:val="21"/>
          <w:szCs w:val="21"/>
          <w:lang w:val="it-IT" w:eastAsia="it-IT"/>
        </w:rPr>
      </w:pPr>
      <w:r w:rsidRPr="00695994">
        <w:rPr>
          <w:rFonts w:ascii="Arial" w:hAnsi="Arial"/>
          <w:b w:val="0"/>
          <w:kern w:val="28"/>
          <w:sz w:val="21"/>
          <w:szCs w:val="21"/>
          <w:lang w:val="it-IT" w:eastAsia="it-IT"/>
        </w:rPr>
        <w:t xml:space="preserve">L’aumento </w:t>
      </w:r>
      <w:r w:rsidR="00D47C3A" w:rsidRPr="00695994">
        <w:rPr>
          <w:rFonts w:ascii="Arial" w:hAnsi="Arial"/>
          <w:b w:val="0"/>
          <w:kern w:val="28"/>
          <w:sz w:val="21"/>
          <w:szCs w:val="21"/>
          <w:lang w:val="it-IT" w:eastAsia="it-IT"/>
        </w:rPr>
        <w:t>tendenziale</w:t>
      </w:r>
      <w:r w:rsidRPr="00695994">
        <w:rPr>
          <w:rFonts w:ascii="Arial" w:hAnsi="Arial"/>
          <w:b w:val="0"/>
          <w:kern w:val="28"/>
          <w:sz w:val="21"/>
          <w:szCs w:val="21"/>
          <w:lang w:val="it-IT" w:eastAsia="it-IT"/>
        </w:rPr>
        <w:t xml:space="preserve"> dei valori medi unitari dell’export è dovuto alla crescita rilevata p</w:t>
      </w:r>
      <w:r w:rsidR="00252584" w:rsidRPr="00695994">
        <w:rPr>
          <w:rFonts w:ascii="Arial" w:hAnsi="Arial"/>
          <w:b w:val="0"/>
          <w:kern w:val="28"/>
          <w:sz w:val="21"/>
          <w:szCs w:val="21"/>
          <w:lang w:val="it-IT" w:eastAsia="it-IT"/>
        </w:rPr>
        <w:t>er i paesi sia dell’area Ue (+16</w:t>
      </w:r>
      <w:r w:rsidRPr="00695994">
        <w:rPr>
          <w:rFonts w:ascii="Arial" w:hAnsi="Arial"/>
          <w:b w:val="0"/>
          <w:kern w:val="28"/>
          <w:sz w:val="21"/>
          <w:szCs w:val="21"/>
          <w:lang w:val="it-IT" w:eastAsia="it-IT"/>
        </w:rPr>
        <w:t>,</w:t>
      </w:r>
      <w:r w:rsidR="00252584" w:rsidRPr="00695994">
        <w:rPr>
          <w:rFonts w:ascii="Arial" w:hAnsi="Arial"/>
          <w:b w:val="0"/>
          <w:kern w:val="28"/>
          <w:sz w:val="21"/>
          <w:szCs w:val="21"/>
          <w:lang w:val="it-IT" w:eastAsia="it-IT"/>
        </w:rPr>
        <w:t>5</w:t>
      </w:r>
      <w:r w:rsidR="00870A39" w:rsidRPr="00695994">
        <w:rPr>
          <w:rFonts w:ascii="Arial" w:hAnsi="Arial"/>
          <w:b w:val="0"/>
          <w:kern w:val="28"/>
          <w:sz w:val="21"/>
          <w:szCs w:val="21"/>
          <w:lang w:val="it-IT" w:eastAsia="it-IT"/>
        </w:rPr>
        <w:t>%) sia dell’area extra Ue (+2</w:t>
      </w:r>
      <w:r w:rsidR="00252584" w:rsidRPr="00695994">
        <w:rPr>
          <w:rFonts w:ascii="Arial" w:hAnsi="Arial"/>
          <w:b w:val="0"/>
          <w:kern w:val="28"/>
          <w:sz w:val="21"/>
          <w:szCs w:val="21"/>
          <w:lang w:val="it-IT" w:eastAsia="it-IT"/>
        </w:rPr>
        <w:t>2</w:t>
      </w:r>
      <w:r w:rsidRPr="00695994">
        <w:rPr>
          <w:rFonts w:ascii="Arial" w:hAnsi="Arial"/>
          <w:b w:val="0"/>
          <w:kern w:val="28"/>
          <w:sz w:val="21"/>
          <w:szCs w:val="21"/>
          <w:lang w:val="it-IT" w:eastAsia="it-IT"/>
        </w:rPr>
        <w:t>,</w:t>
      </w:r>
      <w:r w:rsidR="00252584" w:rsidRPr="00695994">
        <w:rPr>
          <w:rFonts w:ascii="Arial" w:hAnsi="Arial"/>
          <w:b w:val="0"/>
          <w:kern w:val="28"/>
          <w:sz w:val="21"/>
          <w:szCs w:val="21"/>
          <w:lang w:val="it-IT" w:eastAsia="it-IT"/>
        </w:rPr>
        <w:t>3</w:t>
      </w:r>
      <w:r w:rsidRPr="00695994">
        <w:rPr>
          <w:rFonts w:ascii="Arial" w:hAnsi="Arial"/>
          <w:b w:val="0"/>
          <w:kern w:val="28"/>
          <w:sz w:val="21"/>
          <w:szCs w:val="21"/>
          <w:lang w:val="it-IT" w:eastAsia="it-IT"/>
        </w:rPr>
        <w:t>%); per l’import,</w:t>
      </w:r>
      <w:r w:rsidR="00D47C3A" w:rsidRPr="00695994">
        <w:rPr>
          <w:rFonts w:ascii="Arial" w:hAnsi="Arial"/>
          <w:b w:val="0"/>
          <w:kern w:val="28"/>
          <w:sz w:val="21"/>
          <w:szCs w:val="21"/>
          <w:lang w:val="it-IT" w:eastAsia="it-IT"/>
        </w:rPr>
        <w:t xml:space="preserve"> pur interessando entrambi i mercati, </w:t>
      </w:r>
      <w:r w:rsidRPr="00695994">
        <w:rPr>
          <w:rFonts w:ascii="Arial" w:hAnsi="Arial"/>
          <w:b w:val="0"/>
          <w:kern w:val="28"/>
          <w:sz w:val="21"/>
          <w:szCs w:val="21"/>
          <w:lang w:val="it-IT" w:eastAsia="it-IT"/>
        </w:rPr>
        <w:t xml:space="preserve">l’aumento è molto più </w:t>
      </w:r>
      <w:r w:rsidR="00D47C3A" w:rsidRPr="00695994">
        <w:rPr>
          <w:rFonts w:ascii="Arial" w:hAnsi="Arial"/>
          <w:b w:val="0"/>
          <w:kern w:val="28"/>
          <w:sz w:val="21"/>
          <w:szCs w:val="21"/>
          <w:lang w:val="it-IT" w:eastAsia="it-IT"/>
        </w:rPr>
        <w:t>marcato</w:t>
      </w:r>
      <w:r w:rsidRPr="00695994">
        <w:rPr>
          <w:rFonts w:ascii="Arial" w:hAnsi="Arial"/>
          <w:b w:val="0"/>
          <w:kern w:val="28"/>
          <w:sz w:val="21"/>
          <w:szCs w:val="21"/>
          <w:lang w:val="it-IT" w:eastAsia="it-IT"/>
        </w:rPr>
        <w:t xml:space="preserve"> per gli acquisti da</w:t>
      </w:r>
      <w:r w:rsidR="00252584" w:rsidRPr="00695994">
        <w:rPr>
          <w:rFonts w:ascii="Arial" w:hAnsi="Arial"/>
          <w:b w:val="0"/>
          <w:kern w:val="28"/>
          <w:sz w:val="21"/>
          <w:szCs w:val="21"/>
          <w:lang w:val="it-IT" w:eastAsia="it-IT"/>
        </w:rPr>
        <w:t>i paesi extra Ue (+64</w:t>
      </w:r>
      <w:r w:rsidRPr="00695994">
        <w:rPr>
          <w:rFonts w:ascii="Arial" w:hAnsi="Arial"/>
          <w:b w:val="0"/>
          <w:kern w:val="28"/>
          <w:sz w:val="21"/>
          <w:szCs w:val="21"/>
          <w:lang w:val="it-IT" w:eastAsia="it-IT"/>
        </w:rPr>
        <w:t>,</w:t>
      </w:r>
      <w:r w:rsidR="00252584" w:rsidRPr="00695994">
        <w:rPr>
          <w:rFonts w:ascii="Arial" w:hAnsi="Arial"/>
          <w:b w:val="0"/>
          <w:kern w:val="28"/>
          <w:sz w:val="21"/>
          <w:szCs w:val="21"/>
          <w:lang w:val="it-IT" w:eastAsia="it-IT"/>
        </w:rPr>
        <w:t>5</w:t>
      </w:r>
      <w:r w:rsidRPr="00695994">
        <w:rPr>
          <w:rFonts w:ascii="Arial" w:hAnsi="Arial"/>
          <w:b w:val="0"/>
          <w:kern w:val="28"/>
          <w:sz w:val="21"/>
          <w:szCs w:val="21"/>
          <w:lang w:val="it-IT" w:eastAsia="it-IT"/>
        </w:rPr>
        <w:t xml:space="preserve">%). </w:t>
      </w:r>
      <w:r w:rsidR="00870A39" w:rsidRPr="00695994">
        <w:rPr>
          <w:rFonts w:ascii="Arial" w:hAnsi="Arial"/>
          <w:b w:val="0"/>
          <w:kern w:val="28"/>
          <w:sz w:val="21"/>
          <w:szCs w:val="21"/>
          <w:lang w:val="it-IT" w:eastAsia="it-IT"/>
        </w:rPr>
        <w:t>La crescita su base annua dei valori medi unitari dei prodotti energetici si conferma mol</w:t>
      </w:r>
      <w:r w:rsidR="00252584" w:rsidRPr="00695994">
        <w:rPr>
          <w:rFonts w:ascii="Arial" w:hAnsi="Arial"/>
          <w:b w:val="0"/>
          <w:kern w:val="28"/>
          <w:sz w:val="21"/>
          <w:szCs w:val="21"/>
          <w:lang w:val="it-IT" w:eastAsia="it-IT"/>
        </w:rPr>
        <w:t>to sostenuta, sia all’export (+54</w:t>
      </w:r>
      <w:r w:rsidR="00870A39" w:rsidRPr="00695994">
        <w:rPr>
          <w:rFonts w:ascii="Arial" w:hAnsi="Arial"/>
          <w:b w:val="0"/>
          <w:kern w:val="28"/>
          <w:sz w:val="21"/>
          <w:szCs w:val="21"/>
          <w:lang w:val="it-IT" w:eastAsia="it-IT"/>
        </w:rPr>
        <w:t>,</w:t>
      </w:r>
      <w:r w:rsidR="00252584" w:rsidRPr="00695994">
        <w:rPr>
          <w:rFonts w:ascii="Arial" w:hAnsi="Arial"/>
          <w:b w:val="0"/>
          <w:kern w:val="28"/>
          <w:sz w:val="21"/>
          <w:szCs w:val="21"/>
          <w:lang w:val="it-IT" w:eastAsia="it-IT"/>
        </w:rPr>
        <w:t>1</w:t>
      </w:r>
      <w:r w:rsidR="00870A39" w:rsidRPr="00695994">
        <w:rPr>
          <w:rFonts w:ascii="Arial" w:hAnsi="Arial"/>
          <w:b w:val="0"/>
          <w:kern w:val="28"/>
          <w:sz w:val="21"/>
          <w:szCs w:val="21"/>
          <w:lang w:val="it-IT" w:eastAsia="it-IT"/>
        </w:rPr>
        <w:t>%), sia soprattutto all’import (+1</w:t>
      </w:r>
      <w:r w:rsidR="00252584" w:rsidRPr="00695994">
        <w:rPr>
          <w:rFonts w:ascii="Arial" w:hAnsi="Arial"/>
          <w:b w:val="0"/>
          <w:kern w:val="28"/>
          <w:sz w:val="21"/>
          <w:szCs w:val="21"/>
          <w:lang w:val="it-IT" w:eastAsia="it-IT"/>
        </w:rPr>
        <w:t>44</w:t>
      </w:r>
      <w:r w:rsidR="00870A39" w:rsidRPr="00695994">
        <w:rPr>
          <w:rFonts w:ascii="Arial" w:hAnsi="Arial"/>
          <w:b w:val="0"/>
          <w:kern w:val="28"/>
          <w:sz w:val="21"/>
          <w:szCs w:val="21"/>
          <w:lang w:val="it-IT" w:eastAsia="it-IT"/>
        </w:rPr>
        <w:t>,</w:t>
      </w:r>
      <w:r w:rsidR="00252584" w:rsidRPr="00695994">
        <w:rPr>
          <w:rFonts w:ascii="Arial" w:hAnsi="Arial"/>
          <w:b w:val="0"/>
          <w:kern w:val="28"/>
          <w:sz w:val="21"/>
          <w:szCs w:val="21"/>
          <w:lang w:val="it-IT" w:eastAsia="it-IT"/>
        </w:rPr>
        <w:t>3</w:t>
      </w:r>
      <w:r w:rsidR="00870A39" w:rsidRPr="00695994">
        <w:rPr>
          <w:rFonts w:ascii="Arial" w:hAnsi="Arial"/>
          <w:b w:val="0"/>
          <w:kern w:val="28"/>
          <w:sz w:val="21"/>
          <w:szCs w:val="21"/>
          <w:lang w:val="it-IT" w:eastAsia="it-IT"/>
        </w:rPr>
        <w:t>%)</w:t>
      </w:r>
      <w:r w:rsidR="00D47C3A" w:rsidRPr="00695994">
        <w:rPr>
          <w:rFonts w:ascii="Arial" w:hAnsi="Arial"/>
          <w:b w:val="0"/>
          <w:kern w:val="28"/>
          <w:sz w:val="21"/>
          <w:szCs w:val="21"/>
          <w:lang w:val="it-IT" w:eastAsia="it-IT"/>
        </w:rPr>
        <w:t>.</w:t>
      </w:r>
    </w:p>
    <w:p w14:paraId="09A486A4" w14:textId="49965B6A" w:rsidR="002B3BA3" w:rsidRPr="007801C1" w:rsidRDefault="00B13FB7" w:rsidP="001A424B">
      <w:pPr>
        <w:pStyle w:val="Rientrocorpodeltesto"/>
        <w:spacing w:before="240"/>
        <w:ind w:left="0" w:right="84"/>
        <w:rPr>
          <w:rFonts w:ascii="Calibri" w:hAnsi="Calibri" w:cs="Calibri"/>
          <w:color w:val="E42618"/>
          <w:sz w:val="36"/>
          <w:szCs w:val="36"/>
        </w:rPr>
      </w:pPr>
      <w:r w:rsidRPr="007801C1">
        <w:rPr>
          <w:rFonts w:ascii="Calibri" w:hAnsi="Calibri" w:cs="Calibri"/>
          <w:color w:val="E42618"/>
          <w:sz w:val="36"/>
          <w:szCs w:val="36"/>
        </w:rPr>
        <w:lastRenderedPageBreak/>
        <w:t>Prezzi all’importazione</w:t>
      </w:r>
    </w:p>
    <w:p w14:paraId="07CDF0DD" w14:textId="77777777" w:rsidR="00147CB5" w:rsidRPr="007801C1" w:rsidRDefault="002B3BA3" w:rsidP="00147CB5">
      <w:pPr>
        <w:jc w:val="both"/>
        <w:rPr>
          <w:rFonts w:ascii="Arial Narrow" w:hAnsi="Arial Narrow" w:cs="Arial"/>
          <w:b/>
          <w:color w:val="5F5F5F"/>
          <w:sz w:val="22"/>
          <w:szCs w:val="22"/>
        </w:rPr>
      </w:pPr>
      <w:r w:rsidRPr="007801C1">
        <w:rPr>
          <w:rFonts w:ascii="Arial Narrow" w:hAnsi="Arial Narrow" w:cs="Arial"/>
          <w:b/>
          <w:color w:val="E42618"/>
          <w:sz w:val="22"/>
          <w:szCs w:val="22"/>
        </w:rPr>
        <w:t xml:space="preserve">PROSPETTO </w:t>
      </w:r>
      <w:r w:rsidR="00B076CD" w:rsidRPr="007801C1">
        <w:rPr>
          <w:rFonts w:ascii="Arial Narrow" w:hAnsi="Arial Narrow" w:cs="Arial"/>
          <w:b/>
          <w:color w:val="E42618"/>
          <w:sz w:val="22"/>
          <w:szCs w:val="22"/>
        </w:rPr>
        <w:t>5</w:t>
      </w:r>
      <w:r w:rsidRPr="007801C1">
        <w:rPr>
          <w:rFonts w:ascii="Arial Narrow" w:hAnsi="Arial Narrow" w:cs="Arial"/>
          <w:b/>
          <w:color w:val="E42618"/>
          <w:sz w:val="22"/>
          <w:szCs w:val="22"/>
        </w:rPr>
        <w:t>.</w:t>
      </w:r>
      <w:r w:rsidRPr="007801C1">
        <w:rPr>
          <w:rFonts w:ascii="Arial Narrow" w:hAnsi="Arial Narrow" w:cs="Arial"/>
          <w:b/>
          <w:color w:val="5F5F5F"/>
        </w:rPr>
        <w:t xml:space="preserve"> </w:t>
      </w:r>
      <w:r w:rsidRPr="007801C1">
        <w:rPr>
          <w:rFonts w:ascii="Arial Narrow" w:hAnsi="Arial Narrow" w:cs="Arial"/>
          <w:b/>
          <w:color w:val="5F5F5F"/>
          <w:sz w:val="22"/>
          <w:szCs w:val="22"/>
        </w:rPr>
        <w:t>INDICI DEI PREZZI ALL’IMPORTAZIONE PER RAGGRUPPAMENTO PRINCIPALE DI INDUSTRIE</w:t>
      </w:r>
    </w:p>
    <w:p w14:paraId="029DF301" w14:textId="066B54FA" w:rsidR="00537BEB" w:rsidRDefault="00271F9E" w:rsidP="00537BEB">
      <w:pPr>
        <w:pStyle w:val="Corpodeltesto1"/>
        <w:spacing w:after="120"/>
        <w:jc w:val="left"/>
        <w:rPr>
          <w:rFonts w:ascii="Arial Narrow" w:hAnsi="Arial Narrow" w:cs="Arial"/>
          <w:b w:val="0"/>
          <w:color w:val="5F5F5F"/>
          <w:kern w:val="28"/>
          <w:sz w:val="20"/>
          <w:szCs w:val="20"/>
        </w:rPr>
      </w:pPr>
      <w:r>
        <w:rPr>
          <w:rFonts w:ascii="Arial Narrow" w:hAnsi="Arial Narrow" w:cs="Arial"/>
          <w:b w:val="0"/>
          <w:color w:val="5F5F5F"/>
          <w:kern w:val="28"/>
          <w:sz w:val="20"/>
          <w:szCs w:val="20"/>
        </w:rPr>
        <w:t>Settembre</w:t>
      </w:r>
      <w:r w:rsidR="00127273" w:rsidRPr="007801C1">
        <w:rPr>
          <w:rFonts w:ascii="Arial Narrow" w:hAnsi="Arial Narrow" w:cs="Arial"/>
          <w:b w:val="0"/>
          <w:color w:val="5F5F5F"/>
          <w:kern w:val="28"/>
          <w:sz w:val="20"/>
          <w:szCs w:val="20"/>
        </w:rPr>
        <w:t xml:space="preserve"> 2022</w:t>
      </w:r>
      <w:r w:rsidR="00537BEB" w:rsidRPr="007801C1">
        <w:rPr>
          <w:rFonts w:ascii="Arial Narrow" w:hAnsi="Arial Narrow" w:cs="Arial"/>
          <w:b w:val="0"/>
          <w:color w:val="5F5F5F"/>
          <w:kern w:val="28"/>
          <w:sz w:val="20"/>
          <w:szCs w:val="20"/>
        </w:rPr>
        <w:t>, variazioni percentuali congiunturali e tendenziali (base 2015=100)</w:t>
      </w:r>
    </w:p>
    <w:tbl>
      <w:tblPr>
        <w:tblW w:w="10206" w:type="dxa"/>
        <w:tblBorders>
          <w:top w:val="single" w:sz="4" w:space="0" w:color="333333"/>
          <w:bottom w:val="single" w:sz="4" w:space="0" w:color="333333"/>
          <w:insideH w:val="single" w:sz="4" w:space="0" w:color="333333"/>
        </w:tblBorders>
        <w:tblLayout w:type="fixed"/>
        <w:tblCellMar>
          <w:left w:w="68" w:type="dxa"/>
          <w:right w:w="68" w:type="dxa"/>
        </w:tblCellMar>
        <w:tblLook w:val="0000" w:firstRow="0" w:lastRow="0" w:firstColumn="0" w:lastColumn="0" w:noHBand="0" w:noVBand="0"/>
      </w:tblPr>
      <w:tblGrid>
        <w:gridCol w:w="2317"/>
        <w:gridCol w:w="1157"/>
        <w:gridCol w:w="1334"/>
        <w:gridCol w:w="1346"/>
        <w:gridCol w:w="1349"/>
        <w:gridCol w:w="1345"/>
        <w:gridCol w:w="1346"/>
        <w:gridCol w:w="12"/>
      </w:tblGrid>
      <w:tr w:rsidR="00A84F05" w:rsidRPr="005E4472" w14:paraId="7414EFA2" w14:textId="77777777" w:rsidTr="007815EF">
        <w:trPr>
          <w:cantSplit/>
          <w:trHeight w:val="255"/>
        </w:trPr>
        <w:tc>
          <w:tcPr>
            <w:tcW w:w="2317" w:type="dxa"/>
            <w:vMerge w:val="restart"/>
            <w:shd w:val="clear" w:color="auto" w:fill="auto"/>
            <w:tcMar>
              <w:left w:w="0" w:type="dxa"/>
              <w:right w:w="0" w:type="dxa"/>
            </w:tcMar>
            <w:vAlign w:val="center"/>
          </w:tcPr>
          <w:p w14:paraId="0901ECAC" w14:textId="77777777" w:rsidR="00A84F05" w:rsidRPr="005E4472" w:rsidRDefault="00A84F05" w:rsidP="007815EF">
            <w:pPr>
              <w:tabs>
                <w:tab w:val="left" w:pos="-4253"/>
                <w:tab w:val="left" w:pos="565"/>
                <w:tab w:val="left" w:pos="1258"/>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40" w:after="20"/>
              <w:rPr>
                <w:rFonts w:ascii="Arial Narrow" w:hAnsi="Arial Narrow" w:cs="Arial"/>
                <w:b/>
                <w:sz w:val="18"/>
                <w:szCs w:val="18"/>
              </w:rPr>
            </w:pPr>
            <w:r w:rsidRPr="005E4472">
              <w:rPr>
                <w:rFonts w:ascii="Arial Narrow" w:hAnsi="Arial Narrow" w:cs="Arial"/>
                <w:b/>
                <w:sz w:val="18"/>
                <w:szCs w:val="18"/>
              </w:rPr>
              <w:t xml:space="preserve">RAGGRUPPAMENTI </w:t>
            </w:r>
            <w:r>
              <w:rPr>
                <w:rFonts w:ascii="Arial Narrow" w:hAnsi="Arial Narrow" w:cs="Arial"/>
                <w:b/>
                <w:sz w:val="18"/>
                <w:szCs w:val="18"/>
              </w:rPr>
              <w:br/>
            </w:r>
            <w:r w:rsidRPr="005E4472">
              <w:rPr>
                <w:rFonts w:ascii="Arial Narrow" w:hAnsi="Arial Narrow" w:cs="Arial"/>
                <w:b/>
                <w:sz w:val="18"/>
                <w:szCs w:val="18"/>
              </w:rPr>
              <w:t>PRINCIPALI DI INDUSTRIE</w:t>
            </w:r>
          </w:p>
        </w:tc>
        <w:tc>
          <w:tcPr>
            <w:tcW w:w="2491" w:type="dxa"/>
            <w:gridSpan w:val="2"/>
            <w:shd w:val="clear" w:color="auto" w:fill="D9D9D9"/>
            <w:tcMar>
              <w:left w:w="0" w:type="dxa"/>
              <w:right w:w="0" w:type="dxa"/>
            </w:tcMar>
            <w:vAlign w:val="center"/>
          </w:tcPr>
          <w:p w14:paraId="29E12687" w14:textId="77777777" w:rsidR="00A84F05" w:rsidRPr="005E4472" w:rsidRDefault="00A84F05" w:rsidP="007815EF">
            <w:pPr>
              <w:tabs>
                <w:tab w:val="left" w:pos="-774"/>
                <w:tab w:val="left" w:pos="-690"/>
                <w:tab w:val="left" w:pos="1258"/>
                <w:tab w:val="left" w:pos="1350"/>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40" w:after="20"/>
              <w:jc w:val="center"/>
              <w:rPr>
                <w:rFonts w:ascii="Arial Narrow" w:hAnsi="Arial Narrow" w:cs="Arial"/>
                <w:b/>
                <w:sz w:val="18"/>
                <w:szCs w:val="18"/>
              </w:rPr>
            </w:pPr>
            <w:r w:rsidRPr="005E4472">
              <w:rPr>
                <w:rFonts w:ascii="Arial Narrow" w:hAnsi="Arial Narrow" w:cs="Arial"/>
                <w:b/>
                <w:sz w:val="18"/>
                <w:szCs w:val="18"/>
              </w:rPr>
              <w:t>Totale</w:t>
            </w:r>
          </w:p>
        </w:tc>
        <w:tc>
          <w:tcPr>
            <w:tcW w:w="2695" w:type="dxa"/>
            <w:gridSpan w:val="2"/>
            <w:shd w:val="clear" w:color="auto" w:fill="auto"/>
            <w:vAlign w:val="center"/>
          </w:tcPr>
          <w:p w14:paraId="3D8FCAAE" w14:textId="77777777" w:rsidR="00A84F05" w:rsidRPr="005E4472" w:rsidRDefault="00A84F05" w:rsidP="007815EF">
            <w:pPr>
              <w:tabs>
                <w:tab w:val="left" w:pos="-774"/>
                <w:tab w:val="left" w:pos="-690"/>
                <w:tab w:val="left" w:pos="1258"/>
                <w:tab w:val="left" w:pos="1350"/>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40" w:after="20"/>
              <w:jc w:val="center"/>
              <w:rPr>
                <w:rFonts w:ascii="Arial Narrow" w:hAnsi="Arial Narrow" w:cs="Arial"/>
                <w:b/>
                <w:sz w:val="18"/>
                <w:szCs w:val="18"/>
              </w:rPr>
            </w:pPr>
            <w:r>
              <w:rPr>
                <w:rFonts w:ascii="Arial Narrow" w:hAnsi="Arial Narrow" w:cs="Arial"/>
                <w:b/>
                <w:sz w:val="18"/>
                <w:szCs w:val="18"/>
              </w:rPr>
              <w:t>Area euro</w:t>
            </w:r>
          </w:p>
        </w:tc>
        <w:tc>
          <w:tcPr>
            <w:tcW w:w="2703" w:type="dxa"/>
            <w:gridSpan w:val="3"/>
            <w:shd w:val="clear" w:color="auto" w:fill="D9D9D9"/>
            <w:tcMar>
              <w:left w:w="0" w:type="dxa"/>
              <w:right w:w="0" w:type="dxa"/>
            </w:tcMar>
            <w:vAlign w:val="center"/>
          </w:tcPr>
          <w:p w14:paraId="505F538C" w14:textId="77777777" w:rsidR="00A84F05" w:rsidRPr="005E4472" w:rsidRDefault="00A84F05" w:rsidP="007815EF">
            <w:pPr>
              <w:tabs>
                <w:tab w:val="left" w:pos="-774"/>
                <w:tab w:val="left" w:pos="-690"/>
                <w:tab w:val="left" w:pos="1258"/>
                <w:tab w:val="left" w:pos="1350"/>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40" w:after="20"/>
              <w:jc w:val="center"/>
              <w:rPr>
                <w:rFonts w:ascii="Arial Narrow" w:hAnsi="Arial Narrow" w:cs="Arial"/>
                <w:b/>
                <w:sz w:val="18"/>
                <w:szCs w:val="18"/>
              </w:rPr>
            </w:pPr>
            <w:r>
              <w:rPr>
                <w:rFonts w:ascii="Arial Narrow" w:hAnsi="Arial Narrow" w:cs="Arial"/>
                <w:b/>
                <w:sz w:val="18"/>
                <w:szCs w:val="18"/>
              </w:rPr>
              <w:t>Area non euro</w:t>
            </w:r>
          </w:p>
        </w:tc>
      </w:tr>
      <w:tr w:rsidR="00A84F05" w:rsidRPr="005E4472" w14:paraId="40DD1C61" w14:textId="77777777" w:rsidTr="007815EF">
        <w:trPr>
          <w:gridAfter w:val="1"/>
          <w:wAfter w:w="12" w:type="dxa"/>
          <w:cantSplit/>
          <w:trHeight w:val="255"/>
        </w:trPr>
        <w:tc>
          <w:tcPr>
            <w:tcW w:w="2317" w:type="dxa"/>
            <w:vMerge/>
            <w:shd w:val="clear" w:color="auto" w:fill="auto"/>
            <w:vAlign w:val="center"/>
          </w:tcPr>
          <w:p w14:paraId="623A0885" w14:textId="77777777" w:rsidR="00A84F05" w:rsidRPr="005E4472" w:rsidRDefault="00A84F05" w:rsidP="007815EF">
            <w:pPr>
              <w:tabs>
                <w:tab w:val="left" w:pos="-774"/>
                <w:tab w:val="left" w:pos="-567"/>
                <w:tab w:val="left" w:pos="67"/>
                <w:tab w:val="left" w:pos="565"/>
                <w:tab w:val="left" w:pos="1258"/>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40" w:after="20"/>
              <w:jc w:val="center"/>
              <w:rPr>
                <w:rFonts w:ascii="Arial Narrow" w:hAnsi="Arial Narrow" w:cs="Arial"/>
                <w:sz w:val="18"/>
                <w:szCs w:val="18"/>
              </w:rPr>
            </w:pPr>
          </w:p>
        </w:tc>
        <w:tc>
          <w:tcPr>
            <w:tcW w:w="1157" w:type="dxa"/>
            <w:shd w:val="clear" w:color="auto" w:fill="FFFFFF"/>
            <w:vAlign w:val="center"/>
          </w:tcPr>
          <w:p w14:paraId="6765BB18" w14:textId="77777777" w:rsidR="00A84F05" w:rsidRDefault="00A84F05" w:rsidP="007815EF">
            <w:pPr>
              <w:spacing w:before="40" w:after="20"/>
              <w:jc w:val="center"/>
              <w:rPr>
                <w:rFonts w:ascii="Arial Narrow" w:hAnsi="Arial Narrow"/>
                <w:sz w:val="18"/>
                <w:szCs w:val="18"/>
              </w:rPr>
            </w:pPr>
            <w:r>
              <w:rPr>
                <w:rFonts w:ascii="Arial Narrow" w:hAnsi="Arial Narrow"/>
                <w:sz w:val="18"/>
                <w:szCs w:val="18"/>
              </w:rPr>
              <w:t>Variazioni</w:t>
            </w:r>
          </w:p>
          <w:p w14:paraId="44C76D52" w14:textId="77777777" w:rsidR="00A84F05" w:rsidRPr="00BA36DD" w:rsidRDefault="00A84F05" w:rsidP="007815EF">
            <w:pPr>
              <w:spacing w:before="40" w:after="20"/>
              <w:jc w:val="center"/>
              <w:rPr>
                <w:rFonts w:ascii="Arial Narrow" w:hAnsi="Arial Narrow"/>
                <w:sz w:val="18"/>
                <w:szCs w:val="18"/>
              </w:rPr>
            </w:pPr>
            <w:r>
              <w:rPr>
                <w:rFonts w:ascii="Arial Narrow" w:hAnsi="Arial Narrow"/>
                <w:sz w:val="18"/>
                <w:szCs w:val="18"/>
              </w:rPr>
              <w:t>c</w:t>
            </w:r>
            <w:r w:rsidRPr="00BA36DD">
              <w:rPr>
                <w:rFonts w:ascii="Arial Narrow" w:hAnsi="Arial Narrow"/>
                <w:sz w:val="18"/>
                <w:szCs w:val="18"/>
              </w:rPr>
              <w:t>ongiuntu</w:t>
            </w:r>
            <w:r>
              <w:rPr>
                <w:rFonts w:ascii="Arial Narrow" w:hAnsi="Arial Narrow"/>
                <w:sz w:val="18"/>
                <w:szCs w:val="18"/>
              </w:rPr>
              <w:t>r</w:t>
            </w:r>
            <w:r w:rsidRPr="00BA36DD">
              <w:rPr>
                <w:rFonts w:ascii="Arial Narrow" w:hAnsi="Arial Narrow"/>
                <w:sz w:val="18"/>
                <w:szCs w:val="18"/>
              </w:rPr>
              <w:t>ali</w:t>
            </w:r>
          </w:p>
        </w:tc>
        <w:tc>
          <w:tcPr>
            <w:tcW w:w="1334" w:type="dxa"/>
            <w:shd w:val="clear" w:color="auto" w:fill="FFFFFF"/>
            <w:vAlign w:val="center"/>
          </w:tcPr>
          <w:p w14:paraId="31B9C851" w14:textId="77777777" w:rsidR="00A84F05" w:rsidRDefault="00A84F05" w:rsidP="007815EF">
            <w:pPr>
              <w:spacing w:before="40" w:after="20"/>
              <w:jc w:val="center"/>
              <w:rPr>
                <w:rFonts w:ascii="Arial Narrow" w:hAnsi="Arial Narrow"/>
                <w:sz w:val="18"/>
                <w:szCs w:val="18"/>
              </w:rPr>
            </w:pPr>
            <w:r>
              <w:rPr>
                <w:rFonts w:ascii="Arial Narrow" w:hAnsi="Arial Narrow"/>
                <w:sz w:val="18"/>
                <w:szCs w:val="18"/>
              </w:rPr>
              <w:t>Variazioni</w:t>
            </w:r>
          </w:p>
          <w:p w14:paraId="3F46A9FC" w14:textId="7C4FBDE8" w:rsidR="00A84F05" w:rsidRPr="00BA36DD" w:rsidRDefault="008A2ECE" w:rsidP="007815EF">
            <w:pPr>
              <w:spacing w:before="40" w:after="20"/>
              <w:jc w:val="center"/>
              <w:rPr>
                <w:rFonts w:ascii="Arial Narrow" w:hAnsi="Arial Narrow"/>
                <w:sz w:val="18"/>
                <w:szCs w:val="18"/>
              </w:rPr>
            </w:pPr>
            <w:r>
              <w:rPr>
                <w:rFonts w:ascii="Arial Narrow" w:hAnsi="Arial Narrow"/>
                <w:sz w:val="18"/>
                <w:szCs w:val="18"/>
              </w:rPr>
              <w:t>T</w:t>
            </w:r>
            <w:r w:rsidR="00A84F05" w:rsidRPr="00BA36DD">
              <w:rPr>
                <w:rFonts w:ascii="Arial Narrow" w:hAnsi="Arial Narrow"/>
                <w:sz w:val="18"/>
                <w:szCs w:val="18"/>
              </w:rPr>
              <w:t>endenziali</w:t>
            </w:r>
          </w:p>
        </w:tc>
        <w:tc>
          <w:tcPr>
            <w:tcW w:w="1346" w:type="dxa"/>
            <w:shd w:val="clear" w:color="auto" w:fill="FFFFFF"/>
            <w:vAlign w:val="center"/>
          </w:tcPr>
          <w:p w14:paraId="14F40B3B" w14:textId="77777777" w:rsidR="00A84F05" w:rsidRDefault="00A84F05" w:rsidP="007815EF">
            <w:pPr>
              <w:spacing w:before="40" w:after="20"/>
              <w:jc w:val="center"/>
              <w:rPr>
                <w:rFonts w:ascii="Arial Narrow" w:hAnsi="Arial Narrow"/>
                <w:sz w:val="18"/>
                <w:szCs w:val="18"/>
              </w:rPr>
            </w:pPr>
            <w:r>
              <w:rPr>
                <w:rFonts w:ascii="Arial Narrow" w:hAnsi="Arial Narrow"/>
                <w:sz w:val="18"/>
                <w:szCs w:val="18"/>
              </w:rPr>
              <w:t>Variazioni</w:t>
            </w:r>
          </w:p>
          <w:p w14:paraId="715F9260" w14:textId="77777777" w:rsidR="00A84F05" w:rsidRPr="00BA36DD" w:rsidRDefault="00A84F05" w:rsidP="007815EF">
            <w:pPr>
              <w:spacing w:before="40" w:after="20"/>
              <w:jc w:val="center"/>
              <w:rPr>
                <w:rFonts w:ascii="Arial Narrow" w:hAnsi="Arial Narrow"/>
                <w:sz w:val="18"/>
                <w:szCs w:val="18"/>
              </w:rPr>
            </w:pPr>
            <w:r>
              <w:rPr>
                <w:rFonts w:ascii="Arial Narrow" w:hAnsi="Arial Narrow"/>
                <w:sz w:val="18"/>
                <w:szCs w:val="18"/>
              </w:rPr>
              <w:t>c</w:t>
            </w:r>
            <w:r w:rsidRPr="00BA36DD">
              <w:rPr>
                <w:rFonts w:ascii="Arial Narrow" w:hAnsi="Arial Narrow"/>
                <w:sz w:val="18"/>
                <w:szCs w:val="18"/>
              </w:rPr>
              <w:t>ongiuntu</w:t>
            </w:r>
            <w:r>
              <w:rPr>
                <w:rFonts w:ascii="Arial Narrow" w:hAnsi="Arial Narrow"/>
                <w:sz w:val="18"/>
                <w:szCs w:val="18"/>
              </w:rPr>
              <w:t>r</w:t>
            </w:r>
            <w:r w:rsidRPr="00BA36DD">
              <w:rPr>
                <w:rFonts w:ascii="Arial Narrow" w:hAnsi="Arial Narrow"/>
                <w:sz w:val="18"/>
                <w:szCs w:val="18"/>
              </w:rPr>
              <w:t>ali</w:t>
            </w:r>
          </w:p>
        </w:tc>
        <w:tc>
          <w:tcPr>
            <w:tcW w:w="1349" w:type="dxa"/>
            <w:shd w:val="clear" w:color="auto" w:fill="FFFFFF"/>
            <w:vAlign w:val="center"/>
          </w:tcPr>
          <w:p w14:paraId="7A7F52B3" w14:textId="77777777" w:rsidR="00A84F05" w:rsidRDefault="00A84F05" w:rsidP="007815EF">
            <w:pPr>
              <w:spacing w:before="40" w:after="20"/>
              <w:jc w:val="center"/>
              <w:rPr>
                <w:rFonts w:ascii="Arial Narrow" w:hAnsi="Arial Narrow"/>
                <w:sz w:val="18"/>
                <w:szCs w:val="18"/>
              </w:rPr>
            </w:pPr>
            <w:r>
              <w:rPr>
                <w:rFonts w:ascii="Arial Narrow" w:hAnsi="Arial Narrow"/>
                <w:sz w:val="18"/>
                <w:szCs w:val="18"/>
              </w:rPr>
              <w:t>Variazioni</w:t>
            </w:r>
          </w:p>
          <w:p w14:paraId="0194978A" w14:textId="77777777" w:rsidR="00A84F05" w:rsidRPr="00BA36DD" w:rsidRDefault="00A84F05" w:rsidP="007815EF">
            <w:pPr>
              <w:spacing w:before="40" w:after="20"/>
              <w:jc w:val="center"/>
              <w:rPr>
                <w:rFonts w:ascii="Arial Narrow" w:hAnsi="Arial Narrow"/>
                <w:sz w:val="18"/>
                <w:szCs w:val="18"/>
              </w:rPr>
            </w:pPr>
            <w:r>
              <w:rPr>
                <w:rFonts w:ascii="Arial Narrow" w:hAnsi="Arial Narrow"/>
                <w:sz w:val="18"/>
                <w:szCs w:val="18"/>
              </w:rPr>
              <w:t>t</w:t>
            </w:r>
            <w:r w:rsidRPr="00BA36DD">
              <w:rPr>
                <w:rFonts w:ascii="Arial Narrow" w:hAnsi="Arial Narrow"/>
                <w:sz w:val="18"/>
                <w:szCs w:val="18"/>
              </w:rPr>
              <w:t>endenziali</w:t>
            </w:r>
          </w:p>
        </w:tc>
        <w:tc>
          <w:tcPr>
            <w:tcW w:w="1345" w:type="dxa"/>
            <w:shd w:val="clear" w:color="auto" w:fill="FFFFFF"/>
            <w:vAlign w:val="center"/>
          </w:tcPr>
          <w:p w14:paraId="3C863C02" w14:textId="77777777" w:rsidR="00A84F05" w:rsidRDefault="00A84F05" w:rsidP="007815EF">
            <w:pPr>
              <w:spacing w:before="40" w:after="20"/>
              <w:jc w:val="center"/>
              <w:rPr>
                <w:rFonts w:ascii="Arial Narrow" w:hAnsi="Arial Narrow"/>
                <w:sz w:val="18"/>
                <w:szCs w:val="18"/>
              </w:rPr>
            </w:pPr>
            <w:r>
              <w:rPr>
                <w:rFonts w:ascii="Arial Narrow" w:hAnsi="Arial Narrow"/>
                <w:sz w:val="18"/>
                <w:szCs w:val="18"/>
              </w:rPr>
              <w:t>Variazioni</w:t>
            </w:r>
          </w:p>
          <w:p w14:paraId="04B8FF62" w14:textId="77777777" w:rsidR="00A84F05" w:rsidRPr="00BA36DD" w:rsidRDefault="00A84F05" w:rsidP="007815EF">
            <w:pPr>
              <w:spacing w:before="40" w:after="20"/>
              <w:jc w:val="center"/>
              <w:rPr>
                <w:rFonts w:ascii="Arial Narrow" w:hAnsi="Arial Narrow"/>
                <w:sz w:val="18"/>
                <w:szCs w:val="18"/>
              </w:rPr>
            </w:pPr>
            <w:r>
              <w:rPr>
                <w:rFonts w:ascii="Arial Narrow" w:hAnsi="Arial Narrow"/>
                <w:sz w:val="18"/>
                <w:szCs w:val="18"/>
              </w:rPr>
              <w:t>c</w:t>
            </w:r>
            <w:r w:rsidRPr="00BA36DD">
              <w:rPr>
                <w:rFonts w:ascii="Arial Narrow" w:hAnsi="Arial Narrow"/>
                <w:sz w:val="18"/>
                <w:szCs w:val="18"/>
              </w:rPr>
              <w:t>ongiuntu</w:t>
            </w:r>
            <w:r>
              <w:rPr>
                <w:rFonts w:ascii="Arial Narrow" w:hAnsi="Arial Narrow"/>
                <w:sz w:val="18"/>
                <w:szCs w:val="18"/>
              </w:rPr>
              <w:t>r</w:t>
            </w:r>
            <w:r w:rsidRPr="00BA36DD">
              <w:rPr>
                <w:rFonts w:ascii="Arial Narrow" w:hAnsi="Arial Narrow"/>
                <w:sz w:val="18"/>
                <w:szCs w:val="18"/>
              </w:rPr>
              <w:t>ali</w:t>
            </w:r>
          </w:p>
        </w:tc>
        <w:tc>
          <w:tcPr>
            <w:tcW w:w="1346" w:type="dxa"/>
            <w:shd w:val="clear" w:color="auto" w:fill="FFFFFF"/>
            <w:vAlign w:val="center"/>
          </w:tcPr>
          <w:p w14:paraId="482A0BB2" w14:textId="77777777" w:rsidR="00A84F05" w:rsidRDefault="00A84F05" w:rsidP="007815EF">
            <w:pPr>
              <w:spacing w:before="40" w:after="20"/>
              <w:jc w:val="center"/>
              <w:rPr>
                <w:rFonts w:ascii="Arial Narrow" w:hAnsi="Arial Narrow"/>
                <w:sz w:val="18"/>
                <w:szCs w:val="18"/>
              </w:rPr>
            </w:pPr>
            <w:r>
              <w:rPr>
                <w:rFonts w:ascii="Arial Narrow" w:hAnsi="Arial Narrow"/>
                <w:sz w:val="18"/>
                <w:szCs w:val="18"/>
              </w:rPr>
              <w:t>Variazioni</w:t>
            </w:r>
          </w:p>
          <w:p w14:paraId="100F953E" w14:textId="77777777" w:rsidR="00A84F05" w:rsidRPr="00BA36DD" w:rsidRDefault="00A84F05" w:rsidP="007815EF">
            <w:pPr>
              <w:spacing w:before="40" w:after="20"/>
              <w:jc w:val="center"/>
              <w:rPr>
                <w:rFonts w:ascii="Arial Narrow" w:hAnsi="Arial Narrow"/>
                <w:sz w:val="18"/>
                <w:szCs w:val="18"/>
              </w:rPr>
            </w:pPr>
            <w:r>
              <w:rPr>
                <w:rFonts w:ascii="Arial Narrow" w:hAnsi="Arial Narrow"/>
                <w:sz w:val="18"/>
                <w:szCs w:val="18"/>
              </w:rPr>
              <w:t>t</w:t>
            </w:r>
            <w:r w:rsidRPr="00BA36DD">
              <w:rPr>
                <w:rFonts w:ascii="Arial Narrow" w:hAnsi="Arial Narrow"/>
                <w:sz w:val="18"/>
                <w:szCs w:val="18"/>
              </w:rPr>
              <w:t>endenziali</w:t>
            </w:r>
          </w:p>
        </w:tc>
      </w:tr>
      <w:tr w:rsidR="00271F9E" w:rsidRPr="005E4472" w14:paraId="644A4192" w14:textId="77777777" w:rsidTr="007815EF">
        <w:trPr>
          <w:gridAfter w:val="1"/>
          <w:wAfter w:w="12" w:type="dxa"/>
          <w:cantSplit/>
          <w:trHeight w:val="255"/>
        </w:trPr>
        <w:tc>
          <w:tcPr>
            <w:tcW w:w="2317" w:type="dxa"/>
            <w:vMerge/>
            <w:shd w:val="clear" w:color="auto" w:fill="auto"/>
            <w:vAlign w:val="center"/>
          </w:tcPr>
          <w:p w14:paraId="7D967932" w14:textId="77777777" w:rsidR="00271F9E" w:rsidRPr="005E4472" w:rsidRDefault="00271F9E" w:rsidP="00271F9E">
            <w:pPr>
              <w:tabs>
                <w:tab w:val="left" w:pos="-774"/>
                <w:tab w:val="left" w:pos="-567"/>
                <w:tab w:val="left" w:pos="67"/>
                <w:tab w:val="left" w:pos="565"/>
                <w:tab w:val="left" w:pos="1258"/>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40" w:after="20"/>
              <w:jc w:val="center"/>
              <w:rPr>
                <w:rFonts w:ascii="Arial Narrow" w:hAnsi="Arial Narrow" w:cs="Arial"/>
                <w:sz w:val="18"/>
                <w:szCs w:val="18"/>
              </w:rPr>
            </w:pPr>
          </w:p>
        </w:tc>
        <w:tc>
          <w:tcPr>
            <w:tcW w:w="1157" w:type="dxa"/>
            <w:shd w:val="clear" w:color="auto" w:fill="D9D9D9"/>
            <w:vAlign w:val="center"/>
          </w:tcPr>
          <w:p w14:paraId="10B469B4" w14:textId="5D734135" w:rsidR="00271F9E" w:rsidRPr="0069402A" w:rsidRDefault="00271F9E" w:rsidP="00271F9E">
            <w:pPr>
              <w:spacing w:before="40" w:after="20"/>
              <w:jc w:val="center"/>
              <w:rPr>
                <w:rFonts w:ascii="Arial Narrow" w:hAnsi="Arial Narrow"/>
                <w:sz w:val="18"/>
                <w:szCs w:val="18"/>
                <w:u w:val="single"/>
                <w:lang w:val="en-US"/>
              </w:rPr>
            </w:pPr>
            <w:r>
              <w:rPr>
                <w:rFonts w:ascii="Arial Narrow" w:hAnsi="Arial Narrow"/>
                <w:sz w:val="18"/>
                <w:szCs w:val="18"/>
                <w:u w:val="single"/>
                <w:lang w:val="en-US"/>
              </w:rPr>
              <w:t>set 22</w:t>
            </w:r>
          </w:p>
          <w:p w14:paraId="7447DFA6" w14:textId="3573263B" w:rsidR="00271F9E" w:rsidRPr="00BA36DD" w:rsidRDefault="00271F9E" w:rsidP="00271F9E">
            <w:pPr>
              <w:spacing w:before="40" w:after="20"/>
              <w:jc w:val="center"/>
              <w:rPr>
                <w:rFonts w:ascii="Arial Narrow" w:hAnsi="Arial Narrow"/>
                <w:sz w:val="18"/>
                <w:szCs w:val="18"/>
              </w:rPr>
            </w:pPr>
            <w:r>
              <w:rPr>
                <w:rFonts w:ascii="Arial Narrow" w:hAnsi="Arial Narrow"/>
                <w:sz w:val="18"/>
                <w:szCs w:val="18"/>
                <w:lang w:val="en-US"/>
              </w:rPr>
              <w:t>ago 22</w:t>
            </w:r>
          </w:p>
        </w:tc>
        <w:tc>
          <w:tcPr>
            <w:tcW w:w="1334" w:type="dxa"/>
            <w:shd w:val="clear" w:color="auto" w:fill="FFFFFF"/>
            <w:vAlign w:val="center"/>
          </w:tcPr>
          <w:p w14:paraId="045BEB87" w14:textId="3B0B04D3" w:rsidR="00271F9E" w:rsidRPr="0069402A" w:rsidRDefault="00271F9E" w:rsidP="00271F9E">
            <w:pPr>
              <w:spacing w:before="40" w:after="20"/>
              <w:jc w:val="center"/>
              <w:rPr>
                <w:rFonts w:ascii="Arial Narrow" w:hAnsi="Arial Narrow"/>
                <w:sz w:val="18"/>
                <w:szCs w:val="18"/>
                <w:u w:val="single"/>
                <w:lang w:val="en-US"/>
              </w:rPr>
            </w:pPr>
            <w:r>
              <w:rPr>
                <w:rFonts w:ascii="Arial Narrow" w:hAnsi="Arial Narrow"/>
                <w:sz w:val="18"/>
                <w:szCs w:val="18"/>
                <w:u w:val="single"/>
                <w:lang w:val="en-US"/>
              </w:rPr>
              <w:t>set 22</w:t>
            </w:r>
          </w:p>
          <w:p w14:paraId="55675636" w14:textId="526205D7" w:rsidR="00271F9E" w:rsidRPr="00BA36DD" w:rsidRDefault="00271F9E" w:rsidP="00271F9E">
            <w:pPr>
              <w:tabs>
                <w:tab w:val="left" w:pos="-774"/>
                <w:tab w:val="left" w:pos="-690"/>
                <w:tab w:val="left" w:pos="1258"/>
                <w:tab w:val="left" w:pos="1350"/>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40" w:after="20"/>
              <w:jc w:val="center"/>
              <w:rPr>
                <w:rFonts w:ascii="Arial Narrow" w:hAnsi="Arial Narrow" w:cs="Arial"/>
                <w:b/>
                <w:sz w:val="18"/>
                <w:szCs w:val="18"/>
              </w:rPr>
            </w:pPr>
            <w:r>
              <w:rPr>
                <w:rFonts w:ascii="Arial Narrow" w:hAnsi="Arial Narrow"/>
                <w:sz w:val="18"/>
                <w:szCs w:val="18"/>
                <w:lang w:val="en-US"/>
              </w:rPr>
              <w:t>set 21</w:t>
            </w:r>
          </w:p>
        </w:tc>
        <w:tc>
          <w:tcPr>
            <w:tcW w:w="1346" w:type="dxa"/>
            <w:shd w:val="clear" w:color="auto" w:fill="D9D9D9"/>
            <w:vAlign w:val="center"/>
          </w:tcPr>
          <w:p w14:paraId="6902B41F" w14:textId="77777777" w:rsidR="00271F9E" w:rsidRPr="0069402A" w:rsidRDefault="00271F9E" w:rsidP="00271F9E">
            <w:pPr>
              <w:spacing w:before="40" w:after="20"/>
              <w:jc w:val="center"/>
              <w:rPr>
                <w:rFonts w:ascii="Arial Narrow" w:hAnsi="Arial Narrow"/>
                <w:sz w:val="18"/>
                <w:szCs w:val="18"/>
                <w:u w:val="single"/>
                <w:lang w:val="en-US"/>
              </w:rPr>
            </w:pPr>
            <w:r>
              <w:rPr>
                <w:rFonts w:ascii="Arial Narrow" w:hAnsi="Arial Narrow"/>
                <w:sz w:val="18"/>
                <w:szCs w:val="18"/>
                <w:u w:val="single"/>
                <w:lang w:val="en-US"/>
              </w:rPr>
              <w:t>set 22</w:t>
            </w:r>
          </w:p>
          <w:p w14:paraId="0F4E969F" w14:textId="27C50558" w:rsidR="00271F9E" w:rsidRPr="00BA36DD" w:rsidRDefault="00271F9E" w:rsidP="00271F9E">
            <w:pPr>
              <w:spacing w:before="40" w:after="20"/>
              <w:jc w:val="center"/>
              <w:rPr>
                <w:rFonts w:ascii="Arial Narrow" w:hAnsi="Arial Narrow"/>
                <w:sz w:val="18"/>
                <w:szCs w:val="18"/>
              </w:rPr>
            </w:pPr>
            <w:r>
              <w:rPr>
                <w:rFonts w:ascii="Arial Narrow" w:hAnsi="Arial Narrow"/>
                <w:sz w:val="18"/>
                <w:szCs w:val="18"/>
                <w:lang w:val="en-US"/>
              </w:rPr>
              <w:t>ago 22</w:t>
            </w:r>
          </w:p>
        </w:tc>
        <w:tc>
          <w:tcPr>
            <w:tcW w:w="1349" w:type="dxa"/>
            <w:shd w:val="clear" w:color="auto" w:fill="FFFFFF"/>
            <w:vAlign w:val="center"/>
          </w:tcPr>
          <w:p w14:paraId="392E1652" w14:textId="77777777" w:rsidR="00271F9E" w:rsidRPr="0069402A" w:rsidRDefault="00271F9E" w:rsidP="00271F9E">
            <w:pPr>
              <w:spacing w:before="40" w:after="20"/>
              <w:jc w:val="center"/>
              <w:rPr>
                <w:rFonts w:ascii="Arial Narrow" w:hAnsi="Arial Narrow"/>
                <w:sz w:val="18"/>
                <w:szCs w:val="18"/>
                <w:u w:val="single"/>
                <w:lang w:val="en-US"/>
              </w:rPr>
            </w:pPr>
            <w:r>
              <w:rPr>
                <w:rFonts w:ascii="Arial Narrow" w:hAnsi="Arial Narrow"/>
                <w:sz w:val="18"/>
                <w:szCs w:val="18"/>
                <w:u w:val="single"/>
                <w:lang w:val="en-US"/>
              </w:rPr>
              <w:t>set 22</w:t>
            </w:r>
          </w:p>
          <w:p w14:paraId="55DF91F4" w14:textId="381B27C6" w:rsidR="00271F9E" w:rsidRPr="00BA36DD" w:rsidRDefault="00271F9E" w:rsidP="00271F9E">
            <w:pPr>
              <w:tabs>
                <w:tab w:val="left" w:pos="-774"/>
                <w:tab w:val="left" w:pos="-690"/>
                <w:tab w:val="left" w:pos="1258"/>
                <w:tab w:val="left" w:pos="1350"/>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40" w:after="20"/>
              <w:jc w:val="center"/>
              <w:rPr>
                <w:rFonts w:ascii="Arial Narrow" w:hAnsi="Arial Narrow" w:cs="Arial"/>
                <w:b/>
                <w:sz w:val="18"/>
                <w:szCs w:val="18"/>
              </w:rPr>
            </w:pPr>
            <w:r>
              <w:rPr>
                <w:rFonts w:ascii="Arial Narrow" w:hAnsi="Arial Narrow"/>
                <w:sz w:val="18"/>
                <w:szCs w:val="18"/>
                <w:lang w:val="en-US"/>
              </w:rPr>
              <w:t>set 21</w:t>
            </w:r>
          </w:p>
        </w:tc>
        <w:tc>
          <w:tcPr>
            <w:tcW w:w="1345" w:type="dxa"/>
            <w:shd w:val="clear" w:color="auto" w:fill="D9D9D9"/>
            <w:vAlign w:val="center"/>
          </w:tcPr>
          <w:p w14:paraId="3F04F3F2" w14:textId="77777777" w:rsidR="00271F9E" w:rsidRPr="0069402A" w:rsidRDefault="00271F9E" w:rsidP="00271F9E">
            <w:pPr>
              <w:spacing w:before="40" w:after="20"/>
              <w:jc w:val="center"/>
              <w:rPr>
                <w:rFonts w:ascii="Arial Narrow" w:hAnsi="Arial Narrow"/>
                <w:sz w:val="18"/>
                <w:szCs w:val="18"/>
                <w:u w:val="single"/>
                <w:lang w:val="en-US"/>
              </w:rPr>
            </w:pPr>
            <w:r>
              <w:rPr>
                <w:rFonts w:ascii="Arial Narrow" w:hAnsi="Arial Narrow"/>
                <w:sz w:val="18"/>
                <w:szCs w:val="18"/>
                <w:u w:val="single"/>
                <w:lang w:val="en-US"/>
              </w:rPr>
              <w:t>set 22</w:t>
            </w:r>
          </w:p>
          <w:p w14:paraId="7CB20C5A" w14:textId="3C0F5398" w:rsidR="00271F9E" w:rsidRPr="00BA36DD" w:rsidRDefault="00271F9E" w:rsidP="00271F9E">
            <w:pPr>
              <w:spacing w:before="40" w:after="20"/>
              <w:jc w:val="center"/>
              <w:rPr>
                <w:rFonts w:ascii="Arial Narrow" w:hAnsi="Arial Narrow"/>
                <w:sz w:val="18"/>
                <w:szCs w:val="18"/>
              </w:rPr>
            </w:pPr>
            <w:r>
              <w:rPr>
                <w:rFonts w:ascii="Arial Narrow" w:hAnsi="Arial Narrow"/>
                <w:sz w:val="18"/>
                <w:szCs w:val="18"/>
                <w:lang w:val="en-US"/>
              </w:rPr>
              <w:t>ago 22</w:t>
            </w:r>
          </w:p>
        </w:tc>
        <w:tc>
          <w:tcPr>
            <w:tcW w:w="1346" w:type="dxa"/>
            <w:shd w:val="clear" w:color="auto" w:fill="FFFFFF"/>
            <w:vAlign w:val="center"/>
          </w:tcPr>
          <w:p w14:paraId="274F6C73" w14:textId="77777777" w:rsidR="00271F9E" w:rsidRPr="0069402A" w:rsidRDefault="00271F9E" w:rsidP="00271F9E">
            <w:pPr>
              <w:spacing w:before="40" w:after="20"/>
              <w:jc w:val="center"/>
              <w:rPr>
                <w:rFonts w:ascii="Arial Narrow" w:hAnsi="Arial Narrow"/>
                <w:sz w:val="18"/>
                <w:szCs w:val="18"/>
                <w:u w:val="single"/>
                <w:lang w:val="en-US"/>
              </w:rPr>
            </w:pPr>
            <w:r>
              <w:rPr>
                <w:rFonts w:ascii="Arial Narrow" w:hAnsi="Arial Narrow"/>
                <w:sz w:val="18"/>
                <w:szCs w:val="18"/>
                <w:u w:val="single"/>
                <w:lang w:val="en-US"/>
              </w:rPr>
              <w:t>set 22</w:t>
            </w:r>
          </w:p>
          <w:p w14:paraId="2E2BE057" w14:textId="2D003CF0" w:rsidR="00271F9E" w:rsidRPr="00BA36DD" w:rsidRDefault="00271F9E" w:rsidP="00271F9E">
            <w:pPr>
              <w:tabs>
                <w:tab w:val="left" w:pos="-774"/>
                <w:tab w:val="left" w:pos="-690"/>
                <w:tab w:val="left" w:pos="1258"/>
                <w:tab w:val="left" w:pos="1350"/>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40" w:after="20"/>
              <w:jc w:val="center"/>
              <w:rPr>
                <w:rFonts w:ascii="Arial Narrow" w:hAnsi="Arial Narrow" w:cs="Arial"/>
                <w:b/>
                <w:sz w:val="18"/>
                <w:szCs w:val="18"/>
              </w:rPr>
            </w:pPr>
            <w:r>
              <w:rPr>
                <w:rFonts w:ascii="Arial Narrow" w:hAnsi="Arial Narrow"/>
                <w:sz w:val="18"/>
                <w:szCs w:val="18"/>
                <w:lang w:val="en-US"/>
              </w:rPr>
              <w:t>set 21</w:t>
            </w:r>
          </w:p>
        </w:tc>
      </w:tr>
      <w:tr w:rsidR="00A61CF8" w:rsidRPr="00452E5E" w14:paraId="0FD54E53" w14:textId="77777777" w:rsidTr="007815EF">
        <w:trPr>
          <w:gridAfter w:val="1"/>
          <w:wAfter w:w="12" w:type="dxa"/>
          <w:cantSplit/>
          <w:trHeight w:val="255"/>
        </w:trPr>
        <w:tc>
          <w:tcPr>
            <w:tcW w:w="2317" w:type="dxa"/>
            <w:vAlign w:val="center"/>
          </w:tcPr>
          <w:p w14:paraId="0FC26153" w14:textId="77777777" w:rsidR="00A61CF8" w:rsidRPr="005E4472" w:rsidRDefault="00A61CF8" w:rsidP="00A61CF8">
            <w:pPr>
              <w:spacing w:before="40" w:after="20"/>
              <w:rPr>
                <w:rFonts w:ascii="Arial Narrow" w:hAnsi="Arial Narrow" w:cs="Arial"/>
                <w:sz w:val="18"/>
                <w:szCs w:val="18"/>
              </w:rPr>
            </w:pPr>
            <w:r w:rsidRPr="005E4472">
              <w:rPr>
                <w:rFonts w:ascii="Arial Narrow" w:hAnsi="Arial Narrow" w:cs="Arial"/>
                <w:sz w:val="18"/>
                <w:szCs w:val="18"/>
              </w:rPr>
              <w:t>Beni di consumo</w:t>
            </w:r>
          </w:p>
        </w:tc>
        <w:tc>
          <w:tcPr>
            <w:tcW w:w="1157" w:type="dxa"/>
            <w:shd w:val="clear" w:color="auto" w:fill="D9D9D9"/>
            <w:vAlign w:val="center"/>
          </w:tcPr>
          <w:p w14:paraId="2F1C541E" w14:textId="734FDDCB" w:rsidR="00A61CF8" w:rsidRPr="00A764B0" w:rsidRDefault="00A61CF8" w:rsidP="00A61CF8">
            <w:pPr>
              <w:jc w:val="center"/>
              <w:rPr>
                <w:rFonts w:ascii="Arial Narrow" w:hAnsi="Arial Narrow" w:cs="Arial Narrow"/>
                <w:color w:val="000000"/>
                <w:sz w:val="18"/>
                <w:szCs w:val="18"/>
              </w:rPr>
            </w:pPr>
            <w:r w:rsidRPr="001A4AD1">
              <w:rPr>
                <w:rFonts w:ascii="Arial Narrow" w:hAnsi="Arial Narrow" w:cs="Arial"/>
                <w:color w:val="000000"/>
                <w:sz w:val="18"/>
                <w:szCs w:val="18"/>
              </w:rPr>
              <w:t>+0,3</w:t>
            </w:r>
          </w:p>
        </w:tc>
        <w:tc>
          <w:tcPr>
            <w:tcW w:w="1334" w:type="dxa"/>
            <w:tcMar>
              <w:left w:w="0" w:type="dxa"/>
            </w:tcMar>
            <w:vAlign w:val="center"/>
          </w:tcPr>
          <w:p w14:paraId="6CD3C7C1" w14:textId="4CF35467" w:rsidR="00A61CF8" w:rsidRPr="00A764B0" w:rsidRDefault="00A61CF8" w:rsidP="00A61CF8">
            <w:pPr>
              <w:jc w:val="center"/>
              <w:rPr>
                <w:rFonts w:ascii="Arial Narrow" w:hAnsi="Arial Narrow" w:cs="Arial Narrow"/>
                <w:color w:val="000000"/>
                <w:sz w:val="18"/>
                <w:szCs w:val="18"/>
              </w:rPr>
            </w:pPr>
            <w:r w:rsidRPr="001A4AD1">
              <w:rPr>
                <w:rFonts w:ascii="Arial Narrow" w:hAnsi="Arial Narrow" w:cs="Arial"/>
                <w:color w:val="000000"/>
                <w:sz w:val="18"/>
                <w:szCs w:val="18"/>
              </w:rPr>
              <w:t>+9,0</w:t>
            </w:r>
          </w:p>
        </w:tc>
        <w:tc>
          <w:tcPr>
            <w:tcW w:w="1346" w:type="dxa"/>
            <w:shd w:val="clear" w:color="auto" w:fill="D9D9D9"/>
            <w:vAlign w:val="center"/>
          </w:tcPr>
          <w:p w14:paraId="13A3348C" w14:textId="6483404B" w:rsidR="00A61CF8" w:rsidRPr="00A764B0" w:rsidRDefault="00A61CF8" w:rsidP="00A61CF8">
            <w:pPr>
              <w:jc w:val="center"/>
              <w:rPr>
                <w:rFonts w:ascii="Arial Narrow" w:hAnsi="Arial Narrow" w:cs="Arial Narrow"/>
                <w:color w:val="000000"/>
                <w:sz w:val="18"/>
                <w:szCs w:val="18"/>
              </w:rPr>
            </w:pPr>
            <w:r w:rsidRPr="001A4AD1">
              <w:rPr>
                <w:rFonts w:ascii="Arial Narrow" w:hAnsi="Arial Narrow" w:cs="Arial"/>
                <w:color w:val="000000"/>
                <w:sz w:val="18"/>
                <w:szCs w:val="18"/>
              </w:rPr>
              <w:t>+0,5</w:t>
            </w:r>
          </w:p>
        </w:tc>
        <w:tc>
          <w:tcPr>
            <w:tcW w:w="1349" w:type="dxa"/>
            <w:vAlign w:val="center"/>
          </w:tcPr>
          <w:p w14:paraId="77239508" w14:textId="17E69466" w:rsidR="00A61CF8" w:rsidRPr="00A764B0" w:rsidRDefault="00A61CF8" w:rsidP="00A61CF8">
            <w:pPr>
              <w:jc w:val="center"/>
              <w:rPr>
                <w:rFonts w:ascii="Arial Narrow" w:hAnsi="Arial Narrow" w:cs="Arial Narrow"/>
                <w:color w:val="000000"/>
                <w:sz w:val="18"/>
                <w:szCs w:val="18"/>
              </w:rPr>
            </w:pPr>
            <w:r w:rsidRPr="001A4AD1">
              <w:rPr>
                <w:rFonts w:ascii="Arial Narrow" w:hAnsi="Arial Narrow" w:cs="Arial"/>
                <w:color w:val="000000"/>
                <w:sz w:val="18"/>
                <w:szCs w:val="18"/>
              </w:rPr>
              <w:t>+8,8</w:t>
            </w:r>
          </w:p>
        </w:tc>
        <w:tc>
          <w:tcPr>
            <w:tcW w:w="1345" w:type="dxa"/>
            <w:shd w:val="clear" w:color="auto" w:fill="D9D9D9"/>
            <w:vAlign w:val="center"/>
          </w:tcPr>
          <w:p w14:paraId="2B193A43" w14:textId="098E75BA" w:rsidR="00A61CF8" w:rsidRPr="00A764B0" w:rsidRDefault="00A61CF8" w:rsidP="00A61CF8">
            <w:pPr>
              <w:jc w:val="center"/>
              <w:rPr>
                <w:rFonts w:ascii="Arial Narrow" w:hAnsi="Arial Narrow" w:cs="Arial Narrow"/>
                <w:color w:val="000000"/>
                <w:sz w:val="18"/>
                <w:szCs w:val="18"/>
              </w:rPr>
            </w:pPr>
            <w:r w:rsidRPr="001A4AD1">
              <w:rPr>
                <w:rFonts w:ascii="Arial Narrow" w:hAnsi="Arial Narrow" w:cs="Arial"/>
                <w:color w:val="000000"/>
                <w:sz w:val="18"/>
                <w:szCs w:val="18"/>
              </w:rPr>
              <w:t>+0,2</w:t>
            </w:r>
          </w:p>
        </w:tc>
        <w:tc>
          <w:tcPr>
            <w:tcW w:w="1346" w:type="dxa"/>
            <w:vAlign w:val="center"/>
          </w:tcPr>
          <w:p w14:paraId="01DCD49D" w14:textId="74915C48" w:rsidR="00A61CF8" w:rsidRPr="00A764B0" w:rsidRDefault="00A61CF8" w:rsidP="00A61CF8">
            <w:pPr>
              <w:jc w:val="center"/>
              <w:rPr>
                <w:rFonts w:ascii="Arial Narrow" w:hAnsi="Arial Narrow" w:cs="Arial Narrow"/>
                <w:color w:val="000000"/>
                <w:sz w:val="18"/>
                <w:szCs w:val="18"/>
              </w:rPr>
            </w:pPr>
            <w:r w:rsidRPr="001A4AD1">
              <w:rPr>
                <w:rFonts w:ascii="Arial Narrow" w:hAnsi="Arial Narrow" w:cs="Arial"/>
                <w:color w:val="000000"/>
                <w:sz w:val="18"/>
                <w:szCs w:val="18"/>
              </w:rPr>
              <w:t>+9,1</w:t>
            </w:r>
          </w:p>
        </w:tc>
      </w:tr>
      <w:tr w:rsidR="00A61CF8" w:rsidRPr="00452E5E" w14:paraId="16E47F0A" w14:textId="77777777" w:rsidTr="007815EF">
        <w:trPr>
          <w:gridAfter w:val="1"/>
          <w:wAfter w:w="12" w:type="dxa"/>
          <w:cantSplit/>
          <w:trHeight w:val="255"/>
        </w:trPr>
        <w:tc>
          <w:tcPr>
            <w:tcW w:w="2317" w:type="dxa"/>
            <w:vAlign w:val="center"/>
          </w:tcPr>
          <w:p w14:paraId="052A7DFB" w14:textId="77777777" w:rsidR="00A61CF8" w:rsidRPr="007F2CF0" w:rsidRDefault="00A61CF8" w:rsidP="00A61CF8">
            <w:pPr>
              <w:spacing w:before="40" w:after="20"/>
              <w:rPr>
                <w:rFonts w:ascii="Arial Narrow" w:hAnsi="Arial Narrow" w:cs="Arial"/>
                <w:sz w:val="18"/>
                <w:szCs w:val="18"/>
              </w:rPr>
            </w:pPr>
            <w:r w:rsidRPr="007F2CF0">
              <w:rPr>
                <w:rFonts w:ascii="Arial Narrow" w:hAnsi="Arial Narrow" w:cs="Arial"/>
                <w:sz w:val="18"/>
                <w:szCs w:val="18"/>
              </w:rPr>
              <w:t xml:space="preserve">  </w:t>
            </w:r>
            <w:r>
              <w:rPr>
                <w:rFonts w:ascii="Arial Narrow" w:hAnsi="Arial Narrow" w:cs="Arial"/>
                <w:sz w:val="18"/>
                <w:szCs w:val="18"/>
              </w:rPr>
              <w:t>d</w:t>
            </w:r>
            <w:r w:rsidRPr="007F2CF0">
              <w:rPr>
                <w:rFonts w:ascii="Arial Narrow" w:hAnsi="Arial Narrow" w:cs="Arial"/>
                <w:sz w:val="18"/>
                <w:szCs w:val="18"/>
              </w:rPr>
              <w:t>urevoli</w:t>
            </w:r>
          </w:p>
        </w:tc>
        <w:tc>
          <w:tcPr>
            <w:tcW w:w="1157" w:type="dxa"/>
            <w:shd w:val="clear" w:color="auto" w:fill="D9D9D9"/>
            <w:vAlign w:val="center"/>
          </w:tcPr>
          <w:p w14:paraId="4A2FB6A9" w14:textId="749A66D2" w:rsidR="00A61CF8" w:rsidRPr="00A764B0" w:rsidRDefault="00A61CF8" w:rsidP="00A61CF8">
            <w:pPr>
              <w:jc w:val="center"/>
              <w:rPr>
                <w:rFonts w:ascii="Arial Narrow" w:hAnsi="Arial Narrow" w:cs="Arial Narrow"/>
                <w:color w:val="000000"/>
                <w:sz w:val="18"/>
                <w:szCs w:val="18"/>
              </w:rPr>
            </w:pPr>
            <w:r w:rsidRPr="001A4AD1">
              <w:rPr>
                <w:rFonts w:ascii="Arial Narrow" w:hAnsi="Arial Narrow" w:cs="Arial"/>
                <w:color w:val="000000"/>
                <w:sz w:val="18"/>
                <w:szCs w:val="18"/>
              </w:rPr>
              <w:t>-0,1</w:t>
            </w:r>
          </w:p>
        </w:tc>
        <w:tc>
          <w:tcPr>
            <w:tcW w:w="1334" w:type="dxa"/>
            <w:tcMar>
              <w:left w:w="0" w:type="dxa"/>
            </w:tcMar>
            <w:vAlign w:val="center"/>
          </w:tcPr>
          <w:p w14:paraId="237F5F3E" w14:textId="36801A0A" w:rsidR="00A61CF8" w:rsidRPr="00A764B0" w:rsidRDefault="00A61CF8" w:rsidP="00A61CF8">
            <w:pPr>
              <w:jc w:val="center"/>
              <w:rPr>
                <w:rFonts w:ascii="Arial Narrow" w:hAnsi="Arial Narrow" w:cs="Arial Narrow"/>
                <w:color w:val="000000"/>
                <w:sz w:val="18"/>
                <w:szCs w:val="18"/>
              </w:rPr>
            </w:pPr>
            <w:r w:rsidRPr="001A4AD1">
              <w:rPr>
                <w:rFonts w:ascii="Arial Narrow" w:hAnsi="Arial Narrow" w:cs="Arial"/>
                <w:color w:val="000000"/>
                <w:sz w:val="18"/>
                <w:szCs w:val="18"/>
              </w:rPr>
              <w:t>+4,8</w:t>
            </w:r>
          </w:p>
        </w:tc>
        <w:tc>
          <w:tcPr>
            <w:tcW w:w="1346" w:type="dxa"/>
            <w:shd w:val="clear" w:color="auto" w:fill="D9D9D9"/>
            <w:vAlign w:val="center"/>
          </w:tcPr>
          <w:p w14:paraId="68758BF0" w14:textId="5254E985" w:rsidR="00A61CF8" w:rsidRPr="00A764B0" w:rsidRDefault="00A61CF8" w:rsidP="00A61CF8">
            <w:pPr>
              <w:jc w:val="center"/>
              <w:rPr>
                <w:rFonts w:ascii="Arial Narrow" w:hAnsi="Arial Narrow" w:cs="Arial Narrow"/>
                <w:color w:val="000000"/>
                <w:sz w:val="18"/>
                <w:szCs w:val="18"/>
              </w:rPr>
            </w:pPr>
            <w:r w:rsidRPr="001A4AD1">
              <w:rPr>
                <w:rFonts w:ascii="Arial Narrow" w:hAnsi="Arial Narrow" w:cs="Arial"/>
                <w:color w:val="000000"/>
                <w:sz w:val="18"/>
                <w:szCs w:val="18"/>
              </w:rPr>
              <w:t>-0,2</w:t>
            </w:r>
          </w:p>
        </w:tc>
        <w:tc>
          <w:tcPr>
            <w:tcW w:w="1349" w:type="dxa"/>
            <w:vAlign w:val="center"/>
          </w:tcPr>
          <w:p w14:paraId="00865BCB" w14:textId="7F6128F1" w:rsidR="00A61CF8" w:rsidRPr="00A764B0" w:rsidRDefault="00A61CF8" w:rsidP="00A61CF8">
            <w:pPr>
              <w:jc w:val="center"/>
              <w:rPr>
                <w:rFonts w:ascii="Arial Narrow" w:hAnsi="Arial Narrow" w:cs="Arial Narrow"/>
                <w:color w:val="000000"/>
                <w:sz w:val="18"/>
                <w:szCs w:val="18"/>
              </w:rPr>
            </w:pPr>
            <w:r w:rsidRPr="001A4AD1">
              <w:rPr>
                <w:rFonts w:ascii="Arial Narrow" w:hAnsi="Arial Narrow" w:cs="Arial"/>
                <w:color w:val="000000"/>
                <w:sz w:val="18"/>
                <w:szCs w:val="18"/>
              </w:rPr>
              <w:t>+3,2</w:t>
            </w:r>
          </w:p>
        </w:tc>
        <w:tc>
          <w:tcPr>
            <w:tcW w:w="1345" w:type="dxa"/>
            <w:shd w:val="clear" w:color="auto" w:fill="D9D9D9"/>
            <w:vAlign w:val="center"/>
          </w:tcPr>
          <w:p w14:paraId="3D7C39E9" w14:textId="5AD23DDC" w:rsidR="00A61CF8" w:rsidRPr="00A764B0" w:rsidRDefault="00A61CF8" w:rsidP="00A61CF8">
            <w:pPr>
              <w:jc w:val="center"/>
              <w:rPr>
                <w:rFonts w:ascii="Arial Narrow" w:hAnsi="Arial Narrow" w:cs="Arial Narrow"/>
                <w:color w:val="000000"/>
                <w:sz w:val="18"/>
                <w:szCs w:val="18"/>
              </w:rPr>
            </w:pPr>
            <w:r w:rsidRPr="001A4AD1">
              <w:rPr>
                <w:rFonts w:ascii="Arial Narrow" w:hAnsi="Arial Narrow" w:cs="Arial"/>
                <w:color w:val="000000"/>
                <w:sz w:val="18"/>
                <w:szCs w:val="18"/>
              </w:rPr>
              <w:t>0,0</w:t>
            </w:r>
          </w:p>
        </w:tc>
        <w:tc>
          <w:tcPr>
            <w:tcW w:w="1346" w:type="dxa"/>
            <w:vAlign w:val="center"/>
          </w:tcPr>
          <w:p w14:paraId="61C67E34" w14:textId="549052BD" w:rsidR="00A61CF8" w:rsidRPr="00A764B0" w:rsidRDefault="00A61CF8" w:rsidP="00A61CF8">
            <w:pPr>
              <w:jc w:val="center"/>
              <w:rPr>
                <w:rFonts w:ascii="Arial Narrow" w:hAnsi="Arial Narrow" w:cs="Arial Narrow"/>
                <w:color w:val="000000"/>
                <w:sz w:val="18"/>
                <w:szCs w:val="18"/>
              </w:rPr>
            </w:pPr>
            <w:r w:rsidRPr="001A4AD1">
              <w:rPr>
                <w:rFonts w:ascii="Arial Narrow" w:hAnsi="Arial Narrow" w:cs="Arial"/>
                <w:color w:val="000000"/>
                <w:sz w:val="18"/>
                <w:szCs w:val="18"/>
              </w:rPr>
              <w:t>+5,7</w:t>
            </w:r>
          </w:p>
        </w:tc>
      </w:tr>
      <w:tr w:rsidR="00A61CF8" w:rsidRPr="00452E5E" w14:paraId="10506094" w14:textId="77777777" w:rsidTr="007815EF">
        <w:trPr>
          <w:gridAfter w:val="1"/>
          <w:wAfter w:w="12" w:type="dxa"/>
          <w:cantSplit/>
          <w:trHeight w:val="255"/>
        </w:trPr>
        <w:tc>
          <w:tcPr>
            <w:tcW w:w="2317" w:type="dxa"/>
            <w:vAlign w:val="center"/>
          </w:tcPr>
          <w:p w14:paraId="56EA568F" w14:textId="77777777" w:rsidR="00A61CF8" w:rsidRPr="007F2CF0" w:rsidRDefault="00A61CF8" w:rsidP="00A61CF8">
            <w:pPr>
              <w:spacing w:before="40" w:after="20"/>
              <w:rPr>
                <w:rFonts w:ascii="Arial Narrow" w:hAnsi="Arial Narrow" w:cs="Arial"/>
                <w:sz w:val="18"/>
                <w:szCs w:val="18"/>
              </w:rPr>
            </w:pPr>
            <w:r w:rsidRPr="007F2CF0">
              <w:rPr>
                <w:rFonts w:ascii="Arial Narrow" w:hAnsi="Arial Narrow" w:cs="Arial"/>
                <w:sz w:val="18"/>
                <w:szCs w:val="18"/>
              </w:rPr>
              <w:t xml:space="preserve">  non durevoli</w:t>
            </w:r>
          </w:p>
        </w:tc>
        <w:tc>
          <w:tcPr>
            <w:tcW w:w="1157" w:type="dxa"/>
            <w:shd w:val="clear" w:color="auto" w:fill="D9D9D9"/>
            <w:vAlign w:val="center"/>
          </w:tcPr>
          <w:p w14:paraId="77078111" w14:textId="3723AAE7" w:rsidR="00A61CF8" w:rsidRPr="00A764B0" w:rsidRDefault="00A61CF8" w:rsidP="00A61CF8">
            <w:pPr>
              <w:jc w:val="center"/>
              <w:rPr>
                <w:rFonts w:ascii="Arial Narrow" w:hAnsi="Arial Narrow" w:cs="Arial Narrow"/>
                <w:color w:val="000000"/>
                <w:sz w:val="18"/>
                <w:szCs w:val="18"/>
              </w:rPr>
            </w:pPr>
            <w:r w:rsidRPr="001A4AD1">
              <w:rPr>
                <w:rFonts w:ascii="Arial Narrow" w:hAnsi="Arial Narrow" w:cs="Arial"/>
                <w:color w:val="000000"/>
                <w:sz w:val="18"/>
                <w:szCs w:val="18"/>
              </w:rPr>
              <w:t>+0,4</w:t>
            </w:r>
          </w:p>
        </w:tc>
        <w:tc>
          <w:tcPr>
            <w:tcW w:w="1334" w:type="dxa"/>
            <w:tcMar>
              <w:left w:w="0" w:type="dxa"/>
            </w:tcMar>
            <w:vAlign w:val="center"/>
          </w:tcPr>
          <w:p w14:paraId="75EF5033" w14:textId="7C7ABA4F" w:rsidR="00A61CF8" w:rsidRPr="00A764B0" w:rsidRDefault="00A61CF8" w:rsidP="00A61CF8">
            <w:pPr>
              <w:jc w:val="center"/>
              <w:rPr>
                <w:rFonts w:ascii="Arial Narrow" w:hAnsi="Arial Narrow" w:cs="Arial Narrow"/>
                <w:color w:val="000000"/>
                <w:sz w:val="18"/>
                <w:szCs w:val="18"/>
              </w:rPr>
            </w:pPr>
            <w:r w:rsidRPr="001A4AD1">
              <w:rPr>
                <w:rFonts w:ascii="Arial Narrow" w:hAnsi="Arial Narrow" w:cs="Arial"/>
                <w:color w:val="000000"/>
                <w:sz w:val="18"/>
                <w:szCs w:val="18"/>
              </w:rPr>
              <w:t>+9,7</w:t>
            </w:r>
          </w:p>
        </w:tc>
        <w:tc>
          <w:tcPr>
            <w:tcW w:w="1346" w:type="dxa"/>
            <w:shd w:val="clear" w:color="auto" w:fill="D9D9D9"/>
            <w:vAlign w:val="center"/>
          </w:tcPr>
          <w:p w14:paraId="78E4AB6F" w14:textId="4067FA83" w:rsidR="00A61CF8" w:rsidRPr="00A764B0" w:rsidRDefault="00A61CF8" w:rsidP="00A61CF8">
            <w:pPr>
              <w:jc w:val="center"/>
              <w:rPr>
                <w:rFonts w:ascii="Arial Narrow" w:hAnsi="Arial Narrow" w:cs="Arial Narrow"/>
                <w:color w:val="000000"/>
                <w:sz w:val="18"/>
                <w:szCs w:val="18"/>
              </w:rPr>
            </w:pPr>
            <w:r w:rsidRPr="001A4AD1">
              <w:rPr>
                <w:rFonts w:ascii="Arial Narrow" w:hAnsi="Arial Narrow" w:cs="Arial"/>
                <w:color w:val="000000"/>
                <w:sz w:val="18"/>
                <w:szCs w:val="18"/>
              </w:rPr>
              <w:t>+0,5</w:t>
            </w:r>
          </w:p>
        </w:tc>
        <w:tc>
          <w:tcPr>
            <w:tcW w:w="1349" w:type="dxa"/>
            <w:vAlign w:val="center"/>
          </w:tcPr>
          <w:p w14:paraId="7791CBB7" w14:textId="20B2458B" w:rsidR="00A61CF8" w:rsidRPr="00A764B0" w:rsidRDefault="00A61CF8" w:rsidP="00A61CF8">
            <w:pPr>
              <w:jc w:val="center"/>
              <w:rPr>
                <w:rFonts w:ascii="Arial Narrow" w:hAnsi="Arial Narrow" w:cs="Arial Narrow"/>
                <w:color w:val="000000"/>
                <w:sz w:val="18"/>
                <w:szCs w:val="18"/>
              </w:rPr>
            </w:pPr>
            <w:r w:rsidRPr="001A4AD1">
              <w:rPr>
                <w:rFonts w:ascii="Arial Narrow" w:hAnsi="Arial Narrow" w:cs="Arial"/>
                <w:color w:val="000000"/>
                <w:sz w:val="18"/>
                <w:szCs w:val="18"/>
              </w:rPr>
              <w:t>+9,5</w:t>
            </w:r>
          </w:p>
        </w:tc>
        <w:tc>
          <w:tcPr>
            <w:tcW w:w="1345" w:type="dxa"/>
            <w:shd w:val="clear" w:color="auto" w:fill="D9D9D9"/>
            <w:vAlign w:val="center"/>
          </w:tcPr>
          <w:p w14:paraId="2F411834" w14:textId="3824AE29" w:rsidR="00A61CF8" w:rsidRPr="00A764B0" w:rsidRDefault="00A61CF8" w:rsidP="00A61CF8">
            <w:pPr>
              <w:jc w:val="center"/>
              <w:rPr>
                <w:rFonts w:ascii="Arial Narrow" w:hAnsi="Arial Narrow" w:cs="Arial Narrow"/>
                <w:color w:val="000000"/>
                <w:sz w:val="18"/>
                <w:szCs w:val="18"/>
              </w:rPr>
            </w:pPr>
            <w:r w:rsidRPr="001A4AD1">
              <w:rPr>
                <w:rFonts w:ascii="Arial Narrow" w:hAnsi="Arial Narrow" w:cs="Arial"/>
                <w:color w:val="000000"/>
                <w:sz w:val="18"/>
                <w:szCs w:val="18"/>
              </w:rPr>
              <w:t>+0,1</w:t>
            </w:r>
          </w:p>
        </w:tc>
        <w:tc>
          <w:tcPr>
            <w:tcW w:w="1346" w:type="dxa"/>
            <w:vAlign w:val="center"/>
          </w:tcPr>
          <w:p w14:paraId="6F4A4BF1" w14:textId="3AF80525" w:rsidR="00A61CF8" w:rsidRPr="00A764B0" w:rsidRDefault="00A61CF8" w:rsidP="00A61CF8">
            <w:pPr>
              <w:jc w:val="center"/>
              <w:rPr>
                <w:rFonts w:ascii="Arial Narrow" w:hAnsi="Arial Narrow" w:cs="Arial Narrow"/>
                <w:color w:val="000000"/>
                <w:sz w:val="18"/>
                <w:szCs w:val="18"/>
              </w:rPr>
            </w:pPr>
            <w:r w:rsidRPr="001A4AD1">
              <w:rPr>
                <w:rFonts w:ascii="Arial Narrow" w:hAnsi="Arial Narrow" w:cs="Arial"/>
                <w:color w:val="000000"/>
                <w:sz w:val="18"/>
                <w:szCs w:val="18"/>
              </w:rPr>
              <w:t>+10,1</w:t>
            </w:r>
          </w:p>
        </w:tc>
      </w:tr>
      <w:tr w:rsidR="00A61CF8" w:rsidRPr="00452E5E" w14:paraId="24F7398F" w14:textId="77777777" w:rsidTr="007815EF">
        <w:trPr>
          <w:gridAfter w:val="1"/>
          <w:wAfter w:w="12" w:type="dxa"/>
          <w:cantSplit/>
          <w:trHeight w:val="255"/>
        </w:trPr>
        <w:tc>
          <w:tcPr>
            <w:tcW w:w="2317" w:type="dxa"/>
            <w:vAlign w:val="center"/>
          </w:tcPr>
          <w:p w14:paraId="7695C356" w14:textId="77777777" w:rsidR="00A61CF8" w:rsidRPr="001C01EA" w:rsidRDefault="00A61CF8" w:rsidP="00A61CF8">
            <w:pPr>
              <w:spacing w:before="40" w:after="20"/>
              <w:rPr>
                <w:rFonts w:ascii="Arial Narrow" w:hAnsi="Arial Narrow" w:cs="Arial"/>
                <w:sz w:val="18"/>
                <w:szCs w:val="18"/>
              </w:rPr>
            </w:pPr>
            <w:r w:rsidRPr="001C01EA">
              <w:rPr>
                <w:rFonts w:ascii="Arial Narrow" w:hAnsi="Arial Narrow" w:cs="Arial"/>
                <w:sz w:val="18"/>
                <w:szCs w:val="18"/>
              </w:rPr>
              <w:t>Beni strumentali</w:t>
            </w:r>
          </w:p>
        </w:tc>
        <w:tc>
          <w:tcPr>
            <w:tcW w:w="1157" w:type="dxa"/>
            <w:shd w:val="clear" w:color="auto" w:fill="D9D9D9"/>
            <w:vAlign w:val="center"/>
          </w:tcPr>
          <w:p w14:paraId="6A73B592" w14:textId="5067ABDC" w:rsidR="00A61CF8" w:rsidRPr="00A764B0" w:rsidRDefault="00A61CF8" w:rsidP="00A61CF8">
            <w:pPr>
              <w:jc w:val="center"/>
              <w:rPr>
                <w:rFonts w:ascii="Arial Narrow" w:hAnsi="Arial Narrow" w:cs="Arial Narrow"/>
                <w:color w:val="000000"/>
                <w:sz w:val="18"/>
                <w:szCs w:val="18"/>
              </w:rPr>
            </w:pPr>
            <w:r w:rsidRPr="001A4AD1">
              <w:rPr>
                <w:rFonts w:ascii="Arial Narrow" w:hAnsi="Arial Narrow" w:cs="Arial"/>
                <w:color w:val="000000"/>
                <w:sz w:val="18"/>
                <w:szCs w:val="18"/>
              </w:rPr>
              <w:t>+0,6</w:t>
            </w:r>
          </w:p>
        </w:tc>
        <w:tc>
          <w:tcPr>
            <w:tcW w:w="1334" w:type="dxa"/>
            <w:tcMar>
              <w:left w:w="0" w:type="dxa"/>
            </w:tcMar>
            <w:vAlign w:val="center"/>
          </w:tcPr>
          <w:p w14:paraId="7409A1A4" w14:textId="09B260E9" w:rsidR="00A61CF8" w:rsidRPr="00A764B0" w:rsidRDefault="00A61CF8" w:rsidP="00A61CF8">
            <w:pPr>
              <w:jc w:val="center"/>
              <w:rPr>
                <w:rFonts w:ascii="Arial Narrow" w:hAnsi="Arial Narrow" w:cs="Arial Narrow"/>
                <w:color w:val="000000"/>
                <w:sz w:val="18"/>
                <w:szCs w:val="18"/>
              </w:rPr>
            </w:pPr>
            <w:r w:rsidRPr="001A4AD1">
              <w:rPr>
                <w:rFonts w:ascii="Arial Narrow" w:hAnsi="Arial Narrow" w:cs="Arial"/>
                <w:color w:val="000000"/>
                <w:sz w:val="18"/>
                <w:szCs w:val="18"/>
              </w:rPr>
              <w:t>+5,4</w:t>
            </w:r>
          </w:p>
        </w:tc>
        <w:tc>
          <w:tcPr>
            <w:tcW w:w="1346" w:type="dxa"/>
            <w:shd w:val="clear" w:color="auto" w:fill="D9D9D9"/>
            <w:vAlign w:val="center"/>
          </w:tcPr>
          <w:p w14:paraId="308AF73B" w14:textId="79214F8E" w:rsidR="00A61CF8" w:rsidRPr="00A764B0" w:rsidRDefault="00A61CF8" w:rsidP="00A61CF8">
            <w:pPr>
              <w:jc w:val="center"/>
              <w:rPr>
                <w:rFonts w:ascii="Arial Narrow" w:hAnsi="Arial Narrow" w:cs="Arial Narrow"/>
                <w:color w:val="000000"/>
                <w:sz w:val="18"/>
                <w:szCs w:val="18"/>
              </w:rPr>
            </w:pPr>
            <w:r w:rsidRPr="001A4AD1">
              <w:rPr>
                <w:rFonts w:ascii="Arial Narrow" w:hAnsi="Arial Narrow" w:cs="Arial"/>
                <w:color w:val="000000"/>
                <w:sz w:val="18"/>
                <w:szCs w:val="18"/>
              </w:rPr>
              <w:t>+0,7</w:t>
            </w:r>
          </w:p>
        </w:tc>
        <w:tc>
          <w:tcPr>
            <w:tcW w:w="1349" w:type="dxa"/>
            <w:vAlign w:val="center"/>
          </w:tcPr>
          <w:p w14:paraId="5E3B6694" w14:textId="2D83CD15" w:rsidR="00A61CF8" w:rsidRPr="00A764B0" w:rsidRDefault="00A61CF8" w:rsidP="00A61CF8">
            <w:pPr>
              <w:jc w:val="center"/>
              <w:rPr>
                <w:rFonts w:ascii="Arial Narrow" w:hAnsi="Arial Narrow" w:cs="Arial Narrow"/>
                <w:color w:val="000000"/>
                <w:sz w:val="18"/>
                <w:szCs w:val="18"/>
              </w:rPr>
            </w:pPr>
            <w:r w:rsidRPr="001A4AD1">
              <w:rPr>
                <w:rFonts w:ascii="Arial Narrow" w:hAnsi="Arial Narrow" w:cs="Arial"/>
                <w:color w:val="000000"/>
                <w:sz w:val="18"/>
                <w:szCs w:val="18"/>
              </w:rPr>
              <w:t>+4,7</w:t>
            </w:r>
          </w:p>
        </w:tc>
        <w:tc>
          <w:tcPr>
            <w:tcW w:w="1345" w:type="dxa"/>
            <w:shd w:val="clear" w:color="auto" w:fill="D9D9D9"/>
            <w:vAlign w:val="center"/>
          </w:tcPr>
          <w:p w14:paraId="27DB14EF" w14:textId="4DCE4311" w:rsidR="00A61CF8" w:rsidRPr="00A764B0" w:rsidRDefault="00A61CF8" w:rsidP="00A61CF8">
            <w:pPr>
              <w:jc w:val="center"/>
              <w:rPr>
                <w:rFonts w:ascii="Arial Narrow" w:hAnsi="Arial Narrow" w:cs="Arial Narrow"/>
                <w:color w:val="000000"/>
                <w:sz w:val="18"/>
                <w:szCs w:val="18"/>
              </w:rPr>
            </w:pPr>
            <w:r w:rsidRPr="001A4AD1">
              <w:rPr>
                <w:rFonts w:ascii="Arial Narrow" w:hAnsi="Arial Narrow" w:cs="Arial"/>
                <w:color w:val="000000"/>
                <w:sz w:val="18"/>
                <w:szCs w:val="18"/>
              </w:rPr>
              <w:t>+0,6</w:t>
            </w:r>
          </w:p>
        </w:tc>
        <w:tc>
          <w:tcPr>
            <w:tcW w:w="1346" w:type="dxa"/>
            <w:vAlign w:val="center"/>
          </w:tcPr>
          <w:p w14:paraId="1ABECE26" w14:textId="1521A965" w:rsidR="00A61CF8" w:rsidRPr="00A764B0" w:rsidRDefault="00A61CF8" w:rsidP="00A61CF8">
            <w:pPr>
              <w:jc w:val="center"/>
              <w:rPr>
                <w:rFonts w:ascii="Arial Narrow" w:hAnsi="Arial Narrow" w:cs="Arial Narrow"/>
                <w:color w:val="000000"/>
                <w:sz w:val="18"/>
                <w:szCs w:val="18"/>
              </w:rPr>
            </w:pPr>
            <w:r w:rsidRPr="001A4AD1">
              <w:rPr>
                <w:rFonts w:ascii="Arial Narrow" w:hAnsi="Arial Narrow" w:cs="Arial"/>
                <w:color w:val="000000"/>
                <w:sz w:val="18"/>
                <w:szCs w:val="18"/>
              </w:rPr>
              <w:t>+6,5</w:t>
            </w:r>
          </w:p>
        </w:tc>
      </w:tr>
      <w:tr w:rsidR="00A61CF8" w:rsidRPr="00452E5E" w14:paraId="5981913F" w14:textId="77777777" w:rsidTr="007815EF">
        <w:trPr>
          <w:gridAfter w:val="1"/>
          <w:wAfter w:w="12" w:type="dxa"/>
          <w:cantSplit/>
          <w:trHeight w:val="255"/>
        </w:trPr>
        <w:tc>
          <w:tcPr>
            <w:tcW w:w="2317" w:type="dxa"/>
            <w:vAlign w:val="center"/>
          </w:tcPr>
          <w:p w14:paraId="3B67EDCE" w14:textId="77777777" w:rsidR="00A61CF8" w:rsidRPr="001C01EA" w:rsidRDefault="00A61CF8" w:rsidP="00A61CF8">
            <w:pPr>
              <w:spacing w:before="40" w:after="20"/>
              <w:rPr>
                <w:rFonts w:ascii="Arial Narrow" w:hAnsi="Arial Narrow" w:cs="Arial"/>
                <w:sz w:val="18"/>
                <w:szCs w:val="18"/>
              </w:rPr>
            </w:pPr>
            <w:r w:rsidRPr="001C01EA">
              <w:rPr>
                <w:rFonts w:ascii="Arial Narrow" w:hAnsi="Arial Narrow" w:cs="Arial"/>
                <w:sz w:val="18"/>
                <w:szCs w:val="18"/>
              </w:rPr>
              <w:t>Beni intermedi</w:t>
            </w:r>
          </w:p>
        </w:tc>
        <w:tc>
          <w:tcPr>
            <w:tcW w:w="1157" w:type="dxa"/>
            <w:tcBorders>
              <w:bottom w:val="single" w:sz="4" w:space="0" w:color="333333"/>
            </w:tcBorders>
            <w:shd w:val="clear" w:color="auto" w:fill="D9D9D9"/>
            <w:vAlign w:val="center"/>
          </w:tcPr>
          <w:p w14:paraId="1D1ABCEC" w14:textId="1E93ED62" w:rsidR="00A61CF8" w:rsidRPr="00A764B0" w:rsidRDefault="00A61CF8" w:rsidP="00A61CF8">
            <w:pPr>
              <w:jc w:val="center"/>
              <w:rPr>
                <w:rFonts w:ascii="Arial Narrow" w:hAnsi="Arial Narrow" w:cs="Arial Narrow"/>
                <w:color w:val="000000"/>
                <w:sz w:val="18"/>
                <w:szCs w:val="18"/>
              </w:rPr>
            </w:pPr>
            <w:r w:rsidRPr="001A4AD1">
              <w:rPr>
                <w:rFonts w:ascii="Arial Narrow" w:hAnsi="Arial Narrow" w:cs="Arial"/>
                <w:color w:val="000000"/>
                <w:sz w:val="18"/>
                <w:szCs w:val="18"/>
              </w:rPr>
              <w:t>-0,4</w:t>
            </w:r>
          </w:p>
        </w:tc>
        <w:tc>
          <w:tcPr>
            <w:tcW w:w="1334" w:type="dxa"/>
            <w:tcMar>
              <w:left w:w="0" w:type="dxa"/>
            </w:tcMar>
            <w:vAlign w:val="center"/>
          </w:tcPr>
          <w:p w14:paraId="25CE6F58" w14:textId="0F48E326" w:rsidR="00A61CF8" w:rsidRPr="00A764B0" w:rsidRDefault="00A61CF8" w:rsidP="00A61CF8">
            <w:pPr>
              <w:jc w:val="center"/>
              <w:rPr>
                <w:rFonts w:ascii="Arial Narrow" w:hAnsi="Arial Narrow" w:cs="Arial Narrow"/>
                <w:color w:val="000000"/>
                <w:sz w:val="18"/>
                <w:szCs w:val="18"/>
              </w:rPr>
            </w:pPr>
            <w:r w:rsidRPr="001A4AD1">
              <w:rPr>
                <w:rFonts w:ascii="Arial Narrow" w:hAnsi="Arial Narrow" w:cs="Arial"/>
                <w:color w:val="000000"/>
                <w:sz w:val="18"/>
                <w:szCs w:val="18"/>
              </w:rPr>
              <w:t>+14,3</w:t>
            </w:r>
          </w:p>
        </w:tc>
        <w:tc>
          <w:tcPr>
            <w:tcW w:w="1346" w:type="dxa"/>
            <w:tcBorders>
              <w:bottom w:val="single" w:sz="4" w:space="0" w:color="333333"/>
            </w:tcBorders>
            <w:shd w:val="clear" w:color="auto" w:fill="D9D9D9"/>
            <w:vAlign w:val="center"/>
          </w:tcPr>
          <w:p w14:paraId="7B9252FD" w14:textId="596A3E42" w:rsidR="00A61CF8" w:rsidRPr="00A764B0" w:rsidRDefault="00A61CF8" w:rsidP="00A61CF8">
            <w:pPr>
              <w:jc w:val="center"/>
              <w:rPr>
                <w:rFonts w:ascii="Arial Narrow" w:hAnsi="Arial Narrow" w:cs="Arial Narrow"/>
                <w:color w:val="000000"/>
                <w:sz w:val="18"/>
                <w:szCs w:val="18"/>
              </w:rPr>
            </w:pPr>
            <w:r w:rsidRPr="001A4AD1">
              <w:rPr>
                <w:rFonts w:ascii="Arial Narrow" w:hAnsi="Arial Narrow" w:cs="Arial"/>
                <w:color w:val="000000"/>
                <w:sz w:val="18"/>
                <w:szCs w:val="18"/>
              </w:rPr>
              <w:t>-0,5</w:t>
            </w:r>
          </w:p>
        </w:tc>
        <w:tc>
          <w:tcPr>
            <w:tcW w:w="1349" w:type="dxa"/>
            <w:vAlign w:val="center"/>
          </w:tcPr>
          <w:p w14:paraId="3786B3D0" w14:textId="38E6F803" w:rsidR="00A61CF8" w:rsidRPr="00A764B0" w:rsidRDefault="00A61CF8" w:rsidP="00A61CF8">
            <w:pPr>
              <w:jc w:val="center"/>
              <w:rPr>
                <w:rFonts w:ascii="Arial Narrow" w:hAnsi="Arial Narrow" w:cs="Arial Narrow"/>
                <w:color w:val="000000"/>
                <w:sz w:val="18"/>
                <w:szCs w:val="18"/>
              </w:rPr>
            </w:pPr>
            <w:r w:rsidRPr="001A4AD1">
              <w:rPr>
                <w:rFonts w:ascii="Arial Narrow" w:hAnsi="Arial Narrow" w:cs="Arial"/>
                <w:color w:val="000000"/>
                <w:sz w:val="18"/>
                <w:szCs w:val="18"/>
              </w:rPr>
              <w:t>+14,0</w:t>
            </w:r>
          </w:p>
        </w:tc>
        <w:tc>
          <w:tcPr>
            <w:tcW w:w="1345" w:type="dxa"/>
            <w:tcBorders>
              <w:bottom w:val="single" w:sz="4" w:space="0" w:color="333333"/>
            </w:tcBorders>
            <w:shd w:val="clear" w:color="auto" w:fill="D9D9D9"/>
            <w:vAlign w:val="center"/>
          </w:tcPr>
          <w:p w14:paraId="45AD0ECD" w14:textId="21D21ABD" w:rsidR="00A61CF8" w:rsidRPr="00A764B0" w:rsidRDefault="00A61CF8" w:rsidP="00A61CF8">
            <w:pPr>
              <w:jc w:val="center"/>
              <w:rPr>
                <w:rFonts w:ascii="Arial Narrow" w:hAnsi="Arial Narrow" w:cs="Arial Narrow"/>
                <w:color w:val="000000"/>
                <w:sz w:val="18"/>
                <w:szCs w:val="18"/>
              </w:rPr>
            </w:pPr>
            <w:r w:rsidRPr="001A4AD1">
              <w:rPr>
                <w:rFonts w:ascii="Arial Narrow" w:hAnsi="Arial Narrow" w:cs="Arial"/>
                <w:color w:val="000000"/>
                <w:sz w:val="18"/>
                <w:szCs w:val="18"/>
              </w:rPr>
              <w:t>-0,3</w:t>
            </w:r>
          </w:p>
        </w:tc>
        <w:tc>
          <w:tcPr>
            <w:tcW w:w="1346" w:type="dxa"/>
            <w:vAlign w:val="center"/>
          </w:tcPr>
          <w:p w14:paraId="1B1D98F4" w14:textId="259A73A0" w:rsidR="00A61CF8" w:rsidRPr="00A764B0" w:rsidRDefault="00A61CF8" w:rsidP="00A61CF8">
            <w:pPr>
              <w:jc w:val="center"/>
              <w:rPr>
                <w:rFonts w:ascii="Arial Narrow" w:hAnsi="Arial Narrow" w:cs="Arial Narrow"/>
                <w:color w:val="000000"/>
                <w:sz w:val="18"/>
                <w:szCs w:val="18"/>
              </w:rPr>
            </w:pPr>
            <w:r w:rsidRPr="001A4AD1">
              <w:rPr>
                <w:rFonts w:ascii="Arial Narrow" w:hAnsi="Arial Narrow" w:cs="Arial"/>
                <w:color w:val="000000"/>
                <w:sz w:val="18"/>
                <w:szCs w:val="18"/>
              </w:rPr>
              <w:t>+14,5</w:t>
            </w:r>
          </w:p>
        </w:tc>
      </w:tr>
      <w:tr w:rsidR="00A61CF8" w:rsidRPr="00452E5E" w14:paraId="17F64648" w14:textId="77777777" w:rsidTr="007815EF">
        <w:trPr>
          <w:gridAfter w:val="1"/>
          <w:wAfter w:w="12" w:type="dxa"/>
          <w:cantSplit/>
          <w:trHeight w:val="255"/>
        </w:trPr>
        <w:tc>
          <w:tcPr>
            <w:tcW w:w="2317" w:type="dxa"/>
            <w:tcBorders>
              <w:bottom w:val="single" w:sz="4" w:space="0" w:color="333333"/>
            </w:tcBorders>
            <w:vAlign w:val="center"/>
          </w:tcPr>
          <w:p w14:paraId="5AADF819" w14:textId="77777777" w:rsidR="00A61CF8" w:rsidRPr="001C01EA" w:rsidRDefault="00A61CF8" w:rsidP="00A61CF8">
            <w:pPr>
              <w:spacing w:before="40" w:after="20"/>
              <w:rPr>
                <w:rFonts w:ascii="Arial Narrow" w:hAnsi="Arial Narrow" w:cs="Arial"/>
                <w:sz w:val="18"/>
                <w:szCs w:val="18"/>
              </w:rPr>
            </w:pPr>
            <w:r w:rsidRPr="001C01EA">
              <w:rPr>
                <w:rFonts w:ascii="Arial Narrow" w:hAnsi="Arial Narrow" w:cs="Arial"/>
                <w:sz w:val="18"/>
                <w:szCs w:val="18"/>
              </w:rPr>
              <w:t>Energia</w:t>
            </w:r>
          </w:p>
        </w:tc>
        <w:tc>
          <w:tcPr>
            <w:tcW w:w="1157" w:type="dxa"/>
            <w:tcBorders>
              <w:bottom w:val="single" w:sz="4" w:space="0" w:color="333333"/>
            </w:tcBorders>
            <w:shd w:val="clear" w:color="auto" w:fill="D9D9D9"/>
            <w:vAlign w:val="center"/>
          </w:tcPr>
          <w:p w14:paraId="5F13CB98" w14:textId="443BBF03" w:rsidR="00A61CF8" w:rsidRPr="00A764B0" w:rsidRDefault="00A61CF8" w:rsidP="00A61CF8">
            <w:pPr>
              <w:jc w:val="center"/>
              <w:rPr>
                <w:rFonts w:ascii="Arial Narrow" w:hAnsi="Arial Narrow" w:cs="Arial Narrow"/>
                <w:color w:val="000000"/>
                <w:sz w:val="18"/>
                <w:szCs w:val="18"/>
              </w:rPr>
            </w:pPr>
            <w:r w:rsidRPr="001A4AD1">
              <w:rPr>
                <w:rFonts w:ascii="Arial Narrow" w:hAnsi="Arial Narrow" w:cs="Arial"/>
                <w:color w:val="000000"/>
                <w:sz w:val="18"/>
                <w:szCs w:val="18"/>
              </w:rPr>
              <w:t>0,0</w:t>
            </w:r>
          </w:p>
        </w:tc>
        <w:tc>
          <w:tcPr>
            <w:tcW w:w="1334" w:type="dxa"/>
            <w:tcBorders>
              <w:bottom w:val="single" w:sz="4" w:space="0" w:color="333333"/>
            </w:tcBorders>
            <w:tcMar>
              <w:left w:w="0" w:type="dxa"/>
            </w:tcMar>
            <w:vAlign w:val="center"/>
          </w:tcPr>
          <w:p w14:paraId="1576715E" w14:textId="1941833D" w:rsidR="00A61CF8" w:rsidRPr="00A764B0" w:rsidRDefault="00A61CF8" w:rsidP="00A61CF8">
            <w:pPr>
              <w:jc w:val="center"/>
              <w:rPr>
                <w:rFonts w:ascii="Arial Narrow" w:hAnsi="Arial Narrow" w:cs="Arial Narrow"/>
                <w:color w:val="000000"/>
                <w:sz w:val="18"/>
                <w:szCs w:val="18"/>
              </w:rPr>
            </w:pPr>
            <w:r w:rsidRPr="001A4AD1">
              <w:rPr>
                <w:rFonts w:ascii="Arial Narrow" w:hAnsi="Arial Narrow" w:cs="Arial"/>
                <w:color w:val="000000"/>
                <w:sz w:val="18"/>
                <w:szCs w:val="18"/>
              </w:rPr>
              <w:t>+88,4</w:t>
            </w:r>
          </w:p>
        </w:tc>
        <w:tc>
          <w:tcPr>
            <w:tcW w:w="1346" w:type="dxa"/>
            <w:tcBorders>
              <w:bottom w:val="single" w:sz="4" w:space="0" w:color="333333"/>
            </w:tcBorders>
            <w:shd w:val="clear" w:color="auto" w:fill="D9D9D9"/>
            <w:vAlign w:val="center"/>
          </w:tcPr>
          <w:p w14:paraId="7BE7F33E" w14:textId="1FC06DE8" w:rsidR="00A61CF8" w:rsidRPr="00A764B0" w:rsidRDefault="00A61CF8" w:rsidP="00A61CF8">
            <w:pPr>
              <w:jc w:val="center"/>
              <w:rPr>
                <w:rFonts w:ascii="Arial Narrow" w:hAnsi="Arial Narrow" w:cs="Arial Narrow"/>
                <w:color w:val="000000"/>
                <w:sz w:val="18"/>
                <w:szCs w:val="18"/>
              </w:rPr>
            </w:pPr>
            <w:r w:rsidRPr="001A4AD1">
              <w:rPr>
                <w:rFonts w:ascii="Arial Narrow" w:hAnsi="Arial Narrow" w:cs="Arial"/>
                <w:color w:val="000000"/>
                <w:sz w:val="18"/>
                <w:szCs w:val="18"/>
              </w:rPr>
              <w:t>-3,1</w:t>
            </w:r>
          </w:p>
        </w:tc>
        <w:tc>
          <w:tcPr>
            <w:tcW w:w="1349" w:type="dxa"/>
            <w:tcBorders>
              <w:bottom w:val="single" w:sz="4" w:space="0" w:color="333333"/>
            </w:tcBorders>
            <w:vAlign w:val="center"/>
          </w:tcPr>
          <w:p w14:paraId="0C6B9866" w14:textId="59B4B33C" w:rsidR="00A61CF8" w:rsidRPr="00A764B0" w:rsidRDefault="00A61CF8" w:rsidP="00A61CF8">
            <w:pPr>
              <w:jc w:val="center"/>
              <w:rPr>
                <w:rFonts w:ascii="Arial Narrow" w:hAnsi="Arial Narrow" w:cs="Arial Narrow"/>
                <w:color w:val="000000"/>
                <w:sz w:val="18"/>
                <w:szCs w:val="18"/>
              </w:rPr>
            </w:pPr>
            <w:r w:rsidRPr="001A4AD1">
              <w:rPr>
                <w:rFonts w:ascii="Arial Narrow" w:hAnsi="Arial Narrow" w:cs="Arial"/>
                <w:color w:val="000000"/>
                <w:sz w:val="18"/>
                <w:szCs w:val="18"/>
              </w:rPr>
              <w:t>+44,2</w:t>
            </w:r>
          </w:p>
        </w:tc>
        <w:tc>
          <w:tcPr>
            <w:tcW w:w="1345" w:type="dxa"/>
            <w:tcBorders>
              <w:bottom w:val="single" w:sz="4" w:space="0" w:color="333333"/>
            </w:tcBorders>
            <w:shd w:val="clear" w:color="auto" w:fill="D9D9D9"/>
            <w:vAlign w:val="center"/>
          </w:tcPr>
          <w:p w14:paraId="16C232BC" w14:textId="145AB11D" w:rsidR="00A61CF8" w:rsidRPr="00A764B0" w:rsidRDefault="00A61CF8" w:rsidP="00A61CF8">
            <w:pPr>
              <w:jc w:val="center"/>
              <w:rPr>
                <w:rFonts w:ascii="Arial Narrow" w:hAnsi="Arial Narrow" w:cs="Arial Narrow"/>
                <w:color w:val="000000"/>
                <w:sz w:val="18"/>
                <w:szCs w:val="18"/>
              </w:rPr>
            </w:pPr>
            <w:r w:rsidRPr="001A4AD1">
              <w:rPr>
                <w:rFonts w:ascii="Arial Narrow" w:hAnsi="Arial Narrow" w:cs="Arial"/>
                <w:color w:val="000000"/>
                <w:sz w:val="18"/>
                <w:szCs w:val="18"/>
              </w:rPr>
              <w:t>+0,4</w:t>
            </w:r>
          </w:p>
        </w:tc>
        <w:tc>
          <w:tcPr>
            <w:tcW w:w="1346" w:type="dxa"/>
            <w:tcBorders>
              <w:bottom w:val="single" w:sz="4" w:space="0" w:color="333333"/>
            </w:tcBorders>
            <w:vAlign w:val="center"/>
          </w:tcPr>
          <w:p w14:paraId="33211A2F" w14:textId="76645FB5" w:rsidR="00A61CF8" w:rsidRPr="00A764B0" w:rsidRDefault="00A61CF8" w:rsidP="00A61CF8">
            <w:pPr>
              <w:jc w:val="center"/>
              <w:rPr>
                <w:rFonts w:ascii="Arial Narrow" w:hAnsi="Arial Narrow" w:cs="Arial Narrow"/>
                <w:color w:val="000000"/>
                <w:sz w:val="18"/>
                <w:szCs w:val="18"/>
              </w:rPr>
            </w:pPr>
            <w:r w:rsidRPr="001A4AD1">
              <w:rPr>
                <w:rFonts w:ascii="Arial Narrow" w:hAnsi="Arial Narrow" w:cs="Arial"/>
                <w:color w:val="000000"/>
                <w:sz w:val="18"/>
                <w:szCs w:val="18"/>
              </w:rPr>
              <w:t>+93,3</w:t>
            </w:r>
          </w:p>
        </w:tc>
      </w:tr>
      <w:tr w:rsidR="00A61CF8" w:rsidRPr="00452E5E" w14:paraId="2E2CDFBE" w14:textId="77777777" w:rsidTr="007815EF">
        <w:trPr>
          <w:gridAfter w:val="1"/>
          <w:wAfter w:w="12" w:type="dxa"/>
          <w:cantSplit/>
          <w:trHeight w:val="255"/>
        </w:trPr>
        <w:tc>
          <w:tcPr>
            <w:tcW w:w="2317" w:type="dxa"/>
            <w:shd w:val="clear" w:color="auto" w:fill="auto"/>
            <w:vAlign w:val="center"/>
          </w:tcPr>
          <w:p w14:paraId="5DF2FD63" w14:textId="77777777" w:rsidR="00A61CF8" w:rsidRPr="007F2CF0" w:rsidRDefault="00A61CF8" w:rsidP="00A61CF8">
            <w:pPr>
              <w:spacing w:before="40" w:after="20"/>
              <w:rPr>
                <w:rFonts w:ascii="Arial Narrow" w:hAnsi="Arial Narrow" w:cs="Arial"/>
                <w:sz w:val="18"/>
                <w:szCs w:val="18"/>
              </w:rPr>
            </w:pPr>
            <w:r w:rsidRPr="001C01EA">
              <w:rPr>
                <w:rFonts w:ascii="Arial Narrow" w:hAnsi="Arial Narrow" w:cs="Arial"/>
                <w:sz w:val="18"/>
                <w:szCs w:val="18"/>
              </w:rPr>
              <w:t>Totale al netto dell’energia</w:t>
            </w:r>
          </w:p>
        </w:tc>
        <w:tc>
          <w:tcPr>
            <w:tcW w:w="1157" w:type="dxa"/>
            <w:shd w:val="clear" w:color="auto" w:fill="D9D9D9"/>
            <w:vAlign w:val="center"/>
          </w:tcPr>
          <w:p w14:paraId="4DEFB8DF" w14:textId="5CE8E768" w:rsidR="00A61CF8" w:rsidRPr="00A764B0" w:rsidRDefault="00A61CF8" w:rsidP="00A61CF8">
            <w:pPr>
              <w:jc w:val="center"/>
              <w:rPr>
                <w:rFonts w:ascii="Arial Narrow" w:hAnsi="Arial Narrow" w:cs="Arial Narrow"/>
                <w:color w:val="000000"/>
                <w:sz w:val="18"/>
                <w:szCs w:val="18"/>
              </w:rPr>
            </w:pPr>
            <w:r w:rsidRPr="001A4AD1">
              <w:rPr>
                <w:rFonts w:ascii="Arial Narrow" w:hAnsi="Arial Narrow" w:cs="Arial"/>
                <w:color w:val="000000"/>
                <w:sz w:val="18"/>
                <w:szCs w:val="18"/>
              </w:rPr>
              <w:t>+0,2</w:t>
            </w:r>
          </w:p>
        </w:tc>
        <w:tc>
          <w:tcPr>
            <w:tcW w:w="1334" w:type="dxa"/>
            <w:shd w:val="clear" w:color="auto" w:fill="auto"/>
            <w:tcMar>
              <w:left w:w="0" w:type="dxa"/>
            </w:tcMar>
            <w:vAlign w:val="center"/>
          </w:tcPr>
          <w:p w14:paraId="00943129" w14:textId="6B91F4F9" w:rsidR="00A61CF8" w:rsidRPr="00A764B0" w:rsidRDefault="00A61CF8" w:rsidP="00A61CF8">
            <w:pPr>
              <w:jc w:val="center"/>
              <w:rPr>
                <w:rFonts w:ascii="Arial Narrow" w:hAnsi="Arial Narrow" w:cs="Arial Narrow"/>
                <w:color w:val="000000"/>
                <w:sz w:val="18"/>
                <w:szCs w:val="18"/>
              </w:rPr>
            </w:pPr>
            <w:r w:rsidRPr="001A4AD1">
              <w:rPr>
                <w:rFonts w:ascii="Arial Narrow" w:hAnsi="Arial Narrow" w:cs="Arial"/>
                <w:color w:val="000000"/>
                <w:sz w:val="18"/>
                <w:szCs w:val="18"/>
              </w:rPr>
              <w:t>+10,1</w:t>
            </w:r>
          </w:p>
        </w:tc>
        <w:tc>
          <w:tcPr>
            <w:tcW w:w="1346" w:type="dxa"/>
            <w:shd w:val="clear" w:color="auto" w:fill="D9D9D9"/>
            <w:vAlign w:val="center"/>
          </w:tcPr>
          <w:p w14:paraId="502EA5D2" w14:textId="36BF0C81" w:rsidR="00A61CF8" w:rsidRPr="00A764B0" w:rsidRDefault="00A61CF8" w:rsidP="00A61CF8">
            <w:pPr>
              <w:jc w:val="center"/>
              <w:rPr>
                <w:rFonts w:ascii="Arial Narrow" w:hAnsi="Arial Narrow" w:cs="Arial Narrow"/>
                <w:color w:val="000000"/>
                <w:sz w:val="18"/>
                <w:szCs w:val="18"/>
              </w:rPr>
            </w:pPr>
            <w:r w:rsidRPr="001A4AD1">
              <w:rPr>
                <w:rFonts w:ascii="Arial Narrow" w:hAnsi="Arial Narrow" w:cs="Arial"/>
                <w:color w:val="000000"/>
                <w:sz w:val="18"/>
                <w:szCs w:val="18"/>
              </w:rPr>
              <w:t>+0,2</w:t>
            </w:r>
          </w:p>
        </w:tc>
        <w:tc>
          <w:tcPr>
            <w:tcW w:w="1349" w:type="dxa"/>
            <w:shd w:val="clear" w:color="auto" w:fill="auto"/>
            <w:vAlign w:val="center"/>
          </w:tcPr>
          <w:p w14:paraId="289C3E69" w14:textId="38524F85" w:rsidR="00A61CF8" w:rsidRPr="00A764B0" w:rsidRDefault="00A61CF8" w:rsidP="00A61CF8">
            <w:pPr>
              <w:jc w:val="center"/>
              <w:rPr>
                <w:rFonts w:ascii="Arial Narrow" w:hAnsi="Arial Narrow" w:cs="Arial Narrow"/>
                <w:color w:val="000000"/>
                <w:sz w:val="18"/>
                <w:szCs w:val="18"/>
              </w:rPr>
            </w:pPr>
            <w:r w:rsidRPr="001A4AD1">
              <w:rPr>
                <w:rFonts w:ascii="Arial Narrow" w:hAnsi="Arial Narrow" w:cs="Arial"/>
                <w:color w:val="000000"/>
                <w:sz w:val="18"/>
                <w:szCs w:val="18"/>
              </w:rPr>
              <w:t>+9,4</w:t>
            </w:r>
          </w:p>
        </w:tc>
        <w:tc>
          <w:tcPr>
            <w:tcW w:w="1345" w:type="dxa"/>
            <w:shd w:val="clear" w:color="auto" w:fill="D9D9D9"/>
            <w:vAlign w:val="center"/>
          </w:tcPr>
          <w:p w14:paraId="0D130E46" w14:textId="41C99D43" w:rsidR="00A61CF8" w:rsidRPr="00A764B0" w:rsidRDefault="00A61CF8" w:rsidP="00A61CF8">
            <w:pPr>
              <w:jc w:val="center"/>
              <w:rPr>
                <w:rFonts w:ascii="Arial Narrow" w:hAnsi="Arial Narrow" w:cs="Arial Narrow"/>
                <w:color w:val="000000"/>
                <w:sz w:val="18"/>
                <w:szCs w:val="18"/>
              </w:rPr>
            </w:pPr>
            <w:r w:rsidRPr="001A4AD1">
              <w:rPr>
                <w:rFonts w:ascii="Arial Narrow" w:hAnsi="Arial Narrow" w:cs="Arial"/>
                <w:color w:val="000000"/>
                <w:sz w:val="18"/>
                <w:szCs w:val="18"/>
              </w:rPr>
              <w:t>0,0</w:t>
            </w:r>
          </w:p>
        </w:tc>
        <w:tc>
          <w:tcPr>
            <w:tcW w:w="1346" w:type="dxa"/>
            <w:shd w:val="clear" w:color="auto" w:fill="auto"/>
            <w:vAlign w:val="center"/>
          </w:tcPr>
          <w:p w14:paraId="2F175BE3" w14:textId="7D9C966B" w:rsidR="00A61CF8" w:rsidRPr="00A764B0" w:rsidRDefault="00A61CF8" w:rsidP="00A61CF8">
            <w:pPr>
              <w:jc w:val="center"/>
              <w:rPr>
                <w:rFonts w:ascii="Arial Narrow" w:hAnsi="Arial Narrow" w:cs="Arial Narrow"/>
                <w:color w:val="000000"/>
                <w:sz w:val="18"/>
                <w:szCs w:val="18"/>
              </w:rPr>
            </w:pPr>
            <w:r w:rsidRPr="001A4AD1">
              <w:rPr>
                <w:rFonts w:ascii="Arial Narrow" w:hAnsi="Arial Narrow" w:cs="Arial"/>
                <w:color w:val="000000"/>
                <w:sz w:val="18"/>
                <w:szCs w:val="18"/>
              </w:rPr>
              <w:t>+10,7</w:t>
            </w:r>
          </w:p>
        </w:tc>
      </w:tr>
      <w:tr w:rsidR="00A61CF8" w:rsidRPr="00824ACE" w14:paraId="18F55913" w14:textId="77777777" w:rsidTr="007815EF">
        <w:trPr>
          <w:gridAfter w:val="1"/>
          <w:wAfter w:w="12" w:type="dxa"/>
          <w:cantSplit/>
          <w:trHeight w:val="255"/>
        </w:trPr>
        <w:tc>
          <w:tcPr>
            <w:tcW w:w="2317" w:type="dxa"/>
            <w:shd w:val="clear" w:color="auto" w:fill="FF0000"/>
            <w:vAlign w:val="center"/>
          </w:tcPr>
          <w:p w14:paraId="0A90526B" w14:textId="77777777" w:rsidR="00A61CF8" w:rsidRPr="00824ACE" w:rsidRDefault="00A61CF8" w:rsidP="00A61CF8">
            <w:pPr>
              <w:spacing w:before="40" w:after="20"/>
              <w:rPr>
                <w:rFonts w:ascii="Arial Narrow" w:hAnsi="Arial Narrow" w:cs="Arial"/>
                <w:b/>
                <w:color w:val="FFFFFF" w:themeColor="background1"/>
                <w:sz w:val="18"/>
                <w:szCs w:val="18"/>
              </w:rPr>
            </w:pPr>
            <w:r w:rsidRPr="00824ACE">
              <w:rPr>
                <w:rFonts w:ascii="Arial Narrow" w:hAnsi="Arial Narrow" w:cs="Arial"/>
                <w:b/>
                <w:color w:val="FFFFFF" w:themeColor="background1"/>
                <w:sz w:val="18"/>
                <w:szCs w:val="18"/>
              </w:rPr>
              <w:t>Totale</w:t>
            </w:r>
          </w:p>
        </w:tc>
        <w:tc>
          <w:tcPr>
            <w:tcW w:w="1157" w:type="dxa"/>
            <w:shd w:val="clear" w:color="auto" w:fill="FF0000"/>
            <w:vAlign w:val="center"/>
          </w:tcPr>
          <w:p w14:paraId="5DB696E8" w14:textId="6A1D2493" w:rsidR="00A61CF8" w:rsidRPr="00824ACE" w:rsidRDefault="00A61CF8" w:rsidP="00A61CF8">
            <w:pPr>
              <w:spacing w:before="40" w:after="20"/>
              <w:jc w:val="center"/>
              <w:rPr>
                <w:rFonts w:ascii="Arial Narrow" w:hAnsi="Arial Narrow" w:cs="Arial"/>
                <w:b/>
                <w:color w:val="FFFFFF" w:themeColor="background1"/>
                <w:sz w:val="18"/>
                <w:szCs w:val="18"/>
              </w:rPr>
            </w:pPr>
            <w:r w:rsidRPr="001A4AD1">
              <w:rPr>
                <w:rFonts w:ascii="Arial Narrow" w:hAnsi="Arial Narrow" w:cs="Arial"/>
                <w:b/>
                <w:color w:val="FFFFFF" w:themeColor="background1"/>
                <w:sz w:val="18"/>
                <w:szCs w:val="18"/>
              </w:rPr>
              <w:t>+0,1</w:t>
            </w:r>
          </w:p>
        </w:tc>
        <w:tc>
          <w:tcPr>
            <w:tcW w:w="1334" w:type="dxa"/>
            <w:shd w:val="clear" w:color="auto" w:fill="FF0000"/>
            <w:tcMar>
              <w:left w:w="0" w:type="dxa"/>
            </w:tcMar>
            <w:vAlign w:val="center"/>
          </w:tcPr>
          <w:p w14:paraId="40C8196C" w14:textId="5A515B7F" w:rsidR="00A61CF8" w:rsidRPr="00824ACE" w:rsidRDefault="00A61CF8" w:rsidP="00A61CF8">
            <w:pPr>
              <w:spacing w:before="40" w:after="20"/>
              <w:jc w:val="center"/>
              <w:rPr>
                <w:rFonts w:ascii="Arial Narrow" w:hAnsi="Arial Narrow" w:cs="Arial"/>
                <w:b/>
                <w:color w:val="FFFFFF" w:themeColor="background1"/>
                <w:sz w:val="18"/>
                <w:szCs w:val="18"/>
              </w:rPr>
            </w:pPr>
            <w:r w:rsidRPr="001A4AD1">
              <w:rPr>
                <w:rFonts w:ascii="Arial Narrow" w:hAnsi="Arial Narrow" w:cs="Arial"/>
                <w:b/>
                <w:color w:val="FFFFFF" w:themeColor="background1"/>
                <w:sz w:val="18"/>
                <w:szCs w:val="18"/>
              </w:rPr>
              <w:t>+20,3</w:t>
            </w:r>
          </w:p>
        </w:tc>
        <w:tc>
          <w:tcPr>
            <w:tcW w:w="1346" w:type="dxa"/>
            <w:shd w:val="clear" w:color="auto" w:fill="FF0000"/>
            <w:vAlign w:val="center"/>
          </w:tcPr>
          <w:p w14:paraId="57842797" w14:textId="12A95C90" w:rsidR="00A61CF8" w:rsidRPr="00824ACE" w:rsidRDefault="00A61CF8" w:rsidP="00A61CF8">
            <w:pPr>
              <w:spacing w:before="40" w:after="20"/>
              <w:jc w:val="center"/>
              <w:rPr>
                <w:rFonts w:ascii="Arial Narrow" w:hAnsi="Arial Narrow" w:cs="Arial"/>
                <w:b/>
                <w:color w:val="FFFFFF" w:themeColor="background1"/>
                <w:sz w:val="18"/>
                <w:szCs w:val="18"/>
              </w:rPr>
            </w:pPr>
            <w:r w:rsidRPr="001A4AD1">
              <w:rPr>
                <w:rFonts w:ascii="Arial Narrow" w:hAnsi="Arial Narrow" w:cs="Arial"/>
                <w:b/>
                <w:color w:val="FFFFFF" w:themeColor="background1"/>
                <w:sz w:val="18"/>
                <w:szCs w:val="18"/>
              </w:rPr>
              <w:t>+0,1</w:t>
            </w:r>
          </w:p>
        </w:tc>
        <w:tc>
          <w:tcPr>
            <w:tcW w:w="1349" w:type="dxa"/>
            <w:shd w:val="clear" w:color="auto" w:fill="FF0000"/>
            <w:vAlign w:val="center"/>
          </w:tcPr>
          <w:p w14:paraId="03EFA027" w14:textId="5FD7AC05" w:rsidR="00A61CF8" w:rsidRPr="00824ACE" w:rsidRDefault="00A61CF8" w:rsidP="00A61CF8">
            <w:pPr>
              <w:spacing w:before="40" w:after="20"/>
              <w:jc w:val="center"/>
              <w:rPr>
                <w:rFonts w:ascii="Arial Narrow" w:hAnsi="Arial Narrow" w:cs="Arial"/>
                <w:b/>
                <w:color w:val="FFFFFF" w:themeColor="background1"/>
                <w:sz w:val="18"/>
                <w:szCs w:val="18"/>
              </w:rPr>
            </w:pPr>
            <w:r w:rsidRPr="001A4AD1">
              <w:rPr>
                <w:rFonts w:ascii="Arial Narrow" w:hAnsi="Arial Narrow" w:cs="Arial"/>
                <w:b/>
                <w:color w:val="FFFFFF" w:themeColor="background1"/>
                <w:sz w:val="18"/>
                <w:szCs w:val="18"/>
              </w:rPr>
              <w:t>+10,5</w:t>
            </w:r>
          </w:p>
        </w:tc>
        <w:tc>
          <w:tcPr>
            <w:tcW w:w="1345" w:type="dxa"/>
            <w:shd w:val="clear" w:color="auto" w:fill="FF0000"/>
            <w:vAlign w:val="center"/>
          </w:tcPr>
          <w:p w14:paraId="1ADFB8E9" w14:textId="4582B8A6" w:rsidR="00A61CF8" w:rsidRPr="00824ACE" w:rsidRDefault="00A61CF8" w:rsidP="00A61CF8">
            <w:pPr>
              <w:spacing w:before="40" w:after="20"/>
              <w:jc w:val="center"/>
              <w:rPr>
                <w:rFonts w:ascii="Arial Narrow" w:hAnsi="Arial Narrow" w:cs="Arial"/>
                <w:b/>
                <w:color w:val="FFFFFF" w:themeColor="background1"/>
                <w:sz w:val="18"/>
                <w:szCs w:val="18"/>
              </w:rPr>
            </w:pPr>
            <w:r w:rsidRPr="001A4AD1">
              <w:rPr>
                <w:rFonts w:ascii="Arial Narrow" w:hAnsi="Arial Narrow" w:cs="Arial"/>
                <w:b/>
                <w:color w:val="FFFFFF" w:themeColor="background1"/>
                <w:sz w:val="18"/>
                <w:szCs w:val="18"/>
              </w:rPr>
              <w:t>+0,1</w:t>
            </w:r>
          </w:p>
        </w:tc>
        <w:tc>
          <w:tcPr>
            <w:tcW w:w="1346" w:type="dxa"/>
            <w:shd w:val="clear" w:color="auto" w:fill="FF0000"/>
            <w:vAlign w:val="center"/>
          </w:tcPr>
          <w:p w14:paraId="13C573BA" w14:textId="6C42851D" w:rsidR="00A61CF8" w:rsidRPr="00824ACE" w:rsidRDefault="00A61CF8" w:rsidP="00A61CF8">
            <w:pPr>
              <w:spacing w:before="40" w:after="20"/>
              <w:jc w:val="center"/>
              <w:rPr>
                <w:rFonts w:ascii="Arial Narrow" w:hAnsi="Arial Narrow" w:cs="Arial"/>
                <w:b/>
                <w:color w:val="FFFFFF" w:themeColor="background1"/>
                <w:sz w:val="18"/>
                <w:szCs w:val="18"/>
              </w:rPr>
            </w:pPr>
            <w:r w:rsidRPr="001A4AD1">
              <w:rPr>
                <w:rFonts w:ascii="Arial Narrow" w:hAnsi="Arial Narrow" w:cs="Arial"/>
                <w:b/>
                <w:color w:val="FFFFFF" w:themeColor="background1"/>
                <w:sz w:val="18"/>
                <w:szCs w:val="18"/>
              </w:rPr>
              <w:t>+29,9</w:t>
            </w:r>
          </w:p>
        </w:tc>
      </w:tr>
    </w:tbl>
    <w:p w14:paraId="56F929F3" w14:textId="2DEA85A1" w:rsidR="00A84F05" w:rsidRDefault="00A84F05" w:rsidP="00537BEB">
      <w:pPr>
        <w:pStyle w:val="Corpodeltesto1"/>
        <w:spacing w:after="120"/>
        <w:jc w:val="left"/>
        <w:rPr>
          <w:rFonts w:ascii="Arial Narrow" w:hAnsi="Arial Narrow" w:cs="Arial"/>
          <w:b w:val="0"/>
          <w:color w:val="5F5F5F"/>
          <w:kern w:val="28"/>
          <w:sz w:val="20"/>
          <w:szCs w:val="20"/>
        </w:rPr>
      </w:pPr>
    </w:p>
    <w:p w14:paraId="7191987B" w14:textId="77777777" w:rsidR="007E417B" w:rsidRPr="007E417B" w:rsidRDefault="007E417B" w:rsidP="007E417B">
      <w:pPr>
        <w:pStyle w:val="001TitoloBolocco"/>
        <w:pBdr>
          <w:bottom w:val="none" w:sz="0" w:space="0" w:color="auto"/>
        </w:pBdr>
        <w:spacing w:after="100"/>
        <w:rPr>
          <w:rFonts w:ascii="Arial" w:hAnsi="Arial" w:cs="Times New Roman"/>
          <w:b w:val="0"/>
          <w:bCs w:val="0"/>
          <w:caps w:val="0"/>
          <w:color w:val="auto"/>
          <w:kern w:val="28"/>
          <w:sz w:val="21"/>
          <w:szCs w:val="21"/>
        </w:rPr>
      </w:pPr>
      <w:r w:rsidRPr="007E417B">
        <w:rPr>
          <w:rFonts w:ascii="Arial" w:hAnsi="Arial" w:cs="Times New Roman"/>
          <w:b w:val="0"/>
          <w:bCs w:val="0"/>
          <w:caps w:val="0"/>
          <w:color w:val="auto"/>
          <w:kern w:val="28"/>
          <w:sz w:val="21"/>
          <w:szCs w:val="21"/>
        </w:rPr>
        <w:t>A settembre 2022 i prezzi all’importazione dei beni di consumo aumentano, rispetto al mese precedente, dello 0,3% nel complesso (+0,5% Area euro, +0,2% Area non euro); su base annua, crescono del 9,0% per il mercato totale, sintesi di incrementi dell’8,8% per l’Area euro e del 9,1% per l’Area non euro.</w:t>
      </w:r>
    </w:p>
    <w:p w14:paraId="799387DD" w14:textId="77777777" w:rsidR="007E417B" w:rsidRPr="007E417B" w:rsidRDefault="007E417B" w:rsidP="007E417B">
      <w:pPr>
        <w:pStyle w:val="001TitoloBolocco"/>
        <w:pBdr>
          <w:bottom w:val="none" w:sz="0" w:space="0" w:color="auto"/>
        </w:pBdr>
        <w:spacing w:after="100"/>
        <w:rPr>
          <w:rFonts w:ascii="Arial" w:hAnsi="Arial" w:cs="Times New Roman"/>
          <w:b w:val="0"/>
          <w:bCs w:val="0"/>
          <w:caps w:val="0"/>
          <w:color w:val="auto"/>
          <w:kern w:val="28"/>
          <w:sz w:val="21"/>
          <w:szCs w:val="21"/>
        </w:rPr>
      </w:pPr>
      <w:r w:rsidRPr="007E417B">
        <w:rPr>
          <w:rFonts w:ascii="Arial" w:hAnsi="Arial" w:cs="Times New Roman"/>
          <w:b w:val="0"/>
          <w:bCs w:val="0"/>
          <w:caps w:val="0"/>
          <w:color w:val="auto"/>
          <w:kern w:val="28"/>
          <w:sz w:val="21"/>
          <w:szCs w:val="21"/>
        </w:rPr>
        <w:t xml:space="preserve">I prezzi all’importazione dei beni strumentali aumentano nel complesso dello 0,6% su base mensile (+0,7% Area euro, +0,6% Area non euro); in termini tendenziali crescono del 5,4% (+4,7% Area euro, +6,5% Area non euro). </w:t>
      </w:r>
    </w:p>
    <w:p w14:paraId="27E304E2" w14:textId="2BD019C1" w:rsidR="00A61CF8" w:rsidRPr="007E417B" w:rsidRDefault="007E417B" w:rsidP="007E417B">
      <w:pPr>
        <w:pStyle w:val="001TitoloBolocco"/>
        <w:pBdr>
          <w:bottom w:val="none" w:sz="0" w:space="0" w:color="auto"/>
        </w:pBdr>
        <w:spacing w:after="0"/>
        <w:rPr>
          <w:rFonts w:ascii="Arial" w:hAnsi="Arial" w:cs="Times New Roman"/>
          <w:b w:val="0"/>
          <w:bCs w:val="0"/>
          <w:caps w:val="0"/>
          <w:color w:val="auto"/>
          <w:kern w:val="28"/>
          <w:sz w:val="21"/>
          <w:szCs w:val="21"/>
        </w:rPr>
      </w:pPr>
      <w:r w:rsidRPr="007E417B">
        <w:rPr>
          <w:rFonts w:ascii="Arial" w:hAnsi="Arial" w:cs="Times New Roman"/>
          <w:b w:val="0"/>
          <w:bCs w:val="0"/>
          <w:caps w:val="0"/>
          <w:color w:val="auto"/>
          <w:kern w:val="28"/>
          <w:sz w:val="21"/>
          <w:szCs w:val="21"/>
        </w:rPr>
        <w:t>Per quanto riguarda i beni intermedi, i prezzi all’importazione segnano, nel complesso, una diminuzione congiunturale dello 0,4% (-0,5% Area euro, -0,3% Area non euro). Su base annua, i prezzi crescono del 14,3% per il mercato totale (+14,0% Area euro, +14,5% Area non euro).</w:t>
      </w:r>
    </w:p>
    <w:p w14:paraId="6BD59225" w14:textId="1FD52801" w:rsidR="007A6B65" w:rsidRDefault="007A6B65" w:rsidP="007A6B65">
      <w:pPr>
        <w:pStyle w:val="001TitoloBolocco"/>
        <w:pBdr>
          <w:bottom w:val="none" w:sz="0" w:space="0" w:color="auto"/>
        </w:pBdr>
        <w:spacing w:after="0"/>
        <w:rPr>
          <w:rFonts w:ascii="Arial" w:hAnsi="Arial" w:cs="Times New Roman"/>
          <w:b w:val="0"/>
          <w:bCs w:val="0"/>
          <w:caps w:val="0"/>
          <w:color w:val="auto"/>
          <w:kern w:val="28"/>
          <w:sz w:val="21"/>
          <w:szCs w:val="21"/>
        </w:rPr>
      </w:pPr>
    </w:p>
    <w:p w14:paraId="6B2927D4" w14:textId="77777777" w:rsidR="007A6B65" w:rsidRPr="00E71B50" w:rsidRDefault="007A6B65" w:rsidP="007A6B65">
      <w:pPr>
        <w:pStyle w:val="001TitoloBolocco"/>
        <w:spacing w:after="120" w:line="240" w:lineRule="auto"/>
      </w:pPr>
      <w:r w:rsidRPr="00E71B50">
        <w:t>settori di attività economica</w:t>
      </w:r>
    </w:p>
    <w:p w14:paraId="24E9F04B" w14:textId="77777777" w:rsidR="007A6B65" w:rsidRPr="00E2552F" w:rsidRDefault="007A6B65" w:rsidP="007A6B65">
      <w:pPr>
        <w:jc w:val="both"/>
        <w:rPr>
          <w:rFonts w:ascii="Arial Narrow" w:hAnsi="Arial Narrow" w:cs="Arial"/>
          <w:b/>
          <w:color w:val="E42618"/>
          <w:kern w:val="28"/>
          <w:sz w:val="22"/>
          <w:szCs w:val="22"/>
        </w:rPr>
      </w:pPr>
      <w:r w:rsidRPr="00E2552F">
        <w:rPr>
          <w:rFonts w:ascii="Arial Narrow" w:hAnsi="Arial Narrow" w:cs="Arial"/>
          <w:b/>
          <w:color w:val="E42618"/>
          <w:kern w:val="28"/>
          <w:sz w:val="22"/>
          <w:szCs w:val="22"/>
        </w:rPr>
        <w:t>FIGURA 1</w:t>
      </w:r>
      <w:r>
        <w:rPr>
          <w:rFonts w:ascii="Arial Narrow" w:hAnsi="Arial Narrow" w:cs="Arial"/>
          <w:b/>
          <w:color w:val="E42618"/>
          <w:kern w:val="28"/>
          <w:sz w:val="22"/>
          <w:szCs w:val="22"/>
        </w:rPr>
        <w:t>1</w:t>
      </w:r>
      <w:r w:rsidRPr="00E2552F">
        <w:rPr>
          <w:rFonts w:ascii="Arial Narrow" w:hAnsi="Arial Narrow" w:cs="Arial"/>
          <w:b/>
          <w:color w:val="E42618"/>
          <w:kern w:val="28"/>
          <w:sz w:val="22"/>
          <w:szCs w:val="22"/>
        </w:rPr>
        <w:t xml:space="preserve">. </w:t>
      </w:r>
      <w:r w:rsidRPr="006218A7">
        <w:rPr>
          <w:rFonts w:ascii="Arial Narrow" w:hAnsi="Arial Narrow" w:cs="Arial"/>
          <w:b/>
          <w:color w:val="5F5F5F"/>
          <w:sz w:val="22"/>
          <w:szCs w:val="22"/>
        </w:rPr>
        <w:t>PREZZI ALL’IMPORTAZIONE PER SETTORE DI ATTIVITÀ ECONOMICA</w:t>
      </w:r>
    </w:p>
    <w:p w14:paraId="3DB445E3" w14:textId="2D6CF486" w:rsidR="007A6B65" w:rsidRDefault="00271F9E" w:rsidP="007A6B65">
      <w:pPr>
        <w:pStyle w:val="Corpodeltesto1"/>
        <w:jc w:val="left"/>
        <w:rPr>
          <w:rFonts w:ascii="Arial Narrow" w:hAnsi="Arial Narrow" w:cs="Arial"/>
          <w:b w:val="0"/>
          <w:color w:val="5F5F5F"/>
          <w:kern w:val="28"/>
          <w:sz w:val="20"/>
          <w:szCs w:val="20"/>
        </w:rPr>
      </w:pPr>
      <w:r>
        <w:rPr>
          <w:rFonts w:ascii="Arial Narrow" w:hAnsi="Arial Narrow" w:cs="Arial"/>
          <w:b w:val="0"/>
          <w:color w:val="5F5F5F"/>
          <w:kern w:val="28"/>
          <w:sz w:val="20"/>
          <w:szCs w:val="20"/>
        </w:rPr>
        <w:t>Settembre</w:t>
      </w:r>
      <w:r w:rsidR="007A6B65" w:rsidRPr="00E2552F">
        <w:rPr>
          <w:rFonts w:ascii="Arial Narrow" w:hAnsi="Arial Narrow" w:cs="Arial"/>
          <w:b w:val="0"/>
          <w:color w:val="5F5F5F"/>
          <w:kern w:val="28"/>
          <w:sz w:val="20"/>
          <w:szCs w:val="20"/>
        </w:rPr>
        <w:t xml:space="preserve"> 202</w:t>
      </w:r>
      <w:r w:rsidR="007A6B65">
        <w:rPr>
          <w:rFonts w:ascii="Arial Narrow" w:hAnsi="Arial Narrow" w:cs="Arial"/>
          <w:b w:val="0"/>
          <w:color w:val="5F5F5F"/>
          <w:kern w:val="28"/>
          <w:sz w:val="20"/>
          <w:szCs w:val="20"/>
        </w:rPr>
        <w:t>2</w:t>
      </w:r>
      <w:r w:rsidR="007A6B65" w:rsidRPr="00E2552F">
        <w:rPr>
          <w:rFonts w:ascii="Arial Narrow" w:hAnsi="Arial Narrow" w:cs="Arial"/>
          <w:b w:val="0"/>
          <w:color w:val="5F5F5F"/>
          <w:kern w:val="28"/>
          <w:sz w:val="20"/>
          <w:szCs w:val="20"/>
        </w:rPr>
        <w:t>, variazioni percentuali tendenziali (base 2015=100)</w:t>
      </w:r>
    </w:p>
    <w:p w14:paraId="16163FCE" w14:textId="4DC69C47" w:rsidR="00A84F05" w:rsidRDefault="00A61CF8" w:rsidP="002D3666">
      <w:pPr>
        <w:pStyle w:val="Corpodeltesto1"/>
        <w:spacing w:after="60"/>
        <w:jc w:val="left"/>
        <w:rPr>
          <w:rFonts w:ascii="Arial Narrow" w:hAnsi="Arial Narrow" w:cs="Arial"/>
          <w:b w:val="0"/>
          <w:color w:val="5F5F5F"/>
          <w:kern w:val="28"/>
          <w:sz w:val="20"/>
          <w:szCs w:val="20"/>
        </w:rPr>
      </w:pPr>
      <w:r>
        <w:rPr>
          <w:noProof/>
        </w:rPr>
        <w:drawing>
          <wp:inline distT="0" distB="0" distL="0" distR="0" wp14:anchorId="57662882" wp14:editId="11B67B68">
            <wp:extent cx="6660000" cy="2160000"/>
            <wp:effectExtent l="0" t="0" r="7620" b="0"/>
            <wp:docPr id="1"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37388FD" w14:textId="68AB4B88" w:rsidR="00E05DFF" w:rsidRPr="00E05DFF" w:rsidRDefault="00E05DFF" w:rsidP="00E05DFF">
      <w:pPr>
        <w:jc w:val="both"/>
        <w:rPr>
          <w:rFonts w:ascii="Arial Narrow" w:hAnsi="Arial Narrow" w:cs="Arial"/>
          <w:color w:val="000000"/>
          <w:sz w:val="15"/>
          <w:szCs w:val="15"/>
        </w:rPr>
      </w:pPr>
      <w:r>
        <w:rPr>
          <w:rFonts w:ascii="Arial Narrow" w:hAnsi="Arial Narrow" w:cs="Calibri"/>
          <w:sz w:val="15"/>
          <w:szCs w:val="15"/>
        </w:rPr>
        <w:t>Codifiche</w:t>
      </w:r>
      <w:r>
        <w:rPr>
          <w:rFonts w:ascii="Arial Narrow" w:hAnsi="Arial Narrow"/>
          <w:sz w:val="15"/>
          <w:szCs w:val="15"/>
        </w:rPr>
        <w:t xml:space="preserve"> dei settori di attività economica</w:t>
      </w:r>
      <w:r w:rsidRPr="004D645B">
        <w:rPr>
          <w:rFonts w:ascii="Arial Narrow" w:hAnsi="Arial Narrow"/>
          <w:sz w:val="15"/>
          <w:szCs w:val="15"/>
        </w:rPr>
        <w:t>:</w:t>
      </w:r>
      <w:r w:rsidRPr="004D645B">
        <w:rPr>
          <w:rFonts w:ascii="Arial Narrow" w:hAnsi="Arial Narrow" w:cs="Calibri"/>
          <w:sz w:val="15"/>
          <w:szCs w:val="15"/>
        </w:rPr>
        <w:t xml:space="preserve"> </w:t>
      </w:r>
      <w:r>
        <w:rPr>
          <w:rFonts w:ascii="Arial Narrow" w:hAnsi="Arial Narrow" w:cs="Calibri"/>
          <w:sz w:val="15"/>
          <w:szCs w:val="15"/>
        </w:rPr>
        <w:t xml:space="preserve"> </w:t>
      </w:r>
      <w:r w:rsidRPr="00E05DFF">
        <w:rPr>
          <w:rFonts w:ascii="Arial Narrow" w:hAnsi="Arial Narrow" w:cs="Arial"/>
          <w:color w:val="000000"/>
          <w:sz w:val="15"/>
          <w:szCs w:val="15"/>
        </w:rPr>
        <w:t xml:space="preserve">CA - Industrie alimentari, bevande e tabacco; CB - Industrie tessili, abbigliamento, pelli e accessori; CC - Industria del legno, della carta e stampa; CD - Fabbricazione di coke e prodotti petroliferi raffinati; CE - Fabbricazione di prodotti chimici; CF - Produzione di prodotti farmaceutici di base e preparati farmaceutici; CG - Fabbricazione di articoli in gomma e materie plastiche, altri prodotti della lavorazione di minerali non metalliferi; CH - Metallurgia e fabbricazione di prodotti in metallo (esclusi macchine e impianti); CI - Fabbricazione di computer, prodotti di elettronica e ottica, apparecchi elettromedicali, apparecchi di misurazione e orologi; CJ - Fabbricazione di apparecchiature elettriche e apparecchiature per uso domestico non elettriche; CK - Fabbricazione di macchinari e attrezzature </w:t>
      </w:r>
      <w:proofErr w:type="spellStart"/>
      <w:r w:rsidRPr="00E05DFF">
        <w:rPr>
          <w:rFonts w:ascii="Arial Narrow" w:hAnsi="Arial Narrow" w:cs="Arial"/>
          <w:color w:val="000000"/>
          <w:sz w:val="15"/>
          <w:szCs w:val="15"/>
        </w:rPr>
        <w:t>n.c.a</w:t>
      </w:r>
      <w:proofErr w:type="spellEnd"/>
      <w:r w:rsidRPr="00E05DFF">
        <w:rPr>
          <w:rFonts w:ascii="Arial Narrow" w:hAnsi="Arial Narrow" w:cs="Arial"/>
          <w:color w:val="000000"/>
          <w:sz w:val="15"/>
          <w:szCs w:val="15"/>
        </w:rPr>
        <w:t>.; CL - Fabbricazione di mezzi di trasporto; CM - Altre industrie manifatturiere, riparazione e installazione di macchine e apparecchiature.</w:t>
      </w:r>
    </w:p>
    <w:p w14:paraId="6B72D06C" w14:textId="77777777" w:rsidR="00123742" w:rsidRPr="00505B4F" w:rsidRDefault="00123742" w:rsidP="00391ADB">
      <w:pPr>
        <w:jc w:val="both"/>
        <w:rPr>
          <w:rFonts w:ascii="Arial" w:hAnsi="Arial" w:cs="Arial"/>
          <w:color w:val="000000"/>
          <w:sz w:val="6"/>
          <w:szCs w:val="16"/>
        </w:rPr>
      </w:pPr>
    </w:p>
    <w:p w14:paraId="7492DEA3" w14:textId="77F4AF63" w:rsidR="00DF597A" w:rsidRDefault="00DF597A" w:rsidP="00A84F05">
      <w:pPr>
        <w:jc w:val="both"/>
        <w:rPr>
          <w:rFonts w:ascii="Arial" w:hAnsi="Arial" w:cs="Arial"/>
          <w:color w:val="000000"/>
          <w:sz w:val="21"/>
          <w:szCs w:val="21"/>
        </w:rPr>
      </w:pPr>
    </w:p>
    <w:p w14:paraId="00F95876" w14:textId="77777777" w:rsidR="00DF597A" w:rsidRDefault="00DF597A" w:rsidP="00A84F05">
      <w:pPr>
        <w:jc w:val="both"/>
        <w:rPr>
          <w:rFonts w:ascii="Arial" w:hAnsi="Arial" w:cs="Arial"/>
          <w:color w:val="000000"/>
          <w:sz w:val="21"/>
          <w:szCs w:val="21"/>
        </w:rPr>
      </w:pPr>
    </w:p>
    <w:p w14:paraId="4D2674BF" w14:textId="77777777" w:rsidR="00DF597A" w:rsidRDefault="00DF597A" w:rsidP="00A84F05">
      <w:pPr>
        <w:jc w:val="both"/>
        <w:rPr>
          <w:rFonts w:ascii="Arial" w:hAnsi="Arial" w:cs="Arial"/>
          <w:color w:val="000000"/>
          <w:sz w:val="21"/>
          <w:szCs w:val="21"/>
        </w:rPr>
      </w:pPr>
    </w:p>
    <w:p w14:paraId="0D74E919" w14:textId="77777777" w:rsidR="00435E9A" w:rsidRDefault="00435E9A" w:rsidP="00435E9A">
      <w:pPr>
        <w:jc w:val="both"/>
        <w:rPr>
          <w:rFonts w:ascii="Arial" w:hAnsi="Arial" w:cs="Arial"/>
          <w:color w:val="000000"/>
          <w:sz w:val="21"/>
          <w:szCs w:val="21"/>
        </w:rPr>
      </w:pPr>
    </w:p>
    <w:p w14:paraId="13906826" w14:textId="77777777" w:rsidR="00435E9A" w:rsidRDefault="00435E9A" w:rsidP="00435E9A">
      <w:pPr>
        <w:jc w:val="both"/>
        <w:rPr>
          <w:rFonts w:ascii="Arial" w:hAnsi="Arial" w:cs="Arial"/>
          <w:color w:val="000000"/>
          <w:sz w:val="21"/>
          <w:szCs w:val="21"/>
        </w:rPr>
      </w:pPr>
    </w:p>
    <w:p w14:paraId="6AD862E3" w14:textId="77777777" w:rsidR="00E741B5" w:rsidRDefault="00E741B5" w:rsidP="00A61CF8">
      <w:pPr>
        <w:jc w:val="both"/>
        <w:rPr>
          <w:rFonts w:ascii="Arial" w:hAnsi="Arial" w:cs="Arial"/>
          <w:color w:val="000000"/>
          <w:sz w:val="21"/>
          <w:szCs w:val="21"/>
        </w:rPr>
      </w:pPr>
    </w:p>
    <w:p w14:paraId="491B8F15" w14:textId="19B9545C" w:rsidR="007E417B" w:rsidRPr="007E417B" w:rsidRDefault="007E417B" w:rsidP="007E417B">
      <w:pPr>
        <w:jc w:val="both"/>
        <w:rPr>
          <w:rFonts w:ascii="Arial" w:hAnsi="Arial" w:cs="Arial"/>
          <w:b/>
          <w:spacing w:val="-3"/>
        </w:rPr>
      </w:pPr>
      <w:r w:rsidRPr="007E417B">
        <w:rPr>
          <w:rFonts w:ascii="Arial" w:hAnsi="Arial" w:cs="Arial"/>
          <w:sz w:val="21"/>
          <w:szCs w:val="21"/>
        </w:rPr>
        <w:t>I prezzi all’importazione segnano incrementi tendenziali in tutti i settori manifatturieri, a esclusione di quello della produzione di prodotti farmaceutici di base e preparati farmaceutici con riguardo all’Area non euro (-0,3%). Gli incrementi più elevati interessano fabbricazione di coke e prodotti petroliferi raf</w:t>
      </w:r>
      <w:r w:rsidR="00342A71">
        <w:rPr>
          <w:rFonts w:ascii="Arial" w:hAnsi="Arial" w:cs="Arial"/>
          <w:sz w:val="21"/>
          <w:szCs w:val="21"/>
        </w:rPr>
        <w:t>finati (+32,6% Area euro, +39,7</w:t>
      </w:r>
      <w:r w:rsidRPr="007E417B">
        <w:rPr>
          <w:rFonts w:ascii="Arial" w:hAnsi="Arial" w:cs="Arial"/>
          <w:sz w:val="21"/>
          <w:szCs w:val="21"/>
        </w:rPr>
        <w:t>% Area non euro), industria del legno, della carta e stampa (+28,8% Area euro, +24,0% Area non euro), fabbricazione di prodotti chimici (+16,2% Area euro, +16,7% Area non euro) e industrie alimentari, bevande e tabacco (+15,4% Area euro, +16,4% Area non euro).</w:t>
      </w:r>
    </w:p>
    <w:p w14:paraId="21FB56C3" w14:textId="77777777" w:rsidR="00A61CF8" w:rsidRDefault="00A61CF8" w:rsidP="00A61CF8">
      <w:pPr>
        <w:jc w:val="both"/>
        <w:rPr>
          <w:rFonts w:ascii="Arial" w:hAnsi="Arial" w:cs="Arial"/>
          <w:b/>
          <w:spacing w:val="-3"/>
        </w:rPr>
      </w:pPr>
    </w:p>
    <w:p w14:paraId="019C64F7" w14:textId="77777777" w:rsidR="00BD2C14" w:rsidRDefault="00BD2C14" w:rsidP="009B2E91">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b/>
          <w:spacing w:val="-3"/>
        </w:rPr>
        <w:sectPr w:rsidR="00BD2C14" w:rsidSect="009B2E91">
          <w:headerReference w:type="default" r:id="rId34"/>
          <w:pgSz w:w="11907" w:h="16840" w:code="9"/>
          <w:pgMar w:top="1534" w:right="851" w:bottom="680" w:left="851" w:header="567" w:footer="567" w:gutter="0"/>
          <w:cols w:space="720"/>
          <w:noEndnote/>
          <w:docGrid w:linePitch="272"/>
        </w:sectPr>
      </w:pPr>
    </w:p>
    <w:p w14:paraId="2CC81382" w14:textId="77777777" w:rsidR="00FE069A" w:rsidRDefault="00FE069A" w:rsidP="00010C7B">
      <w:pPr>
        <w:ind w:right="57"/>
        <w:jc w:val="both"/>
        <w:rPr>
          <w:rFonts w:ascii="Arial Narrow" w:hAnsi="Arial Narrow" w:cs="Arial"/>
          <w:b/>
          <w:color w:val="E42618"/>
          <w:sz w:val="22"/>
          <w:szCs w:val="22"/>
        </w:rPr>
      </w:pPr>
    </w:p>
    <w:p w14:paraId="21E84998" w14:textId="77777777" w:rsidR="007E417B" w:rsidRPr="00AD4483" w:rsidRDefault="007E417B" w:rsidP="007E417B">
      <w:pPr>
        <w:ind w:right="57"/>
        <w:jc w:val="both"/>
        <w:rPr>
          <w:rFonts w:ascii="Arial Narrow" w:hAnsi="Arial Narrow" w:cs="Arial"/>
          <w:b/>
          <w:color w:val="5F5F5F"/>
          <w:sz w:val="22"/>
          <w:szCs w:val="22"/>
        </w:rPr>
      </w:pPr>
      <w:r w:rsidRPr="00AD4483">
        <w:rPr>
          <w:rFonts w:ascii="Arial Narrow" w:hAnsi="Arial Narrow" w:cs="Arial"/>
          <w:b/>
          <w:color w:val="E42618"/>
          <w:sz w:val="22"/>
          <w:szCs w:val="22"/>
        </w:rPr>
        <w:t>PROSPETTO 6</w:t>
      </w:r>
      <w:r>
        <w:rPr>
          <w:rFonts w:ascii="Arial Narrow" w:hAnsi="Arial Narrow" w:cs="Arial"/>
          <w:b/>
          <w:color w:val="E42618"/>
          <w:sz w:val="22"/>
          <w:szCs w:val="22"/>
        </w:rPr>
        <w:t>/a.</w:t>
      </w:r>
      <w:r w:rsidRPr="00AD4483">
        <w:rPr>
          <w:rFonts w:ascii="Arial Narrow" w:hAnsi="Arial Narrow" w:cs="Arial"/>
          <w:b/>
          <w:color w:val="5F5F5F"/>
        </w:rPr>
        <w:t xml:space="preserve"> </w:t>
      </w:r>
      <w:r w:rsidRPr="00AD4483">
        <w:rPr>
          <w:rFonts w:ascii="Arial Narrow" w:hAnsi="Arial Narrow" w:cs="Arial"/>
          <w:b/>
          <w:color w:val="5F5F5F"/>
          <w:sz w:val="22"/>
          <w:szCs w:val="22"/>
        </w:rPr>
        <w:t>ESPORTAZIONI E IMPORTAZIONI DI MERCI IN VALORE</w:t>
      </w:r>
    </w:p>
    <w:p w14:paraId="675C03E3" w14:textId="77777777" w:rsidR="007E417B" w:rsidRPr="00FF4F6A" w:rsidRDefault="007E417B" w:rsidP="007E417B">
      <w:pPr>
        <w:pStyle w:val="Corpodeltesto1"/>
        <w:spacing w:after="120"/>
        <w:jc w:val="left"/>
        <w:rPr>
          <w:rFonts w:ascii="Arial Narrow" w:hAnsi="Arial Narrow" w:cs="Arial"/>
          <w:b w:val="0"/>
          <w:color w:val="5F5F5F"/>
          <w:kern w:val="28"/>
          <w:sz w:val="20"/>
          <w:szCs w:val="20"/>
        </w:rPr>
      </w:pPr>
      <w:r>
        <w:rPr>
          <w:rFonts w:ascii="Arial Narrow" w:hAnsi="Arial Narrow" w:cs="Arial"/>
          <w:b w:val="0"/>
          <w:color w:val="5F5F5F"/>
          <w:kern w:val="28"/>
          <w:sz w:val="20"/>
          <w:szCs w:val="20"/>
        </w:rPr>
        <w:t>Settembre 2022</w:t>
      </w:r>
      <w:r w:rsidRPr="00AD4483">
        <w:rPr>
          <w:rFonts w:ascii="Arial Narrow" w:hAnsi="Arial Narrow" w:cs="Arial"/>
          <w:b w:val="0"/>
          <w:color w:val="5F5F5F"/>
          <w:kern w:val="28"/>
          <w:sz w:val="20"/>
          <w:szCs w:val="20"/>
        </w:rPr>
        <w:t>, revisioni delle variazioni percentuali, differenze in punti percentuali</w:t>
      </w:r>
    </w:p>
    <w:tbl>
      <w:tblPr>
        <w:tblW w:w="10206" w:type="dxa"/>
        <w:tblBorders>
          <w:top w:val="single" w:sz="4" w:space="0" w:color="333333"/>
          <w:bottom w:val="single" w:sz="4" w:space="0" w:color="333333"/>
          <w:insideH w:val="single" w:sz="4" w:space="0" w:color="333333"/>
        </w:tblBorders>
        <w:tblLook w:val="01E0" w:firstRow="1" w:lastRow="1" w:firstColumn="1" w:lastColumn="1" w:noHBand="0" w:noVBand="0"/>
      </w:tblPr>
      <w:tblGrid>
        <w:gridCol w:w="1458"/>
        <w:gridCol w:w="1456"/>
        <w:gridCol w:w="1456"/>
        <w:gridCol w:w="1410"/>
        <w:gridCol w:w="1531"/>
        <w:gridCol w:w="1426"/>
        <w:gridCol w:w="1469"/>
      </w:tblGrid>
      <w:tr w:rsidR="007E417B" w:rsidRPr="001C01EA" w14:paraId="70A9078D" w14:textId="77777777" w:rsidTr="007E417B">
        <w:trPr>
          <w:trHeight w:val="255"/>
        </w:trPr>
        <w:tc>
          <w:tcPr>
            <w:tcW w:w="1458" w:type="dxa"/>
            <w:tcBorders>
              <w:bottom w:val="nil"/>
            </w:tcBorders>
            <w:shd w:val="clear" w:color="auto" w:fill="auto"/>
            <w:vAlign w:val="center"/>
          </w:tcPr>
          <w:p w14:paraId="500E1A18" w14:textId="77777777" w:rsidR="007E417B" w:rsidRPr="001C01EA" w:rsidRDefault="007E417B" w:rsidP="007E417B">
            <w:pPr>
              <w:spacing w:before="40" w:after="20"/>
              <w:ind w:firstLine="142"/>
              <w:jc w:val="center"/>
              <w:rPr>
                <w:rFonts w:ascii="Arial Narrow" w:hAnsi="Arial Narrow" w:cs="Arial"/>
                <w:b/>
                <w:bCs/>
                <w:sz w:val="18"/>
                <w:szCs w:val="18"/>
              </w:rPr>
            </w:pPr>
          </w:p>
        </w:tc>
        <w:tc>
          <w:tcPr>
            <w:tcW w:w="2912" w:type="dxa"/>
            <w:gridSpan w:val="2"/>
            <w:tcBorders>
              <w:bottom w:val="single" w:sz="4" w:space="0" w:color="333333"/>
            </w:tcBorders>
            <w:shd w:val="clear" w:color="auto" w:fill="E6E6E6"/>
            <w:vAlign w:val="center"/>
          </w:tcPr>
          <w:p w14:paraId="480BE382" w14:textId="77777777" w:rsidR="007E417B" w:rsidRPr="001C01EA" w:rsidRDefault="007E417B" w:rsidP="007E417B">
            <w:pPr>
              <w:spacing w:before="40" w:after="20"/>
              <w:ind w:firstLine="142"/>
              <w:jc w:val="center"/>
              <w:rPr>
                <w:rFonts w:ascii="Arial Narrow" w:hAnsi="Arial Narrow" w:cs="Arial"/>
                <w:b/>
                <w:bCs/>
                <w:sz w:val="18"/>
                <w:szCs w:val="18"/>
              </w:rPr>
            </w:pPr>
            <w:r w:rsidRPr="001C01EA">
              <w:rPr>
                <w:rFonts w:ascii="Arial Narrow" w:hAnsi="Arial Narrow" w:cs="Arial"/>
                <w:b/>
                <w:bCs/>
                <w:sz w:val="18"/>
                <w:szCs w:val="18"/>
              </w:rPr>
              <w:t>Mondo</w:t>
            </w:r>
          </w:p>
        </w:tc>
        <w:tc>
          <w:tcPr>
            <w:tcW w:w="2941" w:type="dxa"/>
            <w:gridSpan w:val="2"/>
            <w:tcBorders>
              <w:bottom w:val="single" w:sz="4" w:space="0" w:color="333333"/>
            </w:tcBorders>
            <w:vAlign w:val="center"/>
          </w:tcPr>
          <w:p w14:paraId="0B23D56F" w14:textId="77777777" w:rsidR="007E417B" w:rsidRPr="001C01EA" w:rsidRDefault="007E417B" w:rsidP="007E417B">
            <w:pPr>
              <w:spacing w:before="40" w:after="20"/>
              <w:jc w:val="center"/>
              <w:rPr>
                <w:rFonts w:ascii="Arial Narrow" w:hAnsi="Arial Narrow" w:cs="Arial"/>
                <w:b/>
                <w:bCs/>
                <w:sz w:val="18"/>
                <w:szCs w:val="18"/>
              </w:rPr>
            </w:pPr>
            <w:r w:rsidRPr="001C01EA">
              <w:rPr>
                <w:rFonts w:ascii="Arial Narrow" w:hAnsi="Arial Narrow" w:cs="Arial"/>
                <w:b/>
                <w:bCs/>
                <w:sz w:val="18"/>
                <w:szCs w:val="18"/>
              </w:rPr>
              <w:t xml:space="preserve">Paesi </w:t>
            </w:r>
            <w:r w:rsidRPr="00C00E9F">
              <w:rPr>
                <w:rFonts w:ascii="Arial Narrow" w:hAnsi="Arial Narrow" w:cs="Arial"/>
                <w:b/>
                <w:bCs/>
                <w:sz w:val="18"/>
                <w:szCs w:val="18"/>
              </w:rPr>
              <w:t xml:space="preserve">Ue27 </w:t>
            </w:r>
          </w:p>
        </w:tc>
        <w:tc>
          <w:tcPr>
            <w:tcW w:w="2895" w:type="dxa"/>
            <w:gridSpan w:val="2"/>
            <w:tcBorders>
              <w:bottom w:val="single" w:sz="4" w:space="0" w:color="333333"/>
            </w:tcBorders>
            <w:shd w:val="clear" w:color="auto" w:fill="E6E6E6"/>
            <w:vAlign w:val="center"/>
          </w:tcPr>
          <w:p w14:paraId="78BFC9AE" w14:textId="77777777" w:rsidR="007E417B" w:rsidRPr="001C01EA" w:rsidRDefault="007E417B" w:rsidP="007E417B">
            <w:pPr>
              <w:spacing w:before="40" w:after="20"/>
              <w:jc w:val="center"/>
              <w:rPr>
                <w:rFonts w:ascii="Arial Narrow" w:hAnsi="Arial Narrow" w:cs="Arial"/>
                <w:b/>
                <w:bCs/>
                <w:sz w:val="18"/>
                <w:szCs w:val="18"/>
              </w:rPr>
            </w:pPr>
            <w:r w:rsidRPr="001C01EA">
              <w:rPr>
                <w:rFonts w:ascii="Arial Narrow" w:hAnsi="Arial Narrow" w:cs="Arial"/>
                <w:b/>
                <w:bCs/>
                <w:sz w:val="18"/>
                <w:szCs w:val="18"/>
              </w:rPr>
              <w:t>Paesi extra Ue</w:t>
            </w:r>
            <w:r>
              <w:rPr>
                <w:rFonts w:ascii="Arial Narrow" w:hAnsi="Arial Narrow" w:cs="Arial"/>
                <w:b/>
                <w:bCs/>
                <w:sz w:val="18"/>
                <w:szCs w:val="18"/>
              </w:rPr>
              <w:t>27</w:t>
            </w:r>
          </w:p>
        </w:tc>
      </w:tr>
      <w:tr w:rsidR="007E417B" w:rsidRPr="001C01EA" w14:paraId="5933333F" w14:textId="77777777" w:rsidTr="007E417B">
        <w:trPr>
          <w:trHeight w:val="255"/>
        </w:trPr>
        <w:tc>
          <w:tcPr>
            <w:tcW w:w="1458" w:type="dxa"/>
            <w:tcBorders>
              <w:top w:val="nil"/>
              <w:bottom w:val="nil"/>
            </w:tcBorders>
            <w:shd w:val="clear" w:color="auto" w:fill="auto"/>
            <w:vAlign w:val="center"/>
          </w:tcPr>
          <w:p w14:paraId="1F93A96E" w14:textId="77777777" w:rsidR="007E417B" w:rsidRPr="001C01EA" w:rsidRDefault="007E417B" w:rsidP="007E417B">
            <w:pPr>
              <w:spacing w:before="40" w:after="20"/>
              <w:jc w:val="center"/>
              <w:rPr>
                <w:rFonts w:ascii="Arial Narrow" w:hAnsi="Arial Narrow" w:cs="Arial"/>
                <w:bCs/>
                <w:sz w:val="18"/>
                <w:szCs w:val="18"/>
              </w:rPr>
            </w:pPr>
          </w:p>
        </w:tc>
        <w:tc>
          <w:tcPr>
            <w:tcW w:w="1456" w:type="dxa"/>
            <w:shd w:val="clear" w:color="auto" w:fill="E6E6E6"/>
            <w:vAlign w:val="center"/>
          </w:tcPr>
          <w:p w14:paraId="7ED7A884" w14:textId="77777777" w:rsidR="007E417B" w:rsidRPr="001C01EA" w:rsidRDefault="007E417B" w:rsidP="007E417B">
            <w:pPr>
              <w:spacing w:before="40" w:after="20"/>
              <w:jc w:val="center"/>
              <w:rPr>
                <w:rFonts w:ascii="Arial Narrow" w:hAnsi="Arial Narrow" w:cs="Arial"/>
                <w:bCs/>
                <w:sz w:val="18"/>
                <w:szCs w:val="18"/>
              </w:rPr>
            </w:pPr>
            <w:r>
              <w:rPr>
                <w:rFonts w:ascii="Arial Narrow" w:hAnsi="Arial Narrow" w:cs="Arial"/>
                <w:bCs/>
                <w:sz w:val="18"/>
                <w:szCs w:val="18"/>
              </w:rPr>
              <w:t>Tendenziali</w:t>
            </w:r>
          </w:p>
        </w:tc>
        <w:tc>
          <w:tcPr>
            <w:tcW w:w="1456" w:type="dxa"/>
            <w:vAlign w:val="center"/>
          </w:tcPr>
          <w:p w14:paraId="3268BBB4" w14:textId="77777777" w:rsidR="007E417B" w:rsidRPr="001C01EA" w:rsidRDefault="007E417B" w:rsidP="007E417B">
            <w:pPr>
              <w:spacing w:before="40" w:after="20"/>
              <w:jc w:val="center"/>
              <w:rPr>
                <w:rFonts w:ascii="Arial Narrow" w:hAnsi="Arial Narrow" w:cs="Arial"/>
                <w:bCs/>
                <w:sz w:val="18"/>
                <w:szCs w:val="18"/>
              </w:rPr>
            </w:pPr>
            <w:r>
              <w:rPr>
                <w:rFonts w:ascii="Arial Narrow" w:hAnsi="Arial Narrow" w:cs="Arial"/>
                <w:bCs/>
                <w:sz w:val="18"/>
                <w:szCs w:val="18"/>
              </w:rPr>
              <w:t>Congiunturali</w:t>
            </w:r>
          </w:p>
        </w:tc>
        <w:tc>
          <w:tcPr>
            <w:tcW w:w="1410" w:type="dxa"/>
            <w:shd w:val="clear" w:color="auto" w:fill="E6E6E6"/>
            <w:vAlign w:val="center"/>
          </w:tcPr>
          <w:p w14:paraId="76F5A3A8" w14:textId="77777777" w:rsidR="007E417B" w:rsidRPr="001C01EA" w:rsidRDefault="007E417B" w:rsidP="007E417B">
            <w:pPr>
              <w:spacing w:before="40" w:after="20"/>
              <w:jc w:val="center"/>
              <w:rPr>
                <w:rFonts w:ascii="Arial Narrow" w:hAnsi="Arial Narrow" w:cs="Arial"/>
                <w:bCs/>
                <w:sz w:val="18"/>
                <w:szCs w:val="18"/>
              </w:rPr>
            </w:pPr>
            <w:r>
              <w:rPr>
                <w:rFonts w:ascii="Arial Narrow" w:hAnsi="Arial Narrow" w:cs="Arial"/>
                <w:bCs/>
                <w:sz w:val="18"/>
                <w:szCs w:val="18"/>
              </w:rPr>
              <w:t>Tendenziali</w:t>
            </w:r>
          </w:p>
        </w:tc>
        <w:tc>
          <w:tcPr>
            <w:tcW w:w="1531" w:type="dxa"/>
            <w:vAlign w:val="center"/>
          </w:tcPr>
          <w:p w14:paraId="489457DF" w14:textId="77777777" w:rsidR="007E417B" w:rsidRPr="001C01EA" w:rsidRDefault="007E417B" w:rsidP="007E417B">
            <w:pPr>
              <w:spacing w:before="40" w:after="20"/>
              <w:jc w:val="center"/>
              <w:rPr>
                <w:rFonts w:ascii="Arial Narrow" w:hAnsi="Arial Narrow" w:cs="Arial"/>
                <w:bCs/>
                <w:sz w:val="18"/>
                <w:szCs w:val="18"/>
              </w:rPr>
            </w:pPr>
            <w:r>
              <w:rPr>
                <w:rFonts w:ascii="Arial Narrow" w:hAnsi="Arial Narrow" w:cs="Arial"/>
                <w:bCs/>
                <w:sz w:val="18"/>
                <w:szCs w:val="18"/>
              </w:rPr>
              <w:t>Congiunturali</w:t>
            </w:r>
          </w:p>
        </w:tc>
        <w:tc>
          <w:tcPr>
            <w:tcW w:w="1426" w:type="dxa"/>
            <w:shd w:val="clear" w:color="auto" w:fill="E6E6E6"/>
            <w:vAlign w:val="center"/>
          </w:tcPr>
          <w:p w14:paraId="7DFBD8F4" w14:textId="77777777" w:rsidR="007E417B" w:rsidRPr="001C01EA" w:rsidRDefault="007E417B" w:rsidP="007E417B">
            <w:pPr>
              <w:spacing w:before="40" w:after="20"/>
              <w:jc w:val="center"/>
              <w:rPr>
                <w:rFonts w:ascii="Arial Narrow" w:hAnsi="Arial Narrow" w:cs="Arial"/>
                <w:bCs/>
                <w:sz w:val="18"/>
                <w:szCs w:val="18"/>
              </w:rPr>
            </w:pPr>
            <w:r>
              <w:rPr>
                <w:rFonts w:ascii="Arial Narrow" w:hAnsi="Arial Narrow" w:cs="Arial"/>
                <w:bCs/>
                <w:sz w:val="18"/>
                <w:szCs w:val="18"/>
              </w:rPr>
              <w:t>Tendenziali</w:t>
            </w:r>
          </w:p>
        </w:tc>
        <w:tc>
          <w:tcPr>
            <w:tcW w:w="1469" w:type="dxa"/>
            <w:vAlign w:val="center"/>
          </w:tcPr>
          <w:p w14:paraId="41BF0BC4" w14:textId="77777777" w:rsidR="007E417B" w:rsidRPr="001C01EA" w:rsidRDefault="007E417B" w:rsidP="007E417B">
            <w:pPr>
              <w:spacing w:before="40" w:after="20"/>
              <w:jc w:val="center"/>
              <w:rPr>
                <w:rFonts w:ascii="Arial Narrow" w:hAnsi="Arial Narrow" w:cs="Arial"/>
                <w:bCs/>
                <w:sz w:val="18"/>
                <w:szCs w:val="18"/>
              </w:rPr>
            </w:pPr>
            <w:r>
              <w:rPr>
                <w:rFonts w:ascii="Arial Narrow" w:hAnsi="Arial Narrow" w:cs="Arial"/>
                <w:bCs/>
                <w:sz w:val="18"/>
                <w:szCs w:val="18"/>
              </w:rPr>
              <w:t>Congiunturali</w:t>
            </w:r>
          </w:p>
        </w:tc>
      </w:tr>
      <w:tr w:rsidR="007E417B" w:rsidRPr="001C01EA" w14:paraId="25063383" w14:textId="77777777" w:rsidTr="007E417B">
        <w:trPr>
          <w:trHeight w:val="255"/>
        </w:trPr>
        <w:tc>
          <w:tcPr>
            <w:tcW w:w="10206" w:type="dxa"/>
            <w:gridSpan w:val="7"/>
            <w:shd w:val="clear" w:color="auto" w:fill="FFFFFF"/>
            <w:vAlign w:val="center"/>
          </w:tcPr>
          <w:p w14:paraId="1C41D7F3" w14:textId="77777777" w:rsidR="007E417B" w:rsidRPr="00010C7B" w:rsidRDefault="007E417B" w:rsidP="007E417B">
            <w:pPr>
              <w:spacing w:before="40" w:after="20"/>
              <w:jc w:val="center"/>
              <w:rPr>
                <w:rFonts w:ascii="Arial Narrow" w:hAnsi="Arial Narrow" w:cs="Arial Narrow"/>
                <w:b/>
                <w:color w:val="000000"/>
                <w:sz w:val="18"/>
                <w:szCs w:val="18"/>
              </w:rPr>
            </w:pPr>
            <w:r w:rsidRPr="00271F9E">
              <w:rPr>
                <w:rFonts w:ascii="Arial Narrow" w:hAnsi="Arial Narrow" w:cs="Arial Narrow"/>
                <w:b/>
                <w:color w:val="000000"/>
                <w:sz w:val="18"/>
                <w:szCs w:val="18"/>
              </w:rPr>
              <w:t xml:space="preserve">Settembre </w:t>
            </w:r>
            <w:r>
              <w:rPr>
                <w:rFonts w:ascii="Arial Narrow" w:hAnsi="Arial Narrow" w:cs="Arial Narrow"/>
                <w:b/>
                <w:color w:val="000000"/>
                <w:sz w:val="18"/>
                <w:szCs w:val="18"/>
              </w:rPr>
              <w:t>2022</w:t>
            </w:r>
          </w:p>
        </w:tc>
      </w:tr>
      <w:tr w:rsidR="007E417B" w:rsidRPr="008C0651" w14:paraId="3693721A" w14:textId="77777777" w:rsidTr="007E417B">
        <w:trPr>
          <w:trHeight w:val="255"/>
        </w:trPr>
        <w:tc>
          <w:tcPr>
            <w:tcW w:w="1458" w:type="dxa"/>
            <w:shd w:val="clear" w:color="auto" w:fill="E6E6E6"/>
            <w:vAlign w:val="center"/>
          </w:tcPr>
          <w:p w14:paraId="79F2DED6" w14:textId="77777777" w:rsidR="007E417B" w:rsidRPr="00C479EF" w:rsidRDefault="007E417B" w:rsidP="007E417B">
            <w:pPr>
              <w:spacing w:before="40" w:after="20"/>
              <w:jc w:val="center"/>
              <w:rPr>
                <w:rFonts w:ascii="Arial Narrow" w:hAnsi="Arial Narrow" w:cs="Arial"/>
                <w:bCs/>
                <w:sz w:val="18"/>
                <w:szCs w:val="18"/>
              </w:rPr>
            </w:pPr>
            <w:r w:rsidRPr="00C479EF">
              <w:rPr>
                <w:rFonts w:ascii="Arial Narrow" w:hAnsi="Arial Narrow" w:cs="Arial"/>
                <w:bCs/>
                <w:sz w:val="18"/>
                <w:szCs w:val="18"/>
              </w:rPr>
              <w:t>Export</w:t>
            </w:r>
          </w:p>
        </w:tc>
        <w:tc>
          <w:tcPr>
            <w:tcW w:w="1456" w:type="dxa"/>
            <w:shd w:val="clear" w:color="auto" w:fill="E6E6E6"/>
            <w:vAlign w:val="center"/>
          </w:tcPr>
          <w:p w14:paraId="755BA50F" w14:textId="77777777" w:rsidR="007E417B" w:rsidRPr="00C479EF" w:rsidRDefault="007E417B" w:rsidP="007E417B">
            <w:pPr>
              <w:spacing w:before="40" w:after="20"/>
              <w:jc w:val="center"/>
              <w:rPr>
                <w:rFonts w:ascii="Arial Narrow" w:hAnsi="Arial Narrow" w:cs="Arial"/>
                <w:bCs/>
                <w:sz w:val="18"/>
                <w:szCs w:val="18"/>
              </w:rPr>
            </w:pPr>
            <w:r w:rsidRPr="00C479EF">
              <w:rPr>
                <w:rFonts w:ascii="Arial Narrow" w:hAnsi="Arial Narrow" w:cs="Arial"/>
                <w:bCs/>
                <w:sz w:val="18"/>
                <w:szCs w:val="18"/>
              </w:rPr>
              <w:t>-</w:t>
            </w:r>
          </w:p>
        </w:tc>
        <w:tc>
          <w:tcPr>
            <w:tcW w:w="1456" w:type="dxa"/>
            <w:vAlign w:val="center"/>
          </w:tcPr>
          <w:p w14:paraId="57D83140" w14:textId="77777777" w:rsidR="007E417B" w:rsidRPr="00C479EF" w:rsidRDefault="007E417B" w:rsidP="007E417B">
            <w:pPr>
              <w:spacing w:before="40" w:after="20"/>
              <w:jc w:val="center"/>
              <w:rPr>
                <w:rFonts w:ascii="Arial Narrow" w:hAnsi="Arial Narrow" w:cs="Arial"/>
                <w:bCs/>
                <w:sz w:val="18"/>
                <w:szCs w:val="18"/>
              </w:rPr>
            </w:pPr>
            <w:r w:rsidRPr="00C479EF">
              <w:rPr>
                <w:rFonts w:ascii="Arial Narrow" w:hAnsi="Arial Narrow" w:cs="Arial"/>
                <w:bCs/>
                <w:sz w:val="18"/>
                <w:szCs w:val="18"/>
              </w:rPr>
              <w:t>-</w:t>
            </w:r>
          </w:p>
        </w:tc>
        <w:tc>
          <w:tcPr>
            <w:tcW w:w="1410" w:type="dxa"/>
            <w:shd w:val="clear" w:color="auto" w:fill="E6E6E6"/>
            <w:vAlign w:val="center"/>
          </w:tcPr>
          <w:p w14:paraId="1BE64762" w14:textId="77777777" w:rsidR="007E417B" w:rsidRPr="00C479EF" w:rsidRDefault="007E417B" w:rsidP="007E417B">
            <w:pPr>
              <w:spacing w:before="40" w:after="20"/>
              <w:jc w:val="center"/>
              <w:rPr>
                <w:rFonts w:ascii="Arial Narrow" w:hAnsi="Arial Narrow" w:cs="Arial"/>
                <w:bCs/>
                <w:sz w:val="18"/>
                <w:szCs w:val="18"/>
              </w:rPr>
            </w:pPr>
            <w:r w:rsidRPr="00C479EF">
              <w:rPr>
                <w:rFonts w:ascii="Arial Narrow" w:hAnsi="Arial Narrow" w:cs="Arial"/>
                <w:bCs/>
                <w:sz w:val="18"/>
                <w:szCs w:val="18"/>
              </w:rPr>
              <w:t>-</w:t>
            </w:r>
          </w:p>
        </w:tc>
        <w:tc>
          <w:tcPr>
            <w:tcW w:w="1531" w:type="dxa"/>
            <w:vAlign w:val="center"/>
          </w:tcPr>
          <w:p w14:paraId="6C4D39FD" w14:textId="77777777" w:rsidR="007E417B" w:rsidRPr="00C479EF" w:rsidRDefault="007E417B" w:rsidP="007E417B">
            <w:pPr>
              <w:spacing w:before="40" w:after="20"/>
              <w:jc w:val="center"/>
              <w:rPr>
                <w:rFonts w:ascii="Arial Narrow" w:hAnsi="Arial Narrow" w:cs="Arial"/>
                <w:bCs/>
                <w:sz w:val="18"/>
                <w:szCs w:val="18"/>
              </w:rPr>
            </w:pPr>
            <w:r w:rsidRPr="00C479EF">
              <w:rPr>
                <w:rFonts w:ascii="Arial Narrow" w:hAnsi="Arial Narrow" w:cs="Arial"/>
                <w:bCs/>
                <w:sz w:val="18"/>
                <w:szCs w:val="18"/>
              </w:rPr>
              <w:t>-</w:t>
            </w:r>
          </w:p>
        </w:tc>
        <w:tc>
          <w:tcPr>
            <w:tcW w:w="1426" w:type="dxa"/>
            <w:shd w:val="clear" w:color="auto" w:fill="E6E6E6"/>
            <w:vAlign w:val="center"/>
          </w:tcPr>
          <w:p w14:paraId="69B6925F" w14:textId="77777777" w:rsidR="007E417B" w:rsidRDefault="007E417B" w:rsidP="007E417B">
            <w:pPr>
              <w:jc w:val="center"/>
              <w:rPr>
                <w:rFonts w:ascii="Arial Narrow" w:hAnsi="Arial Narrow"/>
                <w:color w:val="000000"/>
                <w:sz w:val="18"/>
                <w:szCs w:val="18"/>
              </w:rPr>
            </w:pPr>
            <w:r>
              <w:rPr>
                <w:rFonts w:ascii="Arial Narrow" w:hAnsi="Arial Narrow"/>
                <w:color w:val="000000"/>
                <w:sz w:val="18"/>
                <w:szCs w:val="18"/>
              </w:rPr>
              <w:t>+0,5</w:t>
            </w:r>
          </w:p>
        </w:tc>
        <w:tc>
          <w:tcPr>
            <w:tcW w:w="1469" w:type="dxa"/>
            <w:vAlign w:val="center"/>
          </w:tcPr>
          <w:p w14:paraId="1C1A4345" w14:textId="77777777" w:rsidR="007E417B" w:rsidRDefault="007E417B" w:rsidP="007E417B">
            <w:pPr>
              <w:jc w:val="center"/>
              <w:rPr>
                <w:rFonts w:ascii="Arial Narrow" w:hAnsi="Arial Narrow"/>
                <w:color w:val="000000"/>
                <w:sz w:val="18"/>
                <w:szCs w:val="18"/>
              </w:rPr>
            </w:pPr>
            <w:r>
              <w:rPr>
                <w:rFonts w:ascii="Arial Narrow" w:hAnsi="Arial Narrow"/>
                <w:color w:val="000000"/>
                <w:sz w:val="18"/>
                <w:szCs w:val="18"/>
              </w:rPr>
              <w:t>+0,1</w:t>
            </w:r>
          </w:p>
        </w:tc>
      </w:tr>
      <w:tr w:rsidR="007E417B" w:rsidRPr="008C0651" w14:paraId="618DC63C" w14:textId="77777777" w:rsidTr="007E417B">
        <w:trPr>
          <w:trHeight w:val="255"/>
        </w:trPr>
        <w:tc>
          <w:tcPr>
            <w:tcW w:w="1458" w:type="dxa"/>
            <w:shd w:val="clear" w:color="auto" w:fill="E6E6E6"/>
            <w:vAlign w:val="center"/>
          </w:tcPr>
          <w:p w14:paraId="518D2696" w14:textId="77777777" w:rsidR="007E417B" w:rsidRPr="00C479EF" w:rsidRDefault="007E417B" w:rsidP="007E417B">
            <w:pPr>
              <w:spacing w:before="40" w:after="20"/>
              <w:jc w:val="center"/>
              <w:rPr>
                <w:rFonts w:ascii="Arial Narrow" w:hAnsi="Arial Narrow" w:cs="Arial"/>
                <w:bCs/>
                <w:sz w:val="18"/>
                <w:szCs w:val="18"/>
              </w:rPr>
            </w:pPr>
            <w:r w:rsidRPr="00C479EF">
              <w:rPr>
                <w:rFonts w:ascii="Arial Narrow" w:hAnsi="Arial Narrow" w:cs="Arial"/>
                <w:bCs/>
                <w:sz w:val="18"/>
                <w:szCs w:val="18"/>
              </w:rPr>
              <w:t>Import</w:t>
            </w:r>
          </w:p>
        </w:tc>
        <w:tc>
          <w:tcPr>
            <w:tcW w:w="1456" w:type="dxa"/>
            <w:shd w:val="clear" w:color="auto" w:fill="E6E6E6"/>
            <w:vAlign w:val="center"/>
          </w:tcPr>
          <w:p w14:paraId="2F0E2BD9" w14:textId="77777777" w:rsidR="007E417B" w:rsidRPr="00C479EF" w:rsidRDefault="007E417B" w:rsidP="007E417B">
            <w:pPr>
              <w:spacing w:before="40" w:after="20"/>
              <w:jc w:val="center"/>
              <w:rPr>
                <w:rFonts w:ascii="Arial Narrow" w:hAnsi="Arial Narrow" w:cs="Arial"/>
                <w:bCs/>
                <w:sz w:val="18"/>
                <w:szCs w:val="18"/>
              </w:rPr>
            </w:pPr>
            <w:r w:rsidRPr="00C479EF">
              <w:rPr>
                <w:rFonts w:ascii="Arial Narrow" w:hAnsi="Arial Narrow" w:cs="Arial"/>
                <w:bCs/>
                <w:sz w:val="18"/>
                <w:szCs w:val="18"/>
              </w:rPr>
              <w:t>-</w:t>
            </w:r>
          </w:p>
        </w:tc>
        <w:tc>
          <w:tcPr>
            <w:tcW w:w="1456" w:type="dxa"/>
            <w:vAlign w:val="center"/>
          </w:tcPr>
          <w:p w14:paraId="4DB4F820" w14:textId="77777777" w:rsidR="007E417B" w:rsidRPr="00C479EF" w:rsidRDefault="007E417B" w:rsidP="007E417B">
            <w:pPr>
              <w:spacing w:before="40" w:after="20"/>
              <w:jc w:val="center"/>
              <w:rPr>
                <w:rFonts w:ascii="Arial Narrow" w:hAnsi="Arial Narrow" w:cs="Arial"/>
                <w:bCs/>
                <w:sz w:val="18"/>
                <w:szCs w:val="18"/>
              </w:rPr>
            </w:pPr>
            <w:r w:rsidRPr="00C479EF">
              <w:rPr>
                <w:rFonts w:ascii="Arial Narrow" w:hAnsi="Arial Narrow" w:cs="Arial"/>
                <w:bCs/>
                <w:sz w:val="18"/>
                <w:szCs w:val="18"/>
              </w:rPr>
              <w:t>-</w:t>
            </w:r>
          </w:p>
        </w:tc>
        <w:tc>
          <w:tcPr>
            <w:tcW w:w="1410" w:type="dxa"/>
            <w:shd w:val="clear" w:color="auto" w:fill="E6E6E6"/>
            <w:vAlign w:val="center"/>
          </w:tcPr>
          <w:p w14:paraId="329FCABA" w14:textId="77777777" w:rsidR="007E417B" w:rsidRPr="00C479EF" w:rsidRDefault="007E417B" w:rsidP="007E417B">
            <w:pPr>
              <w:spacing w:before="40" w:after="20"/>
              <w:jc w:val="center"/>
              <w:rPr>
                <w:rFonts w:ascii="Arial Narrow" w:hAnsi="Arial Narrow" w:cs="Arial"/>
                <w:bCs/>
                <w:sz w:val="18"/>
                <w:szCs w:val="18"/>
              </w:rPr>
            </w:pPr>
            <w:r w:rsidRPr="00C479EF">
              <w:rPr>
                <w:rFonts w:ascii="Arial Narrow" w:hAnsi="Arial Narrow" w:cs="Arial"/>
                <w:bCs/>
                <w:sz w:val="18"/>
                <w:szCs w:val="18"/>
              </w:rPr>
              <w:t>-</w:t>
            </w:r>
          </w:p>
        </w:tc>
        <w:tc>
          <w:tcPr>
            <w:tcW w:w="1531" w:type="dxa"/>
            <w:vAlign w:val="center"/>
          </w:tcPr>
          <w:p w14:paraId="37311903" w14:textId="77777777" w:rsidR="007E417B" w:rsidRPr="00C479EF" w:rsidRDefault="007E417B" w:rsidP="007E417B">
            <w:pPr>
              <w:spacing w:before="40" w:after="20"/>
              <w:jc w:val="center"/>
              <w:rPr>
                <w:rFonts w:ascii="Arial Narrow" w:hAnsi="Arial Narrow" w:cs="Arial"/>
                <w:bCs/>
                <w:sz w:val="18"/>
                <w:szCs w:val="18"/>
              </w:rPr>
            </w:pPr>
            <w:r w:rsidRPr="00C479EF">
              <w:rPr>
                <w:rFonts w:ascii="Arial Narrow" w:hAnsi="Arial Narrow" w:cs="Arial"/>
                <w:bCs/>
                <w:sz w:val="18"/>
                <w:szCs w:val="18"/>
              </w:rPr>
              <w:t>-</w:t>
            </w:r>
          </w:p>
        </w:tc>
        <w:tc>
          <w:tcPr>
            <w:tcW w:w="1426" w:type="dxa"/>
            <w:shd w:val="clear" w:color="auto" w:fill="E6E6E6"/>
            <w:vAlign w:val="center"/>
          </w:tcPr>
          <w:p w14:paraId="719960F4" w14:textId="77777777" w:rsidR="007E417B" w:rsidRDefault="007E417B" w:rsidP="007E417B">
            <w:pPr>
              <w:jc w:val="center"/>
              <w:rPr>
                <w:rFonts w:ascii="Arial Narrow" w:hAnsi="Arial Narrow"/>
                <w:color w:val="000000"/>
                <w:sz w:val="18"/>
                <w:szCs w:val="18"/>
              </w:rPr>
            </w:pPr>
            <w:r>
              <w:rPr>
                <w:rFonts w:ascii="Arial Narrow" w:hAnsi="Arial Narrow"/>
                <w:color w:val="000000"/>
                <w:sz w:val="18"/>
                <w:szCs w:val="18"/>
              </w:rPr>
              <w:t>-3,1</w:t>
            </w:r>
          </w:p>
        </w:tc>
        <w:tc>
          <w:tcPr>
            <w:tcW w:w="1469" w:type="dxa"/>
            <w:vAlign w:val="center"/>
          </w:tcPr>
          <w:p w14:paraId="24295AD1" w14:textId="77777777" w:rsidR="007E417B" w:rsidRDefault="007E417B" w:rsidP="007E417B">
            <w:pPr>
              <w:jc w:val="center"/>
              <w:rPr>
                <w:rFonts w:ascii="Arial Narrow" w:hAnsi="Arial Narrow"/>
                <w:color w:val="000000"/>
                <w:sz w:val="18"/>
                <w:szCs w:val="18"/>
              </w:rPr>
            </w:pPr>
            <w:r>
              <w:rPr>
                <w:rFonts w:ascii="Arial Narrow" w:hAnsi="Arial Narrow"/>
                <w:color w:val="000000"/>
                <w:sz w:val="18"/>
                <w:szCs w:val="18"/>
              </w:rPr>
              <w:t>+0,3</w:t>
            </w:r>
          </w:p>
        </w:tc>
      </w:tr>
      <w:tr w:rsidR="007E417B" w:rsidRPr="001C01EA" w14:paraId="31CF7E19" w14:textId="77777777" w:rsidTr="007E417B">
        <w:trPr>
          <w:trHeight w:val="255"/>
        </w:trPr>
        <w:tc>
          <w:tcPr>
            <w:tcW w:w="10206" w:type="dxa"/>
            <w:gridSpan w:val="7"/>
            <w:shd w:val="clear" w:color="auto" w:fill="FFFFFF"/>
            <w:vAlign w:val="center"/>
          </w:tcPr>
          <w:p w14:paraId="16FAE27C" w14:textId="77777777" w:rsidR="007E417B" w:rsidRPr="00010C7B" w:rsidRDefault="007E417B" w:rsidP="007E417B">
            <w:pPr>
              <w:spacing w:before="40" w:after="20"/>
              <w:jc w:val="center"/>
              <w:rPr>
                <w:rFonts w:ascii="Arial Narrow" w:hAnsi="Arial Narrow" w:cs="Arial Narrow"/>
                <w:b/>
                <w:color w:val="000000"/>
                <w:sz w:val="18"/>
                <w:szCs w:val="18"/>
              </w:rPr>
            </w:pPr>
            <w:r>
              <w:rPr>
                <w:rFonts w:ascii="Arial Narrow" w:hAnsi="Arial Narrow" w:cs="Arial Narrow"/>
                <w:b/>
                <w:color w:val="000000"/>
                <w:sz w:val="18"/>
                <w:szCs w:val="18"/>
              </w:rPr>
              <w:t xml:space="preserve">Agosto 2022 </w:t>
            </w:r>
          </w:p>
        </w:tc>
      </w:tr>
      <w:tr w:rsidR="007E417B" w:rsidRPr="008C0651" w14:paraId="355AA726" w14:textId="77777777" w:rsidTr="007E417B">
        <w:trPr>
          <w:trHeight w:val="255"/>
        </w:trPr>
        <w:tc>
          <w:tcPr>
            <w:tcW w:w="1458" w:type="dxa"/>
            <w:shd w:val="clear" w:color="auto" w:fill="E6E6E6"/>
            <w:vAlign w:val="center"/>
          </w:tcPr>
          <w:p w14:paraId="002550C4" w14:textId="77777777" w:rsidR="007E417B" w:rsidRPr="00C479EF" w:rsidRDefault="007E417B" w:rsidP="007E417B">
            <w:pPr>
              <w:spacing w:before="40" w:after="20"/>
              <w:jc w:val="center"/>
              <w:rPr>
                <w:rFonts w:ascii="Arial Narrow" w:hAnsi="Arial Narrow" w:cs="Arial"/>
                <w:bCs/>
                <w:sz w:val="18"/>
                <w:szCs w:val="18"/>
              </w:rPr>
            </w:pPr>
            <w:r w:rsidRPr="00C479EF">
              <w:rPr>
                <w:rFonts w:ascii="Arial Narrow" w:hAnsi="Arial Narrow" w:cs="Arial"/>
                <w:bCs/>
                <w:sz w:val="18"/>
                <w:szCs w:val="18"/>
              </w:rPr>
              <w:t>Export</w:t>
            </w:r>
          </w:p>
        </w:tc>
        <w:tc>
          <w:tcPr>
            <w:tcW w:w="1456" w:type="dxa"/>
            <w:shd w:val="clear" w:color="auto" w:fill="E6E6E6"/>
            <w:vAlign w:val="center"/>
          </w:tcPr>
          <w:p w14:paraId="32980DDA" w14:textId="77777777" w:rsidR="007E417B" w:rsidRPr="00471069" w:rsidRDefault="007E417B" w:rsidP="007E417B">
            <w:pPr>
              <w:jc w:val="center"/>
              <w:rPr>
                <w:rFonts w:ascii="Arial Narrow" w:hAnsi="Arial Narrow"/>
                <w:sz w:val="18"/>
                <w:szCs w:val="18"/>
              </w:rPr>
            </w:pPr>
            <w:r w:rsidRPr="00471069">
              <w:rPr>
                <w:rFonts w:ascii="Arial Narrow" w:hAnsi="Arial Narrow"/>
                <w:sz w:val="18"/>
                <w:szCs w:val="18"/>
              </w:rPr>
              <w:t>-0,4</w:t>
            </w:r>
          </w:p>
        </w:tc>
        <w:tc>
          <w:tcPr>
            <w:tcW w:w="1456" w:type="dxa"/>
            <w:vAlign w:val="center"/>
          </w:tcPr>
          <w:p w14:paraId="0E5822D7" w14:textId="77777777" w:rsidR="007E417B" w:rsidRPr="00471069" w:rsidRDefault="007E417B" w:rsidP="007E417B">
            <w:pPr>
              <w:jc w:val="center"/>
              <w:rPr>
                <w:rFonts w:ascii="Arial Narrow" w:hAnsi="Arial Narrow"/>
                <w:sz w:val="18"/>
                <w:szCs w:val="18"/>
              </w:rPr>
            </w:pPr>
            <w:r w:rsidRPr="00471069">
              <w:rPr>
                <w:rFonts w:ascii="Arial Narrow" w:hAnsi="Arial Narrow"/>
                <w:sz w:val="18"/>
                <w:szCs w:val="18"/>
              </w:rPr>
              <w:t>+0,4</w:t>
            </w:r>
          </w:p>
        </w:tc>
        <w:tc>
          <w:tcPr>
            <w:tcW w:w="1410" w:type="dxa"/>
            <w:shd w:val="clear" w:color="auto" w:fill="E6E6E6"/>
            <w:vAlign w:val="center"/>
          </w:tcPr>
          <w:p w14:paraId="663D4E45" w14:textId="77777777" w:rsidR="007E417B" w:rsidRPr="00994843" w:rsidRDefault="007E417B" w:rsidP="007E417B">
            <w:pPr>
              <w:jc w:val="center"/>
              <w:rPr>
                <w:rFonts w:ascii="Arial Narrow" w:hAnsi="Arial Narrow"/>
                <w:sz w:val="18"/>
                <w:szCs w:val="18"/>
              </w:rPr>
            </w:pPr>
            <w:r w:rsidRPr="00994843">
              <w:rPr>
                <w:rFonts w:ascii="Arial Narrow" w:hAnsi="Arial Narrow"/>
                <w:sz w:val="18"/>
                <w:szCs w:val="18"/>
              </w:rPr>
              <w:t>-1,2</w:t>
            </w:r>
          </w:p>
        </w:tc>
        <w:tc>
          <w:tcPr>
            <w:tcW w:w="1531" w:type="dxa"/>
            <w:vAlign w:val="center"/>
          </w:tcPr>
          <w:p w14:paraId="58F0A7CC" w14:textId="77777777" w:rsidR="007E417B" w:rsidRPr="00471069" w:rsidRDefault="007E417B" w:rsidP="007E417B">
            <w:pPr>
              <w:jc w:val="center"/>
              <w:rPr>
                <w:rFonts w:ascii="Arial Narrow" w:hAnsi="Arial Narrow"/>
                <w:sz w:val="18"/>
                <w:szCs w:val="18"/>
              </w:rPr>
            </w:pPr>
            <w:r w:rsidRPr="00471069">
              <w:rPr>
                <w:rFonts w:ascii="Arial Narrow" w:hAnsi="Arial Narrow"/>
                <w:sz w:val="18"/>
                <w:szCs w:val="18"/>
              </w:rPr>
              <w:t>+0,7</w:t>
            </w:r>
          </w:p>
        </w:tc>
        <w:tc>
          <w:tcPr>
            <w:tcW w:w="1426" w:type="dxa"/>
            <w:shd w:val="clear" w:color="auto" w:fill="E6E6E6"/>
            <w:vAlign w:val="center"/>
          </w:tcPr>
          <w:p w14:paraId="23622B2E" w14:textId="77777777" w:rsidR="007E417B" w:rsidRPr="00471069" w:rsidRDefault="007E417B" w:rsidP="007E417B">
            <w:pPr>
              <w:jc w:val="center"/>
              <w:rPr>
                <w:rFonts w:ascii="Arial Narrow" w:hAnsi="Arial Narrow"/>
                <w:sz w:val="18"/>
                <w:szCs w:val="18"/>
              </w:rPr>
            </w:pPr>
            <w:r w:rsidRPr="00471069">
              <w:rPr>
                <w:rFonts w:ascii="Arial Narrow" w:hAnsi="Arial Narrow"/>
                <w:sz w:val="18"/>
                <w:szCs w:val="18"/>
              </w:rPr>
              <w:t>-</w:t>
            </w:r>
          </w:p>
        </w:tc>
        <w:tc>
          <w:tcPr>
            <w:tcW w:w="1469" w:type="dxa"/>
            <w:vAlign w:val="center"/>
          </w:tcPr>
          <w:p w14:paraId="081F5709" w14:textId="77777777" w:rsidR="007E417B" w:rsidRPr="00471069" w:rsidRDefault="007E417B" w:rsidP="007E417B">
            <w:pPr>
              <w:jc w:val="center"/>
              <w:rPr>
                <w:rFonts w:ascii="Arial Narrow" w:hAnsi="Arial Narrow"/>
                <w:sz w:val="18"/>
                <w:szCs w:val="18"/>
              </w:rPr>
            </w:pPr>
            <w:r w:rsidRPr="00471069">
              <w:rPr>
                <w:rFonts w:ascii="Arial Narrow" w:hAnsi="Arial Narrow"/>
                <w:sz w:val="18"/>
                <w:szCs w:val="18"/>
              </w:rPr>
              <w:t>+0,1</w:t>
            </w:r>
          </w:p>
        </w:tc>
      </w:tr>
      <w:tr w:rsidR="007E417B" w:rsidRPr="008C0651" w14:paraId="717D8011" w14:textId="77777777" w:rsidTr="007E417B">
        <w:trPr>
          <w:trHeight w:val="255"/>
        </w:trPr>
        <w:tc>
          <w:tcPr>
            <w:tcW w:w="1458" w:type="dxa"/>
            <w:shd w:val="clear" w:color="auto" w:fill="E6E6E6"/>
            <w:vAlign w:val="center"/>
          </w:tcPr>
          <w:p w14:paraId="71CB1D17" w14:textId="77777777" w:rsidR="007E417B" w:rsidRPr="00C479EF" w:rsidRDefault="007E417B" w:rsidP="007E417B">
            <w:pPr>
              <w:spacing w:before="40" w:after="20"/>
              <w:jc w:val="center"/>
              <w:rPr>
                <w:rFonts w:ascii="Arial Narrow" w:hAnsi="Arial Narrow" w:cs="Arial"/>
                <w:bCs/>
                <w:sz w:val="18"/>
                <w:szCs w:val="18"/>
              </w:rPr>
            </w:pPr>
            <w:r w:rsidRPr="00C479EF">
              <w:rPr>
                <w:rFonts w:ascii="Arial Narrow" w:hAnsi="Arial Narrow" w:cs="Arial"/>
                <w:bCs/>
                <w:sz w:val="18"/>
                <w:szCs w:val="18"/>
              </w:rPr>
              <w:t>Import</w:t>
            </w:r>
          </w:p>
        </w:tc>
        <w:tc>
          <w:tcPr>
            <w:tcW w:w="1456" w:type="dxa"/>
            <w:shd w:val="clear" w:color="auto" w:fill="E6E6E6"/>
            <w:vAlign w:val="center"/>
          </w:tcPr>
          <w:p w14:paraId="1827F5B7" w14:textId="77777777" w:rsidR="007E417B" w:rsidRPr="00471069" w:rsidRDefault="007E417B" w:rsidP="007E417B">
            <w:pPr>
              <w:jc w:val="center"/>
              <w:rPr>
                <w:rFonts w:ascii="Arial Narrow" w:hAnsi="Arial Narrow"/>
                <w:sz w:val="18"/>
                <w:szCs w:val="18"/>
              </w:rPr>
            </w:pPr>
            <w:r w:rsidRPr="00471069">
              <w:rPr>
                <w:rFonts w:ascii="Arial Narrow" w:hAnsi="Arial Narrow"/>
                <w:sz w:val="18"/>
                <w:szCs w:val="18"/>
              </w:rPr>
              <w:t>-4,3</w:t>
            </w:r>
          </w:p>
        </w:tc>
        <w:tc>
          <w:tcPr>
            <w:tcW w:w="1456" w:type="dxa"/>
            <w:vAlign w:val="center"/>
          </w:tcPr>
          <w:p w14:paraId="500A38C8" w14:textId="77777777" w:rsidR="007E417B" w:rsidRPr="00471069" w:rsidRDefault="007E417B" w:rsidP="007E417B">
            <w:pPr>
              <w:jc w:val="center"/>
              <w:rPr>
                <w:rFonts w:ascii="Arial Narrow" w:hAnsi="Arial Narrow"/>
                <w:sz w:val="18"/>
                <w:szCs w:val="18"/>
              </w:rPr>
            </w:pPr>
            <w:r w:rsidRPr="00471069">
              <w:rPr>
                <w:rFonts w:ascii="Arial Narrow" w:hAnsi="Arial Narrow"/>
                <w:sz w:val="18"/>
                <w:szCs w:val="18"/>
              </w:rPr>
              <w:t>+0,0</w:t>
            </w:r>
          </w:p>
        </w:tc>
        <w:tc>
          <w:tcPr>
            <w:tcW w:w="1410" w:type="dxa"/>
            <w:shd w:val="clear" w:color="auto" w:fill="E6E6E6"/>
            <w:vAlign w:val="center"/>
          </w:tcPr>
          <w:p w14:paraId="33313F8D" w14:textId="77777777" w:rsidR="007E417B" w:rsidRPr="00994843" w:rsidRDefault="007E417B" w:rsidP="007E417B">
            <w:pPr>
              <w:jc w:val="center"/>
              <w:rPr>
                <w:rFonts w:ascii="Arial Narrow" w:hAnsi="Arial Narrow"/>
                <w:sz w:val="18"/>
                <w:szCs w:val="18"/>
              </w:rPr>
            </w:pPr>
            <w:r w:rsidRPr="00994843">
              <w:rPr>
                <w:rFonts w:ascii="Arial Narrow" w:hAnsi="Arial Narrow"/>
                <w:sz w:val="18"/>
                <w:szCs w:val="18"/>
              </w:rPr>
              <w:t>-2,4</w:t>
            </w:r>
          </w:p>
        </w:tc>
        <w:tc>
          <w:tcPr>
            <w:tcW w:w="1531" w:type="dxa"/>
            <w:vAlign w:val="center"/>
          </w:tcPr>
          <w:p w14:paraId="035FD779" w14:textId="77777777" w:rsidR="007E417B" w:rsidRPr="00471069" w:rsidRDefault="007E417B" w:rsidP="007E417B">
            <w:pPr>
              <w:jc w:val="center"/>
              <w:rPr>
                <w:rFonts w:ascii="Arial Narrow" w:hAnsi="Arial Narrow"/>
                <w:sz w:val="18"/>
                <w:szCs w:val="18"/>
              </w:rPr>
            </w:pPr>
            <w:r w:rsidRPr="00471069">
              <w:rPr>
                <w:rFonts w:ascii="Arial Narrow" w:hAnsi="Arial Narrow"/>
                <w:sz w:val="18"/>
                <w:szCs w:val="18"/>
              </w:rPr>
              <w:t>+0,3</w:t>
            </w:r>
          </w:p>
        </w:tc>
        <w:tc>
          <w:tcPr>
            <w:tcW w:w="1426" w:type="dxa"/>
            <w:shd w:val="clear" w:color="auto" w:fill="E6E6E6"/>
            <w:vAlign w:val="center"/>
          </w:tcPr>
          <w:p w14:paraId="0ED9E8DE" w14:textId="77777777" w:rsidR="007E417B" w:rsidRPr="00471069" w:rsidRDefault="007E417B" w:rsidP="007E417B">
            <w:pPr>
              <w:jc w:val="center"/>
              <w:rPr>
                <w:rFonts w:ascii="Arial Narrow" w:hAnsi="Arial Narrow"/>
                <w:sz w:val="18"/>
                <w:szCs w:val="18"/>
              </w:rPr>
            </w:pPr>
            <w:r w:rsidRPr="00471069">
              <w:rPr>
                <w:rFonts w:ascii="Arial Narrow" w:hAnsi="Arial Narrow"/>
                <w:sz w:val="18"/>
                <w:szCs w:val="18"/>
              </w:rPr>
              <w:t>-</w:t>
            </w:r>
          </w:p>
        </w:tc>
        <w:tc>
          <w:tcPr>
            <w:tcW w:w="1469" w:type="dxa"/>
            <w:vAlign w:val="center"/>
          </w:tcPr>
          <w:p w14:paraId="58C7510F" w14:textId="77777777" w:rsidR="007E417B" w:rsidRPr="00471069" w:rsidRDefault="007E417B" w:rsidP="007E417B">
            <w:pPr>
              <w:jc w:val="center"/>
              <w:rPr>
                <w:rFonts w:ascii="Arial Narrow" w:hAnsi="Arial Narrow"/>
                <w:sz w:val="18"/>
                <w:szCs w:val="18"/>
              </w:rPr>
            </w:pPr>
            <w:r w:rsidRPr="00471069">
              <w:rPr>
                <w:rFonts w:ascii="Arial Narrow" w:hAnsi="Arial Narrow"/>
                <w:sz w:val="18"/>
                <w:szCs w:val="18"/>
              </w:rPr>
              <w:t>-0,5</w:t>
            </w:r>
          </w:p>
        </w:tc>
      </w:tr>
    </w:tbl>
    <w:p w14:paraId="76A70149" w14:textId="77777777" w:rsidR="007E417B" w:rsidRPr="00DD43E2" w:rsidRDefault="007E417B" w:rsidP="007E417B">
      <w:pPr>
        <w:spacing w:before="60" w:after="120"/>
        <w:ind w:right="28"/>
        <w:jc w:val="both"/>
        <w:rPr>
          <w:rFonts w:ascii="Arial Narrow" w:hAnsi="Arial Narrow"/>
          <w:sz w:val="15"/>
          <w:szCs w:val="15"/>
        </w:rPr>
      </w:pPr>
    </w:p>
    <w:p w14:paraId="16D4D4EF" w14:textId="77777777" w:rsidR="007E417B" w:rsidRPr="007E417B" w:rsidRDefault="007E417B" w:rsidP="007E417B">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z w:val="21"/>
          <w:szCs w:val="21"/>
        </w:rPr>
      </w:pPr>
      <w:r w:rsidRPr="007E417B">
        <w:rPr>
          <w:rFonts w:ascii="Arial" w:hAnsi="Arial" w:cs="Arial"/>
          <w:sz w:val="21"/>
          <w:szCs w:val="21"/>
        </w:rPr>
        <w:t>Con la revisione dei dati del commercio estero per l’anno 2021, le variazioni percentuali sul 2020 passano da           +18,2% a +19,2% per l’export e da +26,4% a +28,7% per l’import. Il valore del saldo annuale per l’anno 2021 è rivisto da 44.192 milioni di euro nella stima provvisoria a 40.334 milioni di euro in quella finale.</w:t>
      </w:r>
    </w:p>
    <w:p w14:paraId="7DF99303" w14:textId="6FD5D1F4" w:rsidR="007E417B" w:rsidRPr="007E417B" w:rsidRDefault="007E417B" w:rsidP="007E417B">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z w:val="21"/>
          <w:szCs w:val="21"/>
        </w:rPr>
      </w:pPr>
      <w:r w:rsidRPr="007E417B">
        <w:rPr>
          <w:rFonts w:ascii="Arial" w:hAnsi="Arial" w:cs="Arial"/>
          <w:sz w:val="21"/>
          <w:szCs w:val="21"/>
        </w:rPr>
        <w:t xml:space="preserve">Quest’anno, si rendono contestualmente disponibili anche i dati revisionati per i primi tre mesi del 2022, che sostituiscono quelli precedentemente diffusi. Con la revisione dei dati dei primi tre mesi del 2022, le variazioni percentuali del </w:t>
      </w:r>
      <w:r w:rsidR="00305834">
        <w:rPr>
          <w:rFonts w:ascii="Arial" w:hAnsi="Arial" w:cs="Arial"/>
          <w:sz w:val="21"/>
          <w:szCs w:val="21"/>
        </w:rPr>
        <w:t xml:space="preserve">primo trimestre </w:t>
      </w:r>
      <w:r w:rsidRPr="007E417B">
        <w:rPr>
          <w:rFonts w:ascii="Arial" w:hAnsi="Arial" w:cs="Arial"/>
          <w:sz w:val="21"/>
          <w:szCs w:val="21"/>
        </w:rPr>
        <w:t xml:space="preserve">2022, rispetto al </w:t>
      </w:r>
      <w:r w:rsidR="00305834">
        <w:rPr>
          <w:rFonts w:ascii="Arial" w:hAnsi="Arial" w:cs="Arial"/>
          <w:sz w:val="21"/>
          <w:szCs w:val="21"/>
        </w:rPr>
        <w:t>primo trimestre</w:t>
      </w:r>
      <w:r w:rsidRPr="007E417B">
        <w:rPr>
          <w:rFonts w:ascii="Arial" w:hAnsi="Arial" w:cs="Arial"/>
          <w:sz w:val="21"/>
          <w:szCs w:val="21"/>
        </w:rPr>
        <w:t xml:space="preserve"> 2021, passano da +22,9% a +22,0% per l’export e da +42,9% a +42,8% per l’import. Il valore del saldo per lo stesso periodo passa da -7.122 milioni di euro a -8.752 milioni di euro.</w:t>
      </w:r>
    </w:p>
    <w:p w14:paraId="6A89D126" w14:textId="77777777" w:rsidR="007E417B" w:rsidRPr="007E417B" w:rsidRDefault="007E417B" w:rsidP="007E417B">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z w:val="21"/>
          <w:szCs w:val="21"/>
        </w:rPr>
      </w:pPr>
      <w:r w:rsidRPr="007E417B">
        <w:rPr>
          <w:rFonts w:ascii="Arial" w:hAnsi="Arial" w:cs="Arial"/>
          <w:sz w:val="21"/>
          <w:szCs w:val="21"/>
        </w:rPr>
        <w:t xml:space="preserve">Per il 2021, le revisioni – che interessano tutti i flussi intra ed extra Ue e risultano più ampie rispetto a quelle usualmente registrate in occasione della revisione annuale dei dati – sono dovute, principalmente, alla rettifica dei dati puntuali di importazione del gas naturale allo stato gassoso e all’inclusione delle dichiarazioni </w:t>
      </w:r>
      <w:proofErr w:type="spellStart"/>
      <w:r w:rsidRPr="007E417B">
        <w:rPr>
          <w:rFonts w:ascii="Arial" w:hAnsi="Arial" w:cs="Arial"/>
          <w:sz w:val="21"/>
          <w:szCs w:val="21"/>
        </w:rPr>
        <w:t>Intrastat</w:t>
      </w:r>
      <w:proofErr w:type="spellEnd"/>
      <w:r w:rsidRPr="007E417B">
        <w:rPr>
          <w:rFonts w:ascii="Arial" w:hAnsi="Arial" w:cs="Arial"/>
          <w:sz w:val="21"/>
          <w:szCs w:val="21"/>
        </w:rPr>
        <w:t xml:space="preserve"> trasmesse in ritardo rispetto alle scadenze mensili prefissate (Prospetto 6/b). </w:t>
      </w:r>
    </w:p>
    <w:p w14:paraId="3A0AEC38" w14:textId="1C3D8162" w:rsidR="007C7E35" w:rsidRDefault="007E417B" w:rsidP="007E417B">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jc w:val="both"/>
        <w:rPr>
          <w:rFonts w:ascii="Arial" w:hAnsi="Arial" w:cs="Arial"/>
          <w:sz w:val="21"/>
          <w:szCs w:val="21"/>
        </w:rPr>
      </w:pPr>
      <w:r w:rsidRPr="007E417B">
        <w:rPr>
          <w:rFonts w:ascii="Arial" w:hAnsi="Arial" w:cs="Arial"/>
          <w:sz w:val="21"/>
          <w:szCs w:val="21"/>
        </w:rPr>
        <w:t>Con riguardo ai primi tre mesi del 2022, la revisione per i flussi extra Ue riguarda soltanto il gas naturale allo stato gassoso, mentre per i flussi intra Ue si tratta di una revisione intermedia che interessa tutte le merci.</w:t>
      </w:r>
    </w:p>
    <w:p w14:paraId="50E4A64B" w14:textId="77777777" w:rsidR="007E417B" w:rsidRPr="00422630" w:rsidRDefault="007E417B" w:rsidP="007E417B">
      <w:pPr>
        <w:ind w:right="57"/>
        <w:jc w:val="both"/>
        <w:rPr>
          <w:rFonts w:ascii="Arial Narrow" w:hAnsi="Arial Narrow" w:cs="Arial"/>
          <w:b/>
          <w:color w:val="5F5F5F"/>
          <w:sz w:val="22"/>
          <w:szCs w:val="22"/>
        </w:rPr>
      </w:pPr>
      <w:r w:rsidRPr="00422630">
        <w:rPr>
          <w:rFonts w:ascii="Arial Narrow" w:hAnsi="Arial Narrow" w:cs="Arial"/>
          <w:b/>
          <w:color w:val="E42618"/>
          <w:sz w:val="22"/>
          <w:szCs w:val="22"/>
        </w:rPr>
        <w:t>PROSPETTO 6/b.</w:t>
      </w:r>
      <w:r w:rsidRPr="00422630">
        <w:rPr>
          <w:rFonts w:ascii="Arial Narrow" w:hAnsi="Arial Narrow" w:cs="Arial"/>
          <w:b/>
          <w:color w:val="5F5F5F"/>
        </w:rPr>
        <w:t xml:space="preserve"> </w:t>
      </w:r>
      <w:r w:rsidRPr="00422630">
        <w:rPr>
          <w:rFonts w:ascii="Arial Narrow" w:hAnsi="Arial Narrow" w:cs="Arial"/>
          <w:b/>
          <w:color w:val="5F5F5F"/>
          <w:sz w:val="22"/>
          <w:szCs w:val="22"/>
        </w:rPr>
        <w:t xml:space="preserve">ESPORTAZIONI E IMPORTAZIONI DI MERCI IN VALORE </w:t>
      </w:r>
      <w:r>
        <w:rPr>
          <w:rFonts w:ascii="Arial Narrow" w:hAnsi="Arial Narrow" w:cs="Arial"/>
          <w:b/>
          <w:color w:val="5F5F5F"/>
          <w:sz w:val="22"/>
          <w:szCs w:val="22"/>
        </w:rPr>
        <w:t>PER</w:t>
      </w:r>
      <w:r w:rsidRPr="00422630">
        <w:rPr>
          <w:rFonts w:ascii="Arial Narrow" w:hAnsi="Arial Narrow" w:cs="Arial"/>
          <w:b/>
          <w:color w:val="5F5F5F"/>
          <w:sz w:val="22"/>
          <w:szCs w:val="22"/>
        </w:rPr>
        <w:t xml:space="preserve"> AREA UE</w:t>
      </w:r>
      <w:r>
        <w:rPr>
          <w:rFonts w:ascii="Arial Narrow" w:hAnsi="Arial Narrow" w:cs="Arial"/>
          <w:b/>
          <w:color w:val="5F5F5F"/>
          <w:sz w:val="22"/>
          <w:szCs w:val="22"/>
        </w:rPr>
        <w:t>27,</w:t>
      </w:r>
      <w:r w:rsidRPr="00422630">
        <w:rPr>
          <w:rFonts w:ascii="Arial Narrow" w:hAnsi="Arial Narrow" w:cs="Arial"/>
          <w:b/>
          <w:color w:val="5F5F5F"/>
          <w:sz w:val="22"/>
          <w:szCs w:val="22"/>
        </w:rPr>
        <w:t xml:space="preserve"> EXTRA UE</w:t>
      </w:r>
      <w:r>
        <w:rPr>
          <w:rFonts w:ascii="Arial Narrow" w:hAnsi="Arial Narrow" w:cs="Arial"/>
          <w:b/>
          <w:color w:val="5F5F5F"/>
          <w:sz w:val="22"/>
          <w:szCs w:val="22"/>
        </w:rPr>
        <w:t>27 E MONDO. REVISIONI PERCENTUALI DEI VALORI</w:t>
      </w:r>
    </w:p>
    <w:p w14:paraId="6ECC5C51" w14:textId="77777777" w:rsidR="007E417B" w:rsidRPr="00FF4F6A" w:rsidRDefault="007E417B" w:rsidP="007E417B">
      <w:pPr>
        <w:pStyle w:val="Corpodeltesto1"/>
        <w:spacing w:after="60"/>
        <w:jc w:val="left"/>
        <w:rPr>
          <w:rFonts w:ascii="Arial Narrow" w:hAnsi="Arial Narrow" w:cs="Arial"/>
          <w:b w:val="0"/>
          <w:color w:val="5F5F5F"/>
          <w:kern w:val="28"/>
          <w:sz w:val="20"/>
          <w:szCs w:val="20"/>
        </w:rPr>
      </w:pPr>
      <w:r w:rsidRPr="00422630">
        <w:rPr>
          <w:rFonts w:ascii="Arial Narrow" w:hAnsi="Arial Narrow" w:cs="Arial"/>
          <w:b w:val="0"/>
          <w:color w:val="5F5F5F"/>
          <w:kern w:val="28"/>
          <w:sz w:val="20"/>
          <w:szCs w:val="20"/>
        </w:rPr>
        <w:t>Gennaio</w:t>
      </w:r>
      <w:r>
        <w:rPr>
          <w:rFonts w:ascii="Arial Narrow" w:hAnsi="Arial Narrow" w:cs="Arial"/>
          <w:b w:val="0"/>
          <w:color w:val="5F5F5F"/>
          <w:kern w:val="28"/>
          <w:sz w:val="20"/>
          <w:szCs w:val="20"/>
        </w:rPr>
        <w:t xml:space="preserve"> 2021</w:t>
      </w:r>
      <w:r w:rsidRPr="00422630">
        <w:rPr>
          <w:rFonts w:ascii="Arial Narrow" w:hAnsi="Arial Narrow" w:cs="Arial"/>
          <w:b w:val="0"/>
          <w:color w:val="5F5F5F"/>
          <w:kern w:val="28"/>
          <w:sz w:val="20"/>
          <w:szCs w:val="20"/>
        </w:rPr>
        <w:t xml:space="preserve"> </w:t>
      </w:r>
      <w:r>
        <w:rPr>
          <w:rFonts w:ascii="Arial Narrow" w:hAnsi="Arial Narrow" w:cs="Arial"/>
          <w:b w:val="0"/>
          <w:color w:val="5F5F5F"/>
          <w:kern w:val="28"/>
          <w:sz w:val="20"/>
          <w:szCs w:val="20"/>
        </w:rPr>
        <w:t xml:space="preserve">– marzo </w:t>
      </w:r>
      <w:r w:rsidRPr="00422630">
        <w:rPr>
          <w:rFonts w:ascii="Arial Narrow" w:hAnsi="Arial Narrow" w:cs="Arial"/>
          <w:b w:val="0"/>
          <w:color w:val="5F5F5F"/>
          <w:kern w:val="28"/>
          <w:sz w:val="20"/>
          <w:szCs w:val="20"/>
        </w:rPr>
        <w:t>20</w:t>
      </w:r>
      <w:r>
        <w:rPr>
          <w:rFonts w:ascii="Arial Narrow" w:hAnsi="Arial Narrow" w:cs="Arial"/>
          <w:b w:val="0"/>
          <w:color w:val="5F5F5F"/>
          <w:kern w:val="28"/>
          <w:sz w:val="20"/>
          <w:szCs w:val="20"/>
        </w:rPr>
        <w:t>22</w:t>
      </w:r>
      <w:r w:rsidRPr="00422630">
        <w:rPr>
          <w:rFonts w:ascii="Arial Narrow" w:hAnsi="Arial Narrow" w:cs="Arial"/>
          <w:b w:val="0"/>
          <w:color w:val="5F5F5F"/>
          <w:kern w:val="28"/>
          <w:sz w:val="20"/>
          <w:szCs w:val="20"/>
        </w:rPr>
        <w:t xml:space="preserve">, </w:t>
      </w:r>
      <w:r>
        <w:rPr>
          <w:rFonts w:ascii="Arial Narrow" w:hAnsi="Arial Narrow" w:cs="Arial"/>
          <w:b w:val="0"/>
          <w:color w:val="5F5F5F"/>
          <w:kern w:val="28"/>
          <w:sz w:val="20"/>
          <w:szCs w:val="20"/>
        </w:rPr>
        <w:t>valori percentuali</w:t>
      </w:r>
    </w:p>
    <w:tbl>
      <w:tblPr>
        <w:tblW w:w="10194" w:type="dxa"/>
        <w:tblBorders>
          <w:top w:val="single" w:sz="4" w:space="0" w:color="333333"/>
          <w:bottom w:val="single" w:sz="4" w:space="0" w:color="333333"/>
          <w:insideH w:val="single" w:sz="4" w:space="0" w:color="333333"/>
        </w:tblBorders>
        <w:tblLook w:val="01E0" w:firstRow="1" w:lastRow="1" w:firstColumn="1" w:lastColumn="1" w:noHBand="0" w:noVBand="0"/>
      </w:tblPr>
      <w:tblGrid>
        <w:gridCol w:w="1458"/>
        <w:gridCol w:w="1456"/>
        <w:gridCol w:w="1456"/>
        <w:gridCol w:w="1456"/>
        <w:gridCol w:w="1456"/>
        <w:gridCol w:w="1456"/>
        <w:gridCol w:w="1456"/>
      </w:tblGrid>
      <w:tr w:rsidR="007E417B" w:rsidRPr="001C01EA" w14:paraId="42556E85" w14:textId="77777777" w:rsidTr="007E417B">
        <w:trPr>
          <w:trHeight w:val="255"/>
        </w:trPr>
        <w:tc>
          <w:tcPr>
            <w:tcW w:w="1458" w:type="dxa"/>
            <w:tcBorders>
              <w:bottom w:val="nil"/>
            </w:tcBorders>
            <w:shd w:val="clear" w:color="auto" w:fill="auto"/>
            <w:vAlign w:val="center"/>
          </w:tcPr>
          <w:p w14:paraId="30FE7DCC" w14:textId="77777777" w:rsidR="007E417B" w:rsidRPr="001C01EA" w:rsidRDefault="007E417B" w:rsidP="007E417B">
            <w:pPr>
              <w:spacing w:before="40" w:after="20"/>
              <w:ind w:firstLine="142"/>
              <w:jc w:val="center"/>
              <w:rPr>
                <w:rFonts w:ascii="Arial Narrow" w:hAnsi="Arial Narrow" w:cs="Arial"/>
                <w:b/>
                <w:bCs/>
                <w:sz w:val="18"/>
                <w:szCs w:val="18"/>
              </w:rPr>
            </w:pPr>
          </w:p>
        </w:tc>
        <w:tc>
          <w:tcPr>
            <w:tcW w:w="2912" w:type="dxa"/>
            <w:gridSpan w:val="2"/>
            <w:tcBorders>
              <w:bottom w:val="single" w:sz="4" w:space="0" w:color="333333"/>
            </w:tcBorders>
            <w:shd w:val="clear" w:color="auto" w:fill="D9D9D9"/>
            <w:vAlign w:val="center"/>
          </w:tcPr>
          <w:p w14:paraId="2E2CC404" w14:textId="77777777" w:rsidR="007E417B" w:rsidRPr="001C01EA" w:rsidRDefault="007E417B" w:rsidP="007E417B">
            <w:pPr>
              <w:spacing w:before="40" w:after="20"/>
              <w:ind w:firstLine="142"/>
              <w:jc w:val="center"/>
              <w:rPr>
                <w:rFonts w:ascii="Arial Narrow" w:hAnsi="Arial Narrow" w:cs="Arial"/>
                <w:b/>
                <w:bCs/>
                <w:sz w:val="18"/>
                <w:szCs w:val="18"/>
              </w:rPr>
            </w:pPr>
            <w:r w:rsidRPr="001C01EA">
              <w:rPr>
                <w:rFonts w:ascii="Arial Narrow" w:hAnsi="Arial Narrow" w:cs="Arial"/>
                <w:b/>
                <w:bCs/>
                <w:sz w:val="18"/>
                <w:szCs w:val="18"/>
              </w:rPr>
              <w:t>Mondo</w:t>
            </w:r>
          </w:p>
        </w:tc>
        <w:tc>
          <w:tcPr>
            <w:tcW w:w="2912" w:type="dxa"/>
            <w:gridSpan w:val="2"/>
            <w:tcBorders>
              <w:bottom w:val="single" w:sz="4" w:space="0" w:color="333333"/>
            </w:tcBorders>
            <w:shd w:val="clear" w:color="auto" w:fill="FFFFFF"/>
            <w:vAlign w:val="center"/>
          </w:tcPr>
          <w:p w14:paraId="06689D2E" w14:textId="77777777" w:rsidR="007E417B" w:rsidRPr="00422630" w:rsidRDefault="007E417B" w:rsidP="007E417B">
            <w:pPr>
              <w:spacing w:before="40" w:after="20"/>
              <w:ind w:firstLine="142"/>
              <w:jc w:val="center"/>
              <w:rPr>
                <w:rFonts w:ascii="Arial Narrow" w:hAnsi="Arial Narrow" w:cs="Arial"/>
                <w:b/>
                <w:bCs/>
                <w:sz w:val="18"/>
                <w:szCs w:val="18"/>
              </w:rPr>
            </w:pPr>
            <w:r w:rsidRPr="001C01EA">
              <w:rPr>
                <w:rFonts w:ascii="Arial Narrow" w:hAnsi="Arial Narrow" w:cs="Arial"/>
                <w:b/>
                <w:bCs/>
                <w:sz w:val="18"/>
                <w:szCs w:val="18"/>
              </w:rPr>
              <w:t>Paesi Ue</w:t>
            </w:r>
            <w:r>
              <w:rPr>
                <w:rFonts w:ascii="Arial Narrow" w:hAnsi="Arial Narrow" w:cs="Arial"/>
                <w:b/>
                <w:bCs/>
                <w:sz w:val="18"/>
                <w:szCs w:val="18"/>
              </w:rPr>
              <w:t>27</w:t>
            </w:r>
          </w:p>
        </w:tc>
        <w:tc>
          <w:tcPr>
            <w:tcW w:w="2912" w:type="dxa"/>
            <w:gridSpan w:val="2"/>
            <w:tcBorders>
              <w:bottom w:val="single" w:sz="4" w:space="0" w:color="333333"/>
            </w:tcBorders>
            <w:shd w:val="clear" w:color="auto" w:fill="D9D9D9"/>
            <w:vAlign w:val="center"/>
          </w:tcPr>
          <w:p w14:paraId="7662AB60" w14:textId="77777777" w:rsidR="007E417B" w:rsidRPr="001C01EA" w:rsidRDefault="007E417B" w:rsidP="007E417B">
            <w:pPr>
              <w:spacing w:before="40" w:after="20"/>
              <w:ind w:firstLine="142"/>
              <w:jc w:val="center"/>
              <w:rPr>
                <w:rFonts w:ascii="Arial Narrow" w:hAnsi="Arial Narrow" w:cs="Arial"/>
                <w:b/>
                <w:bCs/>
                <w:sz w:val="18"/>
                <w:szCs w:val="18"/>
              </w:rPr>
            </w:pPr>
            <w:r w:rsidRPr="001C01EA">
              <w:rPr>
                <w:rFonts w:ascii="Arial Narrow" w:hAnsi="Arial Narrow" w:cs="Arial"/>
                <w:b/>
                <w:bCs/>
                <w:sz w:val="18"/>
                <w:szCs w:val="18"/>
              </w:rPr>
              <w:t>Paesi extra Ue</w:t>
            </w:r>
            <w:r>
              <w:rPr>
                <w:rFonts w:ascii="Arial Narrow" w:hAnsi="Arial Narrow" w:cs="Arial"/>
                <w:b/>
                <w:bCs/>
                <w:sz w:val="18"/>
                <w:szCs w:val="18"/>
              </w:rPr>
              <w:t>27</w:t>
            </w:r>
          </w:p>
        </w:tc>
      </w:tr>
      <w:tr w:rsidR="007E417B" w:rsidRPr="001C01EA" w14:paraId="2FEF839E" w14:textId="77777777" w:rsidTr="007E417B">
        <w:trPr>
          <w:trHeight w:val="255"/>
        </w:trPr>
        <w:tc>
          <w:tcPr>
            <w:tcW w:w="1458" w:type="dxa"/>
            <w:tcBorders>
              <w:top w:val="nil"/>
              <w:bottom w:val="nil"/>
            </w:tcBorders>
            <w:shd w:val="clear" w:color="auto" w:fill="auto"/>
            <w:vAlign w:val="center"/>
          </w:tcPr>
          <w:p w14:paraId="627DCCD7" w14:textId="77777777" w:rsidR="007E417B" w:rsidRPr="001C01EA" w:rsidRDefault="007E417B" w:rsidP="007E417B">
            <w:pPr>
              <w:spacing w:before="40" w:after="20"/>
              <w:jc w:val="center"/>
              <w:rPr>
                <w:rFonts w:ascii="Arial Narrow" w:hAnsi="Arial Narrow" w:cs="Arial"/>
                <w:bCs/>
                <w:sz w:val="18"/>
                <w:szCs w:val="18"/>
              </w:rPr>
            </w:pPr>
          </w:p>
        </w:tc>
        <w:tc>
          <w:tcPr>
            <w:tcW w:w="1456" w:type="dxa"/>
            <w:shd w:val="clear" w:color="auto" w:fill="D9D9D9"/>
            <w:vAlign w:val="center"/>
          </w:tcPr>
          <w:p w14:paraId="0F283CDC" w14:textId="77777777" w:rsidR="007E417B" w:rsidRPr="001C01EA" w:rsidRDefault="007E417B" w:rsidP="007E417B">
            <w:pPr>
              <w:spacing w:before="40" w:after="20"/>
              <w:jc w:val="center"/>
              <w:rPr>
                <w:rFonts w:ascii="Arial Narrow" w:hAnsi="Arial Narrow" w:cs="Arial"/>
                <w:bCs/>
                <w:sz w:val="18"/>
                <w:szCs w:val="18"/>
              </w:rPr>
            </w:pPr>
            <w:r>
              <w:rPr>
                <w:rFonts w:ascii="Arial Narrow" w:hAnsi="Arial Narrow" w:cs="Arial"/>
                <w:bCs/>
                <w:sz w:val="18"/>
                <w:szCs w:val="18"/>
              </w:rPr>
              <w:t>Esportazioni</w:t>
            </w:r>
          </w:p>
        </w:tc>
        <w:tc>
          <w:tcPr>
            <w:tcW w:w="1456" w:type="dxa"/>
            <w:vAlign w:val="center"/>
          </w:tcPr>
          <w:p w14:paraId="15B374DA" w14:textId="77777777" w:rsidR="007E417B" w:rsidRPr="001C01EA" w:rsidRDefault="007E417B" w:rsidP="007E417B">
            <w:pPr>
              <w:spacing w:before="40" w:after="20"/>
              <w:jc w:val="center"/>
              <w:rPr>
                <w:rFonts w:ascii="Arial Narrow" w:hAnsi="Arial Narrow" w:cs="Arial"/>
                <w:bCs/>
                <w:sz w:val="18"/>
                <w:szCs w:val="18"/>
              </w:rPr>
            </w:pPr>
            <w:r>
              <w:rPr>
                <w:rFonts w:ascii="Arial Narrow" w:hAnsi="Arial Narrow" w:cs="Arial"/>
                <w:bCs/>
                <w:sz w:val="18"/>
                <w:szCs w:val="18"/>
              </w:rPr>
              <w:t>Importazioni</w:t>
            </w:r>
          </w:p>
        </w:tc>
        <w:tc>
          <w:tcPr>
            <w:tcW w:w="1456" w:type="dxa"/>
            <w:shd w:val="clear" w:color="auto" w:fill="D9D9D9"/>
            <w:vAlign w:val="center"/>
          </w:tcPr>
          <w:p w14:paraId="20969A20" w14:textId="77777777" w:rsidR="007E417B" w:rsidRPr="001C01EA" w:rsidRDefault="007E417B" w:rsidP="007E417B">
            <w:pPr>
              <w:spacing w:before="40" w:after="20"/>
              <w:jc w:val="center"/>
              <w:rPr>
                <w:rFonts w:ascii="Arial Narrow" w:hAnsi="Arial Narrow" w:cs="Arial"/>
                <w:bCs/>
                <w:sz w:val="18"/>
                <w:szCs w:val="18"/>
              </w:rPr>
            </w:pPr>
            <w:r>
              <w:rPr>
                <w:rFonts w:ascii="Arial Narrow" w:hAnsi="Arial Narrow" w:cs="Arial"/>
                <w:bCs/>
                <w:sz w:val="18"/>
                <w:szCs w:val="18"/>
              </w:rPr>
              <w:t>Esportazioni</w:t>
            </w:r>
          </w:p>
        </w:tc>
        <w:tc>
          <w:tcPr>
            <w:tcW w:w="1456" w:type="dxa"/>
            <w:vAlign w:val="center"/>
          </w:tcPr>
          <w:p w14:paraId="4CA389AD" w14:textId="77777777" w:rsidR="007E417B" w:rsidRPr="001C01EA" w:rsidRDefault="007E417B" w:rsidP="007E417B">
            <w:pPr>
              <w:spacing w:before="40" w:after="20"/>
              <w:jc w:val="center"/>
              <w:rPr>
                <w:rFonts w:ascii="Arial Narrow" w:hAnsi="Arial Narrow" w:cs="Arial"/>
                <w:bCs/>
                <w:sz w:val="18"/>
                <w:szCs w:val="18"/>
              </w:rPr>
            </w:pPr>
            <w:r>
              <w:rPr>
                <w:rFonts w:ascii="Arial Narrow" w:hAnsi="Arial Narrow" w:cs="Arial"/>
                <w:bCs/>
                <w:sz w:val="18"/>
                <w:szCs w:val="18"/>
              </w:rPr>
              <w:t>Importazioni</w:t>
            </w:r>
          </w:p>
        </w:tc>
        <w:tc>
          <w:tcPr>
            <w:tcW w:w="1456" w:type="dxa"/>
            <w:shd w:val="clear" w:color="auto" w:fill="D9D9D9"/>
            <w:vAlign w:val="center"/>
          </w:tcPr>
          <w:p w14:paraId="38E599B3" w14:textId="77777777" w:rsidR="007E417B" w:rsidRPr="001C01EA" w:rsidRDefault="007E417B" w:rsidP="007E417B">
            <w:pPr>
              <w:spacing w:before="40" w:after="20"/>
              <w:jc w:val="center"/>
              <w:rPr>
                <w:rFonts w:ascii="Arial Narrow" w:hAnsi="Arial Narrow" w:cs="Arial"/>
                <w:bCs/>
                <w:sz w:val="18"/>
                <w:szCs w:val="18"/>
              </w:rPr>
            </w:pPr>
            <w:r>
              <w:rPr>
                <w:rFonts w:ascii="Arial Narrow" w:hAnsi="Arial Narrow" w:cs="Arial"/>
                <w:bCs/>
                <w:sz w:val="18"/>
                <w:szCs w:val="18"/>
              </w:rPr>
              <w:t>Esportazioni</w:t>
            </w:r>
          </w:p>
        </w:tc>
        <w:tc>
          <w:tcPr>
            <w:tcW w:w="1456" w:type="dxa"/>
            <w:vAlign w:val="center"/>
          </w:tcPr>
          <w:p w14:paraId="5B46386D" w14:textId="77777777" w:rsidR="007E417B" w:rsidRPr="001C01EA" w:rsidRDefault="007E417B" w:rsidP="007E417B">
            <w:pPr>
              <w:spacing w:before="40" w:after="20"/>
              <w:jc w:val="center"/>
              <w:rPr>
                <w:rFonts w:ascii="Arial Narrow" w:hAnsi="Arial Narrow" w:cs="Arial"/>
                <w:bCs/>
                <w:sz w:val="18"/>
                <w:szCs w:val="18"/>
              </w:rPr>
            </w:pPr>
            <w:r>
              <w:rPr>
                <w:rFonts w:ascii="Arial Narrow" w:hAnsi="Arial Narrow" w:cs="Arial"/>
                <w:bCs/>
                <w:sz w:val="18"/>
                <w:szCs w:val="18"/>
              </w:rPr>
              <w:t>Importazioni</w:t>
            </w:r>
          </w:p>
        </w:tc>
      </w:tr>
      <w:tr w:rsidR="007E417B" w:rsidRPr="009509C8" w14:paraId="146C7B64" w14:textId="77777777" w:rsidTr="007E417B">
        <w:trPr>
          <w:trHeight w:val="255"/>
        </w:trPr>
        <w:tc>
          <w:tcPr>
            <w:tcW w:w="10194" w:type="dxa"/>
            <w:gridSpan w:val="7"/>
            <w:shd w:val="clear" w:color="auto" w:fill="FFFFFF"/>
            <w:vAlign w:val="bottom"/>
          </w:tcPr>
          <w:p w14:paraId="12990BF5" w14:textId="77777777" w:rsidR="007E417B" w:rsidRPr="009509C8" w:rsidRDefault="007E417B" w:rsidP="007E417B">
            <w:pPr>
              <w:spacing w:before="40" w:after="20"/>
              <w:jc w:val="center"/>
              <w:rPr>
                <w:rFonts w:ascii="Arial Narrow" w:hAnsi="Arial Narrow" w:cs="Arial Narrow"/>
                <w:b/>
                <w:color w:val="000000"/>
                <w:sz w:val="18"/>
                <w:szCs w:val="18"/>
              </w:rPr>
            </w:pPr>
            <w:r w:rsidRPr="009509C8">
              <w:rPr>
                <w:rFonts w:ascii="Arial Narrow" w:hAnsi="Arial Narrow" w:cs="Arial Narrow"/>
                <w:b/>
                <w:color w:val="000000"/>
                <w:sz w:val="18"/>
                <w:szCs w:val="18"/>
              </w:rPr>
              <w:t>20</w:t>
            </w:r>
            <w:r>
              <w:rPr>
                <w:rFonts w:ascii="Arial Narrow" w:hAnsi="Arial Narrow" w:cs="Arial Narrow"/>
                <w:b/>
                <w:color w:val="000000"/>
                <w:sz w:val="18"/>
                <w:szCs w:val="18"/>
              </w:rPr>
              <w:t>21</w:t>
            </w:r>
          </w:p>
        </w:tc>
      </w:tr>
      <w:tr w:rsidR="007E417B" w:rsidRPr="007F50F0" w14:paraId="155743D5" w14:textId="77777777" w:rsidTr="007E417B">
        <w:trPr>
          <w:trHeight w:val="255"/>
        </w:trPr>
        <w:tc>
          <w:tcPr>
            <w:tcW w:w="1458" w:type="dxa"/>
            <w:shd w:val="clear" w:color="auto" w:fill="D9D9D9"/>
            <w:vAlign w:val="center"/>
          </w:tcPr>
          <w:p w14:paraId="20C66673" w14:textId="77777777" w:rsidR="007E417B" w:rsidRPr="007F50F0" w:rsidRDefault="007E417B" w:rsidP="007E417B">
            <w:pPr>
              <w:spacing w:before="40" w:after="20"/>
              <w:jc w:val="center"/>
              <w:rPr>
                <w:rFonts w:ascii="Arial Narrow" w:hAnsi="Arial Narrow" w:cs="Arial"/>
                <w:bCs/>
                <w:sz w:val="18"/>
                <w:szCs w:val="18"/>
              </w:rPr>
            </w:pPr>
            <w:r w:rsidRPr="007F50F0">
              <w:rPr>
                <w:rFonts w:ascii="Arial Narrow" w:hAnsi="Arial Narrow" w:cs="Arial"/>
                <w:bCs/>
                <w:sz w:val="18"/>
                <w:szCs w:val="18"/>
              </w:rPr>
              <w:t>Gennaio</w:t>
            </w:r>
          </w:p>
        </w:tc>
        <w:tc>
          <w:tcPr>
            <w:tcW w:w="1456" w:type="dxa"/>
            <w:shd w:val="clear" w:color="auto" w:fill="D9D9D9"/>
            <w:vAlign w:val="bottom"/>
          </w:tcPr>
          <w:p w14:paraId="76550950"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+1,0</w:t>
            </w:r>
          </w:p>
        </w:tc>
        <w:tc>
          <w:tcPr>
            <w:tcW w:w="1456" w:type="dxa"/>
            <w:vAlign w:val="bottom"/>
          </w:tcPr>
          <w:p w14:paraId="37534377"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+1,2</w:t>
            </w:r>
          </w:p>
        </w:tc>
        <w:tc>
          <w:tcPr>
            <w:tcW w:w="1456" w:type="dxa"/>
            <w:shd w:val="clear" w:color="auto" w:fill="D9D9D9"/>
            <w:vAlign w:val="bottom"/>
          </w:tcPr>
          <w:p w14:paraId="104FFA62"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+1,9</w:t>
            </w:r>
          </w:p>
        </w:tc>
        <w:tc>
          <w:tcPr>
            <w:tcW w:w="1456" w:type="dxa"/>
            <w:vAlign w:val="bottom"/>
          </w:tcPr>
          <w:p w14:paraId="67454662"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+1,2</w:t>
            </w:r>
          </w:p>
        </w:tc>
        <w:tc>
          <w:tcPr>
            <w:tcW w:w="1456" w:type="dxa"/>
            <w:shd w:val="clear" w:color="auto" w:fill="D9D9D9"/>
            <w:vAlign w:val="bottom"/>
          </w:tcPr>
          <w:p w14:paraId="67AA1410"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-0,1</w:t>
            </w:r>
          </w:p>
        </w:tc>
        <w:tc>
          <w:tcPr>
            <w:tcW w:w="1456" w:type="dxa"/>
            <w:vAlign w:val="bottom"/>
          </w:tcPr>
          <w:p w14:paraId="02D08A53"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+1,2</w:t>
            </w:r>
          </w:p>
        </w:tc>
      </w:tr>
      <w:tr w:rsidR="007E417B" w:rsidRPr="007F50F0" w14:paraId="01D34AF4" w14:textId="77777777" w:rsidTr="007E417B">
        <w:trPr>
          <w:trHeight w:val="255"/>
        </w:trPr>
        <w:tc>
          <w:tcPr>
            <w:tcW w:w="1458" w:type="dxa"/>
            <w:shd w:val="clear" w:color="auto" w:fill="D9D9D9"/>
            <w:vAlign w:val="center"/>
          </w:tcPr>
          <w:p w14:paraId="4FD20644" w14:textId="77777777" w:rsidR="007E417B" w:rsidRPr="007F50F0" w:rsidRDefault="007E417B" w:rsidP="007E417B">
            <w:pPr>
              <w:spacing w:before="40" w:after="20"/>
              <w:jc w:val="center"/>
              <w:rPr>
                <w:rFonts w:ascii="Arial Narrow" w:hAnsi="Arial Narrow" w:cs="Arial"/>
                <w:bCs/>
                <w:sz w:val="18"/>
                <w:szCs w:val="18"/>
              </w:rPr>
            </w:pPr>
            <w:r w:rsidRPr="007F50F0">
              <w:rPr>
                <w:rFonts w:ascii="Arial Narrow" w:hAnsi="Arial Narrow" w:cs="Arial"/>
                <w:bCs/>
                <w:sz w:val="18"/>
                <w:szCs w:val="18"/>
              </w:rPr>
              <w:t>Febbraio</w:t>
            </w:r>
          </w:p>
        </w:tc>
        <w:tc>
          <w:tcPr>
            <w:tcW w:w="1456" w:type="dxa"/>
            <w:shd w:val="clear" w:color="auto" w:fill="D9D9D9"/>
            <w:vAlign w:val="bottom"/>
          </w:tcPr>
          <w:p w14:paraId="47473EE9"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+1,2</w:t>
            </w:r>
          </w:p>
        </w:tc>
        <w:tc>
          <w:tcPr>
            <w:tcW w:w="1456" w:type="dxa"/>
            <w:vAlign w:val="bottom"/>
          </w:tcPr>
          <w:p w14:paraId="1345532E"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+1,3</w:t>
            </w:r>
          </w:p>
        </w:tc>
        <w:tc>
          <w:tcPr>
            <w:tcW w:w="1456" w:type="dxa"/>
            <w:shd w:val="clear" w:color="auto" w:fill="D9D9D9"/>
            <w:vAlign w:val="bottom"/>
          </w:tcPr>
          <w:p w14:paraId="6594B9B7" w14:textId="62B66A1E" w:rsidR="007E417B" w:rsidRPr="00634FE6" w:rsidRDefault="007E417B" w:rsidP="007E417B">
            <w:pPr>
              <w:jc w:val="center"/>
              <w:rPr>
                <w:rFonts w:ascii="Arial Narrow" w:hAnsi="Arial Narrow"/>
                <w:sz w:val="18"/>
                <w:szCs w:val="18"/>
              </w:rPr>
            </w:pPr>
            <w:r w:rsidRPr="00634FE6">
              <w:rPr>
                <w:rFonts w:ascii="Arial Narrow" w:hAnsi="Arial Narrow"/>
                <w:sz w:val="18"/>
                <w:szCs w:val="18"/>
              </w:rPr>
              <w:t>+2,</w:t>
            </w:r>
            <w:r w:rsidR="00745D09">
              <w:rPr>
                <w:rFonts w:ascii="Arial Narrow" w:hAnsi="Arial Narrow"/>
                <w:sz w:val="18"/>
                <w:szCs w:val="18"/>
              </w:rPr>
              <w:t>3</w:t>
            </w:r>
          </w:p>
        </w:tc>
        <w:tc>
          <w:tcPr>
            <w:tcW w:w="1456" w:type="dxa"/>
            <w:vAlign w:val="bottom"/>
          </w:tcPr>
          <w:p w14:paraId="15A58F8E"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+1,7</w:t>
            </w:r>
          </w:p>
        </w:tc>
        <w:tc>
          <w:tcPr>
            <w:tcW w:w="1456" w:type="dxa"/>
            <w:shd w:val="clear" w:color="auto" w:fill="D9D9D9"/>
            <w:vAlign w:val="bottom"/>
          </w:tcPr>
          <w:p w14:paraId="0B80E78C"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-0,2</w:t>
            </w:r>
          </w:p>
        </w:tc>
        <w:tc>
          <w:tcPr>
            <w:tcW w:w="1456" w:type="dxa"/>
            <w:vAlign w:val="bottom"/>
          </w:tcPr>
          <w:p w14:paraId="6B3F98BC"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+0,8</w:t>
            </w:r>
          </w:p>
        </w:tc>
      </w:tr>
      <w:tr w:rsidR="007E417B" w:rsidRPr="007F50F0" w14:paraId="564F55DC" w14:textId="77777777" w:rsidTr="007E417B">
        <w:trPr>
          <w:trHeight w:val="255"/>
        </w:trPr>
        <w:tc>
          <w:tcPr>
            <w:tcW w:w="1458" w:type="dxa"/>
            <w:shd w:val="clear" w:color="auto" w:fill="D9D9D9"/>
            <w:vAlign w:val="center"/>
          </w:tcPr>
          <w:p w14:paraId="21EF206D" w14:textId="77777777" w:rsidR="007E417B" w:rsidRPr="007F50F0" w:rsidRDefault="007E417B" w:rsidP="007E417B">
            <w:pPr>
              <w:spacing w:before="40" w:after="20"/>
              <w:jc w:val="center"/>
              <w:rPr>
                <w:rFonts w:ascii="Arial Narrow" w:hAnsi="Arial Narrow" w:cs="Arial"/>
                <w:bCs/>
                <w:sz w:val="18"/>
                <w:szCs w:val="18"/>
              </w:rPr>
            </w:pPr>
            <w:r w:rsidRPr="007F50F0">
              <w:rPr>
                <w:rFonts w:ascii="Arial Narrow" w:hAnsi="Arial Narrow" w:cs="Arial"/>
                <w:bCs/>
                <w:sz w:val="18"/>
                <w:szCs w:val="18"/>
              </w:rPr>
              <w:t>Marzo</w:t>
            </w:r>
          </w:p>
        </w:tc>
        <w:tc>
          <w:tcPr>
            <w:tcW w:w="1456" w:type="dxa"/>
            <w:shd w:val="clear" w:color="auto" w:fill="D9D9D9"/>
            <w:vAlign w:val="bottom"/>
          </w:tcPr>
          <w:p w14:paraId="6DBBA866"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+0,7</w:t>
            </w:r>
          </w:p>
        </w:tc>
        <w:tc>
          <w:tcPr>
            <w:tcW w:w="1456" w:type="dxa"/>
            <w:vAlign w:val="bottom"/>
          </w:tcPr>
          <w:p w14:paraId="533847BE"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+1,6</w:t>
            </w:r>
          </w:p>
        </w:tc>
        <w:tc>
          <w:tcPr>
            <w:tcW w:w="1456" w:type="dxa"/>
            <w:shd w:val="clear" w:color="auto" w:fill="D9D9D9"/>
            <w:vAlign w:val="bottom"/>
          </w:tcPr>
          <w:p w14:paraId="31251313"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+1,4</w:t>
            </w:r>
          </w:p>
        </w:tc>
        <w:tc>
          <w:tcPr>
            <w:tcW w:w="1456" w:type="dxa"/>
            <w:vAlign w:val="bottom"/>
          </w:tcPr>
          <w:p w14:paraId="76598B94"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+2,0</w:t>
            </w:r>
          </w:p>
        </w:tc>
        <w:tc>
          <w:tcPr>
            <w:tcW w:w="1456" w:type="dxa"/>
            <w:shd w:val="clear" w:color="auto" w:fill="D9D9D9"/>
            <w:vAlign w:val="bottom"/>
          </w:tcPr>
          <w:p w14:paraId="644C9823"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-0,1</w:t>
            </w:r>
          </w:p>
        </w:tc>
        <w:tc>
          <w:tcPr>
            <w:tcW w:w="1456" w:type="dxa"/>
            <w:vAlign w:val="bottom"/>
          </w:tcPr>
          <w:p w14:paraId="69755BCA"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+1,0</w:t>
            </w:r>
          </w:p>
        </w:tc>
      </w:tr>
      <w:tr w:rsidR="007E417B" w:rsidRPr="007F50F0" w14:paraId="559EC953" w14:textId="77777777" w:rsidTr="007E417B">
        <w:trPr>
          <w:trHeight w:val="255"/>
        </w:trPr>
        <w:tc>
          <w:tcPr>
            <w:tcW w:w="1458" w:type="dxa"/>
            <w:shd w:val="clear" w:color="auto" w:fill="D9D9D9"/>
            <w:vAlign w:val="center"/>
          </w:tcPr>
          <w:p w14:paraId="3C9DADF7" w14:textId="77777777" w:rsidR="007E417B" w:rsidRPr="007F50F0" w:rsidRDefault="007E417B" w:rsidP="007E417B">
            <w:pPr>
              <w:spacing w:before="40" w:after="20"/>
              <w:jc w:val="center"/>
              <w:rPr>
                <w:rFonts w:ascii="Arial Narrow" w:hAnsi="Arial Narrow" w:cs="Arial"/>
                <w:bCs/>
                <w:sz w:val="18"/>
                <w:szCs w:val="18"/>
              </w:rPr>
            </w:pPr>
            <w:r w:rsidRPr="007F50F0">
              <w:rPr>
                <w:rFonts w:ascii="Arial Narrow" w:hAnsi="Arial Narrow" w:cs="Arial"/>
                <w:bCs/>
                <w:sz w:val="18"/>
                <w:szCs w:val="18"/>
              </w:rPr>
              <w:t>Aprile</w:t>
            </w:r>
          </w:p>
        </w:tc>
        <w:tc>
          <w:tcPr>
            <w:tcW w:w="1456" w:type="dxa"/>
            <w:shd w:val="clear" w:color="auto" w:fill="D9D9D9"/>
            <w:vAlign w:val="bottom"/>
          </w:tcPr>
          <w:p w14:paraId="0827BCCB"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+0,8</w:t>
            </w:r>
          </w:p>
        </w:tc>
        <w:tc>
          <w:tcPr>
            <w:tcW w:w="1456" w:type="dxa"/>
            <w:vAlign w:val="bottom"/>
          </w:tcPr>
          <w:p w14:paraId="778265F9"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+1,3</w:t>
            </w:r>
          </w:p>
        </w:tc>
        <w:tc>
          <w:tcPr>
            <w:tcW w:w="1456" w:type="dxa"/>
            <w:shd w:val="clear" w:color="auto" w:fill="D9D9D9"/>
            <w:vAlign w:val="bottom"/>
          </w:tcPr>
          <w:p w14:paraId="608F046E"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+1,5</w:t>
            </w:r>
          </w:p>
        </w:tc>
        <w:tc>
          <w:tcPr>
            <w:tcW w:w="1456" w:type="dxa"/>
            <w:vAlign w:val="bottom"/>
          </w:tcPr>
          <w:p w14:paraId="69A9DD47"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+1,4</w:t>
            </w:r>
          </w:p>
        </w:tc>
        <w:tc>
          <w:tcPr>
            <w:tcW w:w="1456" w:type="dxa"/>
            <w:shd w:val="clear" w:color="auto" w:fill="D9D9D9"/>
            <w:vAlign w:val="bottom"/>
          </w:tcPr>
          <w:p w14:paraId="349AED85"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-0,1</w:t>
            </w:r>
          </w:p>
        </w:tc>
        <w:tc>
          <w:tcPr>
            <w:tcW w:w="1456" w:type="dxa"/>
            <w:vAlign w:val="bottom"/>
          </w:tcPr>
          <w:p w14:paraId="3696E367"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+1,1</w:t>
            </w:r>
          </w:p>
        </w:tc>
      </w:tr>
      <w:tr w:rsidR="007E417B" w:rsidRPr="007F50F0" w14:paraId="11F3FB79" w14:textId="77777777" w:rsidTr="007E417B">
        <w:trPr>
          <w:trHeight w:val="255"/>
        </w:trPr>
        <w:tc>
          <w:tcPr>
            <w:tcW w:w="1458" w:type="dxa"/>
            <w:shd w:val="clear" w:color="auto" w:fill="D9D9D9"/>
            <w:vAlign w:val="center"/>
          </w:tcPr>
          <w:p w14:paraId="479E4600" w14:textId="77777777" w:rsidR="007E417B" w:rsidRPr="007F50F0" w:rsidRDefault="007E417B" w:rsidP="007E417B">
            <w:pPr>
              <w:spacing w:before="40" w:after="20"/>
              <w:jc w:val="center"/>
              <w:rPr>
                <w:rFonts w:ascii="Arial Narrow" w:hAnsi="Arial Narrow" w:cs="Arial"/>
                <w:bCs/>
                <w:sz w:val="18"/>
                <w:szCs w:val="18"/>
              </w:rPr>
            </w:pPr>
            <w:r w:rsidRPr="007F50F0">
              <w:rPr>
                <w:rFonts w:ascii="Arial Narrow" w:hAnsi="Arial Narrow" w:cs="Arial"/>
                <w:bCs/>
                <w:sz w:val="18"/>
                <w:szCs w:val="18"/>
              </w:rPr>
              <w:t>Maggio</w:t>
            </w:r>
          </w:p>
        </w:tc>
        <w:tc>
          <w:tcPr>
            <w:tcW w:w="1456" w:type="dxa"/>
            <w:shd w:val="clear" w:color="auto" w:fill="D9D9D9"/>
            <w:vAlign w:val="bottom"/>
          </w:tcPr>
          <w:p w14:paraId="1DF04777"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+0,9</w:t>
            </w:r>
          </w:p>
        </w:tc>
        <w:tc>
          <w:tcPr>
            <w:tcW w:w="1456" w:type="dxa"/>
            <w:vAlign w:val="bottom"/>
          </w:tcPr>
          <w:p w14:paraId="25F2756D"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+1,7</w:t>
            </w:r>
          </w:p>
        </w:tc>
        <w:tc>
          <w:tcPr>
            <w:tcW w:w="1456" w:type="dxa"/>
            <w:shd w:val="clear" w:color="auto" w:fill="D9D9D9"/>
            <w:vAlign w:val="bottom"/>
          </w:tcPr>
          <w:p w14:paraId="618F9E3A"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+1,7</w:t>
            </w:r>
          </w:p>
        </w:tc>
        <w:tc>
          <w:tcPr>
            <w:tcW w:w="1456" w:type="dxa"/>
            <w:vAlign w:val="bottom"/>
          </w:tcPr>
          <w:p w14:paraId="5DB609C9"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+1,6</w:t>
            </w:r>
          </w:p>
        </w:tc>
        <w:tc>
          <w:tcPr>
            <w:tcW w:w="1456" w:type="dxa"/>
            <w:shd w:val="clear" w:color="auto" w:fill="D9D9D9"/>
            <w:vAlign w:val="bottom"/>
          </w:tcPr>
          <w:p w14:paraId="2BA24162"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-0,1</w:t>
            </w:r>
          </w:p>
        </w:tc>
        <w:tc>
          <w:tcPr>
            <w:tcW w:w="1456" w:type="dxa"/>
            <w:vAlign w:val="bottom"/>
          </w:tcPr>
          <w:p w14:paraId="0AB30C85"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+1,8</w:t>
            </w:r>
          </w:p>
        </w:tc>
      </w:tr>
      <w:tr w:rsidR="007E417B" w:rsidRPr="007F50F0" w14:paraId="73F99519" w14:textId="77777777" w:rsidTr="007E417B">
        <w:trPr>
          <w:trHeight w:val="255"/>
        </w:trPr>
        <w:tc>
          <w:tcPr>
            <w:tcW w:w="1458" w:type="dxa"/>
            <w:shd w:val="clear" w:color="auto" w:fill="D9D9D9"/>
            <w:vAlign w:val="center"/>
          </w:tcPr>
          <w:p w14:paraId="58030A6D" w14:textId="77777777" w:rsidR="007E417B" w:rsidRPr="007F50F0" w:rsidRDefault="007E417B" w:rsidP="007E417B">
            <w:pPr>
              <w:spacing w:before="40" w:after="20"/>
              <w:jc w:val="center"/>
              <w:rPr>
                <w:rFonts w:ascii="Arial Narrow" w:hAnsi="Arial Narrow" w:cs="Arial"/>
                <w:bCs/>
                <w:sz w:val="18"/>
                <w:szCs w:val="18"/>
              </w:rPr>
            </w:pPr>
            <w:r w:rsidRPr="007F50F0">
              <w:rPr>
                <w:rFonts w:ascii="Arial Narrow" w:hAnsi="Arial Narrow" w:cs="Arial"/>
                <w:bCs/>
                <w:sz w:val="18"/>
                <w:szCs w:val="18"/>
              </w:rPr>
              <w:t>Giugno</w:t>
            </w:r>
          </w:p>
        </w:tc>
        <w:tc>
          <w:tcPr>
            <w:tcW w:w="1456" w:type="dxa"/>
            <w:shd w:val="clear" w:color="auto" w:fill="D9D9D9"/>
            <w:vAlign w:val="bottom"/>
          </w:tcPr>
          <w:p w14:paraId="07B3DDA7"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+1,3</w:t>
            </w:r>
          </w:p>
        </w:tc>
        <w:tc>
          <w:tcPr>
            <w:tcW w:w="1456" w:type="dxa"/>
            <w:vAlign w:val="bottom"/>
          </w:tcPr>
          <w:p w14:paraId="1A4B1248"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+2,6</w:t>
            </w:r>
          </w:p>
        </w:tc>
        <w:tc>
          <w:tcPr>
            <w:tcW w:w="1456" w:type="dxa"/>
            <w:shd w:val="clear" w:color="auto" w:fill="D9D9D9"/>
            <w:vAlign w:val="bottom"/>
          </w:tcPr>
          <w:p w14:paraId="4D0919FD"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+2,4</w:t>
            </w:r>
          </w:p>
        </w:tc>
        <w:tc>
          <w:tcPr>
            <w:tcW w:w="1456" w:type="dxa"/>
            <w:vAlign w:val="bottom"/>
          </w:tcPr>
          <w:p w14:paraId="7136E3D6"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+3,1</w:t>
            </w:r>
          </w:p>
        </w:tc>
        <w:tc>
          <w:tcPr>
            <w:tcW w:w="1456" w:type="dxa"/>
            <w:shd w:val="clear" w:color="auto" w:fill="D9D9D9"/>
            <w:vAlign w:val="bottom"/>
          </w:tcPr>
          <w:p w14:paraId="61CF7C48"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0,0</w:t>
            </w:r>
          </w:p>
        </w:tc>
        <w:tc>
          <w:tcPr>
            <w:tcW w:w="1456" w:type="dxa"/>
            <w:vAlign w:val="bottom"/>
          </w:tcPr>
          <w:p w14:paraId="6FDFB397"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+1,9</w:t>
            </w:r>
          </w:p>
        </w:tc>
      </w:tr>
      <w:tr w:rsidR="007E417B" w:rsidRPr="007F50F0" w14:paraId="42C26D36" w14:textId="77777777" w:rsidTr="007E417B">
        <w:trPr>
          <w:trHeight w:val="255"/>
        </w:trPr>
        <w:tc>
          <w:tcPr>
            <w:tcW w:w="1458" w:type="dxa"/>
            <w:shd w:val="clear" w:color="auto" w:fill="D9D9D9"/>
            <w:vAlign w:val="center"/>
          </w:tcPr>
          <w:p w14:paraId="48D9D9FD" w14:textId="77777777" w:rsidR="007E417B" w:rsidRPr="007F50F0" w:rsidRDefault="007E417B" w:rsidP="007E417B">
            <w:pPr>
              <w:spacing w:before="40" w:after="20"/>
              <w:jc w:val="center"/>
              <w:rPr>
                <w:rFonts w:ascii="Arial Narrow" w:hAnsi="Arial Narrow" w:cs="Arial"/>
                <w:bCs/>
                <w:sz w:val="18"/>
                <w:szCs w:val="18"/>
              </w:rPr>
            </w:pPr>
            <w:r w:rsidRPr="007F50F0">
              <w:rPr>
                <w:rFonts w:ascii="Arial Narrow" w:hAnsi="Arial Narrow" w:cs="Arial"/>
                <w:bCs/>
                <w:sz w:val="18"/>
                <w:szCs w:val="18"/>
              </w:rPr>
              <w:t>Luglio</w:t>
            </w:r>
          </w:p>
        </w:tc>
        <w:tc>
          <w:tcPr>
            <w:tcW w:w="1456" w:type="dxa"/>
            <w:shd w:val="clear" w:color="auto" w:fill="D9D9D9"/>
            <w:vAlign w:val="bottom"/>
          </w:tcPr>
          <w:p w14:paraId="688CAD21"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+1,3</w:t>
            </w:r>
          </w:p>
        </w:tc>
        <w:tc>
          <w:tcPr>
            <w:tcW w:w="1456" w:type="dxa"/>
            <w:vAlign w:val="bottom"/>
          </w:tcPr>
          <w:p w14:paraId="77DAAC3E"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+2,6</w:t>
            </w:r>
          </w:p>
        </w:tc>
        <w:tc>
          <w:tcPr>
            <w:tcW w:w="1456" w:type="dxa"/>
            <w:shd w:val="clear" w:color="auto" w:fill="D9D9D9"/>
            <w:vAlign w:val="bottom"/>
          </w:tcPr>
          <w:p w14:paraId="1B0EBDE3"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+2,7</w:t>
            </w:r>
          </w:p>
        </w:tc>
        <w:tc>
          <w:tcPr>
            <w:tcW w:w="1456" w:type="dxa"/>
            <w:vAlign w:val="bottom"/>
          </w:tcPr>
          <w:p w14:paraId="1F976E94"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+2,7</w:t>
            </w:r>
          </w:p>
        </w:tc>
        <w:tc>
          <w:tcPr>
            <w:tcW w:w="1456" w:type="dxa"/>
            <w:shd w:val="clear" w:color="auto" w:fill="D9D9D9"/>
            <w:vAlign w:val="bottom"/>
          </w:tcPr>
          <w:p w14:paraId="0F79F7B0"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-0,1</w:t>
            </w:r>
          </w:p>
        </w:tc>
        <w:tc>
          <w:tcPr>
            <w:tcW w:w="1456" w:type="dxa"/>
            <w:vAlign w:val="bottom"/>
          </w:tcPr>
          <w:p w14:paraId="551FDF32"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+2,4</w:t>
            </w:r>
          </w:p>
        </w:tc>
      </w:tr>
      <w:tr w:rsidR="007E417B" w:rsidRPr="007F50F0" w14:paraId="4995F8ED" w14:textId="77777777" w:rsidTr="007E417B">
        <w:trPr>
          <w:trHeight w:val="255"/>
        </w:trPr>
        <w:tc>
          <w:tcPr>
            <w:tcW w:w="1458" w:type="dxa"/>
            <w:shd w:val="clear" w:color="auto" w:fill="D9D9D9"/>
            <w:vAlign w:val="center"/>
          </w:tcPr>
          <w:p w14:paraId="37E4879C" w14:textId="77777777" w:rsidR="007E417B" w:rsidRPr="007F50F0" w:rsidRDefault="007E417B" w:rsidP="007E417B">
            <w:pPr>
              <w:spacing w:before="40" w:after="20"/>
              <w:jc w:val="center"/>
              <w:rPr>
                <w:rFonts w:ascii="Arial Narrow" w:hAnsi="Arial Narrow" w:cs="Arial"/>
                <w:bCs/>
                <w:sz w:val="18"/>
                <w:szCs w:val="18"/>
              </w:rPr>
            </w:pPr>
            <w:r w:rsidRPr="007F50F0">
              <w:rPr>
                <w:rFonts w:ascii="Arial Narrow" w:hAnsi="Arial Narrow" w:cs="Arial"/>
                <w:bCs/>
                <w:sz w:val="18"/>
                <w:szCs w:val="18"/>
              </w:rPr>
              <w:t>Agosto</w:t>
            </w:r>
          </w:p>
        </w:tc>
        <w:tc>
          <w:tcPr>
            <w:tcW w:w="1456" w:type="dxa"/>
            <w:shd w:val="clear" w:color="auto" w:fill="D9D9D9"/>
            <w:vAlign w:val="bottom"/>
          </w:tcPr>
          <w:p w14:paraId="55334117"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+0,8</w:t>
            </w:r>
          </w:p>
        </w:tc>
        <w:tc>
          <w:tcPr>
            <w:tcW w:w="1456" w:type="dxa"/>
            <w:vAlign w:val="bottom"/>
          </w:tcPr>
          <w:p w14:paraId="2A54EBE5"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+2,9</w:t>
            </w:r>
          </w:p>
        </w:tc>
        <w:tc>
          <w:tcPr>
            <w:tcW w:w="1456" w:type="dxa"/>
            <w:shd w:val="clear" w:color="auto" w:fill="D9D9D9"/>
            <w:vAlign w:val="bottom"/>
          </w:tcPr>
          <w:p w14:paraId="16EA702F"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+1,7</w:t>
            </w:r>
          </w:p>
        </w:tc>
        <w:tc>
          <w:tcPr>
            <w:tcW w:w="1456" w:type="dxa"/>
            <w:vAlign w:val="bottom"/>
          </w:tcPr>
          <w:p w14:paraId="3ADE7332"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+2,3</w:t>
            </w:r>
          </w:p>
        </w:tc>
        <w:tc>
          <w:tcPr>
            <w:tcW w:w="1456" w:type="dxa"/>
            <w:shd w:val="clear" w:color="auto" w:fill="D9D9D9"/>
            <w:vAlign w:val="bottom"/>
          </w:tcPr>
          <w:p w14:paraId="02F620E1"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-0,1</w:t>
            </w:r>
          </w:p>
        </w:tc>
        <w:tc>
          <w:tcPr>
            <w:tcW w:w="1456" w:type="dxa"/>
            <w:vAlign w:val="bottom"/>
          </w:tcPr>
          <w:p w14:paraId="375817CE"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+3,7</w:t>
            </w:r>
          </w:p>
        </w:tc>
      </w:tr>
      <w:tr w:rsidR="007E417B" w:rsidRPr="007F50F0" w14:paraId="2DB855FF" w14:textId="77777777" w:rsidTr="007E417B">
        <w:trPr>
          <w:trHeight w:val="255"/>
        </w:trPr>
        <w:tc>
          <w:tcPr>
            <w:tcW w:w="1458" w:type="dxa"/>
            <w:shd w:val="clear" w:color="auto" w:fill="D9D9D9"/>
            <w:vAlign w:val="center"/>
          </w:tcPr>
          <w:p w14:paraId="197B8AB2" w14:textId="77777777" w:rsidR="007E417B" w:rsidRPr="007F50F0" w:rsidRDefault="007E417B" w:rsidP="007E417B">
            <w:pPr>
              <w:spacing w:before="40" w:after="20"/>
              <w:jc w:val="center"/>
              <w:rPr>
                <w:rFonts w:ascii="Arial Narrow" w:hAnsi="Arial Narrow" w:cs="Arial"/>
                <w:bCs/>
                <w:sz w:val="18"/>
                <w:szCs w:val="18"/>
              </w:rPr>
            </w:pPr>
            <w:r w:rsidRPr="007F50F0">
              <w:rPr>
                <w:rFonts w:ascii="Arial Narrow" w:hAnsi="Arial Narrow" w:cs="Arial"/>
                <w:bCs/>
                <w:sz w:val="18"/>
                <w:szCs w:val="18"/>
              </w:rPr>
              <w:t>Settembre</w:t>
            </w:r>
          </w:p>
        </w:tc>
        <w:tc>
          <w:tcPr>
            <w:tcW w:w="1456" w:type="dxa"/>
            <w:shd w:val="clear" w:color="auto" w:fill="D9D9D9"/>
            <w:vAlign w:val="bottom"/>
          </w:tcPr>
          <w:p w14:paraId="3384860A"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+0,8</w:t>
            </w:r>
          </w:p>
        </w:tc>
        <w:tc>
          <w:tcPr>
            <w:tcW w:w="1456" w:type="dxa"/>
            <w:vAlign w:val="bottom"/>
          </w:tcPr>
          <w:p w14:paraId="7E16EA06"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+1,7</w:t>
            </w:r>
          </w:p>
        </w:tc>
        <w:tc>
          <w:tcPr>
            <w:tcW w:w="1456" w:type="dxa"/>
            <w:shd w:val="clear" w:color="auto" w:fill="D9D9D9"/>
            <w:vAlign w:val="bottom"/>
          </w:tcPr>
          <w:p w14:paraId="501CD174"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+1,5</w:t>
            </w:r>
          </w:p>
        </w:tc>
        <w:tc>
          <w:tcPr>
            <w:tcW w:w="1456" w:type="dxa"/>
            <w:vAlign w:val="bottom"/>
          </w:tcPr>
          <w:p w14:paraId="7C9C30EB"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+1,</w:t>
            </w:r>
            <w:r>
              <w:rPr>
                <w:rFonts w:ascii="Arial Narrow" w:hAnsi="Arial Narrow"/>
                <w:sz w:val="18"/>
                <w:szCs w:val="18"/>
              </w:rPr>
              <w:t>3</w:t>
            </w:r>
          </w:p>
        </w:tc>
        <w:tc>
          <w:tcPr>
            <w:tcW w:w="1456" w:type="dxa"/>
            <w:shd w:val="clear" w:color="auto" w:fill="D9D9D9"/>
            <w:vAlign w:val="bottom"/>
          </w:tcPr>
          <w:p w14:paraId="0F0DA926"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-0,1</w:t>
            </w:r>
          </w:p>
        </w:tc>
        <w:tc>
          <w:tcPr>
            <w:tcW w:w="1456" w:type="dxa"/>
            <w:vAlign w:val="bottom"/>
          </w:tcPr>
          <w:p w14:paraId="1A1EE15C"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+2,1</w:t>
            </w:r>
          </w:p>
        </w:tc>
      </w:tr>
      <w:tr w:rsidR="007E417B" w:rsidRPr="007F50F0" w14:paraId="54B903D4" w14:textId="77777777" w:rsidTr="007E417B">
        <w:trPr>
          <w:trHeight w:val="255"/>
        </w:trPr>
        <w:tc>
          <w:tcPr>
            <w:tcW w:w="1458" w:type="dxa"/>
            <w:shd w:val="clear" w:color="auto" w:fill="D9D9D9"/>
            <w:vAlign w:val="center"/>
          </w:tcPr>
          <w:p w14:paraId="13C7EDBB" w14:textId="77777777" w:rsidR="007E417B" w:rsidRPr="007F50F0" w:rsidRDefault="007E417B" w:rsidP="007E417B">
            <w:pPr>
              <w:spacing w:before="40" w:after="20"/>
              <w:jc w:val="center"/>
              <w:rPr>
                <w:rFonts w:ascii="Arial Narrow" w:hAnsi="Arial Narrow" w:cs="Arial"/>
                <w:bCs/>
                <w:sz w:val="18"/>
                <w:szCs w:val="18"/>
              </w:rPr>
            </w:pPr>
            <w:r w:rsidRPr="007F50F0">
              <w:rPr>
                <w:rFonts w:ascii="Arial Narrow" w:hAnsi="Arial Narrow" w:cs="Arial"/>
                <w:bCs/>
                <w:sz w:val="18"/>
                <w:szCs w:val="18"/>
              </w:rPr>
              <w:t>Ottobre</w:t>
            </w:r>
          </w:p>
        </w:tc>
        <w:tc>
          <w:tcPr>
            <w:tcW w:w="1456" w:type="dxa"/>
            <w:shd w:val="clear" w:color="auto" w:fill="D9D9D9"/>
            <w:vAlign w:val="bottom"/>
          </w:tcPr>
          <w:p w14:paraId="77F7ED75"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+0,7</w:t>
            </w:r>
          </w:p>
        </w:tc>
        <w:tc>
          <w:tcPr>
            <w:tcW w:w="1456" w:type="dxa"/>
            <w:vAlign w:val="bottom"/>
          </w:tcPr>
          <w:p w14:paraId="7D5D8920"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+2,3</w:t>
            </w:r>
          </w:p>
        </w:tc>
        <w:tc>
          <w:tcPr>
            <w:tcW w:w="1456" w:type="dxa"/>
            <w:shd w:val="clear" w:color="auto" w:fill="D9D9D9"/>
            <w:vAlign w:val="bottom"/>
          </w:tcPr>
          <w:p w14:paraId="086298EC"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+1,5</w:t>
            </w:r>
          </w:p>
        </w:tc>
        <w:tc>
          <w:tcPr>
            <w:tcW w:w="1456" w:type="dxa"/>
            <w:vAlign w:val="bottom"/>
          </w:tcPr>
          <w:p w14:paraId="499158CC"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+1,6</w:t>
            </w:r>
          </w:p>
        </w:tc>
        <w:tc>
          <w:tcPr>
            <w:tcW w:w="1456" w:type="dxa"/>
            <w:shd w:val="clear" w:color="auto" w:fill="D9D9D9"/>
            <w:vAlign w:val="bottom"/>
          </w:tcPr>
          <w:p w14:paraId="68085363" w14:textId="785CDB1C" w:rsidR="007E417B" w:rsidRPr="00634FE6" w:rsidRDefault="00863E77" w:rsidP="00863E77">
            <w:pPr>
              <w:jc w:val="center"/>
              <w:rPr>
                <w:rFonts w:ascii="Arial Narrow" w:hAnsi="Arial Narrow"/>
                <w:sz w:val="18"/>
                <w:szCs w:val="18"/>
              </w:rPr>
            </w:pPr>
            <w:r>
              <w:rPr>
                <w:rFonts w:ascii="Arial Narrow" w:hAnsi="Arial Narrow"/>
                <w:sz w:val="18"/>
                <w:szCs w:val="18"/>
              </w:rPr>
              <w:t>-</w:t>
            </w:r>
            <w:r w:rsidR="007E417B" w:rsidRPr="00634FE6">
              <w:rPr>
                <w:rFonts w:ascii="Arial Narrow" w:hAnsi="Arial Narrow"/>
                <w:sz w:val="18"/>
                <w:szCs w:val="18"/>
              </w:rPr>
              <w:t>0,</w:t>
            </w:r>
            <w:r>
              <w:rPr>
                <w:rFonts w:ascii="Arial Narrow" w:hAnsi="Arial Narrow"/>
                <w:sz w:val="18"/>
                <w:szCs w:val="18"/>
              </w:rPr>
              <w:t>1</w:t>
            </w:r>
          </w:p>
        </w:tc>
        <w:tc>
          <w:tcPr>
            <w:tcW w:w="1456" w:type="dxa"/>
            <w:vAlign w:val="bottom"/>
          </w:tcPr>
          <w:p w14:paraId="2273EF88"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+3,2</w:t>
            </w:r>
          </w:p>
        </w:tc>
      </w:tr>
      <w:tr w:rsidR="007E417B" w:rsidRPr="007F50F0" w14:paraId="2D1BAD9D" w14:textId="77777777" w:rsidTr="007E417B">
        <w:trPr>
          <w:trHeight w:val="255"/>
        </w:trPr>
        <w:tc>
          <w:tcPr>
            <w:tcW w:w="1458" w:type="dxa"/>
            <w:shd w:val="clear" w:color="auto" w:fill="D9D9D9"/>
            <w:vAlign w:val="center"/>
          </w:tcPr>
          <w:p w14:paraId="58D4CA89" w14:textId="77777777" w:rsidR="007E417B" w:rsidRPr="007F50F0" w:rsidRDefault="007E417B" w:rsidP="007E417B">
            <w:pPr>
              <w:spacing w:before="40" w:after="20"/>
              <w:jc w:val="center"/>
              <w:rPr>
                <w:rFonts w:ascii="Arial Narrow" w:hAnsi="Arial Narrow" w:cs="Arial"/>
                <w:bCs/>
                <w:sz w:val="18"/>
                <w:szCs w:val="18"/>
              </w:rPr>
            </w:pPr>
            <w:r w:rsidRPr="007F50F0">
              <w:rPr>
                <w:rFonts w:ascii="Arial Narrow" w:hAnsi="Arial Narrow" w:cs="Arial"/>
                <w:bCs/>
                <w:sz w:val="18"/>
                <w:szCs w:val="18"/>
              </w:rPr>
              <w:t>Novembre</w:t>
            </w:r>
          </w:p>
        </w:tc>
        <w:tc>
          <w:tcPr>
            <w:tcW w:w="1456" w:type="dxa"/>
            <w:shd w:val="clear" w:color="auto" w:fill="D9D9D9"/>
            <w:vAlign w:val="bottom"/>
          </w:tcPr>
          <w:p w14:paraId="766AC089"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+0,6</w:t>
            </w:r>
          </w:p>
        </w:tc>
        <w:tc>
          <w:tcPr>
            <w:tcW w:w="1456" w:type="dxa"/>
            <w:vAlign w:val="bottom"/>
          </w:tcPr>
          <w:p w14:paraId="78692EA5"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+1,5</w:t>
            </w:r>
          </w:p>
        </w:tc>
        <w:tc>
          <w:tcPr>
            <w:tcW w:w="1456" w:type="dxa"/>
            <w:shd w:val="clear" w:color="auto" w:fill="D9D9D9"/>
            <w:vAlign w:val="bottom"/>
          </w:tcPr>
          <w:p w14:paraId="762F58EA"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+1,2</w:t>
            </w:r>
          </w:p>
        </w:tc>
        <w:tc>
          <w:tcPr>
            <w:tcW w:w="1456" w:type="dxa"/>
            <w:vAlign w:val="bottom"/>
          </w:tcPr>
          <w:p w14:paraId="1172F548"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+1,6</w:t>
            </w:r>
          </w:p>
        </w:tc>
        <w:tc>
          <w:tcPr>
            <w:tcW w:w="1456" w:type="dxa"/>
            <w:shd w:val="clear" w:color="auto" w:fill="D9D9D9"/>
            <w:vAlign w:val="bottom"/>
          </w:tcPr>
          <w:p w14:paraId="023890C5"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-0,2</w:t>
            </w:r>
          </w:p>
        </w:tc>
        <w:tc>
          <w:tcPr>
            <w:tcW w:w="1456" w:type="dxa"/>
            <w:vAlign w:val="bottom"/>
          </w:tcPr>
          <w:p w14:paraId="4F167F3A"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+1,4</w:t>
            </w:r>
          </w:p>
        </w:tc>
      </w:tr>
      <w:tr w:rsidR="007E417B" w:rsidRPr="007F50F0" w14:paraId="64CFEE0D" w14:textId="77777777" w:rsidTr="007E417B">
        <w:trPr>
          <w:trHeight w:val="255"/>
        </w:trPr>
        <w:tc>
          <w:tcPr>
            <w:tcW w:w="1458" w:type="dxa"/>
            <w:shd w:val="clear" w:color="auto" w:fill="D9D9D9"/>
            <w:vAlign w:val="center"/>
          </w:tcPr>
          <w:p w14:paraId="19E02CD7" w14:textId="77777777" w:rsidR="007E417B" w:rsidRPr="007F50F0" w:rsidRDefault="007E417B" w:rsidP="007E417B">
            <w:pPr>
              <w:spacing w:before="40" w:after="20"/>
              <w:jc w:val="center"/>
              <w:rPr>
                <w:rFonts w:ascii="Arial Narrow" w:hAnsi="Arial Narrow" w:cs="Arial"/>
                <w:bCs/>
                <w:sz w:val="18"/>
                <w:szCs w:val="18"/>
              </w:rPr>
            </w:pPr>
            <w:r w:rsidRPr="007F50F0">
              <w:rPr>
                <w:rFonts w:ascii="Arial Narrow" w:hAnsi="Arial Narrow" w:cs="Arial"/>
                <w:bCs/>
                <w:sz w:val="18"/>
                <w:szCs w:val="18"/>
              </w:rPr>
              <w:t>Dicembre</w:t>
            </w:r>
          </w:p>
        </w:tc>
        <w:tc>
          <w:tcPr>
            <w:tcW w:w="1456" w:type="dxa"/>
            <w:shd w:val="clear" w:color="auto" w:fill="D9D9D9"/>
            <w:vAlign w:val="bottom"/>
          </w:tcPr>
          <w:p w14:paraId="4824EE8D"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+0,6</w:t>
            </w:r>
          </w:p>
        </w:tc>
        <w:tc>
          <w:tcPr>
            <w:tcW w:w="1456" w:type="dxa"/>
            <w:vAlign w:val="bottom"/>
          </w:tcPr>
          <w:p w14:paraId="4BE064C6"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+0,7</w:t>
            </w:r>
          </w:p>
        </w:tc>
        <w:tc>
          <w:tcPr>
            <w:tcW w:w="1456" w:type="dxa"/>
            <w:shd w:val="clear" w:color="auto" w:fill="D9D9D9"/>
            <w:vAlign w:val="bottom"/>
          </w:tcPr>
          <w:p w14:paraId="7A86D9B1"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+1,5</w:t>
            </w:r>
          </w:p>
        </w:tc>
        <w:tc>
          <w:tcPr>
            <w:tcW w:w="1456" w:type="dxa"/>
            <w:vAlign w:val="bottom"/>
          </w:tcPr>
          <w:p w14:paraId="225A4C5F"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+0,6</w:t>
            </w:r>
          </w:p>
        </w:tc>
        <w:tc>
          <w:tcPr>
            <w:tcW w:w="1456" w:type="dxa"/>
            <w:shd w:val="clear" w:color="auto" w:fill="D9D9D9"/>
            <w:vAlign w:val="bottom"/>
          </w:tcPr>
          <w:p w14:paraId="7D308FBB"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-0,2</w:t>
            </w:r>
          </w:p>
        </w:tc>
        <w:tc>
          <w:tcPr>
            <w:tcW w:w="1456" w:type="dxa"/>
            <w:vAlign w:val="bottom"/>
          </w:tcPr>
          <w:p w14:paraId="4B06F41E"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+0,9</w:t>
            </w:r>
          </w:p>
        </w:tc>
      </w:tr>
      <w:tr w:rsidR="007E417B" w:rsidRPr="002B76A5" w14:paraId="5ED373B2" w14:textId="77777777" w:rsidTr="007E417B">
        <w:trPr>
          <w:trHeight w:val="255"/>
        </w:trPr>
        <w:tc>
          <w:tcPr>
            <w:tcW w:w="10194" w:type="dxa"/>
            <w:gridSpan w:val="7"/>
            <w:shd w:val="clear" w:color="auto" w:fill="FFFFFF" w:themeFill="background1"/>
            <w:vAlign w:val="center"/>
          </w:tcPr>
          <w:p w14:paraId="17EC49AF" w14:textId="77777777" w:rsidR="007E417B" w:rsidRPr="00634FE6" w:rsidRDefault="007E417B" w:rsidP="007E417B">
            <w:pPr>
              <w:spacing w:before="40" w:after="20"/>
              <w:jc w:val="center"/>
              <w:rPr>
                <w:rFonts w:ascii="Arial Narrow" w:hAnsi="Arial Narrow" w:cs="Arial Narrow"/>
                <w:b/>
                <w:sz w:val="18"/>
                <w:szCs w:val="18"/>
              </w:rPr>
            </w:pPr>
            <w:r w:rsidRPr="00634FE6">
              <w:rPr>
                <w:rFonts w:ascii="Arial Narrow" w:hAnsi="Arial Narrow" w:cs="Arial Narrow"/>
                <w:b/>
                <w:sz w:val="18"/>
                <w:szCs w:val="18"/>
              </w:rPr>
              <w:t>2022</w:t>
            </w:r>
          </w:p>
        </w:tc>
      </w:tr>
      <w:tr w:rsidR="007E417B" w:rsidRPr="002B76A5" w14:paraId="13277923" w14:textId="77777777" w:rsidTr="007E417B">
        <w:trPr>
          <w:trHeight w:val="255"/>
        </w:trPr>
        <w:tc>
          <w:tcPr>
            <w:tcW w:w="1458" w:type="dxa"/>
            <w:shd w:val="clear" w:color="auto" w:fill="D9D9D9"/>
            <w:vAlign w:val="center"/>
          </w:tcPr>
          <w:p w14:paraId="710A6B8C" w14:textId="77777777" w:rsidR="007E417B" w:rsidRPr="007F50F0" w:rsidRDefault="007E417B" w:rsidP="007E417B">
            <w:pPr>
              <w:spacing w:before="40" w:after="20"/>
              <w:jc w:val="center"/>
              <w:rPr>
                <w:rFonts w:ascii="Arial Narrow" w:hAnsi="Arial Narrow" w:cs="Arial"/>
                <w:bCs/>
                <w:sz w:val="18"/>
                <w:szCs w:val="18"/>
              </w:rPr>
            </w:pPr>
            <w:r w:rsidRPr="007F50F0">
              <w:rPr>
                <w:rFonts w:ascii="Arial Narrow" w:hAnsi="Arial Narrow" w:cs="Arial"/>
                <w:bCs/>
                <w:sz w:val="18"/>
                <w:szCs w:val="18"/>
              </w:rPr>
              <w:t>Gennaio</w:t>
            </w:r>
          </w:p>
        </w:tc>
        <w:tc>
          <w:tcPr>
            <w:tcW w:w="1456" w:type="dxa"/>
            <w:shd w:val="clear" w:color="auto" w:fill="D9D9D9"/>
            <w:vAlign w:val="bottom"/>
          </w:tcPr>
          <w:p w14:paraId="37CCCBAD"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 xml:space="preserve">  0,0</w:t>
            </w:r>
          </w:p>
        </w:tc>
        <w:tc>
          <w:tcPr>
            <w:tcW w:w="1456" w:type="dxa"/>
            <w:vAlign w:val="bottom"/>
          </w:tcPr>
          <w:p w14:paraId="46AE8264"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+3,0</w:t>
            </w:r>
          </w:p>
        </w:tc>
        <w:tc>
          <w:tcPr>
            <w:tcW w:w="1456" w:type="dxa"/>
            <w:shd w:val="clear" w:color="auto" w:fill="D9D9D9"/>
            <w:vAlign w:val="bottom"/>
          </w:tcPr>
          <w:p w14:paraId="2FCD084D"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 xml:space="preserve">  0,0</w:t>
            </w:r>
          </w:p>
        </w:tc>
        <w:tc>
          <w:tcPr>
            <w:tcW w:w="1456" w:type="dxa"/>
            <w:vAlign w:val="bottom"/>
          </w:tcPr>
          <w:p w14:paraId="67C440DF"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+1,1</w:t>
            </w:r>
          </w:p>
        </w:tc>
        <w:tc>
          <w:tcPr>
            <w:tcW w:w="1456" w:type="dxa"/>
            <w:shd w:val="clear" w:color="auto" w:fill="D9D9D9"/>
            <w:vAlign w:val="bottom"/>
          </w:tcPr>
          <w:p w14:paraId="6EF98F1D"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 xml:space="preserve">  0,0</w:t>
            </w:r>
          </w:p>
        </w:tc>
        <w:tc>
          <w:tcPr>
            <w:tcW w:w="1456" w:type="dxa"/>
            <w:vAlign w:val="bottom"/>
          </w:tcPr>
          <w:p w14:paraId="76F43F26"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+5,0</w:t>
            </w:r>
          </w:p>
        </w:tc>
      </w:tr>
      <w:tr w:rsidR="007E417B" w:rsidRPr="002B76A5" w14:paraId="603970A0" w14:textId="77777777" w:rsidTr="007E417B">
        <w:trPr>
          <w:trHeight w:val="255"/>
        </w:trPr>
        <w:tc>
          <w:tcPr>
            <w:tcW w:w="1458" w:type="dxa"/>
            <w:shd w:val="clear" w:color="auto" w:fill="D9D9D9"/>
            <w:vAlign w:val="center"/>
          </w:tcPr>
          <w:p w14:paraId="6C5EEF95" w14:textId="77777777" w:rsidR="007E417B" w:rsidRPr="007F50F0" w:rsidRDefault="007E417B" w:rsidP="007E417B">
            <w:pPr>
              <w:spacing w:before="40" w:after="20"/>
              <w:jc w:val="center"/>
              <w:rPr>
                <w:rFonts w:ascii="Arial Narrow" w:hAnsi="Arial Narrow" w:cs="Arial"/>
                <w:bCs/>
                <w:sz w:val="18"/>
                <w:szCs w:val="18"/>
              </w:rPr>
            </w:pPr>
            <w:r w:rsidRPr="007F50F0">
              <w:rPr>
                <w:rFonts w:ascii="Arial Narrow" w:hAnsi="Arial Narrow" w:cs="Arial"/>
                <w:bCs/>
                <w:sz w:val="18"/>
                <w:szCs w:val="18"/>
              </w:rPr>
              <w:t>Febbraio</w:t>
            </w:r>
          </w:p>
        </w:tc>
        <w:tc>
          <w:tcPr>
            <w:tcW w:w="1456" w:type="dxa"/>
            <w:shd w:val="clear" w:color="auto" w:fill="D9D9D9"/>
            <w:vAlign w:val="bottom"/>
          </w:tcPr>
          <w:p w14:paraId="111A05FE"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+0,2</w:t>
            </w:r>
          </w:p>
        </w:tc>
        <w:tc>
          <w:tcPr>
            <w:tcW w:w="1456" w:type="dxa"/>
            <w:vAlign w:val="bottom"/>
          </w:tcPr>
          <w:p w14:paraId="2E649341"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-0,4</w:t>
            </w:r>
          </w:p>
        </w:tc>
        <w:tc>
          <w:tcPr>
            <w:tcW w:w="1456" w:type="dxa"/>
            <w:shd w:val="clear" w:color="auto" w:fill="D9D9D9"/>
            <w:vAlign w:val="bottom"/>
          </w:tcPr>
          <w:p w14:paraId="6371DE02"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+0,3</w:t>
            </w:r>
          </w:p>
        </w:tc>
        <w:tc>
          <w:tcPr>
            <w:tcW w:w="1456" w:type="dxa"/>
            <w:vAlign w:val="bottom"/>
          </w:tcPr>
          <w:p w14:paraId="225ED1D0"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+0,7</w:t>
            </w:r>
          </w:p>
        </w:tc>
        <w:tc>
          <w:tcPr>
            <w:tcW w:w="1456" w:type="dxa"/>
            <w:shd w:val="clear" w:color="auto" w:fill="D9D9D9"/>
            <w:vAlign w:val="bottom"/>
          </w:tcPr>
          <w:p w14:paraId="2AA3DF4C"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 xml:space="preserve">  0,0</w:t>
            </w:r>
          </w:p>
        </w:tc>
        <w:tc>
          <w:tcPr>
            <w:tcW w:w="1456" w:type="dxa"/>
            <w:vAlign w:val="bottom"/>
          </w:tcPr>
          <w:p w14:paraId="6BBA2C11"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-1,7</w:t>
            </w:r>
          </w:p>
        </w:tc>
      </w:tr>
      <w:tr w:rsidR="007E417B" w:rsidRPr="002B76A5" w14:paraId="17BEE49B" w14:textId="77777777" w:rsidTr="007E417B">
        <w:trPr>
          <w:trHeight w:val="255"/>
        </w:trPr>
        <w:tc>
          <w:tcPr>
            <w:tcW w:w="1458" w:type="dxa"/>
            <w:shd w:val="clear" w:color="auto" w:fill="D9D9D9"/>
            <w:vAlign w:val="center"/>
          </w:tcPr>
          <w:p w14:paraId="16A28C0F" w14:textId="77777777" w:rsidR="007E417B" w:rsidRPr="007F50F0" w:rsidRDefault="007E417B" w:rsidP="007E417B">
            <w:pPr>
              <w:spacing w:before="40" w:after="20"/>
              <w:jc w:val="center"/>
              <w:rPr>
                <w:rFonts w:ascii="Arial Narrow" w:hAnsi="Arial Narrow" w:cs="Arial"/>
                <w:bCs/>
                <w:sz w:val="18"/>
                <w:szCs w:val="18"/>
              </w:rPr>
            </w:pPr>
            <w:r w:rsidRPr="007F50F0">
              <w:rPr>
                <w:rFonts w:ascii="Arial Narrow" w:hAnsi="Arial Narrow" w:cs="Arial"/>
                <w:bCs/>
                <w:sz w:val="18"/>
                <w:szCs w:val="18"/>
              </w:rPr>
              <w:t>Marzo</w:t>
            </w:r>
          </w:p>
        </w:tc>
        <w:tc>
          <w:tcPr>
            <w:tcW w:w="1456" w:type="dxa"/>
            <w:shd w:val="clear" w:color="auto" w:fill="D9D9D9"/>
            <w:vAlign w:val="bottom"/>
          </w:tcPr>
          <w:p w14:paraId="74E3DE6F"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+0,5</w:t>
            </w:r>
          </w:p>
        </w:tc>
        <w:tc>
          <w:tcPr>
            <w:tcW w:w="1456" w:type="dxa"/>
            <w:vAlign w:val="bottom"/>
          </w:tcPr>
          <w:p w14:paraId="64D930FF"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+1,4</w:t>
            </w:r>
          </w:p>
        </w:tc>
        <w:tc>
          <w:tcPr>
            <w:tcW w:w="1456" w:type="dxa"/>
            <w:shd w:val="clear" w:color="auto" w:fill="D9D9D9"/>
            <w:vAlign w:val="bottom"/>
          </w:tcPr>
          <w:p w14:paraId="7B399D65"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+0,8</w:t>
            </w:r>
          </w:p>
        </w:tc>
        <w:tc>
          <w:tcPr>
            <w:tcW w:w="1456" w:type="dxa"/>
            <w:vAlign w:val="bottom"/>
          </w:tcPr>
          <w:p w14:paraId="6C582812"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+1,6</w:t>
            </w:r>
          </w:p>
        </w:tc>
        <w:tc>
          <w:tcPr>
            <w:tcW w:w="1456" w:type="dxa"/>
            <w:shd w:val="clear" w:color="auto" w:fill="D9D9D9"/>
            <w:vAlign w:val="bottom"/>
          </w:tcPr>
          <w:p w14:paraId="0D062876"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 xml:space="preserve">  0,0</w:t>
            </w:r>
          </w:p>
        </w:tc>
        <w:tc>
          <w:tcPr>
            <w:tcW w:w="1456" w:type="dxa"/>
            <w:vAlign w:val="bottom"/>
          </w:tcPr>
          <w:p w14:paraId="404AFC53" w14:textId="77777777" w:rsidR="007E417B" w:rsidRPr="00634FE6" w:rsidRDefault="007E417B" w:rsidP="007E417B">
            <w:pPr>
              <w:jc w:val="center"/>
              <w:rPr>
                <w:rFonts w:ascii="Arial Narrow" w:hAnsi="Arial Narrow"/>
                <w:sz w:val="18"/>
                <w:szCs w:val="18"/>
              </w:rPr>
            </w:pPr>
            <w:r w:rsidRPr="00634FE6">
              <w:rPr>
                <w:rFonts w:ascii="Arial Narrow" w:hAnsi="Arial Narrow"/>
                <w:sz w:val="18"/>
                <w:szCs w:val="18"/>
              </w:rPr>
              <w:t>+1,1</w:t>
            </w:r>
          </w:p>
        </w:tc>
      </w:tr>
    </w:tbl>
    <w:p w14:paraId="1154C9BB" w14:textId="77777777" w:rsidR="007E417B" w:rsidRDefault="007E417B" w:rsidP="007E417B">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color w:val="0070C0"/>
          <w:sz w:val="21"/>
          <w:szCs w:val="21"/>
        </w:rPr>
      </w:pPr>
    </w:p>
    <w:p w14:paraId="7E994698" w14:textId="77777777" w:rsidR="007E417B" w:rsidRPr="007E417B" w:rsidRDefault="007E417B" w:rsidP="007E417B">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z w:val="21"/>
          <w:szCs w:val="21"/>
        </w:rPr>
      </w:pPr>
    </w:p>
    <w:p w14:paraId="2EC14CBC" w14:textId="77777777" w:rsidR="007C7E35" w:rsidRDefault="007C7E35" w:rsidP="007C7E35">
      <w:pPr>
        <w:ind w:right="57"/>
        <w:jc w:val="both"/>
        <w:rPr>
          <w:rFonts w:ascii="Arial Narrow" w:hAnsi="Arial Narrow" w:cs="Arial"/>
          <w:b/>
          <w:color w:val="E42618"/>
          <w:sz w:val="22"/>
          <w:szCs w:val="22"/>
        </w:rPr>
      </w:pPr>
    </w:p>
    <w:p w14:paraId="753F41DA" w14:textId="77777777" w:rsidR="007E417B" w:rsidRDefault="007E417B" w:rsidP="007C7E35">
      <w:pPr>
        <w:ind w:right="57"/>
        <w:jc w:val="both"/>
        <w:rPr>
          <w:rFonts w:ascii="Arial Narrow" w:hAnsi="Arial Narrow" w:cs="Arial"/>
          <w:b/>
          <w:color w:val="E42618"/>
          <w:sz w:val="22"/>
          <w:szCs w:val="22"/>
        </w:rPr>
      </w:pPr>
    </w:p>
    <w:p w14:paraId="75B997A2" w14:textId="4407168A" w:rsidR="007E417B" w:rsidRPr="007E417B" w:rsidRDefault="007E417B" w:rsidP="007E417B">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z w:val="21"/>
          <w:szCs w:val="21"/>
        </w:rPr>
      </w:pPr>
      <w:r w:rsidRPr="007E417B">
        <w:rPr>
          <w:rFonts w:ascii="Arial" w:hAnsi="Arial" w:cs="Arial"/>
          <w:sz w:val="21"/>
          <w:szCs w:val="21"/>
        </w:rPr>
        <w:t>Relativamente alla revisione dei dati di import del gas naturale allo stato gassoso, si ricorda che, nel rispetto degli adempimenti doganali relativi all’importazione di gas naturale a mezzo gasdotto, le dichiarazioni doganali di importazione per tale merce possono essere presentate entro il 15° giorno lavorativo del mese successivo all’importazione stessa. Fino a marzo 2022 (mese di riferimento dei dati), le stime dei dati di importazione di gas naturale sono state elaborate utilizzando i dati di quantità da fonte Snam Rete Gas S.p.a. relativi al mese di riferimento e i dati di prezzo (valore medio unitario) più aggiornati disponibili al momento della diffusione; questi ultimi erano desunti dalle dichiarazioni doganali depositate nel mese, che, nel rispetto dei sopracitati adempimenti doganali, riferi</w:t>
      </w:r>
      <w:r w:rsidR="00305834">
        <w:rPr>
          <w:rFonts w:ascii="Arial" w:hAnsi="Arial" w:cs="Arial"/>
          <w:sz w:val="21"/>
          <w:szCs w:val="21"/>
        </w:rPr>
        <w:t>scono</w:t>
      </w:r>
      <w:r w:rsidRPr="007E417B">
        <w:rPr>
          <w:rFonts w:ascii="Arial" w:hAnsi="Arial" w:cs="Arial"/>
          <w:sz w:val="21"/>
          <w:szCs w:val="21"/>
        </w:rPr>
        <w:t xml:space="preserve"> a movimentazioni avvenute nel mese precedente.</w:t>
      </w:r>
    </w:p>
    <w:p w14:paraId="77E0B459" w14:textId="25E30540" w:rsidR="001D7807" w:rsidRDefault="007E417B" w:rsidP="007E417B">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z w:val="21"/>
          <w:szCs w:val="21"/>
        </w:rPr>
      </w:pPr>
      <w:r w:rsidRPr="007E417B">
        <w:rPr>
          <w:rFonts w:ascii="Arial" w:hAnsi="Arial" w:cs="Arial"/>
          <w:sz w:val="21"/>
          <w:szCs w:val="21"/>
        </w:rPr>
        <w:t>Da</w:t>
      </w:r>
      <w:r w:rsidR="00305834">
        <w:rPr>
          <w:rFonts w:ascii="Arial" w:hAnsi="Arial" w:cs="Arial"/>
          <w:sz w:val="21"/>
          <w:szCs w:val="21"/>
        </w:rPr>
        <w:t>l mese di</w:t>
      </w:r>
      <w:r w:rsidRPr="007E417B">
        <w:rPr>
          <w:rFonts w:ascii="Arial" w:hAnsi="Arial" w:cs="Arial"/>
          <w:sz w:val="21"/>
          <w:szCs w:val="21"/>
        </w:rPr>
        <w:t xml:space="preserve"> aprile 2022, grazie alle modifiche introdotte nel processo di lavorazione, le stime sui valori di import di gas naturale allo stato gassoso sono invece basate sui dati di prezzo del mese di riferimento (dati che si rendono disponibili con la fornitura delle dichiarazioni doganali del mese successivo).</w:t>
      </w:r>
      <w:r w:rsidR="001D7807">
        <w:rPr>
          <w:rFonts w:ascii="Arial" w:hAnsi="Arial" w:cs="Arial"/>
          <w:sz w:val="21"/>
          <w:szCs w:val="21"/>
        </w:rPr>
        <w:t xml:space="preserve"> </w:t>
      </w:r>
      <w:r w:rsidRPr="007E417B">
        <w:rPr>
          <w:rFonts w:ascii="Arial" w:hAnsi="Arial" w:cs="Arial"/>
          <w:sz w:val="21"/>
          <w:szCs w:val="21"/>
        </w:rPr>
        <w:t>Pertanto, come preannunciato,</w:t>
      </w:r>
      <w:r w:rsidR="001D7807">
        <w:rPr>
          <w:rFonts w:ascii="Arial" w:hAnsi="Arial" w:cs="Arial"/>
          <w:sz w:val="21"/>
          <w:szCs w:val="21"/>
        </w:rPr>
        <w:t xml:space="preserve"> con il consolidamento dei dati del 2021, si è tenuto conto di tale modifica nella procedura di stima e si è proceduto anche alla revisione dei dati dei primi tre mesi del 2022.</w:t>
      </w:r>
    </w:p>
    <w:p w14:paraId="1CA3E16B" w14:textId="77777777" w:rsidR="007E417B" w:rsidRPr="007E417B" w:rsidRDefault="007E417B" w:rsidP="007E417B">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jc w:val="both"/>
        <w:rPr>
          <w:rFonts w:ascii="Arial" w:hAnsi="Arial" w:cs="Arial"/>
          <w:sz w:val="21"/>
          <w:szCs w:val="21"/>
        </w:rPr>
      </w:pPr>
      <w:r w:rsidRPr="007E417B">
        <w:rPr>
          <w:rFonts w:ascii="Arial" w:hAnsi="Arial" w:cs="Arial"/>
          <w:sz w:val="21"/>
          <w:szCs w:val="21"/>
        </w:rPr>
        <w:t>Di seguito si riportano le revisioni delle variazioni percentuali tendenziali dei flussi commerciali con l’estero per area Ue27, Extra Ue27 e mondo per il periodo gennaio 2021-agosto 2022.</w:t>
      </w:r>
    </w:p>
    <w:p w14:paraId="57CEA85E" w14:textId="77777777" w:rsidR="00743FFB" w:rsidRPr="00422630" w:rsidRDefault="00743FFB" w:rsidP="00743FFB">
      <w:pPr>
        <w:ind w:right="57"/>
        <w:jc w:val="both"/>
        <w:rPr>
          <w:rFonts w:ascii="Arial Narrow" w:hAnsi="Arial Narrow" w:cs="Arial"/>
          <w:b/>
          <w:color w:val="5F5F5F"/>
          <w:sz w:val="22"/>
          <w:szCs w:val="22"/>
        </w:rPr>
      </w:pPr>
      <w:r w:rsidRPr="00422630">
        <w:rPr>
          <w:rFonts w:ascii="Arial Narrow" w:hAnsi="Arial Narrow" w:cs="Arial"/>
          <w:b/>
          <w:color w:val="E42618"/>
          <w:sz w:val="22"/>
          <w:szCs w:val="22"/>
        </w:rPr>
        <w:t xml:space="preserve">PROSPETTO </w:t>
      </w:r>
      <w:r>
        <w:rPr>
          <w:rFonts w:ascii="Arial Narrow" w:hAnsi="Arial Narrow" w:cs="Arial"/>
          <w:b/>
          <w:color w:val="E42618"/>
          <w:sz w:val="22"/>
          <w:szCs w:val="22"/>
        </w:rPr>
        <w:t>6</w:t>
      </w:r>
      <w:r w:rsidRPr="00422630">
        <w:rPr>
          <w:rFonts w:ascii="Arial Narrow" w:hAnsi="Arial Narrow" w:cs="Arial"/>
          <w:b/>
          <w:color w:val="E42618"/>
          <w:sz w:val="22"/>
          <w:szCs w:val="22"/>
        </w:rPr>
        <w:t>/</w:t>
      </w:r>
      <w:r>
        <w:rPr>
          <w:rFonts w:ascii="Arial Narrow" w:hAnsi="Arial Narrow" w:cs="Arial"/>
          <w:b/>
          <w:color w:val="E42618"/>
          <w:sz w:val="22"/>
          <w:szCs w:val="22"/>
        </w:rPr>
        <w:t>c</w:t>
      </w:r>
      <w:r w:rsidRPr="00422630">
        <w:rPr>
          <w:rFonts w:ascii="Arial Narrow" w:hAnsi="Arial Narrow" w:cs="Arial"/>
          <w:b/>
          <w:color w:val="E42618"/>
          <w:sz w:val="22"/>
          <w:szCs w:val="22"/>
        </w:rPr>
        <w:t>.</w:t>
      </w:r>
      <w:r w:rsidRPr="00422630">
        <w:rPr>
          <w:rFonts w:ascii="Arial Narrow" w:hAnsi="Arial Narrow" w:cs="Arial"/>
          <w:b/>
          <w:color w:val="5F5F5F"/>
        </w:rPr>
        <w:t xml:space="preserve"> </w:t>
      </w:r>
      <w:r w:rsidRPr="00422630">
        <w:rPr>
          <w:rFonts w:ascii="Arial Narrow" w:hAnsi="Arial Narrow" w:cs="Arial"/>
          <w:b/>
          <w:color w:val="5F5F5F"/>
          <w:sz w:val="22"/>
          <w:szCs w:val="22"/>
        </w:rPr>
        <w:t xml:space="preserve">ESPORTAZIONI E IMPORTAZIONI DI MERCI IN VALORE </w:t>
      </w:r>
      <w:r>
        <w:rPr>
          <w:rFonts w:ascii="Arial Narrow" w:hAnsi="Arial Narrow" w:cs="Arial"/>
          <w:b/>
          <w:color w:val="5F5F5F"/>
          <w:sz w:val="22"/>
          <w:szCs w:val="22"/>
        </w:rPr>
        <w:t>PER</w:t>
      </w:r>
      <w:r w:rsidRPr="00422630">
        <w:rPr>
          <w:rFonts w:ascii="Arial Narrow" w:hAnsi="Arial Narrow" w:cs="Arial"/>
          <w:b/>
          <w:color w:val="5F5F5F"/>
          <w:sz w:val="22"/>
          <w:szCs w:val="22"/>
        </w:rPr>
        <w:t xml:space="preserve"> AREA UE</w:t>
      </w:r>
      <w:r>
        <w:rPr>
          <w:rFonts w:ascii="Arial Narrow" w:hAnsi="Arial Narrow" w:cs="Arial"/>
          <w:b/>
          <w:color w:val="5F5F5F"/>
          <w:sz w:val="22"/>
          <w:szCs w:val="22"/>
        </w:rPr>
        <w:t>27,</w:t>
      </w:r>
      <w:r w:rsidRPr="00422630">
        <w:rPr>
          <w:rFonts w:ascii="Arial Narrow" w:hAnsi="Arial Narrow" w:cs="Arial"/>
          <w:b/>
          <w:color w:val="5F5F5F"/>
          <w:sz w:val="22"/>
          <w:szCs w:val="22"/>
        </w:rPr>
        <w:t xml:space="preserve"> EXTRA UE</w:t>
      </w:r>
      <w:r>
        <w:rPr>
          <w:rFonts w:ascii="Arial Narrow" w:hAnsi="Arial Narrow" w:cs="Arial"/>
          <w:b/>
          <w:color w:val="5F5F5F"/>
          <w:sz w:val="22"/>
          <w:szCs w:val="22"/>
        </w:rPr>
        <w:t>27 E MONDO. REVISIONI DELLE VARIAZIONI PERCENTUALI TENDENZIALI</w:t>
      </w:r>
    </w:p>
    <w:p w14:paraId="2E1DFA16" w14:textId="77777777" w:rsidR="00743FFB" w:rsidRPr="00FF4F6A" w:rsidRDefault="00743FFB" w:rsidP="00743FFB">
      <w:pPr>
        <w:pStyle w:val="Corpodeltesto1"/>
        <w:spacing w:after="120"/>
        <w:jc w:val="left"/>
        <w:rPr>
          <w:rFonts w:ascii="Arial Narrow" w:hAnsi="Arial Narrow" w:cs="Arial"/>
          <w:b w:val="0"/>
          <w:color w:val="5F5F5F"/>
          <w:kern w:val="28"/>
          <w:sz w:val="20"/>
          <w:szCs w:val="20"/>
        </w:rPr>
      </w:pPr>
      <w:r w:rsidRPr="00422630">
        <w:rPr>
          <w:rFonts w:ascii="Arial Narrow" w:hAnsi="Arial Narrow" w:cs="Arial"/>
          <w:b w:val="0"/>
          <w:color w:val="5F5F5F"/>
          <w:kern w:val="28"/>
          <w:sz w:val="20"/>
          <w:szCs w:val="20"/>
        </w:rPr>
        <w:t>Gennaio</w:t>
      </w:r>
      <w:r>
        <w:rPr>
          <w:rFonts w:ascii="Arial Narrow" w:hAnsi="Arial Narrow" w:cs="Arial"/>
          <w:b w:val="0"/>
          <w:color w:val="5F5F5F"/>
          <w:kern w:val="28"/>
          <w:sz w:val="20"/>
          <w:szCs w:val="20"/>
        </w:rPr>
        <w:t xml:space="preserve"> 2021</w:t>
      </w:r>
      <w:r w:rsidRPr="00422630">
        <w:rPr>
          <w:rFonts w:ascii="Arial Narrow" w:hAnsi="Arial Narrow" w:cs="Arial"/>
          <w:b w:val="0"/>
          <w:color w:val="5F5F5F"/>
          <w:kern w:val="28"/>
          <w:sz w:val="20"/>
          <w:szCs w:val="20"/>
        </w:rPr>
        <w:t xml:space="preserve"> </w:t>
      </w:r>
      <w:r>
        <w:rPr>
          <w:rFonts w:ascii="Arial Narrow" w:hAnsi="Arial Narrow" w:cs="Arial"/>
          <w:b w:val="0"/>
          <w:color w:val="5F5F5F"/>
          <w:kern w:val="28"/>
          <w:sz w:val="20"/>
          <w:szCs w:val="20"/>
        </w:rPr>
        <w:t xml:space="preserve">– agosto </w:t>
      </w:r>
      <w:r w:rsidRPr="00422630">
        <w:rPr>
          <w:rFonts w:ascii="Arial Narrow" w:hAnsi="Arial Narrow" w:cs="Arial"/>
          <w:b w:val="0"/>
          <w:color w:val="5F5F5F"/>
          <w:kern w:val="28"/>
          <w:sz w:val="20"/>
          <w:szCs w:val="20"/>
        </w:rPr>
        <w:t>20</w:t>
      </w:r>
      <w:r>
        <w:rPr>
          <w:rFonts w:ascii="Arial Narrow" w:hAnsi="Arial Narrow" w:cs="Arial"/>
          <w:b w:val="0"/>
          <w:color w:val="5F5F5F"/>
          <w:kern w:val="28"/>
          <w:sz w:val="20"/>
          <w:szCs w:val="20"/>
        </w:rPr>
        <w:t>22</w:t>
      </w:r>
      <w:r w:rsidRPr="00422630">
        <w:rPr>
          <w:rFonts w:ascii="Arial Narrow" w:hAnsi="Arial Narrow" w:cs="Arial"/>
          <w:b w:val="0"/>
          <w:color w:val="5F5F5F"/>
          <w:kern w:val="28"/>
          <w:sz w:val="20"/>
          <w:szCs w:val="20"/>
        </w:rPr>
        <w:t>, differenze in punti percentuali</w:t>
      </w:r>
    </w:p>
    <w:tbl>
      <w:tblPr>
        <w:tblW w:w="10194" w:type="dxa"/>
        <w:tblBorders>
          <w:top w:val="single" w:sz="4" w:space="0" w:color="333333"/>
          <w:bottom w:val="single" w:sz="4" w:space="0" w:color="333333"/>
          <w:insideH w:val="single" w:sz="4" w:space="0" w:color="333333"/>
        </w:tblBorders>
        <w:tblLook w:val="01E0" w:firstRow="1" w:lastRow="1" w:firstColumn="1" w:lastColumn="1" w:noHBand="0" w:noVBand="0"/>
      </w:tblPr>
      <w:tblGrid>
        <w:gridCol w:w="1458"/>
        <w:gridCol w:w="1456"/>
        <w:gridCol w:w="1456"/>
        <w:gridCol w:w="1456"/>
        <w:gridCol w:w="1456"/>
        <w:gridCol w:w="1456"/>
        <w:gridCol w:w="1456"/>
      </w:tblGrid>
      <w:tr w:rsidR="00743FFB" w:rsidRPr="001C01EA" w14:paraId="475DA79C" w14:textId="77777777" w:rsidTr="001A02BF">
        <w:trPr>
          <w:trHeight w:val="255"/>
        </w:trPr>
        <w:tc>
          <w:tcPr>
            <w:tcW w:w="1458" w:type="dxa"/>
            <w:tcBorders>
              <w:bottom w:val="nil"/>
            </w:tcBorders>
            <w:shd w:val="clear" w:color="auto" w:fill="auto"/>
            <w:vAlign w:val="center"/>
          </w:tcPr>
          <w:p w14:paraId="4F0FF2F6" w14:textId="77777777" w:rsidR="00743FFB" w:rsidRPr="001C01EA" w:rsidRDefault="00743FFB" w:rsidP="001A02BF">
            <w:pPr>
              <w:spacing w:before="40" w:after="20"/>
              <w:ind w:firstLine="142"/>
              <w:jc w:val="center"/>
              <w:rPr>
                <w:rFonts w:ascii="Arial Narrow" w:hAnsi="Arial Narrow" w:cs="Arial"/>
                <w:b/>
                <w:bCs/>
                <w:sz w:val="18"/>
                <w:szCs w:val="18"/>
              </w:rPr>
            </w:pPr>
          </w:p>
        </w:tc>
        <w:tc>
          <w:tcPr>
            <w:tcW w:w="2912" w:type="dxa"/>
            <w:gridSpan w:val="2"/>
            <w:tcBorders>
              <w:bottom w:val="single" w:sz="4" w:space="0" w:color="333333"/>
            </w:tcBorders>
            <w:shd w:val="clear" w:color="auto" w:fill="D9D9D9"/>
            <w:vAlign w:val="center"/>
          </w:tcPr>
          <w:p w14:paraId="31E8A075" w14:textId="77777777" w:rsidR="00743FFB" w:rsidRPr="00994843" w:rsidRDefault="00743FFB" w:rsidP="001A02BF">
            <w:pPr>
              <w:spacing w:before="40" w:after="20"/>
              <w:ind w:firstLine="142"/>
              <w:jc w:val="center"/>
              <w:rPr>
                <w:rFonts w:ascii="Arial Narrow" w:hAnsi="Arial Narrow" w:cs="Arial"/>
                <w:b/>
                <w:bCs/>
                <w:sz w:val="18"/>
                <w:szCs w:val="18"/>
              </w:rPr>
            </w:pPr>
            <w:r w:rsidRPr="00994843">
              <w:rPr>
                <w:rFonts w:ascii="Arial Narrow" w:hAnsi="Arial Narrow" w:cs="Arial"/>
                <w:b/>
                <w:bCs/>
                <w:sz w:val="18"/>
                <w:szCs w:val="18"/>
              </w:rPr>
              <w:t>Mondo</w:t>
            </w:r>
          </w:p>
        </w:tc>
        <w:tc>
          <w:tcPr>
            <w:tcW w:w="2912" w:type="dxa"/>
            <w:gridSpan w:val="2"/>
            <w:tcBorders>
              <w:bottom w:val="single" w:sz="4" w:space="0" w:color="333333"/>
            </w:tcBorders>
            <w:shd w:val="clear" w:color="auto" w:fill="FFFFFF"/>
            <w:vAlign w:val="center"/>
          </w:tcPr>
          <w:p w14:paraId="44608138" w14:textId="77777777" w:rsidR="00743FFB" w:rsidRPr="00994843" w:rsidRDefault="00743FFB" w:rsidP="001A02BF">
            <w:pPr>
              <w:spacing w:before="40" w:after="20"/>
              <w:ind w:firstLine="142"/>
              <w:jc w:val="center"/>
              <w:rPr>
                <w:rFonts w:ascii="Arial Narrow" w:hAnsi="Arial Narrow" w:cs="Arial"/>
                <w:b/>
                <w:bCs/>
                <w:sz w:val="18"/>
                <w:szCs w:val="18"/>
              </w:rPr>
            </w:pPr>
            <w:r w:rsidRPr="00994843">
              <w:rPr>
                <w:rFonts w:ascii="Arial Narrow" w:hAnsi="Arial Narrow" w:cs="Arial"/>
                <w:b/>
                <w:bCs/>
                <w:sz w:val="18"/>
                <w:szCs w:val="18"/>
              </w:rPr>
              <w:t>Paesi Ue27</w:t>
            </w:r>
          </w:p>
        </w:tc>
        <w:tc>
          <w:tcPr>
            <w:tcW w:w="2912" w:type="dxa"/>
            <w:gridSpan w:val="2"/>
            <w:tcBorders>
              <w:bottom w:val="single" w:sz="4" w:space="0" w:color="333333"/>
            </w:tcBorders>
            <w:shd w:val="clear" w:color="auto" w:fill="D9D9D9"/>
            <w:vAlign w:val="center"/>
          </w:tcPr>
          <w:p w14:paraId="454A1D95" w14:textId="77777777" w:rsidR="00743FFB" w:rsidRPr="00994843" w:rsidRDefault="00743FFB" w:rsidP="001A02BF">
            <w:pPr>
              <w:spacing w:before="40" w:after="20"/>
              <w:ind w:firstLine="142"/>
              <w:jc w:val="center"/>
              <w:rPr>
                <w:rFonts w:ascii="Arial Narrow" w:hAnsi="Arial Narrow" w:cs="Arial"/>
                <w:b/>
                <w:bCs/>
                <w:sz w:val="18"/>
                <w:szCs w:val="18"/>
              </w:rPr>
            </w:pPr>
            <w:r w:rsidRPr="00994843">
              <w:rPr>
                <w:rFonts w:ascii="Arial Narrow" w:hAnsi="Arial Narrow" w:cs="Arial"/>
                <w:b/>
                <w:bCs/>
                <w:sz w:val="18"/>
                <w:szCs w:val="18"/>
              </w:rPr>
              <w:t>Paesi extra Ue27</w:t>
            </w:r>
          </w:p>
        </w:tc>
      </w:tr>
      <w:tr w:rsidR="00743FFB" w:rsidRPr="001C01EA" w14:paraId="043011D8" w14:textId="77777777" w:rsidTr="001A02BF">
        <w:trPr>
          <w:trHeight w:val="255"/>
        </w:trPr>
        <w:tc>
          <w:tcPr>
            <w:tcW w:w="1458" w:type="dxa"/>
            <w:tcBorders>
              <w:top w:val="nil"/>
              <w:bottom w:val="nil"/>
            </w:tcBorders>
            <w:shd w:val="clear" w:color="auto" w:fill="auto"/>
            <w:vAlign w:val="center"/>
          </w:tcPr>
          <w:p w14:paraId="6EF3D446" w14:textId="77777777" w:rsidR="00743FFB" w:rsidRPr="001C01EA" w:rsidRDefault="00743FFB" w:rsidP="001A02BF">
            <w:pPr>
              <w:spacing w:before="40" w:after="20"/>
              <w:jc w:val="center"/>
              <w:rPr>
                <w:rFonts w:ascii="Arial Narrow" w:hAnsi="Arial Narrow" w:cs="Arial"/>
                <w:bCs/>
                <w:sz w:val="18"/>
                <w:szCs w:val="18"/>
              </w:rPr>
            </w:pPr>
          </w:p>
        </w:tc>
        <w:tc>
          <w:tcPr>
            <w:tcW w:w="1456" w:type="dxa"/>
            <w:shd w:val="clear" w:color="auto" w:fill="D9D9D9"/>
            <w:vAlign w:val="center"/>
          </w:tcPr>
          <w:p w14:paraId="1B238202" w14:textId="77777777" w:rsidR="00743FFB" w:rsidRPr="00994843" w:rsidRDefault="00743FFB" w:rsidP="001A02BF">
            <w:pPr>
              <w:spacing w:before="40" w:after="20"/>
              <w:jc w:val="center"/>
              <w:rPr>
                <w:rFonts w:ascii="Arial Narrow" w:hAnsi="Arial Narrow" w:cs="Arial"/>
                <w:bCs/>
                <w:sz w:val="18"/>
                <w:szCs w:val="18"/>
              </w:rPr>
            </w:pPr>
            <w:r w:rsidRPr="00994843">
              <w:rPr>
                <w:rFonts w:ascii="Arial Narrow" w:hAnsi="Arial Narrow" w:cs="Arial"/>
                <w:bCs/>
                <w:sz w:val="18"/>
                <w:szCs w:val="18"/>
              </w:rPr>
              <w:t>Esportazioni</w:t>
            </w:r>
          </w:p>
        </w:tc>
        <w:tc>
          <w:tcPr>
            <w:tcW w:w="1456" w:type="dxa"/>
            <w:vAlign w:val="center"/>
          </w:tcPr>
          <w:p w14:paraId="3C3F54E1" w14:textId="77777777" w:rsidR="00743FFB" w:rsidRPr="00994843" w:rsidRDefault="00743FFB" w:rsidP="001A02BF">
            <w:pPr>
              <w:spacing w:before="40" w:after="20"/>
              <w:jc w:val="center"/>
              <w:rPr>
                <w:rFonts w:ascii="Arial Narrow" w:hAnsi="Arial Narrow" w:cs="Arial"/>
                <w:bCs/>
                <w:sz w:val="18"/>
                <w:szCs w:val="18"/>
              </w:rPr>
            </w:pPr>
            <w:r w:rsidRPr="00994843">
              <w:rPr>
                <w:rFonts w:ascii="Arial Narrow" w:hAnsi="Arial Narrow" w:cs="Arial"/>
                <w:bCs/>
                <w:sz w:val="18"/>
                <w:szCs w:val="18"/>
              </w:rPr>
              <w:t>Importazioni</w:t>
            </w:r>
          </w:p>
        </w:tc>
        <w:tc>
          <w:tcPr>
            <w:tcW w:w="1456" w:type="dxa"/>
            <w:shd w:val="clear" w:color="auto" w:fill="D9D9D9"/>
            <w:vAlign w:val="center"/>
          </w:tcPr>
          <w:p w14:paraId="64A80085" w14:textId="77777777" w:rsidR="00743FFB" w:rsidRPr="00994843" w:rsidRDefault="00743FFB" w:rsidP="001A02BF">
            <w:pPr>
              <w:spacing w:before="40" w:after="20"/>
              <w:jc w:val="center"/>
              <w:rPr>
                <w:rFonts w:ascii="Arial Narrow" w:hAnsi="Arial Narrow" w:cs="Arial"/>
                <w:bCs/>
                <w:sz w:val="18"/>
                <w:szCs w:val="18"/>
              </w:rPr>
            </w:pPr>
            <w:r w:rsidRPr="00994843">
              <w:rPr>
                <w:rFonts w:ascii="Arial Narrow" w:hAnsi="Arial Narrow" w:cs="Arial"/>
                <w:bCs/>
                <w:sz w:val="18"/>
                <w:szCs w:val="18"/>
              </w:rPr>
              <w:t>Esportazioni</w:t>
            </w:r>
          </w:p>
        </w:tc>
        <w:tc>
          <w:tcPr>
            <w:tcW w:w="1456" w:type="dxa"/>
            <w:vAlign w:val="center"/>
          </w:tcPr>
          <w:p w14:paraId="1C28E4C8" w14:textId="77777777" w:rsidR="00743FFB" w:rsidRPr="00994843" w:rsidRDefault="00743FFB" w:rsidP="001A02BF">
            <w:pPr>
              <w:spacing w:before="40" w:after="20"/>
              <w:jc w:val="center"/>
              <w:rPr>
                <w:rFonts w:ascii="Arial Narrow" w:hAnsi="Arial Narrow" w:cs="Arial"/>
                <w:bCs/>
                <w:sz w:val="18"/>
                <w:szCs w:val="18"/>
              </w:rPr>
            </w:pPr>
            <w:r w:rsidRPr="00994843">
              <w:rPr>
                <w:rFonts w:ascii="Arial Narrow" w:hAnsi="Arial Narrow" w:cs="Arial"/>
                <w:bCs/>
                <w:sz w:val="18"/>
                <w:szCs w:val="18"/>
              </w:rPr>
              <w:t>Importazioni</w:t>
            </w:r>
          </w:p>
        </w:tc>
        <w:tc>
          <w:tcPr>
            <w:tcW w:w="1456" w:type="dxa"/>
            <w:shd w:val="clear" w:color="auto" w:fill="D9D9D9"/>
            <w:vAlign w:val="center"/>
          </w:tcPr>
          <w:p w14:paraId="67DD86CC" w14:textId="77777777" w:rsidR="00743FFB" w:rsidRPr="00994843" w:rsidRDefault="00743FFB" w:rsidP="001A02BF">
            <w:pPr>
              <w:spacing w:before="40" w:after="20"/>
              <w:jc w:val="center"/>
              <w:rPr>
                <w:rFonts w:ascii="Arial Narrow" w:hAnsi="Arial Narrow" w:cs="Arial"/>
                <w:bCs/>
                <w:sz w:val="18"/>
                <w:szCs w:val="18"/>
              </w:rPr>
            </w:pPr>
            <w:r w:rsidRPr="00994843">
              <w:rPr>
                <w:rFonts w:ascii="Arial Narrow" w:hAnsi="Arial Narrow" w:cs="Arial"/>
                <w:bCs/>
                <w:sz w:val="18"/>
                <w:szCs w:val="18"/>
              </w:rPr>
              <w:t>Esportazioni</w:t>
            </w:r>
          </w:p>
        </w:tc>
        <w:tc>
          <w:tcPr>
            <w:tcW w:w="1456" w:type="dxa"/>
            <w:vAlign w:val="center"/>
          </w:tcPr>
          <w:p w14:paraId="38893E84" w14:textId="77777777" w:rsidR="00743FFB" w:rsidRPr="00994843" w:rsidRDefault="00743FFB" w:rsidP="001A02BF">
            <w:pPr>
              <w:spacing w:before="40" w:after="20"/>
              <w:jc w:val="center"/>
              <w:rPr>
                <w:rFonts w:ascii="Arial Narrow" w:hAnsi="Arial Narrow" w:cs="Arial"/>
                <w:bCs/>
                <w:sz w:val="18"/>
                <w:szCs w:val="18"/>
              </w:rPr>
            </w:pPr>
            <w:r w:rsidRPr="00994843">
              <w:rPr>
                <w:rFonts w:ascii="Arial Narrow" w:hAnsi="Arial Narrow" w:cs="Arial"/>
                <w:bCs/>
                <w:sz w:val="18"/>
                <w:szCs w:val="18"/>
              </w:rPr>
              <w:t>Importazioni</w:t>
            </w:r>
          </w:p>
        </w:tc>
      </w:tr>
      <w:tr w:rsidR="00743FFB" w:rsidRPr="009509C8" w14:paraId="1DE2784C" w14:textId="77777777" w:rsidTr="001A02BF">
        <w:trPr>
          <w:trHeight w:val="255"/>
        </w:trPr>
        <w:tc>
          <w:tcPr>
            <w:tcW w:w="10194" w:type="dxa"/>
            <w:gridSpan w:val="7"/>
            <w:shd w:val="clear" w:color="auto" w:fill="FFFFFF"/>
            <w:vAlign w:val="bottom"/>
          </w:tcPr>
          <w:p w14:paraId="43292E4F" w14:textId="77777777" w:rsidR="00743FFB" w:rsidRPr="00994843" w:rsidRDefault="00743FFB" w:rsidP="001A02BF">
            <w:pPr>
              <w:spacing w:before="40" w:after="20"/>
              <w:jc w:val="center"/>
              <w:rPr>
                <w:rFonts w:ascii="Arial Narrow" w:hAnsi="Arial Narrow" w:cs="Arial Narrow"/>
                <w:b/>
                <w:sz w:val="18"/>
                <w:szCs w:val="18"/>
              </w:rPr>
            </w:pPr>
            <w:r w:rsidRPr="00994843">
              <w:rPr>
                <w:rFonts w:ascii="Arial Narrow" w:hAnsi="Arial Narrow" w:cs="Arial Narrow"/>
                <w:b/>
                <w:sz w:val="18"/>
                <w:szCs w:val="18"/>
              </w:rPr>
              <w:t>2021</w:t>
            </w:r>
          </w:p>
        </w:tc>
      </w:tr>
      <w:tr w:rsidR="00743FFB" w:rsidRPr="007F50F0" w14:paraId="29EC6F4D" w14:textId="77777777" w:rsidTr="001A02BF">
        <w:trPr>
          <w:trHeight w:val="255"/>
        </w:trPr>
        <w:tc>
          <w:tcPr>
            <w:tcW w:w="1458" w:type="dxa"/>
            <w:shd w:val="clear" w:color="auto" w:fill="D9D9D9"/>
            <w:vAlign w:val="center"/>
          </w:tcPr>
          <w:p w14:paraId="142DCF28" w14:textId="77777777" w:rsidR="00743FFB" w:rsidRPr="007F50F0" w:rsidRDefault="00743FFB" w:rsidP="001A02BF">
            <w:pPr>
              <w:spacing w:before="40" w:after="20"/>
              <w:jc w:val="center"/>
              <w:rPr>
                <w:rFonts w:ascii="Arial Narrow" w:hAnsi="Arial Narrow" w:cs="Arial"/>
                <w:bCs/>
                <w:sz w:val="18"/>
                <w:szCs w:val="18"/>
              </w:rPr>
            </w:pPr>
            <w:r w:rsidRPr="007F50F0">
              <w:rPr>
                <w:rFonts w:ascii="Arial Narrow" w:hAnsi="Arial Narrow" w:cs="Arial"/>
                <w:bCs/>
                <w:sz w:val="18"/>
                <w:szCs w:val="18"/>
              </w:rPr>
              <w:t>Gennaio</w:t>
            </w:r>
          </w:p>
        </w:tc>
        <w:tc>
          <w:tcPr>
            <w:tcW w:w="1456" w:type="dxa"/>
            <w:shd w:val="clear" w:color="auto" w:fill="D9D9D9"/>
            <w:vAlign w:val="bottom"/>
          </w:tcPr>
          <w:p w14:paraId="3C70F950"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+0,9</w:t>
            </w:r>
          </w:p>
        </w:tc>
        <w:tc>
          <w:tcPr>
            <w:tcW w:w="1456" w:type="dxa"/>
            <w:vAlign w:val="bottom"/>
          </w:tcPr>
          <w:p w14:paraId="55194C5A"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+1,0</w:t>
            </w:r>
          </w:p>
        </w:tc>
        <w:tc>
          <w:tcPr>
            <w:tcW w:w="1456" w:type="dxa"/>
            <w:shd w:val="clear" w:color="auto" w:fill="D9D9D9"/>
            <w:vAlign w:val="bottom"/>
          </w:tcPr>
          <w:p w14:paraId="4692EDD0"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+1,7</w:t>
            </w:r>
          </w:p>
        </w:tc>
        <w:tc>
          <w:tcPr>
            <w:tcW w:w="1456" w:type="dxa"/>
            <w:vAlign w:val="bottom"/>
          </w:tcPr>
          <w:p w14:paraId="0DBA2B98"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+1,1</w:t>
            </w:r>
          </w:p>
        </w:tc>
        <w:tc>
          <w:tcPr>
            <w:tcW w:w="1456" w:type="dxa"/>
            <w:shd w:val="clear" w:color="auto" w:fill="D9D9D9"/>
            <w:vAlign w:val="bottom"/>
          </w:tcPr>
          <w:p w14:paraId="3A271054"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-0,2</w:t>
            </w:r>
          </w:p>
        </w:tc>
        <w:tc>
          <w:tcPr>
            <w:tcW w:w="1456" w:type="dxa"/>
            <w:vAlign w:val="bottom"/>
          </w:tcPr>
          <w:p w14:paraId="07AA4381" w14:textId="42BAB1A7" w:rsidR="00743FFB" w:rsidRPr="00994843" w:rsidRDefault="00743FFB" w:rsidP="001A02BF">
            <w:pPr>
              <w:jc w:val="center"/>
              <w:rPr>
                <w:rFonts w:ascii="Arial Narrow" w:hAnsi="Arial Narrow"/>
                <w:sz w:val="18"/>
                <w:szCs w:val="18"/>
              </w:rPr>
            </w:pPr>
            <w:r w:rsidRPr="00994843">
              <w:rPr>
                <w:rFonts w:ascii="Arial Narrow" w:hAnsi="Arial Narrow"/>
                <w:sz w:val="18"/>
                <w:szCs w:val="18"/>
              </w:rPr>
              <w:t>+</w:t>
            </w:r>
            <w:r w:rsidR="001A02BF">
              <w:rPr>
                <w:rFonts w:ascii="Arial Narrow" w:hAnsi="Arial Narrow"/>
                <w:sz w:val="18"/>
                <w:szCs w:val="18"/>
              </w:rPr>
              <w:t>1,</w:t>
            </w:r>
            <w:r w:rsidRPr="00994843">
              <w:rPr>
                <w:rFonts w:ascii="Arial Narrow" w:hAnsi="Arial Narrow"/>
                <w:sz w:val="18"/>
                <w:szCs w:val="18"/>
              </w:rPr>
              <w:t>0</w:t>
            </w:r>
          </w:p>
        </w:tc>
      </w:tr>
      <w:tr w:rsidR="00743FFB" w:rsidRPr="007F50F0" w14:paraId="407ADAE4" w14:textId="77777777" w:rsidTr="001A02BF">
        <w:trPr>
          <w:trHeight w:val="255"/>
        </w:trPr>
        <w:tc>
          <w:tcPr>
            <w:tcW w:w="1458" w:type="dxa"/>
            <w:shd w:val="clear" w:color="auto" w:fill="D9D9D9"/>
            <w:vAlign w:val="center"/>
          </w:tcPr>
          <w:p w14:paraId="6E76A2BA" w14:textId="77777777" w:rsidR="00743FFB" w:rsidRPr="007F50F0" w:rsidRDefault="00743FFB" w:rsidP="001A02BF">
            <w:pPr>
              <w:spacing w:before="40" w:after="20"/>
              <w:jc w:val="center"/>
              <w:rPr>
                <w:rFonts w:ascii="Arial Narrow" w:hAnsi="Arial Narrow" w:cs="Arial"/>
                <w:bCs/>
                <w:sz w:val="18"/>
                <w:szCs w:val="18"/>
              </w:rPr>
            </w:pPr>
            <w:r w:rsidRPr="007F50F0">
              <w:rPr>
                <w:rFonts w:ascii="Arial Narrow" w:hAnsi="Arial Narrow" w:cs="Arial"/>
                <w:bCs/>
                <w:sz w:val="18"/>
                <w:szCs w:val="18"/>
              </w:rPr>
              <w:t>Febbraio</w:t>
            </w:r>
          </w:p>
        </w:tc>
        <w:tc>
          <w:tcPr>
            <w:tcW w:w="1456" w:type="dxa"/>
            <w:shd w:val="clear" w:color="auto" w:fill="D9D9D9"/>
            <w:vAlign w:val="bottom"/>
          </w:tcPr>
          <w:p w14:paraId="584DBDE4"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+1,2</w:t>
            </w:r>
          </w:p>
        </w:tc>
        <w:tc>
          <w:tcPr>
            <w:tcW w:w="1456" w:type="dxa"/>
            <w:vAlign w:val="bottom"/>
          </w:tcPr>
          <w:p w14:paraId="397ACBA4"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+1,2</w:t>
            </w:r>
          </w:p>
        </w:tc>
        <w:tc>
          <w:tcPr>
            <w:tcW w:w="1456" w:type="dxa"/>
            <w:shd w:val="clear" w:color="auto" w:fill="D9D9D9"/>
            <w:vAlign w:val="bottom"/>
          </w:tcPr>
          <w:p w14:paraId="36E31710"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+2,4</w:t>
            </w:r>
          </w:p>
        </w:tc>
        <w:tc>
          <w:tcPr>
            <w:tcW w:w="1456" w:type="dxa"/>
            <w:vAlign w:val="bottom"/>
          </w:tcPr>
          <w:p w14:paraId="40F89B67"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+1,7</w:t>
            </w:r>
          </w:p>
        </w:tc>
        <w:tc>
          <w:tcPr>
            <w:tcW w:w="1456" w:type="dxa"/>
            <w:shd w:val="clear" w:color="auto" w:fill="D9D9D9"/>
            <w:vAlign w:val="bottom"/>
          </w:tcPr>
          <w:p w14:paraId="1C6E890D"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-0,2</w:t>
            </w:r>
          </w:p>
        </w:tc>
        <w:tc>
          <w:tcPr>
            <w:tcW w:w="1456" w:type="dxa"/>
            <w:vAlign w:val="bottom"/>
          </w:tcPr>
          <w:p w14:paraId="578C67E7"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+0,8</w:t>
            </w:r>
          </w:p>
        </w:tc>
      </w:tr>
      <w:tr w:rsidR="00743FFB" w:rsidRPr="007F50F0" w14:paraId="06A286E7" w14:textId="77777777" w:rsidTr="001A02BF">
        <w:trPr>
          <w:trHeight w:val="255"/>
        </w:trPr>
        <w:tc>
          <w:tcPr>
            <w:tcW w:w="1458" w:type="dxa"/>
            <w:shd w:val="clear" w:color="auto" w:fill="D9D9D9"/>
            <w:vAlign w:val="center"/>
          </w:tcPr>
          <w:p w14:paraId="442C2BBA" w14:textId="77777777" w:rsidR="00743FFB" w:rsidRPr="007F50F0" w:rsidRDefault="00743FFB" w:rsidP="001A02BF">
            <w:pPr>
              <w:spacing w:before="40" w:after="20"/>
              <w:jc w:val="center"/>
              <w:rPr>
                <w:rFonts w:ascii="Arial Narrow" w:hAnsi="Arial Narrow" w:cs="Arial"/>
                <w:bCs/>
                <w:sz w:val="18"/>
                <w:szCs w:val="18"/>
              </w:rPr>
            </w:pPr>
            <w:r w:rsidRPr="007F50F0">
              <w:rPr>
                <w:rFonts w:ascii="Arial Narrow" w:hAnsi="Arial Narrow" w:cs="Arial"/>
                <w:bCs/>
                <w:sz w:val="18"/>
                <w:szCs w:val="18"/>
              </w:rPr>
              <w:t>Marzo</w:t>
            </w:r>
          </w:p>
        </w:tc>
        <w:tc>
          <w:tcPr>
            <w:tcW w:w="1456" w:type="dxa"/>
            <w:shd w:val="clear" w:color="auto" w:fill="D9D9D9"/>
            <w:vAlign w:val="bottom"/>
          </w:tcPr>
          <w:p w14:paraId="6D9662AC"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+0,9</w:t>
            </w:r>
          </w:p>
        </w:tc>
        <w:tc>
          <w:tcPr>
            <w:tcW w:w="1456" w:type="dxa"/>
            <w:vAlign w:val="bottom"/>
          </w:tcPr>
          <w:p w14:paraId="3D545419"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+2,2</w:t>
            </w:r>
          </w:p>
        </w:tc>
        <w:tc>
          <w:tcPr>
            <w:tcW w:w="1456" w:type="dxa"/>
            <w:shd w:val="clear" w:color="auto" w:fill="D9D9D9"/>
            <w:vAlign w:val="bottom"/>
          </w:tcPr>
          <w:p w14:paraId="672B2769"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+1,9</w:t>
            </w:r>
          </w:p>
        </w:tc>
        <w:tc>
          <w:tcPr>
            <w:tcW w:w="1456" w:type="dxa"/>
            <w:vAlign w:val="bottom"/>
          </w:tcPr>
          <w:p w14:paraId="7D93C94C"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+2,8</w:t>
            </w:r>
          </w:p>
        </w:tc>
        <w:tc>
          <w:tcPr>
            <w:tcW w:w="1456" w:type="dxa"/>
            <w:shd w:val="clear" w:color="auto" w:fill="D9D9D9"/>
            <w:vAlign w:val="bottom"/>
          </w:tcPr>
          <w:p w14:paraId="299E66DE"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-0,1</w:t>
            </w:r>
          </w:p>
        </w:tc>
        <w:tc>
          <w:tcPr>
            <w:tcW w:w="1456" w:type="dxa"/>
            <w:vAlign w:val="bottom"/>
          </w:tcPr>
          <w:p w14:paraId="3CDD08AC"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+1,3</w:t>
            </w:r>
          </w:p>
        </w:tc>
      </w:tr>
      <w:tr w:rsidR="00743FFB" w:rsidRPr="007F50F0" w14:paraId="4E84E45B" w14:textId="77777777" w:rsidTr="001A02BF">
        <w:trPr>
          <w:trHeight w:val="255"/>
        </w:trPr>
        <w:tc>
          <w:tcPr>
            <w:tcW w:w="1458" w:type="dxa"/>
            <w:shd w:val="clear" w:color="auto" w:fill="D9D9D9"/>
            <w:vAlign w:val="center"/>
          </w:tcPr>
          <w:p w14:paraId="241E0C49" w14:textId="77777777" w:rsidR="00743FFB" w:rsidRPr="007F50F0" w:rsidRDefault="00743FFB" w:rsidP="001A02BF">
            <w:pPr>
              <w:spacing w:before="40" w:after="20"/>
              <w:jc w:val="center"/>
              <w:rPr>
                <w:rFonts w:ascii="Arial Narrow" w:hAnsi="Arial Narrow" w:cs="Arial"/>
                <w:bCs/>
                <w:sz w:val="18"/>
                <w:szCs w:val="18"/>
              </w:rPr>
            </w:pPr>
            <w:r w:rsidRPr="007F50F0">
              <w:rPr>
                <w:rFonts w:ascii="Arial Narrow" w:hAnsi="Arial Narrow" w:cs="Arial"/>
                <w:bCs/>
                <w:sz w:val="18"/>
                <w:szCs w:val="18"/>
              </w:rPr>
              <w:t>Aprile</w:t>
            </w:r>
          </w:p>
        </w:tc>
        <w:tc>
          <w:tcPr>
            <w:tcW w:w="1456" w:type="dxa"/>
            <w:shd w:val="clear" w:color="auto" w:fill="D9D9D9"/>
            <w:vAlign w:val="bottom"/>
          </w:tcPr>
          <w:p w14:paraId="2FCA011F"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+1,5</w:t>
            </w:r>
          </w:p>
        </w:tc>
        <w:tc>
          <w:tcPr>
            <w:tcW w:w="1456" w:type="dxa"/>
            <w:vAlign w:val="bottom"/>
          </w:tcPr>
          <w:p w14:paraId="7399C95E"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+2,1</w:t>
            </w:r>
          </w:p>
        </w:tc>
        <w:tc>
          <w:tcPr>
            <w:tcW w:w="1456" w:type="dxa"/>
            <w:shd w:val="clear" w:color="auto" w:fill="D9D9D9"/>
            <w:vAlign w:val="bottom"/>
          </w:tcPr>
          <w:p w14:paraId="6DCF0372"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+2,9</w:t>
            </w:r>
          </w:p>
        </w:tc>
        <w:tc>
          <w:tcPr>
            <w:tcW w:w="1456" w:type="dxa"/>
            <w:vAlign w:val="bottom"/>
          </w:tcPr>
          <w:p w14:paraId="39C4269F"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+2,4</w:t>
            </w:r>
          </w:p>
        </w:tc>
        <w:tc>
          <w:tcPr>
            <w:tcW w:w="1456" w:type="dxa"/>
            <w:shd w:val="clear" w:color="auto" w:fill="D9D9D9"/>
            <w:vAlign w:val="bottom"/>
          </w:tcPr>
          <w:p w14:paraId="350A857E"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-0,1</w:t>
            </w:r>
          </w:p>
        </w:tc>
        <w:tc>
          <w:tcPr>
            <w:tcW w:w="1456" w:type="dxa"/>
            <w:vAlign w:val="bottom"/>
          </w:tcPr>
          <w:p w14:paraId="6FB0038B"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+1,6</w:t>
            </w:r>
          </w:p>
        </w:tc>
      </w:tr>
      <w:tr w:rsidR="00743FFB" w:rsidRPr="007F50F0" w14:paraId="0C3CBCBD" w14:textId="77777777" w:rsidTr="001A02BF">
        <w:trPr>
          <w:trHeight w:val="255"/>
        </w:trPr>
        <w:tc>
          <w:tcPr>
            <w:tcW w:w="1458" w:type="dxa"/>
            <w:shd w:val="clear" w:color="auto" w:fill="D9D9D9"/>
            <w:vAlign w:val="center"/>
          </w:tcPr>
          <w:p w14:paraId="5B395072" w14:textId="77777777" w:rsidR="00743FFB" w:rsidRPr="007F50F0" w:rsidRDefault="00743FFB" w:rsidP="001A02BF">
            <w:pPr>
              <w:spacing w:before="40" w:after="20"/>
              <w:jc w:val="center"/>
              <w:rPr>
                <w:rFonts w:ascii="Arial Narrow" w:hAnsi="Arial Narrow" w:cs="Arial"/>
                <w:bCs/>
                <w:sz w:val="18"/>
                <w:szCs w:val="18"/>
              </w:rPr>
            </w:pPr>
            <w:r w:rsidRPr="007F50F0">
              <w:rPr>
                <w:rFonts w:ascii="Arial Narrow" w:hAnsi="Arial Narrow" w:cs="Arial"/>
                <w:bCs/>
                <w:sz w:val="18"/>
                <w:szCs w:val="18"/>
              </w:rPr>
              <w:t>Maggio</w:t>
            </w:r>
          </w:p>
        </w:tc>
        <w:tc>
          <w:tcPr>
            <w:tcW w:w="1456" w:type="dxa"/>
            <w:shd w:val="clear" w:color="auto" w:fill="D9D9D9"/>
            <w:vAlign w:val="bottom"/>
          </w:tcPr>
          <w:p w14:paraId="40D01A01"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+1,2</w:t>
            </w:r>
          </w:p>
        </w:tc>
        <w:tc>
          <w:tcPr>
            <w:tcW w:w="1456" w:type="dxa"/>
            <w:vAlign w:val="bottom"/>
          </w:tcPr>
          <w:p w14:paraId="0A82641F"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+2,6</w:t>
            </w:r>
          </w:p>
        </w:tc>
        <w:tc>
          <w:tcPr>
            <w:tcW w:w="1456" w:type="dxa"/>
            <w:shd w:val="clear" w:color="auto" w:fill="D9D9D9"/>
            <w:vAlign w:val="bottom"/>
          </w:tcPr>
          <w:p w14:paraId="47479EE0"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+2,4</w:t>
            </w:r>
          </w:p>
        </w:tc>
        <w:tc>
          <w:tcPr>
            <w:tcW w:w="1456" w:type="dxa"/>
            <w:vAlign w:val="bottom"/>
          </w:tcPr>
          <w:p w14:paraId="21A6D842"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+2,4</w:t>
            </w:r>
          </w:p>
        </w:tc>
        <w:tc>
          <w:tcPr>
            <w:tcW w:w="1456" w:type="dxa"/>
            <w:shd w:val="clear" w:color="auto" w:fill="D9D9D9"/>
            <w:vAlign w:val="bottom"/>
          </w:tcPr>
          <w:p w14:paraId="18C33080"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-0,2</w:t>
            </w:r>
          </w:p>
        </w:tc>
        <w:tc>
          <w:tcPr>
            <w:tcW w:w="1456" w:type="dxa"/>
            <w:vAlign w:val="bottom"/>
          </w:tcPr>
          <w:p w14:paraId="13284DC8"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+2,8</w:t>
            </w:r>
          </w:p>
        </w:tc>
      </w:tr>
      <w:tr w:rsidR="00743FFB" w:rsidRPr="007F50F0" w14:paraId="4CA41133" w14:textId="77777777" w:rsidTr="001A02BF">
        <w:trPr>
          <w:trHeight w:val="255"/>
        </w:trPr>
        <w:tc>
          <w:tcPr>
            <w:tcW w:w="1458" w:type="dxa"/>
            <w:shd w:val="clear" w:color="auto" w:fill="D9D9D9"/>
            <w:vAlign w:val="center"/>
          </w:tcPr>
          <w:p w14:paraId="1121524A" w14:textId="77777777" w:rsidR="00743FFB" w:rsidRPr="007F50F0" w:rsidRDefault="00743FFB" w:rsidP="001A02BF">
            <w:pPr>
              <w:spacing w:before="40" w:after="20"/>
              <w:jc w:val="center"/>
              <w:rPr>
                <w:rFonts w:ascii="Arial Narrow" w:hAnsi="Arial Narrow" w:cs="Arial"/>
                <w:bCs/>
                <w:sz w:val="18"/>
                <w:szCs w:val="18"/>
              </w:rPr>
            </w:pPr>
            <w:r w:rsidRPr="007F50F0">
              <w:rPr>
                <w:rFonts w:ascii="Arial Narrow" w:hAnsi="Arial Narrow" w:cs="Arial"/>
                <w:bCs/>
                <w:sz w:val="18"/>
                <w:szCs w:val="18"/>
              </w:rPr>
              <w:t>Giugno</w:t>
            </w:r>
          </w:p>
        </w:tc>
        <w:tc>
          <w:tcPr>
            <w:tcW w:w="1456" w:type="dxa"/>
            <w:shd w:val="clear" w:color="auto" w:fill="D9D9D9"/>
            <w:vAlign w:val="bottom"/>
          </w:tcPr>
          <w:p w14:paraId="465E9A21"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+1,6</w:t>
            </w:r>
          </w:p>
        </w:tc>
        <w:tc>
          <w:tcPr>
            <w:tcW w:w="1456" w:type="dxa"/>
            <w:vAlign w:val="bottom"/>
          </w:tcPr>
          <w:p w14:paraId="364BB523"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+3,4</w:t>
            </w:r>
          </w:p>
        </w:tc>
        <w:tc>
          <w:tcPr>
            <w:tcW w:w="1456" w:type="dxa"/>
            <w:shd w:val="clear" w:color="auto" w:fill="D9D9D9"/>
            <w:vAlign w:val="bottom"/>
          </w:tcPr>
          <w:p w14:paraId="1170CEB1"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+3,1</w:t>
            </w:r>
          </w:p>
        </w:tc>
        <w:tc>
          <w:tcPr>
            <w:tcW w:w="1456" w:type="dxa"/>
            <w:vAlign w:val="bottom"/>
          </w:tcPr>
          <w:p w14:paraId="2FB62103"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+4,1</w:t>
            </w:r>
          </w:p>
        </w:tc>
        <w:tc>
          <w:tcPr>
            <w:tcW w:w="1456" w:type="dxa"/>
            <w:shd w:val="clear" w:color="auto" w:fill="D9D9D9"/>
            <w:vAlign w:val="bottom"/>
          </w:tcPr>
          <w:p w14:paraId="791D3937"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 xml:space="preserve"> 0,0</w:t>
            </w:r>
          </w:p>
        </w:tc>
        <w:tc>
          <w:tcPr>
            <w:tcW w:w="1456" w:type="dxa"/>
            <w:vAlign w:val="bottom"/>
          </w:tcPr>
          <w:p w14:paraId="7128FDF8"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+2,5</w:t>
            </w:r>
          </w:p>
        </w:tc>
      </w:tr>
      <w:tr w:rsidR="00743FFB" w:rsidRPr="007F50F0" w14:paraId="2276692D" w14:textId="77777777" w:rsidTr="001A02BF">
        <w:trPr>
          <w:trHeight w:val="255"/>
        </w:trPr>
        <w:tc>
          <w:tcPr>
            <w:tcW w:w="1458" w:type="dxa"/>
            <w:shd w:val="clear" w:color="auto" w:fill="D9D9D9"/>
            <w:vAlign w:val="center"/>
          </w:tcPr>
          <w:p w14:paraId="4D349FFA" w14:textId="77777777" w:rsidR="00743FFB" w:rsidRPr="007F50F0" w:rsidRDefault="00743FFB" w:rsidP="001A02BF">
            <w:pPr>
              <w:spacing w:before="40" w:after="20"/>
              <w:jc w:val="center"/>
              <w:rPr>
                <w:rFonts w:ascii="Arial Narrow" w:hAnsi="Arial Narrow" w:cs="Arial"/>
                <w:bCs/>
                <w:sz w:val="18"/>
                <w:szCs w:val="18"/>
              </w:rPr>
            </w:pPr>
            <w:r w:rsidRPr="007F50F0">
              <w:rPr>
                <w:rFonts w:ascii="Arial Narrow" w:hAnsi="Arial Narrow" w:cs="Arial"/>
                <w:bCs/>
                <w:sz w:val="18"/>
                <w:szCs w:val="18"/>
              </w:rPr>
              <w:t>Luglio</w:t>
            </w:r>
          </w:p>
        </w:tc>
        <w:tc>
          <w:tcPr>
            <w:tcW w:w="1456" w:type="dxa"/>
            <w:shd w:val="clear" w:color="auto" w:fill="D9D9D9"/>
            <w:vAlign w:val="bottom"/>
          </w:tcPr>
          <w:p w14:paraId="76EA1A7A"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+1,5</w:t>
            </w:r>
          </w:p>
        </w:tc>
        <w:tc>
          <w:tcPr>
            <w:tcW w:w="1456" w:type="dxa"/>
            <w:vAlign w:val="bottom"/>
          </w:tcPr>
          <w:p w14:paraId="0E06A04D"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+3,1</w:t>
            </w:r>
          </w:p>
        </w:tc>
        <w:tc>
          <w:tcPr>
            <w:tcW w:w="1456" w:type="dxa"/>
            <w:shd w:val="clear" w:color="auto" w:fill="D9D9D9"/>
            <w:vAlign w:val="bottom"/>
          </w:tcPr>
          <w:p w14:paraId="2F4065B1"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+3,0</w:t>
            </w:r>
          </w:p>
        </w:tc>
        <w:tc>
          <w:tcPr>
            <w:tcW w:w="1456" w:type="dxa"/>
            <w:vAlign w:val="bottom"/>
          </w:tcPr>
          <w:p w14:paraId="548A0839"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+3,2</w:t>
            </w:r>
          </w:p>
        </w:tc>
        <w:tc>
          <w:tcPr>
            <w:tcW w:w="1456" w:type="dxa"/>
            <w:shd w:val="clear" w:color="auto" w:fill="D9D9D9"/>
            <w:vAlign w:val="bottom"/>
          </w:tcPr>
          <w:p w14:paraId="4E6A5324"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-0,1</w:t>
            </w:r>
          </w:p>
        </w:tc>
        <w:tc>
          <w:tcPr>
            <w:tcW w:w="1456" w:type="dxa"/>
            <w:vAlign w:val="bottom"/>
          </w:tcPr>
          <w:p w14:paraId="60045D26"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+2,9</w:t>
            </w:r>
          </w:p>
        </w:tc>
      </w:tr>
      <w:tr w:rsidR="00743FFB" w:rsidRPr="007F50F0" w14:paraId="70F87D00" w14:textId="77777777" w:rsidTr="001A02BF">
        <w:trPr>
          <w:trHeight w:val="255"/>
        </w:trPr>
        <w:tc>
          <w:tcPr>
            <w:tcW w:w="1458" w:type="dxa"/>
            <w:shd w:val="clear" w:color="auto" w:fill="D9D9D9"/>
            <w:vAlign w:val="center"/>
          </w:tcPr>
          <w:p w14:paraId="33ADAC2E" w14:textId="77777777" w:rsidR="00743FFB" w:rsidRPr="007F50F0" w:rsidRDefault="00743FFB" w:rsidP="001A02BF">
            <w:pPr>
              <w:spacing w:before="40" w:after="20"/>
              <w:jc w:val="center"/>
              <w:rPr>
                <w:rFonts w:ascii="Arial Narrow" w:hAnsi="Arial Narrow" w:cs="Arial"/>
                <w:bCs/>
                <w:sz w:val="18"/>
                <w:szCs w:val="18"/>
              </w:rPr>
            </w:pPr>
            <w:r w:rsidRPr="007F50F0">
              <w:rPr>
                <w:rFonts w:ascii="Arial Narrow" w:hAnsi="Arial Narrow" w:cs="Arial"/>
                <w:bCs/>
                <w:sz w:val="18"/>
                <w:szCs w:val="18"/>
              </w:rPr>
              <w:t>Agosto</w:t>
            </w:r>
          </w:p>
        </w:tc>
        <w:tc>
          <w:tcPr>
            <w:tcW w:w="1456" w:type="dxa"/>
            <w:shd w:val="clear" w:color="auto" w:fill="D9D9D9"/>
            <w:vAlign w:val="bottom"/>
          </w:tcPr>
          <w:p w14:paraId="28B32978"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+0,9</w:t>
            </w:r>
          </w:p>
        </w:tc>
        <w:tc>
          <w:tcPr>
            <w:tcW w:w="1456" w:type="dxa"/>
            <w:vAlign w:val="bottom"/>
          </w:tcPr>
          <w:p w14:paraId="7C4AA261"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+3,9</w:t>
            </w:r>
          </w:p>
        </w:tc>
        <w:tc>
          <w:tcPr>
            <w:tcW w:w="1456" w:type="dxa"/>
            <w:shd w:val="clear" w:color="auto" w:fill="D9D9D9"/>
            <w:vAlign w:val="bottom"/>
          </w:tcPr>
          <w:p w14:paraId="56444F82"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+2,0</w:t>
            </w:r>
          </w:p>
        </w:tc>
        <w:tc>
          <w:tcPr>
            <w:tcW w:w="1456" w:type="dxa"/>
            <w:vAlign w:val="bottom"/>
          </w:tcPr>
          <w:p w14:paraId="15AB1A33"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+2,8</w:t>
            </w:r>
          </w:p>
        </w:tc>
        <w:tc>
          <w:tcPr>
            <w:tcW w:w="1456" w:type="dxa"/>
            <w:shd w:val="clear" w:color="auto" w:fill="D9D9D9"/>
            <w:vAlign w:val="bottom"/>
          </w:tcPr>
          <w:p w14:paraId="6018E68D"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-0,1</w:t>
            </w:r>
          </w:p>
        </w:tc>
        <w:tc>
          <w:tcPr>
            <w:tcW w:w="1456" w:type="dxa"/>
            <w:vAlign w:val="bottom"/>
          </w:tcPr>
          <w:p w14:paraId="365188C3"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+5,3</w:t>
            </w:r>
          </w:p>
        </w:tc>
      </w:tr>
      <w:tr w:rsidR="00743FFB" w:rsidRPr="007F50F0" w14:paraId="48A54FBE" w14:textId="77777777" w:rsidTr="001A02BF">
        <w:trPr>
          <w:trHeight w:val="255"/>
        </w:trPr>
        <w:tc>
          <w:tcPr>
            <w:tcW w:w="1458" w:type="dxa"/>
            <w:shd w:val="clear" w:color="auto" w:fill="D9D9D9"/>
            <w:vAlign w:val="center"/>
          </w:tcPr>
          <w:p w14:paraId="07E052E1" w14:textId="77777777" w:rsidR="00743FFB" w:rsidRPr="007F50F0" w:rsidRDefault="00743FFB" w:rsidP="001A02BF">
            <w:pPr>
              <w:spacing w:before="40" w:after="20"/>
              <w:jc w:val="center"/>
              <w:rPr>
                <w:rFonts w:ascii="Arial Narrow" w:hAnsi="Arial Narrow" w:cs="Arial"/>
                <w:bCs/>
                <w:sz w:val="18"/>
                <w:szCs w:val="18"/>
              </w:rPr>
            </w:pPr>
            <w:r w:rsidRPr="007F50F0">
              <w:rPr>
                <w:rFonts w:ascii="Arial Narrow" w:hAnsi="Arial Narrow" w:cs="Arial"/>
                <w:bCs/>
                <w:sz w:val="18"/>
                <w:szCs w:val="18"/>
              </w:rPr>
              <w:t>Settembre</w:t>
            </w:r>
          </w:p>
        </w:tc>
        <w:tc>
          <w:tcPr>
            <w:tcW w:w="1456" w:type="dxa"/>
            <w:shd w:val="clear" w:color="auto" w:fill="D9D9D9"/>
            <w:vAlign w:val="bottom"/>
          </w:tcPr>
          <w:p w14:paraId="43D8282D"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+0,9</w:t>
            </w:r>
          </w:p>
        </w:tc>
        <w:tc>
          <w:tcPr>
            <w:tcW w:w="1456" w:type="dxa"/>
            <w:vAlign w:val="bottom"/>
          </w:tcPr>
          <w:p w14:paraId="568A2727"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+2,0</w:t>
            </w:r>
          </w:p>
        </w:tc>
        <w:tc>
          <w:tcPr>
            <w:tcW w:w="1456" w:type="dxa"/>
            <w:shd w:val="clear" w:color="auto" w:fill="D9D9D9"/>
            <w:vAlign w:val="bottom"/>
          </w:tcPr>
          <w:p w14:paraId="0D0CF716"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+1,7</w:t>
            </w:r>
          </w:p>
        </w:tc>
        <w:tc>
          <w:tcPr>
            <w:tcW w:w="1456" w:type="dxa"/>
            <w:vAlign w:val="bottom"/>
          </w:tcPr>
          <w:p w14:paraId="456FBA65"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+1,6</w:t>
            </w:r>
          </w:p>
        </w:tc>
        <w:tc>
          <w:tcPr>
            <w:tcW w:w="1456" w:type="dxa"/>
            <w:shd w:val="clear" w:color="auto" w:fill="D9D9D9"/>
            <w:vAlign w:val="bottom"/>
          </w:tcPr>
          <w:p w14:paraId="6A4E7F65"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-0,2</w:t>
            </w:r>
          </w:p>
        </w:tc>
        <w:tc>
          <w:tcPr>
            <w:tcW w:w="1456" w:type="dxa"/>
            <w:vAlign w:val="bottom"/>
          </w:tcPr>
          <w:p w14:paraId="607A2333"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+2,9</w:t>
            </w:r>
          </w:p>
        </w:tc>
      </w:tr>
      <w:tr w:rsidR="00743FFB" w:rsidRPr="007F50F0" w14:paraId="72629D60" w14:textId="77777777" w:rsidTr="001A02BF">
        <w:trPr>
          <w:trHeight w:val="255"/>
        </w:trPr>
        <w:tc>
          <w:tcPr>
            <w:tcW w:w="1458" w:type="dxa"/>
            <w:shd w:val="clear" w:color="auto" w:fill="D9D9D9"/>
            <w:vAlign w:val="center"/>
          </w:tcPr>
          <w:p w14:paraId="08F0FB4D" w14:textId="77777777" w:rsidR="00743FFB" w:rsidRPr="007F50F0" w:rsidRDefault="00743FFB" w:rsidP="001A02BF">
            <w:pPr>
              <w:spacing w:before="40" w:after="20"/>
              <w:jc w:val="center"/>
              <w:rPr>
                <w:rFonts w:ascii="Arial Narrow" w:hAnsi="Arial Narrow" w:cs="Arial"/>
                <w:bCs/>
                <w:sz w:val="18"/>
                <w:szCs w:val="18"/>
              </w:rPr>
            </w:pPr>
            <w:r w:rsidRPr="007F50F0">
              <w:rPr>
                <w:rFonts w:ascii="Arial Narrow" w:hAnsi="Arial Narrow" w:cs="Arial"/>
                <w:bCs/>
                <w:sz w:val="18"/>
                <w:szCs w:val="18"/>
              </w:rPr>
              <w:t>Ottobre</w:t>
            </w:r>
          </w:p>
        </w:tc>
        <w:tc>
          <w:tcPr>
            <w:tcW w:w="1456" w:type="dxa"/>
            <w:shd w:val="clear" w:color="auto" w:fill="D9D9D9"/>
            <w:vAlign w:val="bottom"/>
          </w:tcPr>
          <w:p w14:paraId="1FE57332"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+0,7</w:t>
            </w:r>
          </w:p>
        </w:tc>
        <w:tc>
          <w:tcPr>
            <w:tcW w:w="1456" w:type="dxa"/>
            <w:vAlign w:val="bottom"/>
          </w:tcPr>
          <w:p w14:paraId="4080FDCF"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+2,8</w:t>
            </w:r>
          </w:p>
        </w:tc>
        <w:tc>
          <w:tcPr>
            <w:tcW w:w="1456" w:type="dxa"/>
            <w:shd w:val="clear" w:color="auto" w:fill="D9D9D9"/>
            <w:vAlign w:val="bottom"/>
          </w:tcPr>
          <w:p w14:paraId="2F95D454"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+1,6</w:t>
            </w:r>
          </w:p>
        </w:tc>
        <w:tc>
          <w:tcPr>
            <w:tcW w:w="1456" w:type="dxa"/>
            <w:vAlign w:val="bottom"/>
          </w:tcPr>
          <w:p w14:paraId="21FF6419"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+1,8</w:t>
            </w:r>
          </w:p>
        </w:tc>
        <w:tc>
          <w:tcPr>
            <w:tcW w:w="1456" w:type="dxa"/>
            <w:shd w:val="clear" w:color="auto" w:fill="D9D9D9"/>
            <w:vAlign w:val="bottom"/>
          </w:tcPr>
          <w:p w14:paraId="5DAFD4CB"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 xml:space="preserve"> 0,0</w:t>
            </w:r>
          </w:p>
        </w:tc>
        <w:tc>
          <w:tcPr>
            <w:tcW w:w="1456" w:type="dxa"/>
            <w:vAlign w:val="bottom"/>
          </w:tcPr>
          <w:p w14:paraId="3D83550D"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+4,4</w:t>
            </w:r>
          </w:p>
        </w:tc>
      </w:tr>
      <w:tr w:rsidR="00743FFB" w:rsidRPr="007F50F0" w14:paraId="4F6307F7" w14:textId="77777777" w:rsidTr="001A02BF">
        <w:trPr>
          <w:trHeight w:val="255"/>
        </w:trPr>
        <w:tc>
          <w:tcPr>
            <w:tcW w:w="1458" w:type="dxa"/>
            <w:shd w:val="clear" w:color="auto" w:fill="D9D9D9"/>
            <w:vAlign w:val="center"/>
          </w:tcPr>
          <w:p w14:paraId="4C3C5AEB" w14:textId="77777777" w:rsidR="00743FFB" w:rsidRPr="007F50F0" w:rsidRDefault="00743FFB" w:rsidP="001A02BF">
            <w:pPr>
              <w:spacing w:before="40" w:after="20"/>
              <w:jc w:val="center"/>
              <w:rPr>
                <w:rFonts w:ascii="Arial Narrow" w:hAnsi="Arial Narrow" w:cs="Arial"/>
                <w:bCs/>
                <w:sz w:val="18"/>
                <w:szCs w:val="18"/>
              </w:rPr>
            </w:pPr>
            <w:r w:rsidRPr="007F50F0">
              <w:rPr>
                <w:rFonts w:ascii="Arial Narrow" w:hAnsi="Arial Narrow" w:cs="Arial"/>
                <w:bCs/>
                <w:sz w:val="18"/>
                <w:szCs w:val="18"/>
              </w:rPr>
              <w:t>Novembre</w:t>
            </w:r>
          </w:p>
        </w:tc>
        <w:tc>
          <w:tcPr>
            <w:tcW w:w="1456" w:type="dxa"/>
            <w:shd w:val="clear" w:color="auto" w:fill="D9D9D9"/>
            <w:vAlign w:val="bottom"/>
          </w:tcPr>
          <w:p w14:paraId="4278CAB4"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+0,7</w:t>
            </w:r>
          </w:p>
        </w:tc>
        <w:tc>
          <w:tcPr>
            <w:tcW w:w="1456" w:type="dxa"/>
            <w:vAlign w:val="bottom"/>
          </w:tcPr>
          <w:p w14:paraId="2F05335C"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+2,1</w:t>
            </w:r>
          </w:p>
        </w:tc>
        <w:tc>
          <w:tcPr>
            <w:tcW w:w="1456" w:type="dxa"/>
            <w:shd w:val="clear" w:color="auto" w:fill="D9D9D9"/>
            <w:vAlign w:val="bottom"/>
          </w:tcPr>
          <w:p w14:paraId="75900D56"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+1,5</w:t>
            </w:r>
          </w:p>
        </w:tc>
        <w:tc>
          <w:tcPr>
            <w:tcW w:w="1456" w:type="dxa"/>
            <w:vAlign w:val="bottom"/>
          </w:tcPr>
          <w:p w14:paraId="325C8FEF"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+2,0</w:t>
            </w:r>
          </w:p>
        </w:tc>
        <w:tc>
          <w:tcPr>
            <w:tcW w:w="1456" w:type="dxa"/>
            <w:shd w:val="clear" w:color="auto" w:fill="D9D9D9"/>
            <w:vAlign w:val="bottom"/>
          </w:tcPr>
          <w:p w14:paraId="240A88AF"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-0,2</w:t>
            </w:r>
          </w:p>
        </w:tc>
        <w:tc>
          <w:tcPr>
            <w:tcW w:w="1456" w:type="dxa"/>
            <w:vAlign w:val="bottom"/>
          </w:tcPr>
          <w:p w14:paraId="432A78A4"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+2,1</w:t>
            </w:r>
          </w:p>
        </w:tc>
      </w:tr>
      <w:tr w:rsidR="00743FFB" w:rsidRPr="007F50F0" w14:paraId="7B6CF9D7" w14:textId="77777777" w:rsidTr="001A02BF">
        <w:trPr>
          <w:trHeight w:val="255"/>
        </w:trPr>
        <w:tc>
          <w:tcPr>
            <w:tcW w:w="1458" w:type="dxa"/>
            <w:shd w:val="clear" w:color="auto" w:fill="D9D9D9"/>
            <w:vAlign w:val="center"/>
          </w:tcPr>
          <w:p w14:paraId="25356726" w14:textId="77777777" w:rsidR="00743FFB" w:rsidRPr="007F50F0" w:rsidRDefault="00743FFB" w:rsidP="001A02BF">
            <w:pPr>
              <w:spacing w:before="40" w:after="20"/>
              <w:jc w:val="center"/>
              <w:rPr>
                <w:rFonts w:ascii="Arial Narrow" w:hAnsi="Arial Narrow" w:cs="Arial"/>
                <w:bCs/>
                <w:sz w:val="18"/>
                <w:szCs w:val="18"/>
              </w:rPr>
            </w:pPr>
            <w:r w:rsidRPr="007F50F0">
              <w:rPr>
                <w:rFonts w:ascii="Arial Narrow" w:hAnsi="Arial Narrow" w:cs="Arial"/>
                <w:bCs/>
                <w:sz w:val="18"/>
                <w:szCs w:val="18"/>
              </w:rPr>
              <w:t>Dicembre</w:t>
            </w:r>
          </w:p>
        </w:tc>
        <w:tc>
          <w:tcPr>
            <w:tcW w:w="1456" w:type="dxa"/>
            <w:shd w:val="clear" w:color="auto" w:fill="D9D9D9"/>
            <w:vAlign w:val="bottom"/>
          </w:tcPr>
          <w:p w14:paraId="0CC2DD2C"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+0,7</w:t>
            </w:r>
          </w:p>
        </w:tc>
        <w:tc>
          <w:tcPr>
            <w:tcW w:w="1456" w:type="dxa"/>
            <w:vAlign w:val="bottom"/>
          </w:tcPr>
          <w:p w14:paraId="2AAB9596"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+1,0</w:t>
            </w:r>
          </w:p>
        </w:tc>
        <w:tc>
          <w:tcPr>
            <w:tcW w:w="1456" w:type="dxa"/>
            <w:shd w:val="clear" w:color="auto" w:fill="D9D9D9"/>
            <w:vAlign w:val="bottom"/>
          </w:tcPr>
          <w:p w14:paraId="1396629A"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+1,7</w:t>
            </w:r>
          </w:p>
        </w:tc>
        <w:tc>
          <w:tcPr>
            <w:tcW w:w="1456" w:type="dxa"/>
            <w:vAlign w:val="bottom"/>
          </w:tcPr>
          <w:p w14:paraId="0B516FE3"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+0,8</w:t>
            </w:r>
          </w:p>
        </w:tc>
        <w:tc>
          <w:tcPr>
            <w:tcW w:w="1456" w:type="dxa"/>
            <w:shd w:val="clear" w:color="auto" w:fill="D9D9D9"/>
            <w:vAlign w:val="bottom"/>
          </w:tcPr>
          <w:p w14:paraId="4E3E04F2"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-0,2</w:t>
            </w:r>
          </w:p>
        </w:tc>
        <w:tc>
          <w:tcPr>
            <w:tcW w:w="1456" w:type="dxa"/>
            <w:vAlign w:val="bottom"/>
          </w:tcPr>
          <w:p w14:paraId="3C509B92"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+1,4</w:t>
            </w:r>
          </w:p>
        </w:tc>
      </w:tr>
      <w:tr w:rsidR="00743FFB" w:rsidRPr="002B76A5" w14:paraId="53BEE6EE" w14:textId="77777777" w:rsidTr="001A02BF">
        <w:trPr>
          <w:trHeight w:val="255"/>
        </w:trPr>
        <w:tc>
          <w:tcPr>
            <w:tcW w:w="10194" w:type="dxa"/>
            <w:gridSpan w:val="7"/>
            <w:shd w:val="clear" w:color="auto" w:fill="FFFFFF" w:themeFill="background1"/>
            <w:vAlign w:val="center"/>
          </w:tcPr>
          <w:p w14:paraId="1EB9AA17" w14:textId="77777777" w:rsidR="00743FFB" w:rsidRPr="00994843" w:rsidRDefault="00743FFB" w:rsidP="001A02BF">
            <w:pPr>
              <w:spacing w:before="40" w:after="20"/>
              <w:jc w:val="center"/>
              <w:rPr>
                <w:rFonts w:ascii="Arial Narrow" w:hAnsi="Arial Narrow" w:cs="Arial Narrow"/>
                <w:b/>
                <w:sz w:val="18"/>
                <w:szCs w:val="18"/>
              </w:rPr>
            </w:pPr>
            <w:r w:rsidRPr="00994843">
              <w:rPr>
                <w:rFonts w:ascii="Arial Narrow" w:hAnsi="Arial Narrow" w:cs="Arial Narrow"/>
                <w:b/>
                <w:sz w:val="18"/>
                <w:szCs w:val="18"/>
              </w:rPr>
              <w:t>2022</w:t>
            </w:r>
          </w:p>
        </w:tc>
      </w:tr>
      <w:tr w:rsidR="00743FFB" w:rsidRPr="002B76A5" w14:paraId="6C6883CE" w14:textId="77777777" w:rsidTr="001A02BF">
        <w:trPr>
          <w:trHeight w:val="255"/>
        </w:trPr>
        <w:tc>
          <w:tcPr>
            <w:tcW w:w="1458" w:type="dxa"/>
            <w:shd w:val="clear" w:color="auto" w:fill="D9D9D9"/>
            <w:vAlign w:val="center"/>
          </w:tcPr>
          <w:p w14:paraId="5DAE299A" w14:textId="77777777" w:rsidR="00743FFB" w:rsidRPr="007F50F0" w:rsidRDefault="00743FFB" w:rsidP="001A02BF">
            <w:pPr>
              <w:spacing w:before="40" w:after="20"/>
              <w:jc w:val="center"/>
              <w:rPr>
                <w:rFonts w:ascii="Arial Narrow" w:hAnsi="Arial Narrow" w:cs="Arial"/>
                <w:bCs/>
                <w:sz w:val="18"/>
                <w:szCs w:val="18"/>
              </w:rPr>
            </w:pPr>
            <w:r w:rsidRPr="007F50F0">
              <w:rPr>
                <w:rFonts w:ascii="Arial Narrow" w:hAnsi="Arial Narrow" w:cs="Arial"/>
                <w:bCs/>
                <w:sz w:val="18"/>
                <w:szCs w:val="18"/>
              </w:rPr>
              <w:t>Gennaio</w:t>
            </w:r>
          </w:p>
        </w:tc>
        <w:tc>
          <w:tcPr>
            <w:tcW w:w="1456" w:type="dxa"/>
            <w:shd w:val="clear" w:color="auto" w:fill="D9D9D9"/>
            <w:vAlign w:val="bottom"/>
          </w:tcPr>
          <w:p w14:paraId="7D7EDD6C"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-1,2</w:t>
            </w:r>
          </w:p>
        </w:tc>
        <w:tc>
          <w:tcPr>
            <w:tcW w:w="1456" w:type="dxa"/>
            <w:vAlign w:val="bottom"/>
          </w:tcPr>
          <w:p w14:paraId="07016855"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+2,6</w:t>
            </w:r>
          </w:p>
        </w:tc>
        <w:tc>
          <w:tcPr>
            <w:tcW w:w="1456" w:type="dxa"/>
            <w:shd w:val="clear" w:color="auto" w:fill="D9D9D9"/>
            <w:vAlign w:val="bottom"/>
          </w:tcPr>
          <w:p w14:paraId="5C0C2E2A"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-2,3</w:t>
            </w:r>
          </w:p>
        </w:tc>
        <w:tc>
          <w:tcPr>
            <w:tcW w:w="1456" w:type="dxa"/>
            <w:vAlign w:val="bottom"/>
          </w:tcPr>
          <w:p w14:paraId="5A53DE51"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-0,1</w:t>
            </w:r>
          </w:p>
        </w:tc>
        <w:tc>
          <w:tcPr>
            <w:tcW w:w="1456" w:type="dxa"/>
            <w:shd w:val="clear" w:color="auto" w:fill="D9D9D9"/>
            <w:vAlign w:val="bottom"/>
          </w:tcPr>
          <w:p w14:paraId="5E84BA31"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+0,2</w:t>
            </w:r>
          </w:p>
        </w:tc>
        <w:tc>
          <w:tcPr>
            <w:tcW w:w="1456" w:type="dxa"/>
            <w:vAlign w:val="bottom"/>
          </w:tcPr>
          <w:p w14:paraId="24E7D1CE"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+6,3</w:t>
            </w:r>
          </w:p>
        </w:tc>
      </w:tr>
      <w:tr w:rsidR="00743FFB" w:rsidRPr="002B76A5" w14:paraId="62AF40BD" w14:textId="77777777" w:rsidTr="001A02BF">
        <w:trPr>
          <w:trHeight w:val="255"/>
        </w:trPr>
        <w:tc>
          <w:tcPr>
            <w:tcW w:w="1458" w:type="dxa"/>
            <w:shd w:val="clear" w:color="auto" w:fill="D9D9D9"/>
            <w:vAlign w:val="center"/>
          </w:tcPr>
          <w:p w14:paraId="009569FB" w14:textId="77777777" w:rsidR="00743FFB" w:rsidRPr="007F50F0" w:rsidRDefault="00743FFB" w:rsidP="001A02BF">
            <w:pPr>
              <w:spacing w:before="40" w:after="20"/>
              <w:jc w:val="center"/>
              <w:rPr>
                <w:rFonts w:ascii="Arial Narrow" w:hAnsi="Arial Narrow" w:cs="Arial"/>
                <w:bCs/>
                <w:sz w:val="18"/>
                <w:szCs w:val="18"/>
              </w:rPr>
            </w:pPr>
            <w:r w:rsidRPr="007F50F0">
              <w:rPr>
                <w:rFonts w:ascii="Arial Narrow" w:hAnsi="Arial Narrow" w:cs="Arial"/>
                <w:bCs/>
                <w:sz w:val="18"/>
                <w:szCs w:val="18"/>
              </w:rPr>
              <w:t>Febbraio</w:t>
            </w:r>
          </w:p>
        </w:tc>
        <w:tc>
          <w:tcPr>
            <w:tcW w:w="1456" w:type="dxa"/>
            <w:shd w:val="clear" w:color="auto" w:fill="D9D9D9"/>
            <w:vAlign w:val="bottom"/>
          </w:tcPr>
          <w:p w14:paraId="7F0F6446"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-1,2</w:t>
            </w:r>
          </w:p>
        </w:tc>
        <w:tc>
          <w:tcPr>
            <w:tcW w:w="1456" w:type="dxa"/>
            <w:vAlign w:val="bottom"/>
          </w:tcPr>
          <w:p w14:paraId="0C86C413"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-2,5</w:t>
            </w:r>
          </w:p>
        </w:tc>
        <w:tc>
          <w:tcPr>
            <w:tcW w:w="1456" w:type="dxa"/>
            <w:shd w:val="clear" w:color="auto" w:fill="D9D9D9"/>
            <w:vAlign w:val="bottom"/>
          </w:tcPr>
          <w:p w14:paraId="291CC879"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-2,4</w:t>
            </w:r>
          </w:p>
        </w:tc>
        <w:tc>
          <w:tcPr>
            <w:tcW w:w="1456" w:type="dxa"/>
            <w:vAlign w:val="bottom"/>
          </w:tcPr>
          <w:p w14:paraId="50438CF1"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-1,2</w:t>
            </w:r>
          </w:p>
        </w:tc>
        <w:tc>
          <w:tcPr>
            <w:tcW w:w="1456" w:type="dxa"/>
            <w:shd w:val="clear" w:color="auto" w:fill="D9D9D9"/>
            <w:vAlign w:val="bottom"/>
          </w:tcPr>
          <w:p w14:paraId="4A82E23A"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+0,3</w:t>
            </w:r>
          </w:p>
        </w:tc>
        <w:tc>
          <w:tcPr>
            <w:tcW w:w="1456" w:type="dxa"/>
            <w:vAlign w:val="bottom"/>
          </w:tcPr>
          <w:p w14:paraId="1A2D9B65"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-4,0</w:t>
            </w:r>
          </w:p>
        </w:tc>
      </w:tr>
      <w:tr w:rsidR="00743FFB" w:rsidRPr="002B76A5" w14:paraId="22B76EDE" w14:textId="77777777" w:rsidTr="001A02BF">
        <w:trPr>
          <w:trHeight w:val="255"/>
        </w:trPr>
        <w:tc>
          <w:tcPr>
            <w:tcW w:w="1458" w:type="dxa"/>
            <w:shd w:val="clear" w:color="auto" w:fill="D9D9D9"/>
            <w:vAlign w:val="center"/>
          </w:tcPr>
          <w:p w14:paraId="785384B3" w14:textId="77777777" w:rsidR="00743FFB" w:rsidRPr="007F50F0" w:rsidRDefault="00743FFB" w:rsidP="001A02BF">
            <w:pPr>
              <w:spacing w:before="40" w:after="20"/>
              <w:jc w:val="center"/>
              <w:rPr>
                <w:rFonts w:ascii="Arial Narrow" w:hAnsi="Arial Narrow" w:cs="Arial"/>
                <w:bCs/>
                <w:sz w:val="18"/>
                <w:szCs w:val="18"/>
              </w:rPr>
            </w:pPr>
            <w:r w:rsidRPr="007F50F0">
              <w:rPr>
                <w:rFonts w:ascii="Arial Narrow" w:hAnsi="Arial Narrow" w:cs="Arial"/>
                <w:bCs/>
                <w:sz w:val="18"/>
                <w:szCs w:val="18"/>
              </w:rPr>
              <w:t>Marzo</w:t>
            </w:r>
          </w:p>
        </w:tc>
        <w:tc>
          <w:tcPr>
            <w:tcW w:w="1456" w:type="dxa"/>
            <w:shd w:val="clear" w:color="auto" w:fill="D9D9D9"/>
            <w:vAlign w:val="bottom"/>
          </w:tcPr>
          <w:p w14:paraId="3716B267"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-0,3</w:t>
            </w:r>
          </w:p>
        </w:tc>
        <w:tc>
          <w:tcPr>
            <w:tcW w:w="1456" w:type="dxa"/>
            <w:vAlign w:val="bottom"/>
          </w:tcPr>
          <w:p w14:paraId="7CC6D821"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-0,3</w:t>
            </w:r>
          </w:p>
        </w:tc>
        <w:tc>
          <w:tcPr>
            <w:tcW w:w="1456" w:type="dxa"/>
            <w:shd w:val="clear" w:color="auto" w:fill="D9D9D9"/>
            <w:vAlign w:val="bottom"/>
          </w:tcPr>
          <w:p w14:paraId="735E6B76"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-0,7</w:t>
            </w:r>
          </w:p>
        </w:tc>
        <w:tc>
          <w:tcPr>
            <w:tcW w:w="1456" w:type="dxa"/>
            <w:vAlign w:val="bottom"/>
          </w:tcPr>
          <w:p w14:paraId="084D8947"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-0,5</w:t>
            </w:r>
          </w:p>
        </w:tc>
        <w:tc>
          <w:tcPr>
            <w:tcW w:w="1456" w:type="dxa"/>
            <w:shd w:val="clear" w:color="auto" w:fill="D9D9D9"/>
            <w:vAlign w:val="bottom"/>
          </w:tcPr>
          <w:p w14:paraId="21982291"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+0,2</w:t>
            </w:r>
          </w:p>
        </w:tc>
        <w:tc>
          <w:tcPr>
            <w:tcW w:w="1456" w:type="dxa"/>
            <w:vAlign w:val="bottom"/>
          </w:tcPr>
          <w:p w14:paraId="6472C9DF"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+0,2</w:t>
            </w:r>
          </w:p>
        </w:tc>
      </w:tr>
      <w:tr w:rsidR="00743FFB" w:rsidRPr="002B76A5" w14:paraId="4813D98F" w14:textId="77777777" w:rsidTr="001A02BF">
        <w:trPr>
          <w:trHeight w:val="255"/>
        </w:trPr>
        <w:tc>
          <w:tcPr>
            <w:tcW w:w="1458" w:type="dxa"/>
            <w:shd w:val="clear" w:color="auto" w:fill="D9D9D9"/>
            <w:vAlign w:val="center"/>
          </w:tcPr>
          <w:p w14:paraId="722501FA" w14:textId="77777777" w:rsidR="00743FFB" w:rsidRPr="007F50F0" w:rsidRDefault="00743FFB" w:rsidP="001A02BF">
            <w:pPr>
              <w:spacing w:before="40" w:after="20"/>
              <w:jc w:val="center"/>
              <w:rPr>
                <w:rFonts w:ascii="Arial Narrow" w:hAnsi="Arial Narrow" w:cs="Arial"/>
                <w:bCs/>
                <w:sz w:val="18"/>
                <w:szCs w:val="18"/>
              </w:rPr>
            </w:pPr>
            <w:r w:rsidRPr="007F50F0">
              <w:rPr>
                <w:rFonts w:ascii="Arial Narrow" w:hAnsi="Arial Narrow" w:cs="Arial"/>
                <w:bCs/>
                <w:sz w:val="18"/>
                <w:szCs w:val="18"/>
              </w:rPr>
              <w:t>Aprile</w:t>
            </w:r>
          </w:p>
        </w:tc>
        <w:tc>
          <w:tcPr>
            <w:tcW w:w="1456" w:type="dxa"/>
            <w:shd w:val="clear" w:color="auto" w:fill="D9D9D9"/>
            <w:vAlign w:val="bottom"/>
          </w:tcPr>
          <w:p w14:paraId="10C9D107"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-0,9</w:t>
            </w:r>
          </w:p>
        </w:tc>
        <w:tc>
          <w:tcPr>
            <w:tcW w:w="1456" w:type="dxa"/>
            <w:vAlign w:val="bottom"/>
          </w:tcPr>
          <w:p w14:paraId="2964C11A"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-1,8</w:t>
            </w:r>
          </w:p>
        </w:tc>
        <w:tc>
          <w:tcPr>
            <w:tcW w:w="1456" w:type="dxa"/>
            <w:shd w:val="clear" w:color="auto" w:fill="D9D9D9"/>
            <w:vAlign w:val="bottom"/>
          </w:tcPr>
          <w:p w14:paraId="1950C7D5"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-1,8</w:t>
            </w:r>
          </w:p>
        </w:tc>
        <w:tc>
          <w:tcPr>
            <w:tcW w:w="1456" w:type="dxa"/>
            <w:vAlign w:val="bottom"/>
          </w:tcPr>
          <w:p w14:paraId="4B0EF17F"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-1,8</w:t>
            </w:r>
          </w:p>
        </w:tc>
        <w:tc>
          <w:tcPr>
            <w:tcW w:w="1456" w:type="dxa"/>
            <w:shd w:val="clear" w:color="auto" w:fill="D9D9D9"/>
            <w:vAlign w:val="bottom"/>
          </w:tcPr>
          <w:p w14:paraId="17537B0B"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 xml:space="preserve">  0,0</w:t>
            </w:r>
          </w:p>
        </w:tc>
        <w:tc>
          <w:tcPr>
            <w:tcW w:w="1456" w:type="dxa"/>
            <w:vAlign w:val="bottom"/>
          </w:tcPr>
          <w:p w14:paraId="78A409AB"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-1,7</w:t>
            </w:r>
          </w:p>
        </w:tc>
      </w:tr>
      <w:tr w:rsidR="00743FFB" w:rsidRPr="002B76A5" w14:paraId="780D7135" w14:textId="77777777" w:rsidTr="001A02BF">
        <w:trPr>
          <w:trHeight w:val="255"/>
        </w:trPr>
        <w:tc>
          <w:tcPr>
            <w:tcW w:w="1458" w:type="dxa"/>
            <w:shd w:val="clear" w:color="auto" w:fill="D9D9D9"/>
            <w:vAlign w:val="center"/>
          </w:tcPr>
          <w:p w14:paraId="3C8E2747" w14:textId="77777777" w:rsidR="00743FFB" w:rsidRPr="007F50F0" w:rsidRDefault="00743FFB" w:rsidP="001A02BF">
            <w:pPr>
              <w:spacing w:before="40" w:after="20"/>
              <w:jc w:val="center"/>
              <w:rPr>
                <w:rFonts w:ascii="Arial Narrow" w:hAnsi="Arial Narrow" w:cs="Arial"/>
                <w:bCs/>
                <w:sz w:val="18"/>
                <w:szCs w:val="18"/>
              </w:rPr>
            </w:pPr>
            <w:r w:rsidRPr="007F50F0">
              <w:rPr>
                <w:rFonts w:ascii="Arial Narrow" w:hAnsi="Arial Narrow" w:cs="Arial"/>
                <w:bCs/>
                <w:sz w:val="18"/>
                <w:szCs w:val="18"/>
              </w:rPr>
              <w:t>Maggio</w:t>
            </w:r>
          </w:p>
        </w:tc>
        <w:tc>
          <w:tcPr>
            <w:tcW w:w="1456" w:type="dxa"/>
            <w:shd w:val="clear" w:color="auto" w:fill="D9D9D9"/>
            <w:vAlign w:val="bottom"/>
          </w:tcPr>
          <w:p w14:paraId="3485B0F3"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-1,1</w:t>
            </w:r>
          </w:p>
        </w:tc>
        <w:tc>
          <w:tcPr>
            <w:tcW w:w="1456" w:type="dxa"/>
            <w:vAlign w:val="bottom"/>
          </w:tcPr>
          <w:p w14:paraId="07E2322C"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-2,5</w:t>
            </w:r>
          </w:p>
        </w:tc>
        <w:tc>
          <w:tcPr>
            <w:tcW w:w="1456" w:type="dxa"/>
            <w:shd w:val="clear" w:color="auto" w:fill="D9D9D9"/>
            <w:vAlign w:val="bottom"/>
          </w:tcPr>
          <w:p w14:paraId="0BAB77F0"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-2,3</w:t>
            </w:r>
          </w:p>
        </w:tc>
        <w:tc>
          <w:tcPr>
            <w:tcW w:w="1456" w:type="dxa"/>
            <w:vAlign w:val="bottom"/>
          </w:tcPr>
          <w:p w14:paraId="4C24DD45"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-2,2</w:t>
            </w:r>
          </w:p>
        </w:tc>
        <w:tc>
          <w:tcPr>
            <w:tcW w:w="1456" w:type="dxa"/>
            <w:shd w:val="clear" w:color="auto" w:fill="D9D9D9"/>
            <w:vAlign w:val="bottom"/>
          </w:tcPr>
          <w:p w14:paraId="3D498AEA"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+0,2</w:t>
            </w:r>
          </w:p>
        </w:tc>
        <w:tc>
          <w:tcPr>
            <w:tcW w:w="1456" w:type="dxa"/>
            <w:vAlign w:val="bottom"/>
          </w:tcPr>
          <w:p w14:paraId="49630D99"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-3,0</w:t>
            </w:r>
          </w:p>
        </w:tc>
      </w:tr>
      <w:tr w:rsidR="00743FFB" w:rsidRPr="002B76A5" w14:paraId="35DA2F8B" w14:textId="77777777" w:rsidTr="001A02BF">
        <w:trPr>
          <w:trHeight w:val="255"/>
        </w:trPr>
        <w:tc>
          <w:tcPr>
            <w:tcW w:w="1458" w:type="dxa"/>
            <w:shd w:val="clear" w:color="auto" w:fill="D9D9D9"/>
            <w:vAlign w:val="center"/>
          </w:tcPr>
          <w:p w14:paraId="36BCFB29" w14:textId="77777777" w:rsidR="00743FFB" w:rsidRPr="007F50F0" w:rsidRDefault="00743FFB" w:rsidP="001A02BF">
            <w:pPr>
              <w:spacing w:before="40" w:after="20"/>
              <w:jc w:val="center"/>
              <w:rPr>
                <w:rFonts w:ascii="Arial Narrow" w:hAnsi="Arial Narrow" w:cs="Arial"/>
                <w:bCs/>
                <w:sz w:val="18"/>
                <w:szCs w:val="18"/>
              </w:rPr>
            </w:pPr>
            <w:r w:rsidRPr="007F50F0">
              <w:rPr>
                <w:rFonts w:ascii="Arial Narrow" w:hAnsi="Arial Narrow" w:cs="Arial"/>
                <w:bCs/>
                <w:sz w:val="18"/>
                <w:szCs w:val="18"/>
              </w:rPr>
              <w:t>Giugno</w:t>
            </w:r>
          </w:p>
        </w:tc>
        <w:tc>
          <w:tcPr>
            <w:tcW w:w="1456" w:type="dxa"/>
            <w:shd w:val="clear" w:color="auto" w:fill="D9D9D9"/>
            <w:vAlign w:val="bottom"/>
          </w:tcPr>
          <w:p w14:paraId="0AFC25F2"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-1,5</w:t>
            </w:r>
          </w:p>
        </w:tc>
        <w:tc>
          <w:tcPr>
            <w:tcW w:w="1456" w:type="dxa"/>
            <w:vAlign w:val="bottom"/>
          </w:tcPr>
          <w:p w14:paraId="0648646C"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-3,7</w:t>
            </w:r>
          </w:p>
        </w:tc>
        <w:tc>
          <w:tcPr>
            <w:tcW w:w="1456" w:type="dxa"/>
            <w:shd w:val="clear" w:color="auto" w:fill="D9D9D9"/>
            <w:vAlign w:val="bottom"/>
          </w:tcPr>
          <w:p w14:paraId="22413CDB"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-2,9</w:t>
            </w:r>
          </w:p>
        </w:tc>
        <w:tc>
          <w:tcPr>
            <w:tcW w:w="1456" w:type="dxa"/>
            <w:vAlign w:val="bottom"/>
          </w:tcPr>
          <w:p w14:paraId="3BC86B2F"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-3,8</w:t>
            </w:r>
          </w:p>
        </w:tc>
        <w:tc>
          <w:tcPr>
            <w:tcW w:w="1456" w:type="dxa"/>
            <w:shd w:val="clear" w:color="auto" w:fill="D9D9D9"/>
            <w:vAlign w:val="bottom"/>
          </w:tcPr>
          <w:p w14:paraId="12C4CACF"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+0,1</w:t>
            </w:r>
          </w:p>
        </w:tc>
        <w:tc>
          <w:tcPr>
            <w:tcW w:w="1456" w:type="dxa"/>
            <w:vAlign w:val="bottom"/>
          </w:tcPr>
          <w:p w14:paraId="22A52DC9"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-3,3</w:t>
            </w:r>
          </w:p>
        </w:tc>
      </w:tr>
      <w:tr w:rsidR="00743FFB" w:rsidRPr="002B76A5" w14:paraId="04B2C088" w14:textId="77777777" w:rsidTr="001A02BF">
        <w:trPr>
          <w:trHeight w:val="255"/>
        </w:trPr>
        <w:tc>
          <w:tcPr>
            <w:tcW w:w="1458" w:type="dxa"/>
            <w:shd w:val="clear" w:color="auto" w:fill="D9D9D9"/>
            <w:vAlign w:val="center"/>
          </w:tcPr>
          <w:p w14:paraId="0E5EB1D4" w14:textId="77777777" w:rsidR="00743FFB" w:rsidRPr="007F50F0" w:rsidRDefault="00743FFB" w:rsidP="001A02BF">
            <w:pPr>
              <w:spacing w:before="40" w:after="20"/>
              <w:jc w:val="center"/>
              <w:rPr>
                <w:rFonts w:ascii="Arial Narrow" w:hAnsi="Arial Narrow" w:cs="Arial"/>
                <w:bCs/>
                <w:sz w:val="18"/>
                <w:szCs w:val="18"/>
              </w:rPr>
            </w:pPr>
            <w:r w:rsidRPr="007F50F0">
              <w:rPr>
                <w:rFonts w:ascii="Arial Narrow" w:hAnsi="Arial Narrow" w:cs="Arial"/>
                <w:bCs/>
                <w:sz w:val="18"/>
                <w:szCs w:val="18"/>
              </w:rPr>
              <w:t>Luglio</w:t>
            </w:r>
          </w:p>
        </w:tc>
        <w:tc>
          <w:tcPr>
            <w:tcW w:w="1456" w:type="dxa"/>
            <w:shd w:val="clear" w:color="auto" w:fill="D9D9D9"/>
            <w:vAlign w:val="bottom"/>
          </w:tcPr>
          <w:p w14:paraId="61D8CCAF"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-1,5</w:t>
            </w:r>
          </w:p>
        </w:tc>
        <w:tc>
          <w:tcPr>
            <w:tcW w:w="1456" w:type="dxa"/>
            <w:vAlign w:val="bottom"/>
          </w:tcPr>
          <w:p w14:paraId="55313807"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-3,6</w:t>
            </w:r>
          </w:p>
        </w:tc>
        <w:tc>
          <w:tcPr>
            <w:tcW w:w="1456" w:type="dxa"/>
            <w:shd w:val="clear" w:color="auto" w:fill="D9D9D9"/>
            <w:vAlign w:val="bottom"/>
          </w:tcPr>
          <w:p w14:paraId="5C3F584E"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-3,2</w:t>
            </w:r>
          </w:p>
        </w:tc>
        <w:tc>
          <w:tcPr>
            <w:tcW w:w="1456" w:type="dxa"/>
            <w:vAlign w:val="bottom"/>
          </w:tcPr>
          <w:p w14:paraId="052B9A88"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-3,3</w:t>
            </w:r>
          </w:p>
        </w:tc>
        <w:tc>
          <w:tcPr>
            <w:tcW w:w="1456" w:type="dxa"/>
            <w:shd w:val="clear" w:color="auto" w:fill="D9D9D9"/>
            <w:vAlign w:val="bottom"/>
          </w:tcPr>
          <w:p w14:paraId="74D3FFFC"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+0,2</w:t>
            </w:r>
          </w:p>
        </w:tc>
        <w:tc>
          <w:tcPr>
            <w:tcW w:w="1456" w:type="dxa"/>
            <w:vAlign w:val="bottom"/>
          </w:tcPr>
          <w:p w14:paraId="041069AD"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-4,0</w:t>
            </w:r>
          </w:p>
        </w:tc>
      </w:tr>
      <w:tr w:rsidR="00743FFB" w:rsidRPr="002B76A5" w14:paraId="48987290" w14:textId="77777777" w:rsidTr="001A02BF">
        <w:trPr>
          <w:trHeight w:val="255"/>
        </w:trPr>
        <w:tc>
          <w:tcPr>
            <w:tcW w:w="1458" w:type="dxa"/>
            <w:shd w:val="clear" w:color="auto" w:fill="D9D9D9"/>
            <w:vAlign w:val="center"/>
          </w:tcPr>
          <w:p w14:paraId="5890DB1A" w14:textId="77777777" w:rsidR="00743FFB" w:rsidRPr="007F50F0" w:rsidRDefault="00743FFB" w:rsidP="001A02BF">
            <w:pPr>
              <w:spacing w:before="40" w:after="20"/>
              <w:jc w:val="center"/>
              <w:rPr>
                <w:rFonts w:ascii="Arial Narrow" w:hAnsi="Arial Narrow" w:cs="Arial"/>
                <w:bCs/>
                <w:sz w:val="18"/>
                <w:szCs w:val="18"/>
              </w:rPr>
            </w:pPr>
            <w:r w:rsidRPr="007F50F0">
              <w:rPr>
                <w:rFonts w:ascii="Arial Narrow" w:hAnsi="Arial Narrow" w:cs="Arial"/>
                <w:bCs/>
                <w:sz w:val="18"/>
                <w:szCs w:val="18"/>
              </w:rPr>
              <w:t>Agosto</w:t>
            </w:r>
          </w:p>
        </w:tc>
        <w:tc>
          <w:tcPr>
            <w:tcW w:w="1456" w:type="dxa"/>
            <w:shd w:val="clear" w:color="auto" w:fill="D9D9D9"/>
            <w:vAlign w:val="bottom"/>
          </w:tcPr>
          <w:p w14:paraId="4832490A"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-0,4</w:t>
            </w:r>
          </w:p>
        </w:tc>
        <w:tc>
          <w:tcPr>
            <w:tcW w:w="1456" w:type="dxa"/>
            <w:vAlign w:val="bottom"/>
          </w:tcPr>
          <w:p w14:paraId="4C28E13E"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-4,3</w:t>
            </w:r>
          </w:p>
        </w:tc>
        <w:tc>
          <w:tcPr>
            <w:tcW w:w="1456" w:type="dxa"/>
            <w:shd w:val="clear" w:color="auto" w:fill="D9D9D9"/>
            <w:vAlign w:val="bottom"/>
          </w:tcPr>
          <w:p w14:paraId="5755F4D8"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-1,2</w:t>
            </w:r>
          </w:p>
        </w:tc>
        <w:tc>
          <w:tcPr>
            <w:tcW w:w="1456" w:type="dxa"/>
            <w:vAlign w:val="bottom"/>
          </w:tcPr>
          <w:p w14:paraId="179EDCD6"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-2,4</w:t>
            </w:r>
          </w:p>
        </w:tc>
        <w:tc>
          <w:tcPr>
            <w:tcW w:w="1456" w:type="dxa"/>
            <w:shd w:val="clear" w:color="auto" w:fill="D9D9D9"/>
            <w:vAlign w:val="bottom"/>
          </w:tcPr>
          <w:p w14:paraId="448AB377"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+0,2</w:t>
            </w:r>
          </w:p>
        </w:tc>
        <w:tc>
          <w:tcPr>
            <w:tcW w:w="1456" w:type="dxa"/>
            <w:vAlign w:val="bottom"/>
          </w:tcPr>
          <w:p w14:paraId="1813BF23" w14:textId="77777777" w:rsidR="00743FFB" w:rsidRPr="00994843" w:rsidRDefault="00743FFB" w:rsidP="001A02BF">
            <w:pPr>
              <w:jc w:val="center"/>
              <w:rPr>
                <w:rFonts w:ascii="Arial Narrow" w:hAnsi="Arial Narrow"/>
                <w:sz w:val="18"/>
                <w:szCs w:val="18"/>
              </w:rPr>
            </w:pPr>
            <w:r w:rsidRPr="00994843">
              <w:rPr>
                <w:rFonts w:ascii="Arial Narrow" w:hAnsi="Arial Narrow"/>
                <w:sz w:val="18"/>
                <w:szCs w:val="18"/>
              </w:rPr>
              <w:t>-6,5</w:t>
            </w:r>
          </w:p>
        </w:tc>
      </w:tr>
    </w:tbl>
    <w:p w14:paraId="1B6FD7C8" w14:textId="77777777" w:rsidR="00743FFB" w:rsidRDefault="00743FFB" w:rsidP="00743FFB">
      <w:pPr>
        <w:ind w:right="28"/>
        <w:jc w:val="both"/>
        <w:rPr>
          <w:rFonts w:ascii="Arial Narrow" w:hAnsi="Arial Narrow" w:cs="Arial"/>
          <w:b/>
          <w:color w:val="E42618"/>
          <w:sz w:val="22"/>
          <w:szCs w:val="22"/>
        </w:rPr>
      </w:pPr>
    </w:p>
    <w:p w14:paraId="40B366EF" w14:textId="77777777" w:rsidR="007C7E35" w:rsidRDefault="007C7E35" w:rsidP="00072C03">
      <w:pPr>
        <w:ind w:right="28"/>
        <w:jc w:val="both"/>
        <w:rPr>
          <w:rFonts w:ascii="Arial Narrow" w:hAnsi="Arial Narrow" w:cs="Arial"/>
          <w:b/>
          <w:color w:val="E42618"/>
          <w:sz w:val="22"/>
          <w:szCs w:val="22"/>
        </w:rPr>
      </w:pPr>
    </w:p>
    <w:p w14:paraId="102EB212" w14:textId="2C8D383E" w:rsidR="00072C03" w:rsidRPr="007801C1" w:rsidRDefault="00B076CD" w:rsidP="00072C03">
      <w:pPr>
        <w:ind w:right="28"/>
        <w:jc w:val="both"/>
        <w:rPr>
          <w:rFonts w:ascii="Arial Narrow" w:hAnsi="Arial Narrow" w:cs="Arial"/>
          <w:b/>
          <w:color w:val="5F5F5F"/>
          <w:sz w:val="22"/>
          <w:szCs w:val="22"/>
        </w:rPr>
      </w:pPr>
      <w:r w:rsidRPr="007801C1">
        <w:rPr>
          <w:rFonts w:ascii="Arial Narrow" w:hAnsi="Arial Narrow" w:cs="Arial"/>
          <w:b/>
          <w:color w:val="E42618"/>
          <w:sz w:val="22"/>
          <w:szCs w:val="22"/>
        </w:rPr>
        <w:t xml:space="preserve">PROSPETTO </w:t>
      </w:r>
      <w:r w:rsidR="007D643E" w:rsidRPr="007801C1">
        <w:rPr>
          <w:rFonts w:ascii="Arial Narrow" w:hAnsi="Arial Narrow" w:cs="Arial"/>
          <w:b/>
          <w:color w:val="E42618"/>
          <w:sz w:val="22"/>
          <w:szCs w:val="22"/>
        </w:rPr>
        <w:t>7</w:t>
      </w:r>
      <w:r w:rsidRPr="007801C1">
        <w:rPr>
          <w:rFonts w:ascii="Arial Narrow" w:hAnsi="Arial Narrow" w:cs="Arial"/>
          <w:b/>
          <w:color w:val="E42618"/>
          <w:sz w:val="22"/>
          <w:szCs w:val="22"/>
        </w:rPr>
        <w:t>.</w:t>
      </w:r>
      <w:r w:rsidRPr="007801C1">
        <w:rPr>
          <w:rFonts w:ascii="Arial Narrow" w:hAnsi="Arial Narrow" w:cs="Arial"/>
          <w:b/>
          <w:color w:val="5F5F5F"/>
        </w:rPr>
        <w:t xml:space="preserve"> </w:t>
      </w:r>
      <w:r w:rsidR="00B13FB7" w:rsidRPr="007801C1">
        <w:rPr>
          <w:rFonts w:ascii="Arial Narrow" w:hAnsi="Arial Narrow" w:cs="Arial"/>
          <w:b/>
          <w:color w:val="5F5F5F"/>
          <w:sz w:val="22"/>
          <w:szCs w:val="22"/>
        </w:rPr>
        <w:t>PREZZI ALL’IMPORTAZIONE</w:t>
      </w:r>
    </w:p>
    <w:p w14:paraId="6A7227FD" w14:textId="72225B5F" w:rsidR="009370E6" w:rsidRPr="006304A5" w:rsidRDefault="00271F9E" w:rsidP="009370E6">
      <w:pPr>
        <w:pStyle w:val="Corpodeltesto1"/>
        <w:spacing w:after="120"/>
        <w:jc w:val="left"/>
        <w:rPr>
          <w:rFonts w:ascii="Arial Narrow" w:hAnsi="Arial Narrow" w:cs="Arial"/>
          <w:b w:val="0"/>
          <w:bCs/>
          <w:sz w:val="19"/>
          <w:szCs w:val="19"/>
        </w:rPr>
      </w:pPr>
      <w:r>
        <w:rPr>
          <w:rFonts w:ascii="Arial Narrow" w:hAnsi="Arial Narrow" w:cs="Arial"/>
          <w:b w:val="0"/>
          <w:color w:val="5F5F5F"/>
          <w:kern w:val="28"/>
          <w:sz w:val="20"/>
          <w:szCs w:val="20"/>
        </w:rPr>
        <w:t>Agosto</w:t>
      </w:r>
      <w:r w:rsidR="00606941" w:rsidRPr="007801C1">
        <w:rPr>
          <w:rFonts w:ascii="Arial Narrow" w:hAnsi="Arial Narrow" w:cs="Arial"/>
          <w:b w:val="0"/>
          <w:color w:val="5F5F5F"/>
          <w:kern w:val="28"/>
          <w:sz w:val="20"/>
          <w:szCs w:val="20"/>
        </w:rPr>
        <w:t xml:space="preserve"> </w:t>
      </w:r>
      <w:r w:rsidR="00CB06AD" w:rsidRPr="007801C1">
        <w:rPr>
          <w:rFonts w:ascii="Arial Narrow" w:hAnsi="Arial Narrow" w:cs="Arial"/>
          <w:b w:val="0"/>
          <w:color w:val="5F5F5F"/>
          <w:kern w:val="28"/>
          <w:sz w:val="20"/>
          <w:szCs w:val="20"/>
        </w:rPr>
        <w:t>2022</w:t>
      </w:r>
      <w:r w:rsidR="00B076CD" w:rsidRPr="007801C1">
        <w:rPr>
          <w:rFonts w:ascii="Arial Narrow" w:hAnsi="Arial Narrow" w:cs="Arial"/>
          <w:b w:val="0"/>
          <w:color w:val="5F5F5F"/>
          <w:kern w:val="28"/>
          <w:sz w:val="20"/>
          <w:szCs w:val="20"/>
        </w:rPr>
        <w:t xml:space="preserve">, revisioni delle variazioni percentuali, differenze in punti percentuali </w:t>
      </w:r>
      <w:r w:rsidR="009370E6" w:rsidRPr="007801C1">
        <w:rPr>
          <w:rFonts w:ascii="Arial Narrow" w:hAnsi="Arial Narrow" w:cs="Arial"/>
          <w:b w:val="0"/>
          <w:color w:val="5F5F5F"/>
          <w:kern w:val="28"/>
          <w:sz w:val="20"/>
          <w:szCs w:val="20"/>
        </w:rPr>
        <w:t>(base 2015=100)</w:t>
      </w:r>
    </w:p>
    <w:tbl>
      <w:tblPr>
        <w:tblW w:w="10206" w:type="dxa"/>
        <w:tblBorders>
          <w:top w:val="single" w:sz="4" w:space="0" w:color="333333"/>
          <w:bottom w:val="single" w:sz="4" w:space="0" w:color="333333"/>
          <w:insideH w:val="single" w:sz="4" w:space="0" w:color="333333"/>
        </w:tblBorders>
        <w:tblLook w:val="01E0" w:firstRow="1" w:lastRow="1" w:firstColumn="1" w:lastColumn="1" w:noHBand="0" w:noVBand="0"/>
      </w:tblPr>
      <w:tblGrid>
        <w:gridCol w:w="1698"/>
        <w:gridCol w:w="1697"/>
        <w:gridCol w:w="1645"/>
        <w:gridCol w:w="1787"/>
        <w:gridCol w:w="1663"/>
        <w:gridCol w:w="1716"/>
      </w:tblGrid>
      <w:tr w:rsidR="00B076CD" w:rsidRPr="001C01EA" w14:paraId="1772340B" w14:textId="77777777" w:rsidTr="00D6552B">
        <w:trPr>
          <w:trHeight w:val="255"/>
        </w:trPr>
        <w:tc>
          <w:tcPr>
            <w:tcW w:w="3395" w:type="dxa"/>
            <w:gridSpan w:val="2"/>
            <w:tcBorders>
              <w:bottom w:val="single" w:sz="4" w:space="0" w:color="333333"/>
            </w:tcBorders>
            <w:shd w:val="clear" w:color="auto" w:fill="E6E6E6"/>
            <w:vAlign w:val="center"/>
          </w:tcPr>
          <w:p w14:paraId="387511BE" w14:textId="77777777" w:rsidR="00B076CD" w:rsidRPr="001C01EA" w:rsidRDefault="00B076CD" w:rsidP="00593C33">
            <w:pPr>
              <w:spacing w:before="40" w:after="20"/>
              <w:ind w:left="-142" w:firstLine="142"/>
              <w:jc w:val="center"/>
              <w:rPr>
                <w:rFonts w:ascii="Arial Narrow" w:hAnsi="Arial Narrow" w:cs="Arial"/>
                <w:b/>
                <w:bCs/>
                <w:sz w:val="18"/>
                <w:szCs w:val="18"/>
              </w:rPr>
            </w:pPr>
            <w:r w:rsidRPr="001C01EA">
              <w:rPr>
                <w:rFonts w:ascii="Arial Narrow" w:hAnsi="Arial Narrow" w:cs="Arial"/>
                <w:b/>
                <w:bCs/>
                <w:sz w:val="18"/>
                <w:szCs w:val="18"/>
              </w:rPr>
              <w:t>Totale</w:t>
            </w:r>
          </w:p>
        </w:tc>
        <w:tc>
          <w:tcPr>
            <w:tcW w:w="3432" w:type="dxa"/>
            <w:gridSpan w:val="2"/>
            <w:tcBorders>
              <w:bottom w:val="single" w:sz="4" w:space="0" w:color="333333"/>
            </w:tcBorders>
            <w:vAlign w:val="center"/>
          </w:tcPr>
          <w:p w14:paraId="7E367106" w14:textId="77777777" w:rsidR="00B076CD" w:rsidRPr="001C01EA" w:rsidRDefault="00B076CD" w:rsidP="00593C33">
            <w:pPr>
              <w:spacing w:before="40" w:after="20"/>
              <w:jc w:val="center"/>
              <w:rPr>
                <w:rFonts w:ascii="Arial Narrow" w:hAnsi="Arial Narrow" w:cs="Arial"/>
                <w:b/>
                <w:bCs/>
                <w:sz w:val="18"/>
                <w:szCs w:val="18"/>
              </w:rPr>
            </w:pPr>
            <w:r>
              <w:rPr>
                <w:rFonts w:ascii="Arial Narrow" w:hAnsi="Arial Narrow" w:cs="Arial"/>
                <w:b/>
                <w:bCs/>
                <w:sz w:val="18"/>
                <w:szCs w:val="18"/>
              </w:rPr>
              <w:t>Area euro</w:t>
            </w:r>
          </w:p>
        </w:tc>
        <w:tc>
          <w:tcPr>
            <w:tcW w:w="3379" w:type="dxa"/>
            <w:gridSpan w:val="2"/>
            <w:tcBorders>
              <w:bottom w:val="single" w:sz="4" w:space="0" w:color="333333"/>
            </w:tcBorders>
            <w:shd w:val="clear" w:color="auto" w:fill="E6E6E6"/>
            <w:vAlign w:val="center"/>
          </w:tcPr>
          <w:p w14:paraId="099AEC91" w14:textId="77777777" w:rsidR="00B076CD" w:rsidRPr="001C01EA" w:rsidRDefault="00B076CD" w:rsidP="00593C33">
            <w:pPr>
              <w:spacing w:before="40" w:after="20"/>
              <w:jc w:val="center"/>
              <w:rPr>
                <w:rFonts w:ascii="Arial Narrow" w:hAnsi="Arial Narrow" w:cs="Arial"/>
                <w:b/>
                <w:bCs/>
                <w:sz w:val="18"/>
                <w:szCs w:val="18"/>
              </w:rPr>
            </w:pPr>
            <w:r>
              <w:rPr>
                <w:rFonts w:ascii="Arial Narrow" w:hAnsi="Arial Narrow" w:cs="Arial"/>
                <w:b/>
                <w:bCs/>
                <w:sz w:val="18"/>
                <w:szCs w:val="18"/>
              </w:rPr>
              <w:t>Area non euro</w:t>
            </w:r>
          </w:p>
        </w:tc>
      </w:tr>
      <w:tr w:rsidR="00072C03" w:rsidRPr="001C01EA" w14:paraId="07E4D575" w14:textId="77777777" w:rsidTr="00D6552B">
        <w:trPr>
          <w:trHeight w:val="255"/>
        </w:trPr>
        <w:tc>
          <w:tcPr>
            <w:tcW w:w="1698" w:type="dxa"/>
            <w:shd w:val="clear" w:color="auto" w:fill="E6E6E6"/>
            <w:vAlign w:val="center"/>
          </w:tcPr>
          <w:p w14:paraId="13435AC6" w14:textId="77777777" w:rsidR="00072C03" w:rsidRPr="001C01EA" w:rsidRDefault="00072C03" w:rsidP="00593C33">
            <w:pPr>
              <w:spacing w:before="40" w:after="20"/>
              <w:jc w:val="center"/>
              <w:rPr>
                <w:rFonts w:ascii="Arial Narrow" w:hAnsi="Arial Narrow" w:cs="Arial"/>
                <w:bCs/>
                <w:sz w:val="18"/>
                <w:szCs w:val="18"/>
              </w:rPr>
            </w:pPr>
            <w:r>
              <w:rPr>
                <w:rFonts w:ascii="Arial Narrow" w:hAnsi="Arial Narrow" w:cs="Arial"/>
                <w:bCs/>
                <w:sz w:val="18"/>
                <w:szCs w:val="18"/>
              </w:rPr>
              <w:t>Tendenziali</w:t>
            </w:r>
          </w:p>
        </w:tc>
        <w:tc>
          <w:tcPr>
            <w:tcW w:w="1697" w:type="dxa"/>
            <w:vAlign w:val="center"/>
          </w:tcPr>
          <w:p w14:paraId="19FE0A11" w14:textId="77777777" w:rsidR="00072C03" w:rsidRPr="001C01EA" w:rsidRDefault="00072C03" w:rsidP="00593C33">
            <w:pPr>
              <w:spacing w:before="40" w:after="20"/>
              <w:jc w:val="center"/>
              <w:rPr>
                <w:rFonts w:ascii="Arial Narrow" w:hAnsi="Arial Narrow" w:cs="Arial"/>
                <w:bCs/>
                <w:sz w:val="18"/>
                <w:szCs w:val="18"/>
              </w:rPr>
            </w:pPr>
            <w:r>
              <w:rPr>
                <w:rFonts w:ascii="Arial Narrow" w:hAnsi="Arial Narrow" w:cs="Arial"/>
                <w:bCs/>
                <w:sz w:val="18"/>
                <w:szCs w:val="18"/>
              </w:rPr>
              <w:t>Congiunturali</w:t>
            </w:r>
          </w:p>
        </w:tc>
        <w:tc>
          <w:tcPr>
            <w:tcW w:w="1645" w:type="dxa"/>
            <w:shd w:val="clear" w:color="auto" w:fill="E6E6E6"/>
            <w:vAlign w:val="center"/>
          </w:tcPr>
          <w:p w14:paraId="41D4E121" w14:textId="77777777" w:rsidR="00072C03" w:rsidRPr="001C01EA" w:rsidRDefault="00072C03" w:rsidP="00246367">
            <w:pPr>
              <w:spacing w:before="40" w:after="20"/>
              <w:jc w:val="center"/>
              <w:rPr>
                <w:rFonts w:ascii="Arial Narrow" w:hAnsi="Arial Narrow" w:cs="Arial"/>
                <w:bCs/>
                <w:sz w:val="18"/>
                <w:szCs w:val="18"/>
              </w:rPr>
            </w:pPr>
            <w:r>
              <w:rPr>
                <w:rFonts w:ascii="Arial Narrow" w:hAnsi="Arial Narrow" w:cs="Arial"/>
                <w:bCs/>
                <w:sz w:val="18"/>
                <w:szCs w:val="18"/>
              </w:rPr>
              <w:t>Tendenziali</w:t>
            </w:r>
          </w:p>
        </w:tc>
        <w:tc>
          <w:tcPr>
            <w:tcW w:w="1787" w:type="dxa"/>
            <w:vAlign w:val="center"/>
          </w:tcPr>
          <w:p w14:paraId="1ECD763F" w14:textId="77777777" w:rsidR="00072C03" w:rsidRPr="001C01EA" w:rsidRDefault="00072C03" w:rsidP="00246367">
            <w:pPr>
              <w:spacing w:before="40" w:after="20"/>
              <w:jc w:val="center"/>
              <w:rPr>
                <w:rFonts w:ascii="Arial Narrow" w:hAnsi="Arial Narrow" w:cs="Arial"/>
                <w:bCs/>
                <w:sz w:val="18"/>
                <w:szCs w:val="18"/>
              </w:rPr>
            </w:pPr>
            <w:r>
              <w:rPr>
                <w:rFonts w:ascii="Arial Narrow" w:hAnsi="Arial Narrow" w:cs="Arial"/>
                <w:bCs/>
                <w:sz w:val="18"/>
                <w:szCs w:val="18"/>
              </w:rPr>
              <w:t>Congiunturali</w:t>
            </w:r>
          </w:p>
        </w:tc>
        <w:tc>
          <w:tcPr>
            <w:tcW w:w="1663" w:type="dxa"/>
            <w:shd w:val="clear" w:color="auto" w:fill="E6E6E6"/>
            <w:vAlign w:val="center"/>
          </w:tcPr>
          <w:p w14:paraId="4B3E1EC3" w14:textId="77777777" w:rsidR="00072C03" w:rsidRPr="001C01EA" w:rsidRDefault="00072C03" w:rsidP="00246367">
            <w:pPr>
              <w:spacing w:before="40" w:after="20"/>
              <w:jc w:val="center"/>
              <w:rPr>
                <w:rFonts w:ascii="Arial Narrow" w:hAnsi="Arial Narrow" w:cs="Arial"/>
                <w:bCs/>
                <w:sz w:val="18"/>
                <w:szCs w:val="18"/>
              </w:rPr>
            </w:pPr>
            <w:r>
              <w:rPr>
                <w:rFonts w:ascii="Arial Narrow" w:hAnsi="Arial Narrow" w:cs="Arial"/>
                <w:bCs/>
                <w:sz w:val="18"/>
                <w:szCs w:val="18"/>
              </w:rPr>
              <w:t>Tendenziali</w:t>
            </w:r>
          </w:p>
        </w:tc>
        <w:tc>
          <w:tcPr>
            <w:tcW w:w="1716" w:type="dxa"/>
            <w:vAlign w:val="center"/>
          </w:tcPr>
          <w:p w14:paraId="292EEA72" w14:textId="77777777" w:rsidR="00072C03" w:rsidRPr="001C01EA" w:rsidRDefault="00072C03" w:rsidP="00246367">
            <w:pPr>
              <w:spacing w:before="40" w:after="20"/>
              <w:jc w:val="center"/>
              <w:rPr>
                <w:rFonts w:ascii="Arial Narrow" w:hAnsi="Arial Narrow" w:cs="Arial"/>
                <w:bCs/>
                <w:sz w:val="18"/>
                <w:szCs w:val="18"/>
              </w:rPr>
            </w:pPr>
            <w:r>
              <w:rPr>
                <w:rFonts w:ascii="Arial Narrow" w:hAnsi="Arial Narrow" w:cs="Arial"/>
                <w:bCs/>
                <w:sz w:val="18"/>
                <w:szCs w:val="18"/>
              </w:rPr>
              <w:t>Congiunturali</w:t>
            </w:r>
          </w:p>
        </w:tc>
      </w:tr>
      <w:tr w:rsidR="00E741B5" w:rsidRPr="00C201C1" w14:paraId="6A20B922" w14:textId="77777777" w:rsidTr="00CA2086">
        <w:trPr>
          <w:trHeight w:val="255"/>
        </w:trPr>
        <w:tc>
          <w:tcPr>
            <w:tcW w:w="1698" w:type="dxa"/>
            <w:shd w:val="clear" w:color="auto" w:fill="E6E6E6"/>
            <w:vAlign w:val="center"/>
          </w:tcPr>
          <w:p w14:paraId="078D2453" w14:textId="77CB7FC9" w:rsidR="00E741B5" w:rsidRPr="00687873" w:rsidRDefault="00E741B5" w:rsidP="00E741B5">
            <w:pPr>
              <w:spacing w:before="40" w:after="20"/>
              <w:jc w:val="center"/>
              <w:rPr>
                <w:rFonts w:ascii="Arial Narrow" w:hAnsi="Arial Narrow" w:cs="Arial"/>
                <w:bCs/>
                <w:sz w:val="18"/>
                <w:szCs w:val="18"/>
              </w:rPr>
            </w:pPr>
            <w:r>
              <w:rPr>
                <w:rFonts w:ascii="Arial Narrow" w:hAnsi="Arial Narrow" w:cs="Arial"/>
                <w:color w:val="000000"/>
                <w:sz w:val="18"/>
                <w:szCs w:val="18"/>
              </w:rPr>
              <w:t>-2,2</w:t>
            </w:r>
          </w:p>
        </w:tc>
        <w:tc>
          <w:tcPr>
            <w:tcW w:w="1697" w:type="dxa"/>
            <w:vAlign w:val="center"/>
          </w:tcPr>
          <w:p w14:paraId="4CB749FC" w14:textId="6B708736" w:rsidR="00E741B5" w:rsidRPr="00687873" w:rsidRDefault="00E741B5" w:rsidP="00E741B5">
            <w:pPr>
              <w:spacing w:before="40" w:after="20"/>
              <w:jc w:val="center"/>
              <w:rPr>
                <w:rFonts w:ascii="Arial Narrow" w:hAnsi="Arial Narrow" w:cs="Arial"/>
                <w:bCs/>
                <w:sz w:val="18"/>
                <w:szCs w:val="18"/>
              </w:rPr>
            </w:pPr>
            <w:r>
              <w:rPr>
                <w:rFonts w:ascii="Arial Narrow" w:hAnsi="Arial Narrow" w:cs="Arial"/>
                <w:color w:val="000000"/>
                <w:sz w:val="18"/>
                <w:szCs w:val="18"/>
              </w:rPr>
              <w:t>-1</w:t>
            </w:r>
            <w:r w:rsidRPr="00687873">
              <w:rPr>
                <w:rFonts w:ascii="Arial Narrow" w:hAnsi="Arial Narrow" w:cs="Arial"/>
                <w:color w:val="000000"/>
                <w:sz w:val="18"/>
                <w:szCs w:val="18"/>
              </w:rPr>
              <w:t>,</w:t>
            </w:r>
            <w:r>
              <w:rPr>
                <w:rFonts w:ascii="Arial Narrow" w:hAnsi="Arial Narrow" w:cs="Arial"/>
                <w:color w:val="000000"/>
                <w:sz w:val="18"/>
                <w:szCs w:val="18"/>
              </w:rPr>
              <w:t>8</w:t>
            </w:r>
          </w:p>
        </w:tc>
        <w:tc>
          <w:tcPr>
            <w:tcW w:w="1645" w:type="dxa"/>
            <w:shd w:val="clear" w:color="auto" w:fill="E6E6E6"/>
            <w:vAlign w:val="center"/>
          </w:tcPr>
          <w:p w14:paraId="2E9E2D7A" w14:textId="36B8787D" w:rsidR="00E741B5" w:rsidRPr="00687873" w:rsidRDefault="00E741B5" w:rsidP="00E741B5">
            <w:pPr>
              <w:spacing w:before="40" w:after="20"/>
              <w:jc w:val="center"/>
              <w:rPr>
                <w:rFonts w:ascii="Arial Narrow" w:hAnsi="Arial Narrow" w:cs="Arial"/>
                <w:bCs/>
                <w:sz w:val="18"/>
                <w:szCs w:val="18"/>
              </w:rPr>
            </w:pPr>
            <w:r>
              <w:rPr>
                <w:rFonts w:ascii="Arial Narrow" w:hAnsi="Arial Narrow" w:cs="Arial"/>
                <w:color w:val="000000"/>
                <w:sz w:val="18"/>
                <w:szCs w:val="18"/>
              </w:rPr>
              <w:t>-</w:t>
            </w:r>
            <w:r w:rsidRPr="00687873">
              <w:rPr>
                <w:rFonts w:ascii="Arial Narrow" w:hAnsi="Arial Narrow" w:cs="Arial"/>
                <w:color w:val="000000"/>
                <w:sz w:val="18"/>
                <w:szCs w:val="18"/>
              </w:rPr>
              <w:t>0,</w:t>
            </w:r>
            <w:r>
              <w:rPr>
                <w:rFonts w:ascii="Arial Narrow" w:hAnsi="Arial Narrow" w:cs="Arial"/>
                <w:color w:val="000000"/>
                <w:sz w:val="18"/>
                <w:szCs w:val="18"/>
              </w:rPr>
              <w:t>1</w:t>
            </w:r>
          </w:p>
        </w:tc>
        <w:tc>
          <w:tcPr>
            <w:tcW w:w="1787" w:type="dxa"/>
            <w:vAlign w:val="center"/>
          </w:tcPr>
          <w:p w14:paraId="05436E80" w14:textId="5449EB5D" w:rsidR="00E741B5" w:rsidRPr="00687873" w:rsidRDefault="00E741B5" w:rsidP="00E741B5">
            <w:pPr>
              <w:spacing w:before="40" w:after="20"/>
              <w:jc w:val="center"/>
              <w:rPr>
                <w:rFonts w:ascii="Arial Narrow" w:hAnsi="Arial Narrow" w:cs="Arial"/>
                <w:bCs/>
                <w:sz w:val="18"/>
                <w:szCs w:val="18"/>
              </w:rPr>
            </w:pPr>
            <w:r>
              <w:rPr>
                <w:rFonts w:ascii="Arial Narrow" w:hAnsi="Arial Narrow" w:cs="Arial"/>
                <w:color w:val="000000"/>
                <w:sz w:val="18"/>
                <w:szCs w:val="18"/>
              </w:rPr>
              <w:t>0,0</w:t>
            </w:r>
          </w:p>
        </w:tc>
        <w:tc>
          <w:tcPr>
            <w:tcW w:w="1663" w:type="dxa"/>
            <w:shd w:val="clear" w:color="auto" w:fill="E6E6E6"/>
            <w:vAlign w:val="center"/>
          </w:tcPr>
          <w:p w14:paraId="06F2DB6D" w14:textId="02443F0D" w:rsidR="00E741B5" w:rsidRPr="00687873" w:rsidRDefault="00E741B5" w:rsidP="00E741B5">
            <w:pPr>
              <w:spacing w:before="40" w:after="20"/>
              <w:jc w:val="center"/>
              <w:rPr>
                <w:rFonts w:ascii="Arial Narrow" w:hAnsi="Arial Narrow" w:cs="Arial"/>
                <w:bCs/>
                <w:sz w:val="18"/>
                <w:szCs w:val="18"/>
              </w:rPr>
            </w:pPr>
            <w:r>
              <w:rPr>
                <w:rFonts w:ascii="Arial Narrow" w:hAnsi="Arial Narrow" w:cs="Arial"/>
                <w:color w:val="000000"/>
                <w:sz w:val="18"/>
                <w:szCs w:val="18"/>
              </w:rPr>
              <w:t>-4,3</w:t>
            </w:r>
          </w:p>
        </w:tc>
        <w:tc>
          <w:tcPr>
            <w:tcW w:w="1716" w:type="dxa"/>
            <w:vAlign w:val="center"/>
          </w:tcPr>
          <w:p w14:paraId="2DD89D8B" w14:textId="490EC516" w:rsidR="00E741B5" w:rsidRPr="00687873" w:rsidRDefault="00E741B5" w:rsidP="00E741B5">
            <w:pPr>
              <w:spacing w:before="40" w:after="20"/>
              <w:jc w:val="center"/>
              <w:rPr>
                <w:rFonts w:ascii="Arial Narrow" w:hAnsi="Arial Narrow" w:cs="Arial"/>
                <w:bCs/>
                <w:sz w:val="18"/>
                <w:szCs w:val="18"/>
              </w:rPr>
            </w:pPr>
            <w:r>
              <w:rPr>
                <w:rFonts w:ascii="Arial Narrow" w:hAnsi="Arial Narrow" w:cs="Arial"/>
                <w:color w:val="000000"/>
                <w:sz w:val="18"/>
                <w:szCs w:val="18"/>
              </w:rPr>
              <w:t>-3,3</w:t>
            </w:r>
          </w:p>
        </w:tc>
      </w:tr>
    </w:tbl>
    <w:p w14:paraId="7770BD76" w14:textId="77777777" w:rsidR="009B2E91" w:rsidRDefault="009B2E91" w:rsidP="009B2E91">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b/>
          <w:spacing w:val="-3"/>
        </w:rPr>
      </w:pPr>
    </w:p>
    <w:p w14:paraId="64B3BCF5" w14:textId="2AFC6BE4" w:rsidR="00A1647D" w:rsidRDefault="00A1647D" w:rsidP="009B2E91">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b/>
          <w:spacing w:val="-3"/>
        </w:rPr>
        <w:sectPr w:rsidR="00A1647D" w:rsidSect="009B2E91">
          <w:headerReference w:type="default" r:id="rId35"/>
          <w:pgSz w:w="11907" w:h="16840" w:code="9"/>
          <w:pgMar w:top="1534" w:right="851" w:bottom="680" w:left="851" w:header="567" w:footer="567" w:gutter="0"/>
          <w:cols w:space="720"/>
          <w:noEndnote/>
          <w:docGrid w:linePitch="272"/>
        </w:sectPr>
      </w:pPr>
    </w:p>
    <w:p w14:paraId="0881A4C5" w14:textId="77777777" w:rsidR="000B233D" w:rsidRPr="000B233D" w:rsidRDefault="000B233D" w:rsidP="00CC2949">
      <w:pPr>
        <w:ind w:right="57"/>
        <w:jc w:val="both"/>
        <w:rPr>
          <w:rFonts w:ascii="Arial" w:hAnsi="Arial" w:cs="Arial"/>
          <w:b/>
          <w:bCs/>
        </w:rPr>
      </w:pPr>
    </w:p>
    <w:p w14:paraId="709AD9DA" w14:textId="77777777" w:rsidR="006B1C0B" w:rsidRPr="00C9631A" w:rsidRDefault="006B1C0B" w:rsidP="00E74CD4">
      <w:pPr>
        <w:spacing w:after="120"/>
        <w:jc w:val="both"/>
        <w:rPr>
          <w:rFonts w:ascii="Arial" w:hAnsi="Arial" w:cs="Arial"/>
          <w:sz w:val="20"/>
          <w:szCs w:val="20"/>
        </w:rPr>
      </w:pPr>
      <w:r w:rsidRPr="00C9631A">
        <w:rPr>
          <w:rFonts w:ascii="Arial" w:hAnsi="Arial" w:cs="Arial"/>
          <w:b/>
          <w:sz w:val="20"/>
          <w:szCs w:val="20"/>
        </w:rPr>
        <w:t>Beni di consumo durevoli</w:t>
      </w:r>
      <w:r w:rsidRPr="00C9631A">
        <w:rPr>
          <w:rFonts w:ascii="Arial" w:hAnsi="Arial" w:cs="Arial"/>
          <w:sz w:val="20"/>
          <w:szCs w:val="20"/>
        </w:rPr>
        <w:t>: includono, tra gli altri, la fabbricazione di apparecchi per uso domestico, la fabbricazione di mobili, motocicli, la fabbricazione di apparecchi per la riproduzione del suono e dell’immagine.</w:t>
      </w:r>
    </w:p>
    <w:p w14:paraId="7FA47A8D" w14:textId="77777777" w:rsidR="006B1C0B" w:rsidRPr="00C9631A" w:rsidRDefault="006B1C0B" w:rsidP="00E74CD4">
      <w:pPr>
        <w:spacing w:after="120"/>
        <w:jc w:val="both"/>
        <w:rPr>
          <w:rFonts w:ascii="Arial" w:hAnsi="Arial" w:cs="Arial"/>
          <w:sz w:val="20"/>
          <w:szCs w:val="20"/>
        </w:rPr>
      </w:pPr>
      <w:r w:rsidRPr="00C9631A">
        <w:rPr>
          <w:rFonts w:ascii="Arial" w:hAnsi="Arial" w:cs="Arial"/>
          <w:b/>
          <w:sz w:val="20"/>
          <w:szCs w:val="20"/>
        </w:rPr>
        <w:t>Beni di consumo non durevoli</w:t>
      </w:r>
      <w:r w:rsidRPr="00C9631A">
        <w:rPr>
          <w:rFonts w:ascii="Arial" w:hAnsi="Arial" w:cs="Arial"/>
          <w:sz w:val="20"/>
          <w:szCs w:val="20"/>
        </w:rPr>
        <w:t>: includono, tra gli altri, la produzione, la lavorazione e la conservazione di prodotti alimentari e bevande, alcune industrie tessili, la fabbricazione di prodotti farmaceutici.</w:t>
      </w:r>
    </w:p>
    <w:p w14:paraId="63FE64E3" w14:textId="77777777" w:rsidR="006B1C0B" w:rsidRPr="00C9631A" w:rsidRDefault="006B1C0B" w:rsidP="00E74CD4">
      <w:pPr>
        <w:spacing w:after="120"/>
        <w:jc w:val="both"/>
        <w:rPr>
          <w:rFonts w:ascii="Arial" w:hAnsi="Arial" w:cs="Arial"/>
          <w:sz w:val="20"/>
          <w:szCs w:val="20"/>
        </w:rPr>
      </w:pPr>
      <w:r w:rsidRPr="00C9631A">
        <w:rPr>
          <w:rFonts w:ascii="Arial" w:hAnsi="Arial" w:cs="Arial"/>
          <w:b/>
          <w:sz w:val="20"/>
          <w:szCs w:val="20"/>
        </w:rPr>
        <w:t>Beni intermedi</w:t>
      </w:r>
      <w:r w:rsidRPr="00C9631A">
        <w:rPr>
          <w:rFonts w:ascii="Arial" w:hAnsi="Arial" w:cs="Arial"/>
          <w:sz w:val="20"/>
          <w:szCs w:val="20"/>
        </w:rPr>
        <w:t>: includono, tra gli altri, la fabbricazione di prodotti chimici, la fabbricazione di metalli e prodotti in metallo, la fabbricazione di apparecchi elettrici, l’industria del legno, la fabbricazione di tessuti.</w:t>
      </w:r>
    </w:p>
    <w:p w14:paraId="3171476F" w14:textId="77777777" w:rsidR="006B1C0B" w:rsidRPr="00C9631A" w:rsidRDefault="006B1C0B" w:rsidP="00E74CD4">
      <w:pPr>
        <w:spacing w:after="120"/>
        <w:jc w:val="both"/>
        <w:rPr>
          <w:rFonts w:ascii="Arial" w:hAnsi="Arial" w:cs="Arial"/>
          <w:sz w:val="20"/>
          <w:szCs w:val="20"/>
        </w:rPr>
      </w:pPr>
      <w:r w:rsidRPr="00C9631A">
        <w:rPr>
          <w:rFonts w:ascii="Arial" w:hAnsi="Arial" w:cs="Arial"/>
          <w:b/>
          <w:sz w:val="20"/>
          <w:szCs w:val="20"/>
        </w:rPr>
        <w:t>Beni strumentali</w:t>
      </w:r>
      <w:r w:rsidRPr="00C9631A">
        <w:rPr>
          <w:rFonts w:ascii="Arial" w:hAnsi="Arial" w:cs="Arial"/>
          <w:sz w:val="20"/>
          <w:szCs w:val="20"/>
        </w:rPr>
        <w:t>: includono, tra gli altri, la fabbricazione di macchine e motori, la fabbricazione di strumenti e apparecchi di misurazione e controllo, la fabbricazione di autoveicoli.</w:t>
      </w:r>
    </w:p>
    <w:p w14:paraId="61CE4789" w14:textId="77777777" w:rsidR="006B1C0B" w:rsidRPr="00C9631A" w:rsidRDefault="006B1C0B" w:rsidP="00E74CD4">
      <w:pPr>
        <w:pStyle w:val="Corpodeltesto1"/>
        <w:spacing w:after="120"/>
        <w:rPr>
          <w:rFonts w:ascii="Arial" w:hAnsi="Arial" w:cs="Arial"/>
          <w:b w:val="0"/>
          <w:bCs/>
          <w:sz w:val="20"/>
          <w:szCs w:val="20"/>
        </w:rPr>
      </w:pPr>
      <w:r w:rsidRPr="00C9631A">
        <w:rPr>
          <w:rFonts w:ascii="Arial" w:hAnsi="Arial" w:cs="Arial"/>
          <w:bCs/>
          <w:sz w:val="20"/>
          <w:szCs w:val="20"/>
        </w:rPr>
        <w:t>Contributo alla variazione tendenziale</w:t>
      </w:r>
      <w:r w:rsidRPr="00C9631A">
        <w:rPr>
          <w:rFonts w:ascii="Arial" w:hAnsi="Arial" w:cs="Arial"/>
          <w:b w:val="0"/>
          <w:bCs/>
          <w:sz w:val="20"/>
          <w:szCs w:val="20"/>
        </w:rPr>
        <w:t xml:space="preserve">: misura l’incidenza delle variazioni delle importazioni e delle esportazioni dei singoli aggregati merceologici o geografici sull’aumento o sulla diminuzione dei flussi aggregati. </w:t>
      </w:r>
    </w:p>
    <w:p w14:paraId="419B4749" w14:textId="77777777" w:rsidR="006B1C0B" w:rsidRPr="00C9631A" w:rsidRDefault="006B1C0B" w:rsidP="00E74CD4">
      <w:pPr>
        <w:spacing w:after="120"/>
        <w:ind w:right="23"/>
        <w:jc w:val="both"/>
        <w:rPr>
          <w:rFonts w:ascii="Arial" w:hAnsi="Arial" w:cs="Arial"/>
          <w:b/>
          <w:sz w:val="20"/>
          <w:szCs w:val="20"/>
        </w:rPr>
      </w:pPr>
      <w:r w:rsidRPr="00C9631A">
        <w:rPr>
          <w:rFonts w:ascii="Arial" w:hAnsi="Arial" w:cs="Arial"/>
          <w:b/>
          <w:bCs/>
          <w:sz w:val="20"/>
          <w:szCs w:val="20"/>
        </w:rPr>
        <w:t>Dati corretti per gli effetti di calendario</w:t>
      </w:r>
      <w:r w:rsidRPr="00C9631A">
        <w:rPr>
          <w:rFonts w:ascii="Arial" w:hAnsi="Arial" w:cs="Arial"/>
          <w:bCs/>
          <w:sz w:val="20"/>
          <w:szCs w:val="20"/>
        </w:rPr>
        <w:t>: dati depurati, mediante apposite tecniche statistiche, dalla variabilità attribuibile alla composizione del calendario nei singoli periodi (mesi o trimestri) dell’anno, dovuta al diverso numero di giorni lavorativi o di giorni specifici della settimana in essi contenuti, nonché dell’anno bisestile. Il ricorso a tale trasformazione dei dati consente di cogliere in maniera più adeguata sia le variazioni tendenziali (calcolate rispetto allo stesso periodo dell'anno precedente), sia le variazioni medie annue.</w:t>
      </w:r>
    </w:p>
    <w:p w14:paraId="7D0A804D" w14:textId="77777777" w:rsidR="006B1C0B" w:rsidRPr="00C9631A" w:rsidRDefault="006B1C0B" w:rsidP="00E74CD4">
      <w:pPr>
        <w:spacing w:after="120"/>
        <w:ind w:right="23"/>
        <w:jc w:val="both"/>
        <w:rPr>
          <w:rFonts w:ascii="Arial" w:hAnsi="Arial" w:cs="Arial"/>
          <w:sz w:val="20"/>
          <w:szCs w:val="20"/>
        </w:rPr>
      </w:pPr>
      <w:r w:rsidRPr="00C9631A">
        <w:rPr>
          <w:rFonts w:ascii="Arial" w:hAnsi="Arial" w:cs="Arial"/>
          <w:b/>
          <w:sz w:val="20"/>
          <w:szCs w:val="20"/>
        </w:rPr>
        <w:t>Dati destagionalizzati</w:t>
      </w:r>
      <w:r w:rsidRPr="00C9631A">
        <w:rPr>
          <w:rFonts w:ascii="Arial" w:hAnsi="Arial" w:cs="Arial"/>
          <w:sz w:val="20"/>
          <w:szCs w:val="20"/>
        </w:rPr>
        <w:t>:</w:t>
      </w:r>
      <w:r w:rsidRPr="00C9631A">
        <w:rPr>
          <w:rFonts w:ascii="Arial" w:hAnsi="Arial" w:cs="Arial"/>
          <w:b/>
          <w:sz w:val="20"/>
          <w:szCs w:val="20"/>
        </w:rPr>
        <w:t xml:space="preserve"> </w:t>
      </w:r>
      <w:r w:rsidRPr="00C9631A">
        <w:rPr>
          <w:rFonts w:ascii="Arial" w:hAnsi="Arial" w:cs="Arial"/>
          <w:sz w:val="20"/>
          <w:szCs w:val="20"/>
        </w:rPr>
        <w:t>dati depurati, mediante apposite tecniche statistiche, dalle fluttuazioni attribuibili alla componente stagionale (dovute a fattori meteorologici, consuetudinari, legislativi, ecc.) e, se significativi, dagli effetti di calendario. Questa trasformazione dei dati è la più idonea a cogliere l’evoluzione congiunturale di un indicatore.</w:t>
      </w:r>
    </w:p>
    <w:p w14:paraId="16E90070" w14:textId="77777777" w:rsidR="006B1C0B" w:rsidRPr="00C9631A" w:rsidRDefault="006B1C0B" w:rsidP="00E74CD4">
      <w:pPr>
        <w:spacing w:after="120"/>
        <w:jc w:val="both"/>
        <w:rPr>
          <w:rFonts w:ascii="Arial" w:hAnsi="Arial" w:cs="Arial"/>
          <w:sz w:val="20"/>
          <w:szCs w:val="20"/>
        </w:rPr>
      </w:pPr>
      <w:r w:rsidRPr="00C9631A">
        <w:rPr>
          <w:rFonts w:ascii="Arial" w:hAnsi="Arial" w:cs="Arial"/>
          <w:b/>
          <w:sz w:val="20"/>
          <w:szCs w:val="20"/>
        </w:rPr>
        <w:t>Energia</w:t>
      </w:r>
      <w:r w:rsidRPr="00C9631A">
        <w:rPr>
          <w:rFonts w:ascii="Arial" w:hAnsi="Arial" w:cs="Arial"/>
          <w:sz w:val="20"/>
          <w:szCs w:val="20"/>
        </w:rPr>
        <w:t>:</w:t>
      </w:r>
      <w:r w:rsidRPr="00C9631A">
        <w:rPr>
          <w:rFonts w:ascii="Arial" w:hAnsi="Arial" w:cs="Arial"/>
          <w:b/>
          <w:sz w:val="20"/>
          <w:szCs w:val="20"/>
        </w:rPr>
        <w:t xml:space="preserve"> </w:t>
      </w:r>
      <w:r w:rsidRPr="00C9631A">
        <w:rPr>
          <w:rFonts w:ascii="Arial" w:hAnsi="Arial" w:cs="Arial"/>
          <w:sz w:val="20"/>
          <w:szCs w:val="20"/>
        </w:rPr>
        <w:t>include l’industria estrattiva di materie prime energetiche (petrolio, gas naturale, lignite), l’industria della raffinazione, la produzione di energia elettrica, gas e acqua, vapore, la raccolta, depurazione e distribuzione dell’acqua.</w:t>
      </w:r>
    </w:p>
    <w:p w14:paraId="03C282E9" w14:textId="77777777" w:rsidR="006B1C0B" w:rsidRPr="00C9631A" w:rsidRDefault="006B1C0B" w:rsidP="00E74CD4">
      <w:pPr>
        <w:spacing w:after="120"/>
        <w:ind w:right="23"/>
        <w:jc w:val="both"/>
        <w:rPr>
          <w:rFonts w:ascii="Arial" w:hAnsi="Arial" w:cs="Arial"/>
          <w:sz w:val="20"/>
          <w:szCs w:val="20"/>
        </w:rPr>
      </w:pPr>
      <w:r w:rsidRPr="00C9631A">
        <w:rPr>
          <w:rFonts w:ascii="Arial" w:hAnsi="Arial" w:cs="Arial"/>
          <w:b/>
          <w:sz w:val="20"/>
          <w:szCs w:val="20"/>
        </w:rPr>
        <w:t>Esportazioni</w:t>
      </w:r>
      <w:r w:rsidRPr="00C9631A">
        <w:rPr>
          <w:rFonts w:ascii="Arial" w:hAnsi="Arial" w:cs="Arial"/>
          <w:sz w:val="20"/>
          <w:szCs w:val="20"/>
        </w:rPr>
        <w:t xml:space="preserve">: includono tutti i beni (nazionali o nazionalizzati, nuovi o usati) che, a titolo oneroso o gratuito, escono dal territorio economico del Paese per essere destinati al resto del mondo. Esse sono valutate al valore </w:t>
      </w:r>
      <w:proofErr w:type="spellStart"/>
      <w:r w:rsidRPr="00C9631A">
        <w:rPr>
          <w:rFonts w:ascii="Arial" w:hAnsi="Arial" w:cs="Arial"/>
          <w:sz w:val="20"/>
          <w:szCs w:val="20"/>
        </w:rPr>
        <w:t>Fob</w:t>
      </w:r>
      <w:proofErr w:type="spellEnd"/>
      <w:r w:rsidRPr="00C9631A">
        <w:rPr>
          <w:rFonts w:ascii="Arial" w:hAnsi="Arial" w:cs="Arial"/>
          <w:sz w:val="20"/>
          <w:szCs w:val="20"/>
        </w:rPr>
        <w:t xml:space="preserve"> (free on </w:t>
      </w:r>
      <w:proofErr w:type="spellStart"/>
      <w:r w:rsidRPr="00C9631A">
        <w:rPr>
          <w:rFonts w:ascii="Arial" w:hAnsi="Arial" w:cs="Arial"/>
          <w:sz w:val="20"/>
          <w:szCs w:val="20"/>
        </w:rPr>
        <w:t>board</w:t>
      </w:r>
      <w:proofErr w:type="spellEnd"/>
      <w:r w:rsidRPr="00C9631A">
        <w:rPr>
          <w:rFonts w:ascii="Arial" w:hAnsi="Arial" w:cs="Arial"/>
          <w:sz w:val="20"/>
          <w:szCs w:val="20"/>
        </w:rPr>
        <w:t>), che corrisponde al prezzo di mercato alla frontiera del Paese esportatore. Questo prezzo comprende il prezzo ex-</w:t>
      </w:r>
      <w:proofErr w:type="spellStart"/>
      <w:r w:rsidRPr="00C9631A">
        <w:rPr>
          <w:rFonts w:ascii="Arial" w:hAnsi="Arial" w:cs="Arial"/>
          <w:sz w:val="20"/>
          <w:szCs w:val="20"/>
        </w:rPr>
        <w:t>fabrica</w:t>
      </w:r>
      <w:proofErr w:type="spellEnd"/>
      <w:r w:rsidRPr="00C9631A">
        <w:rPr>
          <w:rFonts w:ascii="Arial" w:hAnsi="Arial" w:cs="Arial"/>
          <w:sz w:val="20"/>
          <w:szCs w:val="20"/>
        </w:rPr>
        <w:t>, i margini commerciali, le spese di trasporto internazionale e gli eventuali diritti all'esportazione.</w:t>
      </w:r>
    </w:p>
    <w:p w14:paraId="5824DD4A" w14:textId="77777777" w:rsidR="006B1C0B" w:rsidRPr="00C9631A" w:rsidRDefault="006B1C0B" w:rsidP="00E74CD4">
      <w:pPr>
        <w:pStyle w:val="NormaleWeb"/>
        <w:spacing w:beforeAutospacing="0" w:after="120" w:afterAutospacing="0"/>
        <w:jc w:val="both"/>
        <w:rPr>
          <w:rFonts w:ascii="Arial" w:hAnsi="Arial" w:cs="Arial"/>
          <w:sz w:val="20"/>
          <w:szCs w:val="20"/>
        </w:rPr>
      </w:pPr>
      <w:r w:rsidRPr="00C9631A">
        <w:rPr>
          <w:rFonts w:ascii="Arial" w:hAnsi="Arial" w:cs="Arial"/>
          <w:b/>
          <w:sz w:val="20"/>
          <w:szCs w:val="20"/>
          <w:lang w:eastAsia="ar-SA"/>
        </w:rPr>
        <w:t>Importazioni</w:t>
      </w:r>
      <w:r w:rsidRPr="00C9631A">
        <w:rPr>
          <w:rFonts w:ascii="Arial" w:hAnsi="Arial" w:cs="Arial"/>
          <w:bCs/>
          <w:sz w:val="20"/>
          <w:szCs w:val="20"/>
          <w:lang w:eastAsia="ar-SA"/>
        </w:rPr>
        <w:t>:</w:t>
      </w:r>
      <w:r w:rsidRPr="00C9631A">
        <w:rPr>
          <w:rFonts w:ascii="Arial" w:hAnsi="Arial" w:cs="Arial"/>
          <w:sz w:val="20"/>
          <w:szCs w:val="20"/>
          <w:lang w:eastAsia="ar-SA"/>
        </w:rPr>
        <w:t xml:space="preserve"> comprendono tutti i beni (nuovi o usati) che, a titolo oneroso o gratuito, entrano nel territorio economico del Paese in provenienza dal Resto del mondo. Esse sono valutate al valore </w:t>
      </w:r>
      <w:proofErr w:type="spellStart"/>
      <w:r w:rsidRPr="00C9631A">
        <w:rPr>
          <w:rFonts w:ascii="Arial" w:hAnsi="Arial" w:cs="Arial"/>
          <w:sz w:val="20"/>
          <w:szCs w:val="20"/>
          <w:lang w:eastAsia="ar-SA"/>
        </w:rPr>
        <w:t>Cif</w:t>
      </w:r>
      <w:proofErr w:type="spellEnd"/>
      <w:r w:rsidRPr="00C9631A">
        <w:rPr>
          <w:rFonts w:ascii="Arial" w:hAnsi="Arial" w:cs="Arial"/>
          <w:sz w:val="20"/>
          <w:szCs w:val="20"/>
          <w:lang w:eastAsia="ar-SA"/>
        </w:rPr>
        <w:t xml:space="preserve"> (</w:t>
      </w:r>
      <w:proofErr w:type="spellStart"/>
      <w:r w:rsidRPr="00C9631A">
        <w:rPr>
          <w:rFonts w:ascii="Arial" w:hAnsi="Arial" w:cs="Arial"/>
          <w:sz w:val="20"/>
          <w:szCs w:val="20"/>
          <w:lang w:eastAsia="ar-SA"/>
        </w:rPr>
        <w:t>cost</w:t>
      </w:r>
      <w:proofErr w:type="spellEnd"/>
      <w:r w:rsidRPr="00C9631A">
        <w:rPr>
          <w:rFonts w:ascii="Arial" w:hAnsi="Arial" w:cs="Arial"/>
          <w:sz w:val="20"/>
          <w:szCs w:val="20"/>
          <w:lang w:eastAsia="ar-SA"/>
        </w:rPr>
        <w:t xml:space="preserve">, </w:t>
      </w:r>
      <w:proofErr w:type="spellStart"/>
      <w:r w:rsidRPr="00C9631A">
        <w:rPr>
          <w:rFonts w:ascii="Arial" w:hAnsi="Arial" w:cs="Arial"/>
          <w:sz w:val="20"/>
          <w:szCs w:val="20"/>
          <w:lang w:eastAsia="ar-SA"/>
        </w:rPr>
        <w:t>insurance</w:t>
      </w:r>
      <w:proofErr w:type="spellEnd"/>
      <w:r w:rsidRPr="00C9631A">
        <w:rPr>
          <w:rFonts w:ascii="Arial" w:hAnsi="Arial" w:cs="Arial"/>
          <w:sz w:val="20"/>
          <w:szCs w:val="20"/>
          <w:lang w:eastAsia="ar-SA"/>
        </w:rPr>
        <w:t xml:space="preserve">, </w:t>
      </w:r>
      <w:proofErr w:type="spellStart"/>
      <w:r w:rsidRPr="00C9631A">
        <w:rPr>
          <w:rFonts w:ascii="Arial" w:hAnsi="Arial" w:cs="Arial"/>
          <w:sz w:val="20"/>
          <w:szCs w:val="20"/>
          <w:lang w:eastAsia="ar-SA"/>
        </w:rPr>
        <w:t>freight</w:t>
      </w:r>
      <w:proofErr w:type="spellEnd"/>
      <w:r w:rsidRPr="00C9631A">
        <w:rPr>
          <w:rFonts w:ascii="Arial" w:hAnsi="Arial" w:cs="Arial"/>
          <w:sz w:val="20"/>
          <w:szCs w:val="20"/>
          <w:lang w:eastAsia="ar-SA"/>
        </w:rPr>
        <w:t xml:space="preserve">), che comprende: il valore </w:t>
      </w:r>
      <w:proofErr w:type="spellStart"/>
      <w:r w:rsidRPr="00C9631A">
        <w:rPr>
          <w:rFonts w:ascii="Arial" w:hAnsi="Arial" w:cs="Arial"/>
          <w:sz w:val="20"/>
          <w:szCs w:val="20"/>
          <w:lang w:eastAsia="ar-SA"/>
        </w:rPr>
        <w:t>Fob</w:t>
      </w:r>
      <w:proofErr w:type="spellEnd"/>
      <w:r w:rsidRPr="00C9631A">
        <w:rPr>
          <w:rFonts w:ascii="Arial" w:hAnsi="Arial" w:cs="Arial"/>
          <w:sz w:val="20"/>
          <w:szCs w:val="20"/>
          <w:lang w:eastAsia="ar-SA"/>
        </w:rPr>
        <w:t xml:space="preserve"> dei beni, le spese di trasporto e le attività assicurative tra la frontiera del Paese esportatore e la frontiera del Paese importatore.</w:t>
      </w:r>
    </w:p>
    <w:p w14:paraId="194A4603" w14:textId="77777777" w:rsidR="006B1C0B" w:rsidRPr="00C9631A" w:rsidRDefault="006B1C0B" w:rsidP="00E74CD4">
      <w:pPr>
        <w:spacing w:after="120"/>
        <w:jc w:val="both"/>
        <w:rPr>
          <w:rFonts w:ascii="Arial" w:hAnsi="Arial" w:cs="Arial"/>
          <w:sz w:val="20"/>
          <w:szCs w:val="20"/>
        </w:rPr>
      </w:pPr>
      <w:r w:rsidRPr="00C9631A">
        <w:rPr>
          <w:rFonts w:ascii="Arial" w:hAnsi="Arial" w:cs="Arial"/>
          <w:b/>
          <w:bCs/>
          <w:sz w:val="20"/>
          <w:szCs w:val="20"/>
        </w:rPr>
        <w:t>Indice dei prezzi all’importazione</w:t>
      </w:r>
      <w:r w:rsidRPr="00C9631A">
        <w:rPr>
          <w:rFonts w:ascii="Arial" w:hAnsi="Arial" w:cs="Arial"/>
          <w:bCs/>
          <w:sz w:val="20"/>
          <w:szCs w:val="20"/>
        </w:rPr>
        <w:t>:</w:t>
      </w:r>
      <w:r w:rsidRPr="00C9631A">
        <w:rPr>
          <w:rFonts w:ascii="Arial" w:hAnsi="Arial" w:cs="Arial"/>
          <w:b/>
          <w:bCs/>
          <w:sz w:val="20"/>
          <w:szCs w:val="20"/>
        </w:rPr>
        <w:t xml:space="preserve"> </w:t>
      </w:r>
      <w:r w:rsidRPr="00C9631A">
        <w:rPr>
          <w:rFonts w:ascii="Arial" w:hAnsi="Arial" w:cs="Arial"/>
          <w:sz w:val="20"/>
          <w:szCs w:val="20"/>
        </w:rPr>
        <w:t xml:space="preserve">indicatore mensile che misura le variazioni nel tempo dei prezzi all’importazione di un paniere rappresentativo dei principali prodotti industriali importati da imprese dell’industria e del commercio. I prezzi si riferiscono ai prodotti industriali importati da imprese (la cui attività economica prevalente nelle sezioni B, C, D, E, G della classificazione </w:t>
      </w:r>
      <w:proofErr w:type="spellStart"/>
      <w:r w:rsidRPr="00C9631A">
        <w:rPr>
          <w:rFonts w:ascii="Arial" w:hAnsi="Arial" w:cs="Arial"/>
          <w:sz w:val="20"/>
          <w:szCs w:val="20"/>
        </w:rPr>
        <w:t>Ateco</w:t>
      </w:r>
      <w:proofErr w:type="spellEnd"/>
      <w:r w:rsidRPr="00C9631A">
        <w:rPr>
          <w:rFonts w:ascii="Arial" w:hAnsi="Arial" w:cs="Arial"/>
          <w:sz w:val="20"/>
          <w:szCs w:val="20"/>
        </w:rPr>
        <w:t xml:space="preserve"> 2007 derivata dalla </w:t>
      </w:r>
      <w:proofErr w:type="spellStart"/>
      <w:r w:rsidRPr="00C9631A">
        <w:rPr>
          <w:rFonts w:ascii="Arial" w:hAnsi="Arial" w:cs="Arial"/>
          <w:sz w:val="20"/>
          <w:szCs w:val="20"/>
        </w:rPr>
        <w:t>Nace</w:t>
      </w:r>
      <w:proofErr w:type="spellEnd"/>
      <w:r w:rsidRPr="00C9631A">
        <w:rPr>
          <w:rFonts w:ascii="Arial" w:hAnsi="Arial" w:cs="Arial"/>
          <w:sz w:val="20"/>
          <w:szCs w:val="20"/>
        </w:rPr>
        <w:t xml:space="preserve"> Rev.2) situate sul territorio nazionale. L’indicatore è definito dal Regolamento delle Statistiche economiche congiunturali STS (CE) 1158/2005.</w:t>
      </w:r>
    </w:p>
    <w:p w14:paraId="516CAAAB" w14:textId="77777777" w:rsidR="006B1C0B" w:rsidRPr="00C9631A" w:rsidRDefault="006B1C0B" w:rsidP="00E74CD4">
      <w:pPr>
        <w:spacing w:after="120"/>
        <w:jc w:val="both"/>
        <w:rPr>
          <w:rFonts w:ascii="Arial" w:hAnsi="Arial" w:cs="Arial"/>
          <w:bCs/>
          <w:sz w:val="20"/>
          <w:szCs w:val="20"/>
        </w:rPr>
      </w:pPr>
      <w:r w:rsidRPr="00C9631A">
        <w:rPr>
          <w:rFonts w:ascii="Arial" w:hAnsi="Arial" w:cs="Arial"/>
          <w:b/>
          <w:bCs/>
          <w:sz w:val="20"/>
          <w:szCs w:val="20"/>
        </w:rPr>
        <w:t xml:space="preserve">Indice dei prezzi all’importazione </w:t>
      </w:r>
      <w:r w:rsidRPr="00C9631A">
        <w:rPr>
          <w:rFonts w:ascii="Arial" w:hAnsi="Arial" w:cs="Arial"/>
          <w:b/>
          <w:sz w:val="20"/>
          <w:szCs w:val="20"/>
        </w:rPr>
        <w:t>al netto dell’energia</w:t>
      </w:r>
      <w:r w:rsidRPr="00C9631A">
        <w:rPr>
          <w:rFonts w:ascii="Arial" w:hAnsi="Arial" w:cs="Arial"/>
          <w:sz w:val="20"/>
          <w:szCs w:val="20"/>
        </w:rPr>
        <w:t>:</w:t>
      </w:r>
      <w:r w:rsidRPr="00C9631A">
        <w:rPr>
          <w:rFonts w:ascii="Arial" w:hAnsi="Arial" w:cs="Arial"/>
          <w:b/>
          <w:sz w:val="20"/>
          <w:szCs w:val="20"/>
        </w:rPr>
        <w:t xml:space="preserve"> </w:t>
      </w:r>
      <w:r w:rsidRPr="00C9631A">
        <w:rPr>
          <w:rFonts w:ascii="Arial" w:hAnsi="Arial" w:cs="Arial"/>
          <w:sz w:val="20"/>
          <w:szCs w:val="20"/>
        </w:rPr>
        <w:t xml:space="preserve">misura la componente di fondo dell’indice </w:t>
      </w:r>
      <w:r w:rsidRPr="00C9631A">
        <w:rPr>
          <w:rFonts w:ascii="Arial" w:hAnsi="Arial" w:cs="Arial"/>
          <w:bCs/>
          <w:sz w:val="20"/>
          <w:szCs w:val="20"/>
        </w:rPr>
        <w:t>aggregato, calcolata al netto del Raggruppamento principale di industria Energia.</w:t>
      </w:r>
    </w:p>
    <w:p w14:paraId="50DC4A32" w14:textId="77777777" w:rsidR="006B1C0B" w:rsidRPr="00C9631A" w:rsidRDefault="006B1C0B" w:rsidP="00E74CD4">
      <w:pPr>
        <w:spacing w:after="120"/>
        <w:jc w:val="both"/>
        <w:rPr>
          <w:rFonts w:ascii="Arial" w:hAnsi="Arial" w:cs="Arial"/>
          <w:sz w:val="20"/>
          <w:szCs w:val="20"/>
        </w:rPr>
      </w:pPr>
      <w:r w:rsidRPr="00C9631A">
        <w:rPr>
          <w:rFonts w:ascii="Arial" w:hAnsi="Arial" w:cs="Arial"/>
          <w:b/>
          <w:bCs/>
          <w:sz w:val="20"/>
          <w:szCs w:val="20"/>
        </w:rPr>
        <w:t>Indice totale dei prezzi all’importazione</w:t>
      </w:r>
      <w:r w:rsidRPr="00C9631A">
        <w:rPr>
          <w:rFonts w:ascii="Arial" w:hAnsi="Arial" w:cs="Arial"/>
          <w:bCs/>
          <w:sz w:val="20"/>
          <w:szCs w:val="20"/>
        </w:rPr>
        <w:t>:</w:t>
      </w:r>
      <w:r w:rsidRPr="00C9631A">
        <w:rPr>
          <w:rFonts w:ascii="Arial" w:hAnsi="Arial" w:cs="Arial"/>
          <w:b/>
          <w:bCs/>
          <w:sz w:val="20"/>
          <w:szCs w:val="20"/>
        </w:rPr>
        <w:t xml:space="preserve"> </w:t>
      </w:r>
      <w:r w:rsidRPr="00C9631A">
        <w:rPr>
          <w:rFonts w:ascii="Arial" w:hAnsi="Arial" w:cs="Arial"/>
          <w:sz w:val="20"/>
          <w:szCs w:val="20"/>
        </w:rPr>
        <w:t>indicatore definito dalla media aritmetica ponderata degli indici dei prezzi calcolati sui mercati dell’Area euro e non euro.</w:t>
      </w:r>
    </w:p>
    <w:p w14:paraId="2E174578" w14:textId="48B791D0" w:rsidR="006B1C0B" w:rsidRPr="00C9631A" w:rsidRDefault="006B1C0B" w:rsidP="00E74CD4">
      <w:pPr>
        <w:spacing w:after="120"/>
        <w:jc w:val="both"/>
        <w:rPr>
          <w:rFonts w:ascii="Arial" w:hAnsi="Arial" w:cs="Arial"/>
          <w:sz w:val="20"/>
          <w:szCs w:val="20"/>
        </w:rPr>
      </w:pPr>
      <w:r w:rsidRPr="00C9631A">
        <w:rPr>
          <w:rFonts w:ascii="Arial" w:hAnsi="Arial" w:cs="Arial"/>
          <w:b/>
          <w:bCs/>
          <w:sz w:val="20"/>
          <w:szCs w:val="20"/>
        </w:rPr>
        <w:t>Merce</w:t>
      </w:r>
      <w:r w:rsidRPr="00C9631A">
        <w:rPr>
          <w:rFonts w:ascii="Arial" w:hAnsi="Arial" w:cs="Arial"/>
          <w:bCs/>
          <w:sz w:val="20"/>
          <w:szCs w:val="20"/>
        </w:rPr>
        <w:t>: tutte le merci che fisicamente transitano la frontier</w:t>
      </w:r>
      <w:r w:rsidR="00E37A51">
        <w:rPr>
          <w:rFonts w:ascii="Arial" w:hAnsi="Arial" w:cs="Arial"/>
          <w:bCs/>
          <w:sz w:val="20"/>
          <w:szCs w:val="20"/>
        </w:rPr>
        <w:t>a</w:t>
      </w:r>
      <w:r w:rsidRPr="00C9631A">
        <w:rPr>
          <w:rFonts w:ascii="Arial" w:hAnsi="Arial" w:cs="Arial"/>
          <w:bCs/>
          <w:sz w:val="20"/>
          <w:szCs w:val="20"/>
        </w:rPr>
        <w:t xml:space="preserve"> nazionale, inclusa l'energia elettrica. Per i movimenti particolari, che includono navi e aerei è utilizzato il principio della proprietà economica.</w:t>
      </w:r>
    </w:p>
    <w:p w14:paraId="4DD0D63F" w14:textId="77777777" w:rsidR="006B1C0B" w:rsidRPr="00C9631A" w:rsidRDefault="006B1C0B" w:rsidP="00E74CD4">
      <w:pPr>
        <w:spacing w:after="120"/>
        <w:ind w:right="20"/>
        <w:jc w:val="both"/>
        <w:rPr>
          <w:rFonts w:ascii="Arial" w:hAnsi="Arial" w:cs="Arial"/>
          <w:sz w:val="20"/>
          <w:szCs w:val="20"/>
        </w:rPr>
      </w:pPr>
      <w:r w:rsidRPr="00C9631A">
        <w:rPr>
          <w:rFonts w:ascii="Arial" w:hAnsi="Arial" w:cs="Arial"/>
          <w:b/>
          <w:sz w:val="20"/>
          <w:szCs w:val="20"/>
        </w:rPr>
        <w:t>Quote di mercato</w:t>
      </w:r>
      <w:r w:rsidRPr="00C9631A">
        <w:rPr>
          <w:rFonts w:ascii="Arial" w:hAnsi="Arial" w:cs="Arial"/>
          <w:sz w:val="20"/>
          <w:szCs w:val="20"/>
        </w:rPr>
        <w:t>:</w:t>
      </w:r>
      <w:r w:rsidRPr="00C9631A">
        <w:rPr>
          <w:rFonts w:ascii="Arial" w:hAnsi="Arial" w:cs="Arial"/>
          <w:b/>
          <w:sz w:val="20"/>
          <w:szCs w:val="20"/>
        </w:rPr>
        <w:t xml:space="preserve"> </w:t>
      </w:r>
      <w:r w:rsidRPr="00C9631A">
        <w:rPr>
          <w:rFonts w:ascii="Arial" w:hAnsi="Arial" w:cs="Arial"/>
          <w:sz w:val="20"/>
          <w:szCs w:val="20"/>
        </w:rPr>
        <w:t xml:space="preserve">rapporto percentuale tra valore delle esportazioni nazionali e valore delle esportazioni di un gruppo di paesi elaborato a partire da dati di fonte </w:t>
      </w:r>
      <w:proofErr w:type="spellStart"/>
      <w:r w:rsidRPr="00C9631A">
        <w:rPr>
          <w:rFonts w:ascii="Arial" w:hAnsi="Arial" w:cs="Arial"/>
          <w:sz w:val="20"/>
          <w:szCs w:val="20"/>
        </w:rPr>
        <w:t>Eurostat</w:t>
      </w:r>
      <w:proofErr w:type="spellEnd"/>
      <w:r w:rsidRPr="00C9631A">
        <w:rPr>
          <w:rFonts w:ascii="Arial" w:hAnsi="Arial" w:cs="Arial"/>
          <w:sz w:val="20"/>
          <w:szCs w:val="20"/>
        </w:rPr>
        <w:t xml:space="preserve"> rispetto all’ultimo periodo di disponibilità dei dati. </w:t>
      </w:r>
    </w:p>
    <w:p w14:paraId="5FB81DEE" w14:textId="77777777" w:rsidR="006B1C0B" w:rsidRPr="00C9631A" w:rsidRDefault="006B1C0B" w:rsidP="00E74CD4">
      <w:pPr>
        <w:spacing w:after="120"/>
        <w:ind w:right="20"/>
        <w:jc w:val="both"/>
        <w:rPr>
          <w:rFonts w:ascii="Arial" w:hAnsi="Arial" w:cs="Arial"/>
          <w:sz w:val="20"/>
          <w:szCs w:val="20"/>
        </w:rPr>
      </w:pPr>
      <w:r w:rsidRPr="00C9631A">
        <w:rPr>
          <w:rFonts w:ascii="Arial" w:hAnsi="Arial" w:cs="Arial"/>
          <w:b/>
          <w:sz w:val="20"/>
          <w:szCs w:val="20"/>
        </w:rPr>
        <w:t>Raggruppamenti principali di industrie</w:t>
      </w:r>
      <w:r w:rsidRPr="00C9631A">
        <w:rPr>
          <w:rFonts w:ascii="Arial" w:hAnsi="Arial" w:cs="Arial"/>
          <w:sz w:val="20"/>
          <w:szCs w:val="20"/>
        </w:rPr>
        <w:t>:</w:t>
      </w:r>
      <w:r w:rsidRPr="00C9631A">
        <w:rPr>
          <w:rFonts w:ascii="Arial" w:hAnsi="Arial" w:cs="Arial"/>
          <w:b/>
          <w:sz w:val="20"/>
          <w:szCs w:val="20"/>
        </w:rPr>
        <w:t xml:space="preserve"> </w:t>
      </w:r>
      <w:r w:rsidRPr="00C9631A">
        <w:rPr>
          <w:rFonts w:ascii="Arial" w:hAnsi="Arial" w:cs="Arial"/>
          <w:sz w:val="20"/>
          <w:szCs w:val="20"/>
        </w:rPr>
        <w:t>gruppi e/o divisioni di attività economica definiti, secondo il criterio della prevalenza.</w:t>
      </w:r>
    </w:p>
    <w:p w14:paraId="356114A5" w14:textId="77777777" w:rsidR="006B1C0B" w:rsidRPr="00C9631A" w:rsidRDefault="006B1C0B" w:rsidP="00E74CD4">
      <w:pPr>
        <w:spacing w:after="120"/>
        <w:jc w:val="both"/>
        <w:rPr>
          <w:rFonts w:ascii="Arial" w:hAnsi="Arial" w:cs="Arial"/>
          <w:sz w:val="20"/>
          <w:szCs w:val="20"/>
        </w:rPr>
      </w:pPr>
      <w:r w:rsidRPr="00C9631A">
        <w:rPr>
          <w:rFonts w:ascii="Arial" w:hAnsi="Arial" w:cs="Arial"/>
          <w:b/>
          <w:sz w:val="20"/>
          <w:szCs w:val="20"/>
        </w:rPr>
        <w:t>Revisioni</w:t>
      </w:r>
      <w:r w:rsidRPr="00C9631A">
        <w:rPr>
          <w:rFonts w:ascii="Arial" w:hAnsi="Arial" w:cs="Arial"/>
          <w:sz w:val="20"/>
          <w:szCs w:val="20"/>
        </w:rPr>
        <w:t>: differenze in punti tra la variazione percentuale pubblicata come dato provvisorio nel precedente comunicato stampa e quella definitiva relativa allo stesso mese di riferimento. Data la complessità merceologica e geografica dei dati di commercio estero, oltre alla revisione mensile, i regolamenti statistici comunitari prevedono che i dati mensili dell’anno t-1 siano ulteriormente rivisti e diffusi nel mese di novembre dell’anno t.</w:t>
      </w:r>
    </w:p>
    <w:p w14:paraId="6861C7F8" w14:textId="77777777" w:rsidR="008028CC" w:rsidRDefault="008028CC" w:rsidP="00E74CD4">
      <w:pPr>
        <w:spacing w:after="120"/>
        <w:jc w:val="both"/>
        <w:rPr>
          <w:rFonts w:ascii="Arial" w:hAnsi="Arial" w:cs="Arial"/>
          <w:b/>
          <w:sz w:val="20"/>
          <w:szCs w:val="20"/>
        </w:rPr>
      </w:pPr>
    </w:p>
    <w:p w14:paraId="0A41609F" w14:textId="77777777" w:rsidR="008028CC" w:rsidRDefault="008028CC" w:rsidP="00E74CD4">
      <w:pPr>
        <w:spacing w:after="120"/>
        <w:jc w:val="both"/>
        <w:rPr>
          <w:rFonts w:ascii="Arial" w:hAnsi="Arial" w:cs="Arial"/>
          <w:b/>
          <w:sz w:val="20"/>
          <w:szCs w:val="20"/>
        </w:rPr>
      </w:pPr>
    </w:p>
    <w:p w14:paraId="092459FB" w14:textId="77777777" w:rsidR="008028CC" w:rsidRDefault="008028CC" w:rsidP="00E74CD4">
      <w:pPr>
        <w:spacing w:after="120"/>
        <w:jc w:val="both"/>
        <w:rPr>
          <w:rFonts w:ascii="Arial" w:hAnsi="Arial" w:cs="Arial"/>
          <w:b/>
          <w:sz w:val="20"/>
          <w:szCs w:val="20"/>
        </w:rPr>
      </w:pPr>
    </w:p>
    <w:p w14:paraId="529C97B9" w14:textId="77777777" w:rsidR="008028CC" w:rsidRDefault="008028CC" w:rsidP="00E74CD4">
      <w:pPr>
        <w:spacing w:after="120"/>
        <w:jc w:val="both"/>
        <w:rPr>
          <w:rFonts w:ascii="Arial" w:hAnsi="Arial" w:cs="Arial"/>
          <w:b/>
          <w:sz w:val="20"/>
          <w:szCs w:val="20"/>
        </w:rPr>
      </w:pPr>
    </w:p>
    <w:p w14:paraId="5C756E1F" w14:textId="77777777" w:rsidR="006B1C0B" w:rsidRPr="00C9631A" w:rsidRDefault="006B1C0B" w:rsidP="00E74CD4">
      <w:pPr>
        <w:spacing w:after="120"/>
        <w:jc w:val="both"/>
        <w:rPr>
          <w:rFonts w:ascii="Arial" w:hAnsi="Arial" w:cs="Arial"/>
          <w:b/>
          <w:sz w:val="20"/>
          <w:szCs w:val="20"/>
        </w:rPr>
      </w:pPr>
      <w:r w:rsidRPr="00C9631A">
        <w:rPr>
          <w:rFonts w:ascii="Arial" w:hAnsi="Arial" w:cs="Arial"/>
          <w:b/>
          <w:sz w:val="20"/>
          <w:szCs w:val="20"/>
        </w:rPr>
        <w:t>Settori di attività economica</w:t>
      </w:r>
      <w:r w:rsidRPr="00C9631A">
        <w:rPr>
          <w:rFonts w:ascii="Arial" w:hAnsi="Arial" w:cs="Arial"/>
          <w:sz w:val="20"/>
          <w:szCs w:val="20"/>
        </w:rPr>
        <w:t xml:space="preserve">: aggregati della classificazione </w:t>
      </w:r>
      <w:hyperlink r:id="rId36" w:history="1">
        <w:r w:rsidRPr="00C9631A">
          <w:rPr>
            <w:rStyle w:val="Collegamentoipertestuale"/>
            <w:rFonts w:ascii="Arial" w:hAnsi="Arial" w:cs="Arial"/>
            <w:sz w:val="20"/>
            <w:szCs w:val="20"/>
          </w:rPr>
          <w:t>SNA/ISIC A38</w:t>
        </w:r>
      </w:hyperlink>
      <w:r w:rsidRPr="00C9631A">
        <w:rPr>
          <w:rFonts w:ascii="Arial" w:hAnsi="Arial" w:cs="Arial"/>
          <w:sz w:val="20"/>
          <w:szCs w:val="20"/>
        </w:rPr>
        <w:t xml:space="preserve"> (non previsti dalla classificazione </w:t>
      </w:r>
      <w:hyperlink r:id="rId37" w:history="1">
        <w:proofErr w:type="spellStart"/>
        <w:r w:rsidRPr="00C9631A">
          <w:rPr>
            <w:rStyle w:val="Collegamentoipertestuale"/>
            <w:rFonts w:ascii="Arial" w:hAnsi="Arial" w:cs="Arial"/>
            <w:sz w:val="20"/>
            <w:szCs w:val="20"/>
          </w:rPr>
          <w:t>Nace</w:t>
        </w:r>
        <w:proofErr w:type="spellEnd"/>
        <w:r w:rsidRPr="00C9631A">
          <w:rPr>
            <w:rStyle w:val="Collegamentoipertestuale"/>
            <w:rFonts w:ascii="Arial" w:hAnsi="Arial" w:cs="Arial"/>
            <w:sz w:val="20"/>
            <w:szCs w:val="20"/>
          </w:rPr>
          <w:t xml:space="preserve"> Rev.2</w:t>
        </w:r>
      </w:hyperlink>
      <w:r w:rsidRPr="00C9631A">
        <w:rPr>
          <w:rFonts w:ascii="Arial" w:hAnsi="Arial" w:cs="Arial"/>
          <w:sz w:val="20"/>
          <w:szCs w:val="20"/>
        </w:rPr>
        <w:t>) pubblicati per continuità storica con l’informazione fornita prima del gennaio 2009.</w:t>
      </w:r>
    </w:p>
    <w:p w14:paraId="200E73E7" w14:textId="77777777" w:rsidR="006B1C0B" w:rsidRPr="00C9631A" w:rsidRDefault="006B1C0B" w:rsidP="00E74CD4">
      <w:pPr>
        <w:spacing w:after="120"/>
        <w:ind w:right="20"/>
        <w:jc w:val="both"/>
        <w:rPr>
          <w:rFonts w:ascii="Arial" w:hAnsi="Arial" w:cs="Arial"/>
          <w:sz w:val="20"/>
          <w:szCs w:val="20"/>
        </w:rPr>
      </w:pPr>
      <w:r w:rsidRPr="00C9631A">
        <w:rPr>
          <w:rFonts w:ascii="Arial" w:hAnsi="Arial" w:cs="Arial"/>
          <w:b/>
          <w:sz w:val="20"/>
          <w:szCs w:val="20"/>
        </w:rPr>
        <w:t>Variazione congiunturale</w:t>
      </w:r>
      <w:r w:rsidRPr="00C9631A">
        <w:rPr>
          <w:rFonts w:ascii="Arial" w:hAnsi="Arial" w:cs="Arial"/>
          <w:sz w:val="20"/>
          <w:szCs w:val="20"/>
        </w:rPr>
        <w:t>: variazione percentuale rispetto al mese o al periodo precedente.</w:t>
      </w:r>
    </w:p>
    <w:p w14:paraId="65813A2F" w14:textId="77777777" w:rsidR="006B1C0B" w:rsidRPr="00C9631A" w:rsidRDefault="006B1C0B" w:rsidP="00E74CD4">
      <w:pPr>
        <w:pStyle w:val="Corpodeltesto1"/>
        <w:spacing w:after="120"/>
        <w:rPr>
          <w:rFonts w:ascii="Arial" w:hAnsi="Arial" w:cs="Arial"/>
          <w:b w:val="0"/>
          <w:sz w:val="20"/>
          <w:szCs w:val="20"/>
        </w:rPr>
      </w:pPr>
      <w:r w:rsidRPr="00C9631A">
        <w:rPr>
          <w:rFonts w:ascii="Arial" w:hAnsi="Arial" w:cs="Arial"/>
          <w:sz w:val="20"/>
          <w:szCs w:val="20"/>
        </w:rPr>
        <w:t>Variazione tendenziale</w:t>
      </w:r>
      <w:r w:rsidRPr="00C9631A">
        <w:rPr>
          <w:rFonts w:ascii="Arial" w:hAnsi="Arial" w:cs="Arial"/>
          <w:b w:val="0"/>
          <w:bCs/>
          <w:sz w:val="20"/>
          <w:szCs w:val="20"/>
        </w:rPr>
        <w:t>:</w:t>
      </w:r>
      <w:r w:rsidRPr="00C9631A">
        <w:rPr>
          <w:rFonts w:ascii="Arial" w:hAnsi="Arial" w:cs="Arial"/>
          <w:b w:val="0"/>
          <w:sz w:val="20"/>
          <w:szCs w:val="20"/>
        </w:rPr>
        <w:t xml:space="preserve"> variazione percentuale rispetto allo stesso mese o allo stesso periodo dell’anno precedente.</w:t>
      </w:r>
    </w:p>
    <w:p w14:paraId="29A2120A" w14:textId="77777777" w:rsidR="008028CC" w:rsidRPr="00C9631A" w:rsidRDefault="008028CC" w:rsidP="006B1C0B">
      <w:pPr>
        <w:spacing w:after="120"/>
        <w:jc w:val="both"/>
        <w:rPr>
          <w:rFonts w:ascii="Arial" w:hAnsi="Arial" w:cs="Arial"/>
          <w:b/>
          <w:sz w:val="20"/>
          <w:szCs w:val="20"/>
        </w:rPr>
      </w:pPr>
    </w:p>
    <w:p w14:paraId="499AD1DD" w14:textId="77777777" w:rsidR="006B1C0B" w:rsidRDefault="006B1C0B" w:rsidP="006B1C0B">
      <w:pPr>
        <w:spacing w:after="120"/>
        <w:jc w:val="both"/>
        <w:rPr>
          <w:rFonts w:ascii="Arial" w:hAnsi="Arial" w:cs="Arial"/>
          <w:b/>
          <w:sz w:val="22"/>
          <w:szCs w:val="20"/>
        </w:rPr>
      </w:pPr>
      <w:r w:rsidRPr="00C9631A">
        <w:rPr>
          <w:rFonts w:ascii="Arial" w:hAnsi="Arial" w:cs="Arial"/>
          <w:b/>
          <w:sz w:val="22"/>
          <w:szCs w:val="20"/>
        </w:rPr>
        <w:t xml:space="preserve">Definizioni delle aree geografiche e </w:t>
      </w:r>
      <w:proofErr w:type="spellStart"/>
      <w:r w:rsidRPr="00C9631A">
        <w:rPr>
          <w:rFonts w:ascii="Arial" w:hAnsi="Arial" w:cs="Arial"/>
          <w:b/>
          <w:sz w:val="22"/>
          <w:szCs w:val="20"/>
        </w:rPr>
        <w:t>geoeconomiche</w:t>
      </w:r>
      <w:proofErr w:type="spellEnd"/>
    </w:p>
    <w:p w14:paraId="5371E905" w14:textId="77777777" w:rsidR="006B1C0B" w:rsidRPr="00C9631A" w:rsidRDefault="006B1C0B" w:rsidP="00E74CD4">
      <w:pPr>
        <w:spacing w:after="120"/>
        <w:jc w:val="both"/>
        <w:rPr>
          <w:rFonts w:ascii="Arial" w:hAnsi="Arial" w:cs="Arial"/>
          <w:sz w:val="20"/>
          <w:szCs w:val="20"/>
        </w:rPr>
      </w:pPr>
      <w:r w:rsidRPr="00C9631A">
        <w:rPr>
          <w:rFonts w:ascii="Arial" w:hAnsi="Arial" w:cs="Arial"/>
          <w:b/>
          <w:bCs/>
          <w:iCs/>
          <w:sz w:val="20"/>
          <w:szCs w:val="20"/>
        </w:rPr>
        <w:t>Africa settentrionale</w:t>
      </w:r>
      <w:r w:rsidRPr="00C9631A">
        <w:rPr>
          <w:rFonts w:ascii="Arial" w:hAnsi="Arial" w:cs="Arial"/>
          <w:sz w:val="20"/>
          <w:szCs w:val="20"/>
        </w:rPr>
        <w:t>: Algeria, Egitto, Ceuta, Libia, Marocco, Melilla, Sahara Occidentale, Tunisia.</w:t>
      </w:r>
    </w:p>
    <w:p w14:paraId="54054792" w14:textId="77777777" w:rsidR="006B1C0B" w:rsidRPr="00C9631A" w:rsidRDefault="006B1C0B" w:rsidP="00E74CD4">
      <w:pPr>
        <w:spacing w:after="120"/>
        <w:jc w:val="both"/>
        <w:rPr>
          <w:rFonts w:ascii="Arial" w:hAnsi="Arial" w:cs="Arial"/>
          <w:sz w:val="20"/>
          <w:szCs w:val="20"/>
        </w:rPr>
      </w:pPr>
      <w:r w:rsidRPr="00C9631A">
        <w:rPr>
          <w:rFonts w:ascii="Arial" w:hAnsi="Arial" w:cs="Arial"/>
          <w:b/>
          <w:bCs/>
          <w:iCs/>
          <w:sz w:val="20"/>
          <w:szCs w:val="20"/>
        </w:rPr>
        <w:t>Altri paesi africani</w:t>
      </w:r>
      <w:r w:rsidRPr="00C9631A">
        <w:rPr>
          <w:rFonts w:ascii="Arial" w:hAnsi="Arial" w:cs="Arial"/>
          <w:sz w:val="20"/>
          <w:szCs w:val="20"/>
        </w:rPr>
        <w:t xml:space="preserve">: Angola, Benin, Botswana, Burkina Faso, Burundi, Camerun, Capo Verde, Ciad, Comore, Congo, Costa d’Avorio, Eritrea, Etiopia, Gabon, Gambia, Ghana, Gibuti, Guinea, Guinea equatoriale, Guinea-Bissau, Kenya, Lesotho, Liberia, Madagascar, Malawi, Mali, Mauritania, Maurizio, Mayotte, Mozambico, Namibia, Niger, Nigeria, Repubblica Centrafricana, Repubblica democratica del Congo, Repubblica unita di Tanzania, Ruanda, Sant’Elena-Ascensione e </w:t>
      </w:r>
      <w:proofErr w:type="spellStart"/>
      <w:r w:rsidRPr="00C9631A">
        <w:rPr>
          <w:rFonts w:ascii="Arial" w:hAnsi="Arial" w:cs="Arial"/>
          <w:sz w:val="20"/>
          <w:szCs w:val="20"/>
        </w:rPr>
        <w:t>Tristan</w:t>
      </w:r>
      <w:proofErr w:type="spellEnd"/>
      <w:r w:rsidRPr="00C9631A">
        <w:rPr>
          <w:rFonts w:ascii="Arial" w:hAnsi="Arial" w:cs="Arial"/>
          <w:sz w:val="20"/>
          <w:szCs w:val="20"/>
        </w:rPr>
        <w:t xml:space="preserve"> da </w:t>
      </w:r>
      <w:proofErr w:type="spellStart"/>
      <w:r w:rsidRPr="00C9631A">
        <w:rPr>
          <w:rFonts w:ascii="Arial" w:hAnsi="Arial" w:cs="Arial"/>
          <w:sz w:val="20"/>
          <w:szCs w:val="20"/>
        </w:rPr>
        <w:t>Cunha</w:t>
      </w:r>
      <w:proofErr w:type="spellEnd"/>
      <w:r w:rsidRPr="00C9631A">
        <w:rPr>
          <w:rFonts w:ascii="Arial" w:hAnsi="Arial" w:cs="Arial"/>
          <w:sz w:val="20"/>
          <w:szCs w:val="20"/>
        </w:rPr>
        <w:t xml:space="preserve">, </w:t>
      </w:r>
      <w:proofErr w:type="spellStart"/>
      <w:r w:rsidRPr="00C9631A">
        <w:rPr>
          <w:rFonts w:ascii="Arial" w:hAnsi="Arial" w:cs="Arial"/>
          <w:sz w:val="20"/>
          <w:szCs w:val="20"/>
        </w:rPr>
        <w:t>São</w:t>
      </w:r>
      <w:proofErr w:type="spellEnd"/>
      <w:r w:rsidRPr="00C9631A">
        <w:rPr>
          <w:rFonts w:ascii="Arial" w:hAnsi="Arial" w:cs="Arial"/>
          <w:sz w:val="20"/>
          <w:szCs w:val="20"/>
        </w:rPr>
        <w:t xml:space="preserve"> </w:t>
      </w:r>
      <w:proofErr w:type="spellStart"/>
      <w:r w:rsidRPr="00C9631A">
        <w:rPr>
          <w:rFonts w:ascii="Arial" w:hAnsi="Arial" w:cs="Arial"/>
          <w:sz w:val="20"/>
          <w:szCs w:val="20"/>
        </w:rPr>
        <w:t>Tomé</w:t>
      </w:r>
      <w:proofErr w:type="spellEnd"/>
      <w:r w:rsidRPr="00C9631A">
        <w:rPr>
          <w:rFonts w:ascii="Arial" w:hAnsi="Arial" w:cs="Arial"/>
          <w:sz w:val="20"/>
          <w:szCs w:val="20"/>
        </w:rPr>
        <w:t xml:space="preserve"> e Principe, Seychelles, Senegal, Sierra Leone, Somalia, Sud Africa, Sudan, Sud Sudan, Swaziland, Territorio britannico dell’ Oceano Indiano, Togo, Uganda, Zambia, Zimbabwe. </w:t>
      </w:r>
    </w:p>
    <w:p w14:paraId="69979550" w14:textId="77777777" w:rsidR="006B1C0B" w:rsidRPr="00C9631A" w:rsidRDefault="006B1C0B" w:rsidP="00E74CD4">
      <w:pPr>
        <w:spacing w:after="120"/>
        <w:jc w:val="both"/>
        <w:rPr>
          <w:rFonts w:ascii="Arial" w:hAnsi="Arial" w:cs="Arial"/>
          <w:b/>
          <w:bCs/>
          <w:i/>
          <w:iCs/>
          <w:sz w:val="20"/>
          <w:szCs w:val="20"/>
        </w:rPr>
      </w:pPr>
      <w:r w:rsidRPr="00C9631A">
        <w:rPr>
          <w:rFonts w:ascii="Arial" w:hAnsi="Arial" w:cs="Arial"/>
          <w:b/>
          <w:bCs/>
          <w:iCs/>
          <w:sz w:val="20"/>
          <w:szCs w:val="20"/>
        </w:rPr>
        <w:t>Altri paesi asiatici</w:t>
      </w:r>
      <w:r w:rsidRPr="00C9631A">
        <w:rPr>
          <w:rFonts w:ascii="Arial" w:hAnsi="Arial" w:cs="Arial"/>
          <w:i/>
          <w:iCs/>
          <w:sz w:val="20"/>
          <w:szCs w:val="20"/>
        </w:rPr>
        <w:t xml:space="preserve">: </w:t>
      </w:r>
      <w:r w:rsidRPr="00C9631A">
        <w:rPr>
          <w:rFonts w:ascii="Arial" w:hAnsi="Arial" w:cs="Arial"/>
          <w:sz w:val="20"/>
          <w:szCs w:val="20"/>
        </w:rPr>
        <w:t xml:space="preserve">Afghanistan, Bangladesh, Bhutan, Birmania, Brunei, Cambogia, Cina, Corea del Nord, Corea del Sud, Filippine, Giappone, Hong Kong, India, Indonesia, Kazakistan, Kirghizistan, Laos, Macao, </w:t>
      </w:r>
      <w:proofErr w:type="spellStart"/>
      <w:r w:rsidRPr="00C9631A">
        <w:rPr>
          <w:rFonts w:ascii="Arial" w:hAnsi="Arial" w:cs="Arial"/>
          <w:sz w:val="20"/>
          <w:szCs w:val="20"/>
        </w:rPr>
        <w:t>Malaysia</w:t>
      </w:r>
      <w:proofErr w:type="spellEnd"/>
      <w:r w:rsidRPr="00C9631A">
        <w:rPr>
          <w:rFonts w:ascii="Arial" w:hAnsi="Arial" w:cs="Arial"/>
          <w:sz w:val="20"/>
          <w:szCs w:val="20"/>
        </w:rPr>
        <w:t xml:space="preserve">, Maldive, Mongolia, Nepal, Pakistan, Singapore, </w:t>
      </w:r>
      <w:proofErr w:type="spellStart"/>
      <w:r w:rsidRPr="00C9631A">
        <w:rPr>
          <w:rFonts w:ascii="Arial" w:hAnsi="Arial" w:cs="Arial"/>
          <w:sz w:val="20"/>
          <w:szCs w:val="20"/>
        </w:rPr>
        <w:t>Sri</w:t>
      </w:r>
      <w:proofErr w:type="spellEnd"/>
      <w:r w:rsidRPr="00C9631A">
        <w:rPr>
          <w:rFonts w:ascii="Arial" w:hAnsi="Arial" w:cs="Arial"/>
          <w:sz w:val="20"/>
          <w:szCs w:val="20"/>
        </w:rPr>
        <w:t xml:space="preserve"> Lanka, Tagikistan, Taiwan, </w:t>
      </w:r>
      <w:proofErr w:type="spellStart"/>
      <w:r w:rsidRPr="00C9631A">
        <w:rPr>
          <w:rFonts w:ascii="Arial" w:hAnsi="Arial" w:cs="Arial"/>
          <w:sz w:val="20"/>
          <w:szCs w:val="20"/>
        </w:rPr>
        <w:t>Thailandia</w:t>
      </w:r>
      <w:proofErr w:type="spellEnd"/>
      <w:r w:rsidRPr="00C9631A">
        <w:rPr>
          <w:rFonts w:ascii="Arial" w:hAnsi="Arial" w:cs="Arial"/>
          <w:sz w:val="20"/>
          <w:szCs w:val="20"/>
        </w:rPr>
        <w:t>, Timor-Leste, Turkmenistan, Uzbekistan, Vietnam.</w:t>
      </w:r>
    </w:p>
    <w:p w14:paraId="7747FFC4" w14:textId="77777777" w:rsidR="006B1C0B" w:rsidRPr="00C9631A" w:rsidRDefault="006B1C0B" w:rsidP="00E74CD4">
      <w:pPr>
        <w:spacing w:after="120"/>
        <w:jc w:val="both"/>
        <w:rPr>
          <w:rFonts w:ascii="Arial" w:hAnsi="Arial" w:cs="Arial"/>
          <w:b/>
          <w:bCs/>
          <w:i/>
          <w:iCs/>
          <w:sz w:val="20"/>
          <w:szCs w:val="20"/>
        </w:rPr>
      </w:pPr>
      <w:r w:rsidRPr="00C9631A">
        <w:rPr>
          <w:rFonts w:ascii="Arial" w:hAnsi="Arial" w:cs="Arial"/>
          <w:b/>
          <w:bCs/>
          <w:iCs/>
          <w:sz w:val="20"/>
          <w:szCs w:val="20"/>
        </w:rPr>
        <w:t>America centro-meridionale</w:t>
      </w:r>
      <w:r w:rsidRPr="00C9631A">
        <w:rPr>
          <w:rFonts w:ascii="Arial" w:hAnsi="Arial" w:cs="Arial"/>
          <w:i/>
          <w:iCs/>
          <w:sz w:val="20"/>
          <w:szCs w:val="20"/>
        </w:rPr>
        <w:t xml:space="preserve">: </w:t>
      </w:r>
      <w:r w:rsidRPr="00C9631A">
        <w:rPr>
          <w:rFonts w:ascii="Arial" w:hAnsi="Arial" w:cs="Arial"/>
          <w:sz w:val="20"/>
          <w:szCs w:val="20"/>
        </w:rPr>
        <w:t xml:space="preserve">Anguilla, Antigua e Barbuda, Argentina, Aruba, Bahama, Barbados, Belize, Bermuda, Bolivia, </w:t>
      </w:r>
      <w:proofErr w:type="spellStart"/>
      <w:r w:rsidRPr="00C9631A">
        <w:rPr>
          <w:rFonts w:ascii="Arial" w:hAnsi="Arial" w:cs="Arial"/>
          <w:sz w:val="20"/>
          <w:szCs w:val="20"/>
        </w:rPr>
        <w:t>Bonaire</w:t>
      </w:r>
      <w:proofErr w:type="spellEnd"/>
      <w:r w:rsidRPr="00C9631A">
        <w:rPr>
          <w:rFonts w:ascii="Arial" w:hAnsi="Arial" w:cs="Arial"/>
          <w:sz w:val="20"/>
          <w:szCs w:val="20"/>
        </w:rPr>
        <w:t xml:space="preserve">, </w:t>
      </w:r>
      <w:proofErr w:type="spellStart"/>
      <w:r w:rsidRPr="00C9631A">
        <w:rPr>
          <w:rFonts w:ascii="Arial" w:hAnsi="Arial" w:cs="Arial"/>
          <w:sz w:val="20"/>
          <w:szCs w:val="20"/>
        </w:rPr>
        <w:t>Sint</w:t>
      </w:r>
      <w:proofErr w:type="spellEnd"/>
      <w:r w:rsidRPr="00C9631A">
        <w:rPr>
          <w:rFonts w:ascii="Arial" w:hAnsi="Arial" w:cs="Arial"/>
          <w:sz w:val="20"/>
          <w:szCs w:val="20"/>
        </w:rPr>
        <w:t xml:space="preserve"> </w:t>
      </w:r>
      <w:proofErr w:type="spellStart"/>
      <w:r w:rsidRPr="00C9631A">
        <w:rPr>
          <w:rFonts w:ascii="Arial" w:hAnsi="Arial" w:cs="Arial"/>
          <w:sz w:val="20"/>
          <w:szCs w:val="20"/>
        </w:rPr>
        <w:t>Eustatius</w:t>
      </w:r>
      <w:proofErr w:type="spellEnd"/>
      <w:r w:rsidRPr="00C9631A">
        <w:rPr>
          <w:rFonts w:ascii="Arial" w:hAnsi="Arial" w:cs="Arial"/>
          <w:sz w:val="20"/>
          <w:szCs w:val="20"/>
        </w:rPr>
        <w:t xml:space="preserve"> e Saba, Brasile, Cile, Colombia, Costa Rica, Cuba, Curaçao, Dominica, Ecuador, </w:t>
      </w:r>
      <w:proofErr w:type="spellStart"/>
      <w:r w:rsidRPr="00C9631A">
        <w:rPr>
          <w:rFonts w:ascii="Arial" w:hAnsi="Arial" w:cs="Arial"/>
          <w:sz w:val="20"/>
          <w:szCs w:val="20"/>
        </w:rPr>
        <w:t>El</w:t>
      </w:r>
      <w:proofErr w:type="spellEnd"/>
      <w:r w:rsidRPr="00C9631A">
        <w:rPr>
          <w:rFonts w:ascii="Arial" w:hAnsi="Arial" w:cs="Arial"/>
          <w:sz w:val="20"/>
          <w:szCs w:val="20"/>
        </w:rPr>
        <w:t xml:space="preserve"> Salvador, Giamaica, Grenada, Guatemala, Guyana, Haiti, Honduras, Isole Cayman, Isole Falkland, Isole Turks e Caicos, Isole Vergini Americane, Isole Vergini Britanniche, Messico, Montserrat, Nicaragua, Panama, Paraguay, Perù, Repubblica dominicana, Saint-</w:t>
      </w:r>
      <w:proofErr w:type="spellStart"/>
      <w:r w:rsidRPr="00C9631A">
        <w:rPr>
          <w:rFonts w:ascii="Arial" w:hAnsi="Arial" w:cs="Arial"/>
          <w:sz w:val="20"/>
          <w:szCs w:val="20"/>
        </w:rPr>
        <w:t>Barthélemy</w:t>
      </w:r>
      <w:proofErr w:type="spellEnd"/>
      <w:r w:rsidRPr="00C9631A">
        <w:rPr>
          <w:rFonts w:ascii="Arial" w:hAnsi="Arial" w:cs="Arial"/>
          <w:sz w:val="20"/>
          <w:szCs w:val="20"/>
        </w:rPr>
        <w:t xml:space="preserve">, Saint Kitts e </w:t>
      </w:r>
      <w:proofErr w:type="spellStart"/>
      <w:r w:rsidRPr="00C9631A">
        <w:rPr>
          <w:rFonts w:ascii="Arial" w:hAnsi="Arial" w:cs="Arial"/>
          <w:sz w:val="20"/>
          <w:szCs w:val="20"/>
        </w:rPr>
        <w:t>Nevis</w:t>
      </w:r>
      <w:proofErr w:type="spellEnd"/>
      <w:r w:rsidRPr="00C9631A">
        <w:rPr>
          <w:rFonts w:ascii="Arial" w:hAnsi="Arial" w:cs="Arial"/>
          <w:sz w:val="20"/>
          <w:szCs w:val="20"/>
        </w:rPr>
        <w:t xml:space="preserve">, Saint Vincente e le Grenadine, Santa Lucia, </w:t>
      </w:r>
      <w:proofErr w:type="spellStart"/>
      <w:r w:rsidRPr="00C9631A">
        <w:rPr>
          <w:rFonts w:ascii="Arial" w:hAnsi="Arial" w:cs="Arial"/>
          <w:sz w:val="20"/>
          <w:szCs w:val="20"/>
        </w:rPr>
        <w:t>Sint</w:t>
      </w:r>
      <w:proofErr w:type="spellEnd"/>
      <w:r w:rsidRPr="00C9631A">
        <w:rPr>
          <w:rFonts w:ascii="Arial" w:hAnsi="Arial" w:cs="Arial"/>
          <w:sz w:val="20"/>
          <w:szCs w:val="20"/>
        </w:rPr>
        <w:t xml:space="preserve"> </w:t>
      </w:r>
      <w:proofErr w:type="spellStart"/>
      <w:r w:rsidRPr="00C9631A">
        <w:rPr>
          <w:rFonts w:ascii="Arial" w:hAnsi="Arial" w:cs="Arial"/>
          <w:sz w:val="20"/>
          <w:szCs w:val="20"/>
        </w:rPr>
        <w:t>Maarten</w:t>
      </w:r>
      <w:proofErr w:type="spellEnd"/>
      <w:r w:rsidRPr="00C9631A">
        <w:rPr>
          <w:rFonts w:ascii="Arial" w:hAnsi="Arial" w:cs="Arial"/>
          <w:sz w:val="20"/>
          <w:szCs w:val="20"/>
        </w:rPr>
        <w:t xml:space="preserve">, Suriname, Trinidad e Tobago, Uruguay, Venezuela. </w:t>
      </w:r>
    </w:p>
    <w:p w14:paraId="202BFD03" w14:textId="77777777" w:rsidR="006B1C0B" w:rsidRPr="00C9631A" w:rsidRDefault="006B1C0B" w:rsidP="00E74CD4">
      <w:pPr>
        <w:spacing w:after="120"/>
        <w:jc w:val="both"/>
        <w:rPr>
          <w:rFonts w:ascii="Arial" w:hAnsi="Arial" w:cs="Arial"/>
          <w:b/>
          <w:bCs/>
          <w:i/>
          <w:iCs/>
          <w:sz w:val="20"/>
          <w:szCs w:val="20"/>
        </w:rPr>
      </w:pPr>
      <w:r w:rsidRPr="00C9631A">
        <w:rPr>
          <w:rFonts w:ascii="Arial" w:hAnsi="Arial" w:cs="Arial"/>
          <w:b/>
          <w:bCs/>
          <w:iCs/>
          <w:sz w:val="20"/>
          <w:szCs w:val="20"/>
        </w:rPr>
        <w:t>America settentrionale</w:t>
      </w:r>
      <w:r w:rsidRPr="00C9631A">
        <w:rPr>
          <w:rFonts w:ascii="Arial" w:hAnsi="Arial" w:cs="Arial"/>
          <w:sz w:val="20"/>
          <w:szCs w:val="20"/>
        </w:rPr>
        <w:t>: Canada, Groenlandia, Saint-Pierre e Miquelon, Stati Uniti.</w:t>
      </w:r>
    </w:p>
    <w:p w14:paraId="52962AD7" w14:textId="77777777" w:rsidR="006B1C0B" w:rsidRPr="00C9631A" w:rsidRDefault="006B1C0B" w:rsidP="00E74CD4">
      <w:pPr>
        <w:suppressAutoHyphens/>
        <w:spacing w:after="120"/>
        <w:jc w:val="both"/>
        <w:rPr>
          <w:rFonts w:ascii="Arial" w:hAnsi="Arial" w:cs="Arial"/>
          <w:b/>
          <w:bCs/>
          <w:i/>
          <w:iCs/>
          <w:sz w:val="20"/>
          <w:szCs w:val="20"/>
        </w:rPr>
      </w:pPr>
      <w:r w:rsidRPr="00C9631A">
        <w:rPr>
          <w:rFonts w:ascii="Arial" w:hAnsi="Arial" w:cs="Arial"/>
          <w:b/>
          <w:bCs/>
          <w:iCs/>
          <w:sz w:val="20"/>
          <w:szCs w:val="20"/>
          <w:lang w:eastAsia="ar-SA"/>
        </w:rPr>
        <w:t>Area euro</w:t>
      </w:r>
      <w:r w:rsidRPr="00C9631A">
        <w:rPr>
          <w:rFonts w:ascii="Arial" w:hAnsi="Arial" w:cs="Arial"/>
          <w:sz w:val="20"/>
          <w:szCs w:val="20"/>
          <w:lang w:eastAsia="ar-SA"/>
        </w:rPr>
        <w:t>: Austria, Belgio, Cipro, Estonia, Finlandia, Francia, Germania, Grecia, Irlanda, Italia, Lettonia, Lituania, Lussemburgo, Malta, Paesi Bassi, Portogallo, Slovacchia, Slovenia, Spagna.</w:t>
      </w:r>
    </w:p>
    <w:p w14:paraId="65F65045" w14:textId="77777777" w:rsidR="006B1C0B" w:rsidRPr="00C9631A" w:rsidRDefault="006B1C0B" w:rsidP="00E74CD4">
      <w:pPr>
        <w:suppressAutoHyphens/>
        <w:spacing w:after="120"/>
        <w:jc w:val="both"/>
        <w:rPr>
          <w:rFonts w:ascii="Arial" w:hAnsi="Arial" w:cs="Arial"/>
          <w:b/>
          <w:bCs/>
          <w:i/>
          <w:iCs/>
          <w:sz w:val="20"/>
          <w:szCs w:val="20"/>
        </w:rPr>
      </w:pPr>
      <w:r w:rsidRPr="00C9631A">
        <w:rPr>
          <w:rFonts w:ascii="Arial" w:hAnsi="Arial" w:cs="Arial"/>
          <w:b/>
          <w:bCs/>
          <w:iCs/>
          <w:sz w:val="20"/>
          <w:szCs w:val="20"/>
          <w:lang w:eastAsia="ar-SA"/>
        </w:rPr>
        <w:t>Area non euro</w:t>
      </w:r>
      <w:r w:rsidRPr="00C9631A">
        <w:rPr>
          <w:rFonts w:ascii="Arial" w:hAnsi="Arial" w:cs="Arial"/>
          <w:bCs/>
          <w:iCs/>
          <w:sz w:val="20"/>
          <w:szCs w:val="20"/>
          <w:lang w:eastAsia="ar-SA"/>
        </w:rPr>
        <w:t>:</w:t>
      </w:r>
      <w:r w:rsidRPr="00C9631A">
        <w:rPr>
          <w:rFonts w:ascii="Arial" w:hAnsi="Arial" w:cs="Arial"/>
          <w:b/>
          <w:bCs/>
          <w:i/>
          <w:iCs/>
          <w:sz w:val="20"/>
          <w:szCs w:val="20"/>
          <w:lang w:eastAsia="ar-SA"/>
        </w:rPr>
        <w:t xml:space="preserve"> </w:t>
      </w:r>
      <w:r w:rsidRPr="00C9631A">
        <w:rPr>
          <w:rFonts w:ascii="Arial" w:hAnsi="Arial" w:cs="Arial"/>
          <w:bCs/>
          <w:iCs/>
          <w:sz w:val="20"/>
          <w:szCs w:val="20"/>
          <w:lang w:eastAsia="ar-SA"/>
        </w:rPr>
        <w:t>è costituita da tutti i paesi che non adottano l’euro: 1) Paesi che fanno parte dell’Unione europea ma che ancora non aderiscono all’euro (Bulgari</w:t>
      </w:r>
      <w:r w:rsidR="00C22FDA">
        <w:rPr>
          <w:rFonts w:ascii="Arial" w:hAnsi="Arial" w:cs="Arial"/>
          <w:bCs/>
          <w:iCs/>
          <w:sz w:val="20"/>
          <w:szCs w:val="20"/>
          <w:lang w:eastAsia="ar-SA"/>
        </w:rPr>
        <w:t>a, Croazia, Danimarca, Polonia</w:t>
      </w:r>
      <w:r w:rsidRPr="00C9631A">
        <w:rPr>
          <w:rFonts w:ascii="Arial" w:hAnsi="Arial" w:cs="Arial"/>
          <w:bCs/>
          <w:iCs/>
          <w:sz w:val="20"/>
          <w:szCs w:val="20"/>
          <w:lang w:eastAsia="ar-SA"/>
        </w:rPr>
        <w:t>, Repubblica ceca, Romania, Svezia, Ungheria); 2) tutti i Paesi del Resto del mondo. In particolare, Andorra, Città del Vaticano, Principato di Monaco e San Marino usano l’euro come moneta ufficiale ma non sono ufficialmente membri dell’Unione europea; pertanto, fanno parte dell’Area non euro.</w:t>
      </w:r>
    </w:p>
    <w:p w14:paraId="357262ED" w14:textId="77777777" w:rsidR="006B1C0B" w:rsidRPr="00C9631A" w:rsidRDefault="006B1C0B" w:rsidP="00E74CD4">
      <w:pPr>
        <w:suppressAutoHyphens/>
        <w:spacing w:after="120"/>
        <w:jc w:val="both"/>
        <w:rPr>
          <w:rFonts w:ascii="Arial" w:hAnsi="Arial" w:cs="Arial"/>
          <w:b/>
          <w:bCs/>
          <w:i/>
          <w:iCs/>
          <w:sz w:val="20"/>
          <w:szCs w:val="20"/>
          <w:lang w:eastAsia="ar-SA"/>
        </w:rPr>
      </w:pPr>
      <w:proofErr w:type="spellStart"/>
      <w:r w:rsidRPr="00C9631A">
        <w:rPr>
          <w:rFonts w:ascii="Arial" w:hAnsi="Arial" w:cs="Arial"/>
          <w:b/>
          <w:bCs/>
          <w:iCs/>
          <w:sz w:val="20"/>
          <w:szCs w:val="20"/>
          <w:lang w:eastAsia="ar-SA"/>
        </w:rPr>
        <w:t>Asean</w:t>
      </w:r>
      <w:proofErr w:type="spellEnd"/>
      <w:r w:rsidRPr="00C9631A">
        <w:rPr>
          <w:rFonts w:ascii="Arial" w:hAnsi="Arial" w:cs="Arial"/>
          <w:b/>
          <w:bCs/>
          <w:iCs/>
          <w:sz w:val="20"/>
          <w:szCs w:val="20"/>
          <w:lang w:eastAsia="ar-SA"/>
        </w:rPr>
        <w:t xml:space="preserve"> (Associazione delle Nazioni del Sud-Est Asiatico)</w:t>
      </w:r>
      <w:r w:rsidRPr="00C9631A">
        <w:rPr>
          <w:rFonts w:ascii="Arial" w:hAnsi="Arial" w:cs="Arial"/>
          <w:i/>
          <w:iCs/>
          <w:sz w:val="20"/>
          <w:szCs w:val="20"/>
          <w:lang w:eastAsia="ar-SA"/>
        </w:rPr>
        <w:t xml:space="preserve">: </w:t>
      </w:r>
      <w:r w:rsidRPr="00C9631A">
        <w:rPr>
          <w:rFonts w:ascii="Arial" w:hAnsi="Arial" w:cs="Arial"/>
          <w:sz w:val="20"/>
          <w:szCs w:val="20"/>
          <w:lang w:eastAsia="ar-SA"/>
        </w:rPr>
        <w:t xml:space="preserve">Brunei, Cambogia, Filippine, Indonesia, Laos, </w:t>
      </w:r>
      <w:proofErr w:type="spellStart"/>
      <w:r w:rsidRPr="00C9631A">
        <w:rPr>
          <w:rFonts w:ascii="Arial" w:hAnsi="Arial" w:cs="Arial"/>
          <w:sz w:val="20"/>
          <w:szCs w:val="20"/>
          <w:lang w:eastAsia="ar-SA"/>
        </w:rPr>
        <w:t>Malaysia</w:t>
      </w:r>
      <w:proofErr w:type="spellEnd"/>
      <w:r w:rsidRPr="00C9631A">
        <w:rPr>
          <w:rFonts w:ascii="Arial" w:hAnsi="Arial" w:cs="Arial"/>
          <w:sz w:val="20"/>
          <w:szCs w:val="20"/>
          <w:lang w:eastAsia="ar-SA"/>
        </w:rPr>
        <w:t xml:space="preserve">, Birmania, Singapore, </w:t>
      </w:r>
      <w:proofErr w:type="spellStart"/>
      <w:r w:rsidRPr="00C9631A">
        <w:rPr>
          <w:rFonts w:ascii="Arial" w:hAnsi="Arial" w:cs="Arial"/>
          <w:sz w:val="20"/>
          <w:szCs w:val="20"/>
          <w:lang w:eastAsia="ar-SA"/>
        </w:rPr>
        <w:t>Thailandia</w:t>
      </w:r>
      <w:proofErr w:type="spellEnd"/>
      <w:r w:rsidRPr="00C9631A">
        <w:rPr>
          <w:rFonts w:ascii="Arial" w:hAnsi="Arial" w:cs="Arial"/>
          <w:sz w:val="20"/>
          <w:szCs w:val="20"/>
          <w:lang w:eastAsia="ar-SA"/>
        </w:rPr>
        <w:t xml:space="preserve">, Vietnam. </w:t>
      </w:r>
    </w:p>
    <w:p w14:paraId="0049DB3E" w14:textId="77777777" w:rsidR="006B1C0B" w:rsidRPr="00C9631A" w:rsidRDefault="006B1C0B" w:rsidP="00E74CD4">
      <w:pPr>
        <w:spacing w:after="120"/>
        <w:jc w:val="both"/>
        <w:rPr>
          <w:rFonts w:ascii="Arial" w:hAnsi="Arial" w:cs="Arial"/>
          <w:b/>
          <w:bCs/>
          <w:i/>
          <w:iCs/>
          <w:sz w:val="20"/>
          <w:szCs w:val="20"/>
        </w:rPr>
      </w:pPr>
      <w:r w:rsidRPr="00C9631A">
        <w:rPr>
          <w:rFonts w:ascii="Arial" w:hAnsi="Arial" w:cs="Arial"/>
          <w:b/>
          <w:bCs/>
          <w:iCs/>
          <w:sz w:val="20"/>
          <w:szCs w:val="20"/>
        </w:rPr>
        <w:t>Medio Oriente</w:t>
      </w:r>
      <w:r w:rsidRPr="00C9631A">
        <w:rPr>
          <w:rFonts w:ascii="Arial" w:hAnsi="Arial" w:cs="Arial"/>
          <w:i/>
          <w:iCs/>
          <w:sz w:val="20"/>
          <w:szCs w:val="20"/>
        </w:rPr>
        <w:t xml:space="preserve">: </w:t>
      </w:r>
      <w:r w:rsidRPr="00C9631A">
        <w:rPr>
          <w:rFonts w:ascii="Arial" w:hAnsi="Arial" w:cs="Arial"/>
          <w:sz w:val="20"/>
          <w:szCs w:val="20"/>
        </w:rPr>
        <w:t xml:space="preserve">Arabia Saudita, Armenia, Azerbaigian, Bahrein, Emirati Arabi Uniti, Georgia, Giordania, Iraq, Israele, Kuwait, Libano, Oman, Qatar, Repubblica islamica dell’Iran, Siria, Territorio palestinese occupato, Yemen. </w:t>
      </w:r>
    </w:p>
    <w:p w14:paraId="2C6C9565" w14:textId="77777777" w:rsidR="006B1C0B" w:rsidRPr="00C9631A" w:rsidRDefault="006B1C0B" w:rsidP="00E74CD4">
      <w:pPr>
        <w:spacing w:after="120"/>
        <w:jc w:val="both"/>
        <w:rPr>
          <w:rFonts w:ascii="Arial" w:hAnsi="Arial" w:cs="Arial"/>
          <w:sz w:val="20"/>
          <w:szCs w:val="20"/>
        </w:rPr>
      </w:pPr>
      <w:proofErr w:type="spellStart"/>
      <w:r w:rsidRPr="00C9631A">
        <w:rPr>
          <w:rFonts w:ascii="Arial" w:hAnsi="Arial" w:cs="Arial"/>
          <w:b/>
          <w:bCs/>
          <w:iCs/>
          <w:sz w:val="20"/>
          <w:szCs w:val="20"/>
        </w:rPr>
        <w:t>Mercosur</w:t>
      </w:r>
      <w:proofErr w:type="spellEnd"/>
      <w:r w:rsidRPr="00C9631A">
        <w:rPr>
          <w:rFonts w:ascii="Arial" w:hAnsi="Arial" w:cs="Arial"/>
          <w:sz w:val="20"/>
          <w:szCs w:val="20"/>
        </w:rPr>
        <w:t>: Brasile, Paraguay, Uruguay e Argentina.</w:t>
      </w:r>
    </w:p>
    <w:p w14:paraId="5CABFC30" w14:textId="77777777" w:rsidR="006B1C0B" w:rsidRPr="00C9631A" w:rsidRDefault="006B1C0B" w:rsidP="00E74CD4">
      <w:pPr>
        <w:spacing w:after="120"/>
        <w:jc w:val="both"/>
        <w:rPr>
          <w:rFonts w:ascii="Arial" w:hAnsi="Arial" w:cs="Arial"/>
          <w:bCs/>
          <w:i/>
          <w:iCs/>
          <w:sz w:val="20"/>
          <w:szCs w:val="20"/>
        </w:rPr>
      </w:pPr>
      <w:r w:rsidRPr="00C9631A">
        <w:rPr>
          <w:rFonts w:ascii="Arial" w:hAnsi="Arial" w:cs="Arial"/>
          <w:b/>
          <w:bCs/>
          <w:iCs/>
          <w:sz w:val="20"/>
          <w:szCs w:val="20"/>
        </w:rPr>
        <w:t>Oceania e altri territori</w:t>
      </w:r>
      <w:r w:rsidRPr="00C9631A">
        <w:rPr>
          <w:rFonts w:ascii="Arial" w:hAnsi="Arial" w:cs="Arial"/>
          <w:sz w:val="20"/>
          <w:szCs w:val="20"/>
        </w:rPr>
        <w:t>: Antartide, Australia, Figi, Georgia del Sud e Isole Sandwich australi, Isola di Bouvet, Isola Christmas, Isole Cocos (</w:t>
      </w:r>
      <w:proofErr w:type="spellStart"/>
      <w:r w:rsidRPr="00C9631A">
        <w:rPr>
          <w:rFonts w:ascii="Arial" w:hAnsi="Arial" w:cs="Arial"/>
          <w:sz w:val="20"/>
          <w:szCs w:val="20"/>
        </w:rPr>
        <w:t>Keeling</w:t>
      </w:r>
      <w:proofErr w:type="spellEnd"/>
      <w:r w:rsidRPr="00C9631A">
        <w:rPr>
          <w:rFonts w:ascii="Arial" w:hAnsi="Arial" w:cs="Arial"/>
          <w:sz w:val="20"/>
          <w:szCs w:val="20"/>
        </w:rPr>
        <w:t>), Isole Cook, Isole Heard e McDonald, Isole Marianne settentrionali, Isole Marshall, Isole minori periferiche degli Stati Uniti, Isola Norfolk, Isole Pitcairn, Isole Salomone, Kiribati, Nauru, Niue, Nuova Caledonia, Nuova Zelanda, Palau, Papua Nuova Guinea, Polinesia francese, Samoa, Samoa americane, Stati Federati di Micronesia, Terre australi e antartiche francesi, Tokelau, Tonga, Tuvalu, Vanuatu, Wallis e Futuna, Provviste e dotazioni di bordo, Paesi e territori non specificati, Paesi e territori non specificati per ragioni commerciali o militari.</w:t>
      </w:r>
    </w:p>
    <w:p w14:paraId="4CF6A404" w14:textId="2BC01BC7" w:rsidR="006B1C0B" w:rsidRPr="00C9631A" w:rsidRDefault="006B1C0B" w:rsidP="00E74CD4">
      <w:pPr>
        <w:spacing w:after="120"/>
        <w:jc w:val="both"/>
        <w:rPr>
          <w:rFonts w:ascii="Arial" w:hAnsi="Arial" w:cs="Arial"/>
          <w:sz w:val="20"/>
          <w:szCs w:val="20"/>
        </w:rPr>
      </w:pPr>
      <w:proofErr w:type="spellStart"/>
      <w:r w:rsidRPr="00C9631A">
        <w:rPr>
          <w:rFonts w:ascii="Arial" w:hAnsi="Arial" w:cs="Arial"/>
          <w:b/>
          <w:sz w:val="20"/>
          <w:szCs w:val="20"/>
        </w:rPr>
        <w:t>Opec</w:t>
      </w:r>
      <w:proofErr w:type="spellEnd"/>
      <w:r w:rsidRPr="00C9631A">
        <w:rPr>
          <w:rFonts w:ascii="Arial" w:hAnsi="Arial" w:cs="Arial"/>
          <w:sz w:val="20"/>
          <w:szCs w:val="20"/>
        </w:rPr>
        <w:t>:</w:t>
      </w:r>
      <w:r w:rsidRPr="00C9631A">
        <w:rPr>
          <w:rFonts w:ascii="Arial" w:hAnsi="Arial" w:cs="Arial"/>
          <w:i/>
          <w:sz w:val="20"/>
          <w:szCs w:val="20"/>
        </w:rPr>
        <w:t xml:space="preserve"> </w:t>
      </w:r>
      <w:r w:rsidRPr="00C9631A">
        <w:rPr>
          <w:rFonts w:ascii="Arial" w:hAnsi="Arial" w:cs="Arial"/>
          <w:sz w:val="20"/>
          <w:szCs w:val="20"/>
        </w:rPr>
        <w:t xml:space="preserve">Algeria, Angola, Arabia Saudita, Emirati Arabi Uniti, Iraq, Kuwait, Libia, Nigeria, Repubblica islamica </w:t>
      </w:r>
      <w:r w:rsidR="00C9631A">
        <w:rPr>
          <w:rFonts w:ascii="Arial" w:hAnsi="Arial" w:cs="Arial"/>
          <w:sz w:val="20"/>
          <w:szCs w:val="20"/>
        </w:rPr>
        <w:t>d</w:t>
      </w:r>
      <w:r w:rsidRPr="00C9631A">
        <w:rPr>
          <w:rFonts w:ascii="Arial" w:hAnsi="Arial" w:cs="Arial"/>
          <w:sz w:val="20"/>
          <w:szCs w:val="20"/>
        </w:rPr>
        <w:t xml:space="preserve">ell’Iran, </w:t>
      </w:r>
      <w:r w:rsidR="00245D91">
        <w:rPr>
          <w:rFonts w:ascii="Arial" w:hAnsi="Arial" w:cs="Arial"/>
          <w:sz w:val="20"/>
          <w:szCs w:val="20"/>
        </w:rPr>
        <w:t>Venezuela</w:t>
      </w:r>
      <w:r w:rsidRPr="00C9631A">
        <w:rPr>
          <w:rFonts w:ascii="Arial" w:hAnsi="Arial" w:cs="Arial"/>
          <w:sz w:val="20"/>
          <w:szCs w:val="20"/>
        </w:rPr>
        <w:t xml:space="preserve">, </w:t>
      </w:r>
      <w:r w:rsidR="00883849" w:rsidRPr="00C9631A">
        <w:rPr>
          <w:rFonts w:ascii="Arial" w:hAnsi="Arial" w:cs="Arial"/>
          <w:sz w:val="20"/>
          <w:szCs w:val="20"/>
        </w:rPr>
        <w:t xml:space="preserve">Gabon, </w:t>
      </w:r>
      <w:r w:rsidRPr="00C9631A">
        <w:rPr>
          <w:rFonts w:ascii="Arial" w:hAnsi="Arial" w:cs="Arial"/>
          <w:sz w:val="20"/>
          <w:szCs w:val="20"/>
        </w:rPr>
        <w:t>Guinea Equatoriale</w:t>
      </w:r>
      <w:r w:rsidR="00883849" w:rsidRPr="00C9631A">
        <w:rPr>
          <w:rFonts w:ascii="Arial" w:hAnsi="Arial" w:cs="Arial"/>
          <w:sz w:val="20"/>
          <w:szCs w:val="20"/>
        </w:rPr>
        <w:t xml:space="preserve"> e Congo</w:t>
      </w:r>
      <w:r w:rsidRPr="00C9631A">
        <w:rPr>
          <w:rFonts w:ascii="Arial" w:hAnsi="Arial" w:cs="Arial"/>
          <w:sz w:val="20"/>
          <w:szCs w:val="20"/>
        </w:rPr>
        <w:t>.</w:t>
      </w:r>
    </w:p>
    <w:p w14:paraId="2CFEFA7B" w14:textId="662571DA" w:rsidR="006B1C0B" w:rsidRPr="00C9631A" w:rsidRDefault="006B1C0B" w:rsidP="00E74CD4">
      <w:pPr>
        <w:spacing w:after="120"/>
        <w:jc w:val="both"/>
        <w:rPr>
          <w:rFonts w:ascii="Arial" w:hAnsi="Arial" w:cs="Arial"/>
          <w:sz w:val="20"/>
          <w:szCs w:val="20"/>
        </w:rPr>
      </w:pPr>
      <w:r w:rsidRPr="00C9631A">
        <w:rPr>
          <w:rFonts w:ascii="Arial" w:hAnsi="Arial" w:cs="Arial"/>
          <w:b/>
          <w:bCs/>
          <w:iCs/>
          <w:sz w:val="20"/>
          <w:szCs w:val="20"/>
        </w:rPr>
        <w:t>Paesi europei non Ue</w:t>
      </w:r>
      <w:r w:rsidRPr="00C9631A">
        <w:rPr>
          <w:rFonts w:ascii="Arial" w:hAnsi="Arial" w:cs="Arial"/>
          <w:sz w:val="20"/>
          <w:szCs w:val="20"/>
        </w:rPr>
        <w:t xml:space="preserve">: Albania, Andorra, Bielorussia, Bosnia-Erzegovina, Fær Øer, Gibilterra, Islanda, Kosovo, Liechtenstein, </w:t>
      </w:r>
      <w:r w:rsidR="00EF21D2">
        <w:rPr>
          <w:rFonts w:ascii="Arial" w:hAnsi="Arial" w:cs="Arial"/>
          <w:sz w:val="20"/>
          <w:szCs w:val="20"/>
        </w:rPr>
        <w:t>Macedonia del Nord,</w:t>
      </w:r>
      <w:r w:rsidR="00EF21D2" w:rsidRPr="00C9631A">
        <w:rPr>
          <w:rFonts w:ascii="Arial" w:hAnsi="Arial" w:cs="Arial"/>
          <w:sz w:val="20"/>
          <w:szCs w:val="20"/>
        </w:rPr>
        <w:t xml:space="preserve"> </w:t>
      </w:r>
      <w:r w:rsidRPr="00C9631A">
        <w:rPr>
          <w:rFonts w:ascii="Arial" w:hAnsi="Arial" w:cs="Arial"/>
          <w:sz w:val="20"/>
          <w:szCs w:val="20"/>
        </w:rPr>
        <w:t xml:space="preserve">Montenegro, Norvegia, </w:t>
      </w:r>
      <w:r w:rsidR="00C22FDA">
        <w:rPr>
          <w:rFonts w:ascii="Arial" w:hAnsi="Arial" w:cs="Arial"/>
          <w:sz w:val="20"/>
          <w:szCs w:val="20"/>
        </w:rPr>
        <w:t xml:space="preserve">Regno Unito, </w:t>
      </w:r>
      <w:r w:rsidRPr="00C9631A">
        <w:rPr>
          <w:rFonts w:ascii="Arial" w:hAnsi="Arial" w:cs="Arial"/>
          <w:sz w:val="20"/>
          <w:szCs w:val="20"/>
        </w:rPr>
        <w:t>Repubblica moldova, Russia, Santa Sede (Stato della Città del Vaticano), Serbia, Svizzera, Turchia, Ucraina.</w:t>
      </w:r>
    </w:p>
    <w:p w14:paraId="4CDC1008" w14:textId="77777777" w:rsidR="00B24754" w:rsidRDefault="006B1C0B" w:rsidP="00F865D6">
      <w:pPr>
        <w:spacing w:after="120"/>
        <w:jc w:val="both"/>
        <w:rPr>
          <w:rFonts w:ascii="Arial" w:hAnsi="Arial" w:cs="Arial"/>
        </w:rPr>
      </w:pPr>
      <w:r w:rsidRPr="00C9631A">
        <w:rPr>
          <w:rFonts w:ascii="Arial" w:hAnsi="Arial" w:cs="Arial"/>
          <w:b/>
          <w:bCs/>
          <w:iCs/>
          <w:sz w:val="20"/>
          <w:szCs w:val="20"/>
        </w:rPr>
        <w:t>Unione europea</w:t>
      </w:r>
      <w:r w:rsidRPr="00C9631A">
        <w:rPr>
          <w:rFonts w:ascii="Arial" w:hAnsi="Arial" w:cs="Arial"/>
          <w:sz w:val="20"/>
          <w:szCs w:val="20"/>
        </w:rPr>
        <w:t>: Austria, Belgio, Bulgaria, Cipro, Croazia, Danimarca, Estonia, Finlandia, Francia, Germania, Grecia, Irlanda, Italia, Lettonia, Lituania, Lussemburgo, Malta, Pa</w:t>
      </w:r>
      <w:r w:rsidR="00C22FDA">
        <w:rPr>
          <w:rFonts w:ascii="Arial" w:hAnsi="Arial" w:cs="Arial"/>
          <w:sz w:val="20"/>
          <w:szCs w:val="20"/>
        </w:rPr>
        <w:t>esi Bassi, Polonia, Portogallo</w:t>
      </w:r>
      <w:r w:rsidRPr="00C9631A">
        <w:rPr>
          <w:rFonts w:ascii="Arial" w:hAnsi="Arial" w:cs="Arial"/>
          <w:sz w:val="20"/>
          <w:szCs w:val="20"/>
        </w:rPr>
        <w:t>, Repubblica ceca, Romania, Slovacchia, Slovenia, Spagna, Svezia, Ungheria.</w:t>
      </w:r>
    </w:p>
    <w:p w14:paraId="315FEA75" w14:textId="77777777" w:rsidR="00940950" w:rsidRDefault="00940950" w:rsidP="00B81D29">
      <w:pPr>
        <w:spacing w:after="120"/>
        <w:rPr>
          <w:rFonts w:ascii="Arial" w:hAnsi="Arial" w:cs="Arial"/>
        </w:rPr>
        <w:sectPr w:rsidR="00940950" w:rsidSect="00B81D29">
          <w:headerReference w:type="default" r:id="rId38"/>
          <w:pgSz w:w="11907" w:h="16840" w:code="9"/>
          <w:pgMar w:top="1534" w:right="851" w:bottom="680" w:left="851" w:header="567" w:footer="567" w:gutter="0"/>
          <w:cols w:space="720"/>
          <w:noEndnote/>
          <w:docGrid w:linePitch="272"/>
        </w:sectPr>
      </w:pPr>
    </w:p>
    <w:p w14:paraId="4C8B1FB9" w14:textId="77777777" w:rsidR="00501E02" w:rsidRPr="00397FAC" w:rsidRDefault="00501E02" w:rsidP="00501E02">
      <w:pPr>
        <w:spacing w:after="120"/>
        <w:rPr>
          <w:rFonts w:ascii="Arial" w:hAnsi="Arial" w:cs="Arial"/>
          <w:b/>
          <w:szCs w:val="28"/>
        </w:rPr>
      </w:pPr>
    </w:p>
    <w:p w14:paraId="104CD227" w14:textId="77777777" w:rsidR="00501E02" w:rsidRPr="00C9631A" w:rsidRDefault="00501E02" w:rsidP="00501E02">
      <w:pPr>
        <w:spacing w:after="120"/>
        <w:rPr>
          <w:rFonts w:ascii="Arial" w:hAnsi="Arial" w:cs="Arial"/>
          <w:b/>
          <w:sz w:val="22"/>
          <w:szCs w:val="20"/>
        </w:rPr>
      </w:pPr>
      <w:r w:rsidRPr="00C9631A">
        <w:rPr>
          <w:rFonts w:ascii="Arial" w:hAnsi="Arial" w:cs="Arial"/>
          <w:b/>
          <w:sz w:val="22"/>
          <w:szCs w:val="20"/>
        </w:rPr>
        <w:t>Introduzione</w:t>
      </w:r>
    </w:p>
    <w:p w14:paraId="6E26E2C1"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In questa nota sono riportati i principali riferimenti normativi e metodologici relativi alle rilevazioni sugli scambi con l’estero di merci e sui prezzi all’importazione dei prodotti industriali. Il Prospetto A ne riporta una sintesi.</w:t>
      </w:r>
    </w:p>
    <w:p w14:paraId="64D5F5FB" w14:textId="77777777" w:rsidR="00501E02" w:rsidRPr="00257DC4" w:rsidRDefault="00501E02" w:rsidP="00501E02">
      <w:pPr>
        <w:spacing w:before="240" w:after="120"/>
        <w:jc w:val="both"/>
        <w:rPr>
          <w:rFonts w:ascii="Arial Narrow" w:hAnsi="Arial Narrow" w:cs="Arial"/>
          <w:b/>
          <w:color w:val="7F7F7F"/>
          <w:sz w:val="19"/>
          <w:szCs w:val="19"/>
        </w:rPr>
      </w:pPr>
      <w:r w:rsidRPr="009E4A3B">
        <w:rPr>
          <w:rFonts w:ascii="Arial Narrow" w:hAnsi="Arial Narrow" w:cs="Arial"/>
          <w:b/>
          <w:color w:val="E42618"/>
          <w:sz w:val="22"/>
          <w:szCs w:val="22"/>
        </w:rPr>
        <w:t>PROSPETTO A.</w:t>
      </w:r>
      <w:r w:rsidRPr="009E4A3B">
        <w:rPr>
          <w:rFonts w:ascii="Arial Narrow" w:hAnsi="Arial Narrow" w:cs="Arial"/>
          <w:b/>
          <w:color w:val="C00000"/>
          <w:sz w:val="22"/>
          <w:szCs w:val="22"/>
        </w:rPr>
        <w:t xml:space="preserve"> </w:t>
      </w:r>
      <w:r w:rsidRPr="00257DC4">
        <w:rPr>
          <w:rFonts w:ascii="Arial Narrow" w:hAnsi="Arial Narrow" w:cs="Arial"/>
          <w:b/>
          <w:color w:val="7F7F7F"/>
          <w:sz w:val="22"/>
          <w:szCs w:val="22"/>
        </w:rPr>
        <w:t>RILEVAZIONI SUGLI SCAMBI CON L’ESTERO DI MERCI E SUI PREZZI ALL’IMPORTAZIONE</w:t>
      </w:r>
      <w:r>
        <w:rPr>
          <w:rFonts w:ascii="Arial Narrow" w:hAnsi="Arial Narrow" w:cs="Arial"/>
          <w:b/>
          <w:color w:val="7F7F7F"/>
          <w:sz w:val="22"/>
          <w:szCs w:val="22"/>
        </w:rPr>
        <w:t xml:space="preserve"> </w:t>
      </w:r>
      <w:r w:rsidRPr="00257DC4">
        <w:rPr>
          <w:rFonts w:ascii="Arial Narrow" w:hAnsi="Arial Narrow" w:cs="Arial"/>
          <w:b/>
          <w:color w:val="7F7F7F"/>
          <w:sz w:val="22"/>
          <w:szCs w:val="22"/>
        </w:rPr>
        <w:t>PRINCIPALI CARATTERISTICHE</w:t>
      </w:r>
    </w:p>
    <w:tbl>
      <w:tblPr>
        <w:tblW w:w="10206" w:type="dxa"/>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2026"/>
        <w:gridCol w:w="4089"/>
        <w:gridCol w:w="4091"/>
      </w:tblGrid>
      <w:tr w:rsidR="00501E02" w14:paraId="2357C0DF" w14:textId="77777777" w:rsidTr="002C489F">
        <w:trPr>
          <w:trHeight w:val="255"/>
        </w:trPr>
        <w:tc>
          <w:tcPr>
            <w:tcW w:w="993" w:type="pct"/>
            <w:vMerge w:val="restart"/>
            <w:shd w:val="clear" w:color="auto" w:fill="auto"/>
          </w:tcPr>
          <w:p w14:paraId="7F4A7F5D" w14:textId="77777777" w:rsidR="00501E02" w:rsidRPr="00232AB9" w:rsidRDefault="00501E02" w:rsidP="002C489F">
            <w:pPr>
              <w:spacing w:before="40" w:after="20"/>
              <w:jc w:val="center"/>
              <w:rPr>
                <w:rFonts w:ascii="Arial Narrow" w:hAnsi="Arial Narrow" w:cs="Arial"/>
                <w:b/>
                <w:sz w:val="18"/>
                <w:szCs w:val="18"/>
              </w:rPr>
            </w:pPr>
          </w:p>
        </w:tc>
        <w:tc>
          <w:tcPr>
            <w:tcW w:w="4007" w:type="pct"/>
            <w:gridSpan w:val="2"/>
            <w:shd w:val="clear" w:color="auto" w:fill="D9D9D9"/>
          </w:tcPr>
          <w:p w14:paraId="6805032D" w14:textId="77777777" w:rsidR="00501E02" w:rsidRPr="00232AB9" w:rsidRDefault="00501E02" w:rsidP="002C489F">
            <w:pPr>
              <w:spacing w:before="40" w:after="20"/>
              <w:jc w:val="center"/>
              <w:rPr>
                <w:rFonts w:ascii="Arial Narrow" w:hAnsi="Arial Narrow" w:cs="Arial"/>
                <w:b/>
                <w:sz w:val="18"/>
                <w:szCs w:val="18"/>
              </w:rPr>
            </w:pPr>
            <w:r w:rsidRPr="00232AB9">
              <w:rPr>
                <w:rFonts w:ascii="Arial Narrow" w:hAnsi="Arial Narrow" w:cs="Arial"/>
                <w:b/>
                <w:sz w:val="18"/>
                <w:szCs w:val="18"/>
              </w:rPr>
              <w:t>RILEVAZIONI</w:t>
            </w:r>
          </w:p>
        </w:tc>
      </w:tr>
      <w:tr w:rsidR="00501E02" w14:paraId="5CB00FD6" w14:textId="77777777" w:rsidTr="002C489F">
        <w:trPr>
          <w:trHeight w:val="255"/>
        </w:trPr>
        <w:tc>
          <w:tcPr>
            <w:tcW w:w="993" w:type="pct"/>
            <w:vMerge/>
            <w:shd w:val="clear" w:color="auto" w:fill="auto"/>
          </w:tcPr>
          <w:p w14:paraId="788EF796" w14:textId="77777777" w:rsidR="00501E02" w:rsidRPr="00232AB9" w:rsidRDefault="00501E02" w:rsidP="002C489F">
            <w:pPr>
              <w:spacing w:before="40" w:after="20"/>
              <w:jc w:val="center"/>
              <w:rPr>
                <w:rFonts w:ascii="Arial Narrow" w:hAnsi="Arial Narrow" w:cs="Arial"/>
                <w:b/>
                <w:sz w:val="18"/>
                <w:szCs w:val="18"/>
              </w:rPr>
            </w:pPr>
          </w:p>
        </w:tc>
        <w:tc>
          <w:tcPr>
            <w:tcW w:w="2003" w:type="pct"/>
            <w:shd w:val="clear" w:color="auto" w:fill="FFFFFF"/>
          </w:tcPr>
          <w:p w14:paraId="1FBD27C3" w14:textId="77777777" w:rsidR="00501E02" w:rsidRPr="00232AB9" w:rsidRDefault="00501E02" w:rsidP="002C489F">
            <w:pPr>
              <w:spacing w:before="40" w:after="20"/>
              <w:jc w:val="center"/>
              <w:rPr>
                <w:b/>
              </w:rPr>
            </w:pPr>
            <w:r w:rsidRPr="00232AB9">
              <w:rPr>
                <w:rFonts w:ascii="Arial Narrow" w:hAnsi="Arial Narrow" w:cs="Arial"/>
                <w:b/>
                <w:sz w:val="18"/>
                <w:szCs w:val="18"/>
              </w:rPr>
              <w:t>Scambi con l’estero di merci</w:t>
            </w:r>
          </w:p>
        </w:tc>
        <w:tc>
          <w:tcPr>
            <w:tcW w:w="2004" w:type="pct"/>
            <w:shd w:val="clear" w:color="auto" w:fill="FFFFFF"/>
          </w:tcPr>
          <w:p w14:paraId="36AB1777" w14:textId="77777777" w:rsidR="00501E02" w:rsidRPr="00232AB9" w:rsidRDefault="00501E02" w:rsidP="002C489F">
            <w:pPr>
              <w:spacing w:before="40" w:after="20"/>
              <w:jc w:val="center"/>
              <w:rPr>
                <w:b/>
              </w:rPr>
            </w:pPr>
            <w:r w:rsidRPr="00232AB9">
              <w:rPr>
                <w:rFonts w:ascii="Arial Narrow" w:hAnsi="Arial Narrow" w:cs="Arial"/>
                <w:b/>
                <w:sz w:val="18"/>
                <w:szCs w:val="18"/>
              </w:rPr>
              <w:t>Prezzi all’importazione</w:t>
            </w:r>
          </w:p>
        </w:tc>
      </w:tr>
      <w:tr w:rsidR="00501E02" w14:paraId="59CA6FE5" w14:textId="77777777" w:rsidTr="002C489F">
        <w:trPr>
          <w:trHeight w:val="255"/>
        </w:trPr>
        <w:tc>
          <w:tcPr>
            <w:tcW w:w="993" w:type="pct"/>
            <w:shd w:val="clear" w:color="auto" w:fill="auto"/>
          </w:tcPr>
          <w:p w14:paraId="695C7C40" w14:textId="77777777" w:rsidR="00501E02" w:rsidRPr="009575F1" w:rsidRDefault="00501E02" w:rsidP="002C489F">
            <w:pPr>
              <w:spacing w:before="40" w:after="20"/>
            </w:pPr>
            <w:r w:rsidRPr="00232AB9">
              <w:rPr>
                <w:rFonts w:ascii="Arial Narrow" w:hAnsi="Arial Narrow" w:cs="Arial"/>
                <w:b/>
                <w:sz w:val="18"/>
                <w:szCs w:val="18"/>
              </w:rPr>
              <w:t>Fonti</w:t>
            </w:r>
          </w:p>
        </w:tc>
        <w:tc>
          <w:tcPr>
            <w:tcW w:w="2003" w:type="pct"/>
            <w:shd w:val="clear" w:color="auto" w:fill="D9D9D9"/>
          </w:tcPr>
          <w:p w14:paraId="1C179897" w14:textId="77777777" w:rsidR="00501E02" w:rsidRPr="00232AB9" w:rsidRDefault="00501E02" w:rsidP="002C489F">
            <w:pPr>
              <w:spacing w:before="40" w:after="20"/>
              <w:rPr>
                <w:rFonts w:ascii="Arial Narrow" w:hAnsi="Arial Narrow" w:cs="Arial"/>
                <w:sz w:val="18"/>
                <w:szCs w:val="18"/>
              </w:rPr>
            </w:pPr>
            <w:r w:rsidRPr="00232AB9">
              <w:rPr>
                <w:rFonts w:ascii="Arial Narrow" w:hAnsi="Arial Narrow" w:cs="Arial"/>
                <w:sz w:val="18"/>
                <w:szCs w:val="18"/>
              </w:rPr>
              <w:t xml:space="preserve">1) Utilizzo dati doganali e sistema </w:t>
            </w:r>
            <w:proofErr w:type="spellStart"/>
            <w:r w:rsidRPr="00232AB9">
              <w:rPr>
                <w:rFonts w:ascii="Arial Narrow" w:hAnsi="Arial Narrow" w:cs="Arial"/>
                <w:sz w:val="18"/>
                <w:szCs w:val="18"/>
              </w:rPr>
              <w:t>Intrastat</w:t>
            </w:r>
            <w:proofErr w:type="spellEnd"/>
          </w:p>
          <w:p w14:paraId="50459D90" w14:textId="77777777" w:rsidR="00501E02" w:rsidRPr="00232AB9" w:rsidRDefault="00501E02" w:rsidP="002C489F">
            <w:pPr>
              <w:spacing w:before="40" w:after="20"/>
              <w:rPr>
                <w:rFonts w:ascii="Arial Narrow" w:hAnsi="Arial Narrow" w:cs="Arial"/>
                <w:sz w:val="18"/>
                <w:szCs w:val="18"/>
              </w:rPr>
            </w:pPr>
            <w:r w:rsidRPr="00232AB9">
              <w:rPr>
                <w:rFonts w:ascii="Arial Narrow" w:hAnsi="Arial Narrow" w:cs="Arial"/>
                <w:sz w:val="18"/>
                <w:szCs w:val="18"/>
              </w:rPr>
              <w:t>2) Elaborazioni da statistiche di base sugli Scambi con l’estero di merci</w:t>
            </w:r>
          </w:p>
          <w:p w14:paraId="19BA8CCF" w14:textId="77777777" w:rsidR="00501E02" w:rsidRPr="009575F1" w:rsidRDefault="00501E02" w:rsidP="002C489F">
            <w:pPr>
              <w:spacing w:before="40" w:after="20"/>
            </w:pPr>
            <w:r w:rsidRPr="00232AB9">
              <w:rPr>
                <w:rFonts w:ascii="Arial Narrow" w:hAnsi="Arial Narrow" w:cs="Arial"/>
                <w:sz w:val="18"/>
                <w:szCs w:val="18"/>
              </w:rPr>
              <w:t>3) Le stime di particolari merci sono frutto di elaborazioni ottenute integrando fonti informative diverse</w:t>
            </w:r>
          </w:p>
        </w:tc>
        <w:tc>
          <w:tcPr>
            <w:tcW w:w="2004" w:type="pct"/>
            <w:shd w:val="clear" w:color="auto" w:fill="auto"/>
          </w:tcPr>
          <w:p w14:paraId="24B89F77" w14:textId="77777777" w:rsidR="00501E02" w:rsidRDefault="00501E02" w:rsidP="002C489F">
            <w:pPr>
              <w:spacing w:before="40" w:after="20"/>
            </w:pPr>
            <w:r w:rsidRPr="00232AB9">
              <w:rPr>
                <w:rFonts w:ascii="Arial Narrow" w:hAnsi="Arial Narrow" w:cs="Arial"/>
                <w:sz w:val="18"/>
                <w:szCs w:val="18"/>
              </w:rPr>
              <w:t>Rilevazione diretta</w:t>
            </w:r>
          </w:p>
        </w:tc>
      </w:tr>
      <w:tr w:rsidR="00501E02" w14:paraId="10333363" w14:textId="77777777" w:rsidTr="002C489F">
        <w:trPr>
          <w:trHeight w:val="255"/>
        </w:trPr>
        <w:tc>
          <w:tcPr>
            <w:tcW w:w="993" w:type="pct"/>
            <w:shd w:val="clear" w:color="auto" w:fill="auto"/>
          </w:tcPr>
          <w:p w14:paraId="463391F6" w14:textId="77777777" w:rsidR="00501E02" w:rsidRDefault="00501E02" w:rsidP="002C489F">
            <w:pPr>
              <w:spacing w:before="40" w:after="20"/>
            </w:pPr>
            <w:r w:rsidRPr="00232AB9">
              <w:rPr>
                <w:rFonts w:ascii="Arial Narrow" w:hAnsi="Arial Narrow" w:cs="Arial"/>
                <w:b/>
                <w:sz w:val="18"/>
                <w:szCs w:val="18"/>
              </w:rPr>
              <w:t>Campo di osservazione</w:t>
            </w:r>
          </w:p>
        </w:tc>
        <w:tc>
          <w:tcPr>
            <w:tcW w:w="2003" w:type="pct"/>
            <w:shd w:val="clear" w:color="auto" w:fill="D9D9D9"/>
          </w:tcPr>
          <w:p w14:paraId="4373682D" w14:textId="77777777" w:rsidR="00501E02" w:rsidRPr="00232AB9" w:rsidRDefault="00501E02" w:rsidP="002C489F">
            <w:pPr>
              <w:spacing w:before="40" w:after="20"/>
              <w:rPr>
                <w:rFonts w:ascii="Arial Narrow" w:hAnsi="Arial Narrow" w:cs="Arial"/>
                <w:sz w:val="18"/>
                <w:szCs w:val="18"/>
              </w:rPr>
            </w:pPr>
            <w:r w:rsidRPr="00232AB9">
              <w:rPr>
                <w:rFonts w:ascii="Arial Narrow" w:hAnsi="Arial Narrow" w:cs="Arial"/>
                <w:sz w:val="18"/>
                <w:szCs w:val="18"/>
              </w:rPr>
              <w:t>Tutte le merci (</w:t>
            </w:r>
            <w:proofErr w:type="spellStart"/>
            <w:r w:rsidRPr="00232AB9">
              <w:rPr>
                <w:rFonts w:ascii="Arial Narrow" w:hAnsi="Arial Narrow" w:cs="Arial"/>
                <w:sz w:val="18"/>
                <w:szCs w:val="18"/>
              </w:rPr>
              <w:t>cfr</w:t>
            </w:r>
            <w:proofErr w:type="spellEnd"/>
            <w:r w:rsidRPr="00232AB9">
              <w:rPr>
                <w:rFonts w:ascii="Arial Narrow" w:hAnsi="Arial Narrow" w:cs="Arial"/>
                <w:sz w:val="18"/>
                <w:szCs w:val="18"/>
              </w:rPr>
              <w:t xml:space="preserve"> glossario), senza restrizioni rispetto all'attività economica prevalente delle unità economiche che hanno attivato i flussi di scambi con l'estero, ad esclusione dell’oro monetario, del software personalizzato, degli strumenti di pagamento aventi corso legale e valori, delle merci destinate alla riparazione.</w:t>
            </w:r>
          </w:p>
        </w:tc>
        <w:tc>
          <w:tcPr>
            <w:tcW w:w="2004" w:type="pct"/>
            <w:shd w:val="clear" w:color="auto" w:fill="auto"/>
          </w:tcPr>
          <w:p w14:paraId="3D707012" w14:textId="77777777" w:rsidR="00501E02" w:rsidRPr="00232AB9" w:rsidRDefault="00501E02" w:rsidP="002C489F">
            <w:pPr>
              <w:spacing w:before="40" w:after="20"/>
              <w:rPr>
                <w:rFonts w:ascii="Arial Narrow" w:hAnsi="Arial Narrow" w:cs="Arial"/>
                <w:sz w:val="18"/>
                <w:szCs w:val="18"/>
              </w:rPr>
            </w:pPr>
            <w:r w:rsidRPr="00232AB9">
              <w:rPr>
                <w:rFonts w:ascii="Arial Narrow" w:hAnsi="Arial Narrow" w:cs="Arial"/>
                <w:sz w:val="18"/>
                <w:szCs w:val="18"/>
              </w:rPr>
              <w:t>1) Prodott</w:t>
            </w:r>
            <w:r>
              <w:rPr>
                <w:rFonts w:ascii="Arial Narrow" w:hAnsi="Arial Narrow" w:cs="Arial"/>
                <w:sz w:val="18"/>
                <w:szCs w:val="18"/>
              </w:rPr>
              <w:t>i inclusi nelle sezioni da B a D</w:t>
            </w:r>
            <w:r w:rsidRPr="00232AB9">
              <w:rPr>
                <w:rFonts w:ascii="Arial Narrow" w:hAnsi="Arial Narrow" w:cs="Arial"/>
                <w:sz w:val="18"/>
                <w:szCs w:val="18"/>
              </w:rPr>
              <w:t xml:space="preserve"> della classificazione CPA (derivata dalla </w:t>
            </w:r>
            <w:proofErr w:type="spellStart"/>
            <w:r w:rsidRPr="00232AB9">
              <w:rPr>
                <w:rFonts w:ascii="Arial Narrow" w:hAnsi="Arial Narrow" w:cs="Arial"/>
                <w:sz w:val="18"/>
                <w:szCs w:val="18"/>
              </w:rPr>
              <w:t>Nace</w:t>
            </w:r>
            <w:proofErr w:type="spellEnd"/>
            <w:r w:rsidRPr="00232AB9">
              <w:rPr>
                <w:rFonts w:ascii="Arial Narrow" w:hAnsi="Arial Narrow" w:cs="Arial"/>
                <w:sz w:val="18"/>
                <w:szCs w:val="18"/>
              </w:rPr>
              <w:t xml:space="preserve"> Rev.2);</w:t>
            </w:r>
          </w:p>
          <w:p w14:paraId="1D8847B2" w14:textId="77777777" w:rsidR="00501E02" w:rsidRDefault="00501E02" w:rsidP="002C489F">
            <w:pPr>
              <w:spacing w:before="40" w:after="20"/>
            </w:pPr>
            <w:r w:rsidRPr="00232AB9">
              <w:rPr>
                <w:rFonts w:ascii="Arial Narrow" w:hAnsi="Arial Narrow" w:cs="Arial"/>
                <w:sz w:val="18"/>
                <w:szCs w:val="18"/>
              </w:rPr>
              <w:t xml:space="preserve">2) imprese con attività economica prevalente nelle sezioni B, C, D, E, G della classificazione </w:t>
            </w:r>
            <w:proofErr w:type="spellStart"/>
            <w:r w:rsidRPr="00232AB9">
              <w:rPr>
                <w:rFonts w:ascii="Arial Narrow" w:hAnsi="Arial Narrow" w:cs="Arial"/>
                <w:sz w:val="18"/>
                <w:szCs w:val="18"/>
              </w:rPr>
              <w:t>Ateco</w:t>
            </w:r>
            <w:proofErr w:type="spellEnd"/>
            <w:r w:rsidRPr="00232AB9">
              <w:rPr>
                <w:rFonts w:ascii="Arial Narrow" w:hAnsi="Arial Narrow" w:cs="Arial"/>
                <w:sz w:val="18"/>
                <w:szCs w:val="18"/>
              </w:rPr>
              <w:t xml:space="preserve"> 2007 (derivata dalla </w:t>
            </w:r>
            <w:proofErr w:type="spellStart"/>
            <w:r w:rsidRPr="00232AB9">
              <w:rPr>
                <w:rFonts w:ascii="Arial Narrow" w:hAnsi="Arial Narrow" w:cs="Arial"/>
                <w:sz w:val="18"/>
                <w:szCs w:val="18"/>
              </w:rPr>
              <w:t>Nace</w:t>
            </w:r>
            <w:proofErr w:type="spellEnd"/>
            <w:r w:rsidRPr="00232AB9">
              <w:rPr>
                <w:rFonts w:ascii="Arial Narrow" w:hAnsi="Arial Narrow" w:cs="Arial"/>
                <w:sz w:val="18"/>
                <w:szCs w:val="18"/>
              </w:rPr>
              <w:t xml:space="preserve"> Rev.2).</w:t>
            </w:r>
          </w:p>
        </w:tc>
      </w:tr>
      <w:tr w:rsidR="00501E02" w14:paraId="20128DAE" w14:textId="77777777" w:rsidTr="002C489F">
        <w:trPr>
          <w:trHeight w:val="255"/>
        </w:trPr>
        <w:tc>
          <w:tcPr>
            <w:tcW w:w="993" w:type="pct"/>
            <w:shd w:val="clear" w:color="auto" w:fill="auto"/>
          </w:tcPr>
          <w:p w14:paraId="17470787" w14:textId="77777777" w:rsidR="00501E02" w:rsidRDefault="00501E02" w:rsidP="002C489F">
            <w:pPr>
              <w:spacing w:before="40" w:after="20"/>
            </w:pPr>
            <w:r w:rsidRPr="00232AB9">
              <w:rPr>
                <w:rFonts w:ascii="Arial Narrow" w:hAnsi="Arial Narrow" w:cs="Arial"/>
                <w:b/>
                <w:sz w:val="18"/>
                <w:szCs w:val="18"/>
              </w:rPr>
              <w:t>Periodicità di diffusione e dettaglio territoriale dei dati</w:t>
            </w:r>
          </w:p>
        </w:tc>
        <w:tc>
          <w:tcPr>
            <w:tcW w:w="2003" w:type="pct"/>
            <w:shd w:val="clear" w:color="auto" w:fill="D9D9D9"/>
          </w:tcPr>
          <w:p w14:paraId="1AF8801D" w14:textId="77777777" w:rsidR="00501E02" w:rsidRPr="00232AB9" w:rsidRDefault="00501E02" w:rsidP="002C489F">
            <w:pPr>
              <w:spacing w:before="40" w:after="20"/>
              <w:rPr>
                <w:rFonts w:ascii="Arial Narrow" w:hAnsi="Arial Narrow" w:cs="Arial"/>
                <w:sz w:val="18"/>
                <w:szCs w:val="18"/>
              </w:rPr>
            </w:pPr>
            <w:r w:rsidRPr="00232AB9">
              <w:rPr>
                <w:rFonts w:ascii="Arial Narrow" w:hAnsi="Arial Narrow" w:cs="Arial"/>
                <w:sz w:val="18"/>
                <w:szCs w:val="18"/>
              </w:rPr>
              <w:t>Cadenza mensile delle stime degli indicatori a livello nazionale</w:t>
            </w:r>
          </w:p>
        </w:tc>
        <w:tc>
          <w:tcPr>
            <w:tcW w:w="2004" w:type="pct"/>
            <w:shd w:val="clear" w:color="auto" w:fill="auto"/>
          </w:tcPr>
          <w:p w14:paraId="4A57A99B" w14:textId="77777777" w:rsidR="00501E02" w:rsidRPr="00232AB9" w:rsidRDefault="00501E02" w:rsidP="002C489F">
            <w:pPr>
              <w:spacing w:before="40" w:after="20"/>
              <w:rPr>
                <w:rFonts w:ascii="Arial Narrow" w:hAnsi="Arial Narrow" w:cs="Arial"/>
                <w:sz w:val="18"/>
                <w:szCs w:val="18"/>
              </w:rPr>
            </w:pPr>
            <w:r w:rsidRPr="00232AB9">
              <w:rPr>
                <w:rFonts w:ascii="Arial Narrow" w:hAnsi="Arial Narrow" w:cs="Arial"/>
                <w:sz w:val="18"/>
                <w:szCs w:val="18"/>
              </w:rPr>
              <w:t>Cadenza mensile delle stime degli indicatori a livello nazionale</w:t>
            </w:r>
          </w:p>
        </w:tc>
      </w:tr>
      <w:tr w:rsidR="00501E02" w14:paraId="1E0E1AD5" w14:textId="77777777" w:rsidTr="002C489F">
        <w:trPr>
          <w:trHeight w:val="255"/>
        </w:trPr>
        <w:tc>
          <w:tcPr>
            <w:tcW w:w="993" w:type="pct"/>
            <w:shd w:val="clear" w:color="auto" w:fill="auto"/>
          </w:tcPr>
          <w:p w14:paraId="02D2150C" w14:textId="77777777" w:rsidR="00501E02" w:rsidRDefault="00501E02" w:rsidP="002C489F">
            <w:pPr>
              <w:spacing w:before="40" w:after="20"/>
            </w:pPr>
            <w:r w:rsidRPr="00232AB9">
              <w:rPr>
                <w:rFonts w:ascii="Arial Narrow" w:hAnsi="Arial Narrow" w:cs="Arial"/>
                <w:b/>
                <w:sz w:val="18"/>
                <w:szCs w:val="18"/>
              </w:rPr>
              <w:t>Periodo di riferimento</w:t>
            </w:r>
          </w:p>
        </w:tc>
        <w:tc>
          <w:tcPr>
            <w:tcW w:w="2003" w:type="pct"/>
            <w:shd w:val="clear" w:color="auto" w:fill="D9D9D9"/>
          </w:tcPr>
          <w:p w14:paraId="507E0FC0" w14:textId="77777777" w:rsidR="00501E02" w:rsidRPr="00232AB9" w:rsidRDefault="00501E02" w:rsidP="002C489F">
            <w:pPr>
              <w:spacing w:before="40" w:after="20"/>
              <w:rPr>
                <w:rFonts w:ascii="Arial Narrow" w:hAnsi="Arial Narrow" w:cs="Arial"/>
                <w:sz w:val="18"/>
                <w:szCs w:val="18"/>
              </w:rPr>
            </w:pPr>
            <w:r w:rsidRPr="00232AB9">
              <w:rPr>
                <w:rFonts w:ascii="Arial Narrow" w:hAnsi="Arial Narrow" w:cs="Arial"/>
                <w:sz w:val="18"/>
                <w:szCs w:val="18"/>
              </w:rPr>
              <w:t>Mese e periodo cui si riferiscono le informazioni raccolte</w:t>
            </w:r>
          </w:p>
        </w:tc>
        <w:tc>
          <w:tcPr>
            <w:tcW w:w="2004" w:type="pct"/>
            <w:shd w:val="clear" w:color="auto" w:fill="auto"/>
          </w:tcPr>
          <w:p w14:paraId="0F2F20E8" w14:textId="77777777" w:rsidR="00501E02" w:rsidRPr="00232AB9" w:rsidRDefault="00501E02" w:rsidP="002C489F">
            <w:pPr>
              <w:spacing w:before="40" w:after="20"/>
              <w:rPr>
                <w:rFonts w:ascii="Arial Narrow" w:hAnsi="Arial Narrow" w:cs="Arial"/>
                <w:sz w:val="18"/>
                <w:szCs w:val="18"/>
              </w:rPr>
            </w:pPr>
            <w:r w:rsidRPr="00232AB9">
              <w:rPr>
                <w:rFonts w:ascii="Arial Narrow" w:hAnsi="Arial Narrow" w:cs="Arial"/>
                <w:sz w:val="18"/>
                <w:szCs w:val="18"/>
              </w:rPr>
              <w:t>Mese e periodo cui si riferiscono le informazioni raccolte</w:t>
            </w:r>
          </w:p>
        </w:tc>
      </w:tr>
      <w:tr w:rsidR="00501E02" w14:paraId="0A1722C6" w14:textId="77777777" w:rsidTr="002C489F">
        <w:trPr>
          <w:trHeight w:val="255"/>
        </w:trPr>
        <w:tc>
          <w:tcPr>
            <w:tcW w:w="993" w:type="pct"/>
            <w:shd w:val="clear" w:color="auto" w:fill="auto"/>
          </w:tcPr>
          <w:p w14:paraId="1E2819D9" w14:textId="77777777" w:rsidR="00501E02" w:rsidRDefault="00501E02" w:rsidP="002C489F">
            <w:pPr>
              <w:spacing w:before="40" w:after="20"/>
            </w:pPr>
            <w:r w:rsidRPr="00232AB9">
              <w:rPr>
                <w:rFonts w:ascii="Arial Narrow" w:hAnsi="Arial Narrow" w:cs="Arial"/>
                <w:b/>
                <w:sz w:val="18"/>
                <w:szCs w:val="18"/>
              </w:rPr>
              <w:t>Principali indicatori</w:t>
            </w:r>
          </w:p>
        </w:tc>
        <w:tc>
          <w:tcPr>
            <w:tcW w:w="2003" w:type="pct"/>
            <w:shd w:val="clear" w:color="auto" w:fill="D9D9D9"/>
          </w:tcPr>
          <w:p w14:paraId="037463B7" w14:textId="77777777" w:rsidR="00501E02" w:rsidRPr="00232AB9" w:rsidRDefault="00501E02" w:rsidP="002C489F">
            <w:pPr>
              <w:spacing w:before="40" w:after="20"/>
              <w:rPr>
                <w:rFonts w:ascii="Arial Narrow" w:hAnsi="Arial Narrow" w:cs="Arial"/>
                <w:sz w:val="18"/>
                <w:szCs w:val="18"/>
              </w:rPr>
            </w:pPr>
            <w:r w:rsidRPr="00232AB9">
              <w:rPr>
                <w:rFonts w:ascii="Arial Narrow" w:hAnsi="Arial Narrow" w:cs="Arial"/>
                <w:sz w:val="18"/>
                <w:szCs w:val="18"/>
              </w:rPr>
              <w:t>1) Valori monetari a prezzi correnti rilevati o stimati in termini di valore statistico (</w:t>
            </w:r>
            <w:proofErr w:type="spellStart"/>
            <w:r w:rsidRPr="00232AB9">
              <w:rPr>
                <w:rFonts w:ascii="Arial Narrow" w:hAnsi="Arial Narrow" w:cs="Arial"/>
                <w:sz w:val="18"/>
                <w:szCs w:val="18"/>
              </w:rPr>
              <w:t>Cif</w:t>
            </w:r>
            <w:proofErr w:type="spellEnd"/>
            <w:r w:rsidRPr="00232AB9">
              <w:rPr>
                <w:rFonts w:ascii="Arial Narrow" w:hAnsi="Arial Narrow" w:cs="Arial"/>
                <w:sz w:val="18"/>
                <w:szCs w:val="18"/>
              </w:rPr>
              <w:t xml:space="preserve">, </w:t>
            </w:r>
            <w:proofErr w:type="spellStart"/>
            <w:r w:rsidRPr="00232AB9">
              <w:rPr>
                <w:rFonts w:ascii="Arial Narrow" w:hAnsi="Arial Narrow" w:cs="Arial"/>
                <w:sz w:val="18"/>
                <w:szCs w:val="18"/>
              </w:rPr>
              <w:t>Fob</w:t>
            </w:r>
            <w:proofErr w:type="spellEnd"/>
            <w:r w:rsidRPr="00232AB9">
              <w:rPr>
                <w:rFonts w:ascii="Arial Narrow" w:hAnsi="Arial Narrow" w:cs="Arial"/>
                <w:sz w:val="18"/>
                <w:szCs w:val="18"/>
              </w:rPr>
              <w:t>)</w:t>
            </w:r>
          </w:p>
          <w:p w14:paraId="23221AB4" w14:textId="77777777" w:rsidR="00501E02" w:rsidRDefault="00501E02" w:rsidP="002C489F">
            <w:pPr>
              <w:spacing w:before="40" w:after="20"/>
            </w:pPr>
            <w:r w:rsidRPr="00232AB9">
              <w:rPr>
                <w:rFonts w:ascii="Arial Narrow" w:hAnsi="Arial Narrow" w:cs="Arial"/>
                <w:sz w:val="18"/>
                <w:szCs w:val="18"/>
              </w:rPr>
              <w:t>2) VMU e volumi: Indici di Fisher a base mobile concatenati</w:t>
            </w:r>
          </w:p>
        </w:tc>
        <w:tc>
          <w:tcPr>
            <w:tcW w:w="2004" w:type="pct"/>
            <w:shd w:val="clear" w:color="auto" w:fill="auto"/>
          </w:tcPr>
          <w:p w14:paraId="6E674035" w14:textId="3A951D2F" w:rsidR="00501E02" w:rsidRDefault="00501E02" w:rsidP="00DF597A">
            <w:pPr>
              <w:spacing w:before="40" w:after="20"/>
            </w:pPr>
            <w:r w:rsidRPr="00DF597A">
              <w:rPr>
                <w:rFonts w:ascii="Arial Narrow" w:hAnsi="Arial Narrow" w:cs="Arial"/>
                <w:sz w:val="18"/>
                <w:szCs w:val="18"/>
              </w:rPr>
              <w:t xml:space="preserve">Indice di </w:t>
            </w:r>
            <w:proofErr w:type="spellStart"/>
            <w:r w:rsidRPr="00DF597A">
              <w:rPr>
                <w:rFonts w:ascii="Arial Narrow" w:hAnsi="Arial Narrow" w:cs="Arial"/>
                <w:sz w:val="18"/>
                <w:szCs w:val="18"/>
              </w:rPr>
              <w:t>Laspeyres</w:t>
            </w:r>
            <w:proofErr w:type="spellEnd"/>
            <w:r w:rsidR="00DF597A" w:rsidRPr="00DF597A">
              <w:rPr>
                <w:rFonts w:ascii="Arial Narrow" w:hAnsi="Arial Narrow" w:cs="Arial"/>
                <w:sz w:val="18"/>
                <w:szCs w:val="18"/>
              </w:rPr>
              <w:t xml:space="preserve"> concatenato</w:t>
            </w:r>
          </w:p>
        </w:tc>
      </w:tr>
    </w:tbl>
    <w:p w14:paraId="349DC099" w14:textId="77777777" w:rsidR="00501E02" w:rsidRDefault="00501E02" w:rsidP="00501E02">
      <w:pPr>
        <w:spacing w:after="120"/>
        <w:jc w:val="both"/>
        <w:rPr>
          <w:rFonts w:ascii="Arial" w:hAnsi="Arial" w:cs="Arial"/>
          <w:b/>
        </w:rPr>
      </w:pPr>
    </w:p>
    <w:p w14:paraId="22F2900A" w14:textId="77777777" w:rsidR="00501E02" w:rsidRPr="00C9631A" w:rsidRDefault="00501E02" w:rsidP="00501E02">
      <w:pPr>
        <w:pStyle w:val="Titolo8"/>
        <w:spacing w:before="0" w:after="120"/>
        <w:rPr>
          <w:rFonts w:ascii="Arial" w:hAnsi="Arial" w:cs="Arial"/>
          <w:b/>
          <w:i w:val="0"/>
          <w:color w:val="E42618"/>
          <w:sz w:val="22"/>
          <w:szCs w:val="20"/>
        </w:rPr>
      </w:pPr>
      <w:r w:rsidRPr="00C9631A">
        <w:rPr>
          <w:rFonts w:ascii="Arial" w:hAnsi="Arial" w:cs="Arial"/>
          <w:b/>
          <w:i w:val="0"/>
          <w:color w:val="E42618"/>
          <w:sz w:val="22"/>
          <w:szCs w:val="20"/>
        </w:rPr>
        <w:t>Commercio con l’estero</w:t>
      </w:r>
    </w:p>
    <w:p w14:paraId="4E8C9D08" w14:textId="77777777" w:rsidR="00501E02" w:rsidRPr="00C21B33" w:rsidRDefault="00501E02" w:rsidP="00501E02">
      <w:pPr>
        <w:spacing w:after="120"/>
        <w:jc w:val="both"/>
        <w:rPr>
          <w:rFonts w:ascii="Arial" w:hAnsi="Arial" w:cs="Arial"/>
          <w:strike/>
          <w:sz w:val="20"/>
          <w:szCs w:val="20"/>
        </w:rPr>
      </w:pPr>
      <w:r w:rsidRPr="00C9631A">
        <w:rPr>
          <w:rFonts w:ascii="Arial" w:hAnsi="Arial" w:cs="Arial"/>
          <w:sz w:val="20"/>
          <w:szCs w:val="20"/>
        </w:rPr>
        <w:t>Le statistiche del commercio estero di beni sono il risultato di due rilevazioni che hanno come oggetto gli scambi dell’Italia con i paesi dell’Unione europea (Ue) e con i paesi extra Ue</w:t>
      </w:r>
      <w:r w:rsidRPr="00104132">
        <w:rPr>
          <w:rFonts w:ascii="Arial" w:hAnsi="Arial" w:cs="Arial"/>
          <w:sz w:val="20"/>
          <w:szCs w:val="20"/>
        </w:rPr>
        <w:t xml:space="preserve">. </w:t>
      </w:r>
    </w:p>
    <w:p w14:paraId="03712E1A" w14:textId="77777777" w:rsidR="00501E02" w:rsidRPr="00C9631A" w:rsidRDefault="00501E02" w:rsidP="00501E02">
      <w:pPr>
        <w:spacing w:after="120"/>
        <w:jc w:val="both"/>
        <w:rPr>
          <w:rFonts w:ascii="Arial" w:hAnsi="Arial" w:cs="Arial"/>
          <w:sz w:val="20"/>
          <w:szCs w:val="20"/>
        </w:rPr>
      </w:pPr>
    </w:p>
    <w:p w14:paraId="28024808" w14:textId="77777777" w:rsidR="00501E02" w:rsidRDefault="00501E02" w:rsidP="00501E02">
      <w:pPr>
        <w:spacing w:after="120"/>
        <w:jc w:val="both"/>
        <w:rPr>
          <w:rFonts w:ascii="Arial" w:hAnsi="Arial" w:cs="Arial"/>
          <w:b/>
          <w:sz w:val="20"/>
          <w:szCs w:val="20"/>
        </w:rPr>
      </w:pPr>
      <w:r w:rsidRPr="00C9631A">
        <w:rPr>
          <w:rFonts w:ascii="Arial" w:hAnsi="Arial" w:cs="Arial"/>
          <w:b/>
          <w:sz w:val="20"/>
          <w:szCs w:val="20"/>
        </w:rPr>
        <w:t>Quadro normativo di riferimento</w:t>
      </w:r>
    </w:p>
    <w:p w14:paraId="7A92114D" w14:textId="77777777" w:rsidR="00501E02" w:rsidRPr="00D61DDB" w:rsidRDefault="00501E02" w:rsidP="00501E02">
      <w:pPr>
        <w:spacing w:after="120"/>
        <w:jc w:val="both"/>
        <w:rPr>
          <w:rFonts w:ascii="Arial" w:hAnsi="Arial" w:cs="Arial"/>
          <w:sz w:val="20"/>
          <w:szCs w:val="20"/>
        </w:rPr>
      </w:pPr>
      <w:r w:rsidRPr="00D61DDB">
        <w:rPr>
          <w:rFonts w:ascii="Arial" w:hAnsi="Arial" w:cs="Arial"/>
          <w:sz w:val="20"/>
          <w:szCs w:val="20"/>
        </w:rPr>
        <w:t>L</w:t>
      </w:r>
      <w:r>
        <w:rPr>
          <w:rFonts w:ascii="Arial" w:hAnsi="Arial" w:cs="Arial"/>
          <w:sz w:val="20"/>
          <w:szCs w:val="20"/>
        </w:rPr>
        <w:t>e rilevazioni</w:t>
      </w:r>
      <w:r w:rsidRPr="00D61DDB">
        <w:rPr>
          <w:rFonts w:ascii="Arial" w:hAnsi="Arial" w:cs="Arial"/>
          <w:sz w:val="20"/>
          <w:szCs w:val="20"/>
        </w:rPr>
        <w:t xml:space="preserve"> del commercio con i paesi </w:t>
      </w:r>
      <w:r>
        <w:rPr>
          <w:rFonts w:ascii="Arial" w:hAnsi="Arial" w:cs="Arial"/>
          <w:sz w:val="20"/>
          <w:szCs w:val="20"/>
        </w:rPr>
        <w:t xml:space="preserve">Ue ed </w:t>
      </w:r>
      <w:r w:rsidRPr="00D61DDB">
        <w:rPr>
          <w:rFonts w:ascii="Arial" w:hAnsi="Arial" w:cs="Arial"/>
          <w:sz w:val="20"/>
          <w:szCs w:val="20"/>
        </w:rPr>
        <w:t xml:space="preserve">extra Ue </w:t>
      </w:r>
      <w:r>
        <w:rPr>
          <w:rFonts w:ascii="Arial" w:hAnsi="Arial" w:cs="Arial"/>
          <w:sz w:val="20"/>
          <w:szCs w:val="20"/>
        </w:rPr>
        <w:t>sono</w:t>
      </w:r>
      <w:r w:rsidRPr="00E41033">
        <w:rPr>
          <w:rFonts w:ascii="Arial" w:hAnsi="Arial" w:cs="Arial"/>
          <w:sz w:val="20"/>
          <w:szCs w:val="20"/>
        </w:rPr>
        <w:t xml:space="preserve"> effettuat</w:t>
      </w:r>
      <w:r>
        <w:rPr>
          <w:rFonts w:ascii="Arial" w:hAnsi="Arial" w:cs="Arial"/>
          <w:sz w:val="20"/>
          <w:szCs w:val="20"/>
        </w:rPr>
        <w:t>e</w:t>
      </w:r>
      <w:r w:rsidRPr="00D61DDB">
        <w:rPr>
          <w:rFonts w:ascii="Arial" w:hAnsi="Arial" w:cs="Arial"/>
          <w:sz w:val="20"/>
          <w:szCs w:val="20"/>
        </w:rPr>
        <w:t xml:space="preserve"> secondo la normativa comunitaria: Regolamento (UE) 2019/2152 del Parlamento europeo e del Consiglio relativo alle statistiche europee sulle imprese; Regolamento di esecuzione (UE) 2020/1197 della Commissione che stabilisce le specifiche tecniche e le modalità a norma del regolamento (UE) 2019/2152; Regolamento delegato (UE) 2021/1704 della Commissione che integra il regolamento (UE) 2019/2152 specificando ulteriormente i dettagli delle informazioni statistiche che devono essere fornite dalle autorità fiscali e doganali e che ne modifica gli allegati V e VI; Regolamento di esecuzione (UE) 2021/1225 della Commi</w:t>
      </w:r>
      <w:r>
        <w:rPr>
          <w:rFonts w:ascii="Arial" w:hAnsi="Arial" w:cs="Arial"/>
          <w:sz w:val="20"/>
          <w:szCs w:val="20"/>
        </w:rPr>
        <w:t>s</w:t>
      </w:r>
      <w:r w:rsidRPr="00D61DDB">
        <w:rPr>
          <w:rFonts w:ascii="Arial" w:hAnsi="Arial" w:cs="Arial"/>
          <w:sz w:val="20"/>
          <w:szCs w:val="20"/>
        </w:rPr>
        <w:t>sione che specifica le modalità degli scambi di dati a norma del regolamento (UE) 2019/2152 e che modifica il regolamento di esecuzione (UE) 2020/1197 per quanto riguarda lo Stato membro di esportazione extra-UE e gli obblighi delle unità rispondenti</w:t>
      </w:r>
      <w:r>
        <w:rPr>
          <w:rFonts w:ascii="Arial" w:hAnsi="Arial" w:cs="Arial"/>
          <w:sz w:val="20"/>
          <w:szCs w:val="20"/>
        </w:rPr>
        <w:t>.</w:t>
      </w:r>
    </w:p>
    <w:p w14:paraId="50AEB23B"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 xml:space="preserve">La rilevazione del commercio con i paesi appartenenti all’Unione europea </w:t>
      </w:r>
      <w:r>
        <w:rPr>
          <w:rFonts w:ascii="Arial" w:hAnsi="Arial" w:cs="Arial"/>
          <w:sz w:val="20"/>
          <w:szCs w:val="20"/>
        </w:rPr>
        <w:t>t</w:t>
      </w:r>
      <w:r w:rsidRPr="00C9631A">
        <w:rPr>
          <w:rFonts w:ascii="Arial" w:hAnsi="Arial" w:cs="Arial"/>
          <w:sz w:val="20"/>
          <w:szCs w:val="20"/>
        </w:rPr>
        <w:t>rova applicazione in sede nazionale con il Decreto Legislativo n. 18/2010 (GU n. 41 del 19-2-2010), il Decreto del Ministro dell’</w:t>
      </w:r>
      <w:r>
        <w:rPr>
          <w:rFonts w:ascii="Arial" w:hAnsi="Arial" w:cs="Arial"/>
          <w:sz w:val="20"/>
          <w:szCs w:val="20"/>
        </w:rPr>
        <w:t>e</w:t>
      </w:r>
      <w:r w:rsidRPr="00C9631A">
        <w:rPr>
          <w:rFonts w:ascii="Arial" w:hAnsi="Arial" w:cs="Arial"/>
          <w:sz w:val="20"/>
          <w:szCs w:val="20"/>
        </w:rPr>
        <w:t xml:space="preserve">conomia e delle </w:t>
      </w:r>
      <w:r>
        <w:rPr>
          <w:rFonts w:ascii="Arial" w:hAnsi="Arial" w:cs="Arial"/>
          <w:sz w:val="20"/>
          <w:szCs w:val="20"/>
        </w:rPr>
        <w:t>f</w:t>
      </w:r>
      <w:r w:rsidRPr="00C9631A">
        <w:rPr>
          <w:rFonts w:ascii="Arial" w:hAnsi="Arial" w:cs="Arial"/>
          <w:sz w:val="20"/>
          <w:szCs w:val="20"/>
        </w:rPr>
        <w:t>inanze del 22/2/2010 (GU n.53 del 5-3-2010) e l</w:t>
      </w:r>
      <w:r>
        <w:rPr>
          <w:rFonts w:ascii="Arial" w:hAnsi="Arial" w:cs="Arial"/>
          <w:sz w:val="20"/>
          <w:szCs w:val="20"/>
        </w:rPr>
        <w:t>a</w:t>
      </w:r>
      <w:r w:rsidRPr="00C9631A">
        <w:rPr>
          <w:rFonts w:ascii="Arial" w:hAnsi="Arial" w:cs="Arial"/>
          <w:sz w:val="20"/>
          <w:szCs w:val="20"/>
        </w:rPr>
        <w:t xml:space="preserve"> Determinazione </w:t>
      </w:r>
      <w:r>
        <w:rPr>
          <w:rFonts w:ascii="Arial" w:hAnsi="Arial" w:cs="Arial"/>
          <w:sz w:val="20"/>
          <w:szCs w:val="20"/>
        </w:rPr>
        <w:t xml:space="preserve">del Direttore </w:t>
      </w:r>
      <w:r w:rsidRPr="00C9631A">
        <w:rPr>
          <w:rFonts w:ascii="Arial" w:hAnsi="Arial" w:cs="Arial"/>
          <w:sz w:val="20"/>
          <w:szCs w:val="20"/>
        </w:rPr>
        <w:t xml:space="preserve">dell’Agenzia delle </w:t>
      </w:r>
      <w:r>
        <w:rPr>
          <w:rFonts w:ascii="Arial" w:hAnsi="Arial" w:cs="Arial"/>
          <w:sz w:val="20"/>
          <w:szCs w:val="20"/>
        </w:rPr>
        <w:t>d</w:t>
      </w:r>
      <w:r w:rsidRPr="00C9631A">
        <w:rPr>
          <w:rFonts w:ascii="Arial" w:hAnsi="Arial" w:cs="Arial"/>
          <w:sz w:val="20"/>
          <w:szCs w:val="20"/>
        </w:rPr>
        <w:t>ogane del 22/2/2010</w:t>
      </w:r>
      <w:r>
        <w:rPr>
          <w:rFonts w:ascii="Arial" w:hAnsi="Arial" w:cs="Arial"/>
          <w:sz w:val="20"/>
          <w:szCs w:val="20"/>
        </w:rPr>
        <w:t>,</w:t>
      </w:r>
      <w:r w:rsidRPr="00C9631A">
        <w:rPr>
          <w:rFonts w:ascii="Arial" w:hAnsi="Arial" w:cs="Arial"/>
          <w:sz w:val="20"/>
          <w:szCs w:val="20"/>
        </w:rPr>
        <w:t xml:space="preserve"> </w:t>
      </w:r>
      <w:r>
        <w:rPr>
          <w:rFonts w:ascii="Arial" w:hAnsi="Arial" w:cs="Arial"/>
          <w:sz w:val="20"/>
          <w:szCs w:val="20"/>
        </w:rPr>
        <w:t>il</w:t>
      </w:r>
      <w:r w:rsidRPr="00C9631A">
        <w:rPr>
          <w:rFonts w:ascii="Arial" w:hAnsi="Arial" w:cs="Arial"/>
          <w:sz w:val="20"/>
          <w:szCs w:val="20"/>
        </w:rPr>
        <w:t xml:space="preserve"> Provvedimento del </w:t>
      </w:r>
      <w:r>
        <w:rPr>
          <w:rFonts w:ascii="Arial" w:hAnsi="Arial" w:cs="Arial"/>
          <w:sz w:val="20"/>
          <w:szCs w:val="20"/>
        </w:rPr>
        <w:t>D</w:t>
      </w:r>
      <w:r w:rsidRPr="00C9631A">
        <w:rPr>
          <w:rFonts w:ascii="Arial" w:hAnsi="Arial" w:cs="Arial"/>
          <w:sz w:val="20"/>
          <w:szCs w:val="20"/>
        </w:rPr>
        <w:t>irettore dell'Agenzia delle entrate</w:t>
      </w:r>
      <w:r>
        <w:rPr>
          <w:rFonts w:ascii="Arial" w:hAnsi="Arial" w:cs="Arial"/>
          <w:sz w:val="20"/>
          <w:szCs w:val="20"/>
        </w:rPr>
        <w:t xml:space="preserve"> n. 194409 </w:t>
      </w:r>
      <w:r w:rsidRPr="00C9631A">
        <w:rPr>
          <w:rFonts w:ascii="Arial" w:hAnsi="Arial" w:cs="Arial"/>
          <w:sz w:val="20"/>
          <w:szCs w:val="20"/>
        </w:rPr>
        <w:t xml:space="preserve"> del 25/09/2017</w:t>
      </w:r>
      <w:r>
        <w:rPr>
          <w:rFonts w:ascii="Arial" w:hAnsi="Arial" w:cs="Arial"/>
          <w:sz w:val="20"/>
          <w:szCs w:val="20"/>
        </w:rPr>
        <w:t xml:space="preserve"> e la </w:t>
      </w:r>
      <w:r w:rsidRPr="00D05D6A">
        <w:rPr>
          <w:rFonts w:ascii="Arial" w:hAnsi="Arial" w:cs="Arial"/>
          <w:sz w:val="20"/>
          <w:szCs w:val="20"/>
        </w:rPr>
        <w:t xml:space="preserve">Determinazione </w:t>
      </w:r>
      <w:r>
        <w:rPr>
          <w:rFonts w:ascii="Arial" w:hAnsi="Arial" w:cs="Arial"/>
          <w:sz w:val="20"/>
          <w:szCs w:val="20"/>
        </w:rPr>
        <w:t xml:space="preserve">del Direttore dell’Agenzia delle dogane e monopoli </w:t>
      </w:r>
      <w:r w:rsidRPr="00D05D6A">
        <w:rPr>
          <w:rFonts w:ascii="Arial" w:hAnsi="Arial" w:cs="Arial"/>
          <w:sz w:val="20"/>
          <w:szCs w:val="20"/>
        </w:rPr>
        <w:t>n</w:t>
      </w:r>
      <w:r>
        <w:rPr>
          <w:rFonts w:ascii="Arial" w:hAnsi="Arial" w:cs="Arial"/>
          <w:sz w:val="20"/>
          <w:szCs w:val="20"/>
        </w:rPr>
        <w:t>.</w:t>
      </w:r>
      <w:r w:rsidRPr="00D05D6A">
        <w:rPr>
          <w:rFonts w:ascii="Arial" w:hAnsi="Arial" w:cs="Arial"/>
          <w:sz w:val="20"/>
          <w:szCs w:val="20"/>
        </w:rPr>
        <w:t xml:space="preserve"> 493869 del 23 dicembre 2021</w:t>
      </w:r>
      <w:r w:rsidRPr="00C9631A">
        <w:rPr>
          <w:rFonts w:ascii="Arial" w:hAnsi="Arial" w:cs="Arial"/>
          <w:sz w:val="20"/>
          <w:szCs w:val="20"/>
        </w:rPr>
        <w:t xml:space="preserve">. </w:t>
      </w:r>
    </w:p>
    <w:p w14:paraId="58F853A1" w14:textId="77777777" w:rsidR="00501E02" w:rsidRDefault="00501E02" w:rsidP="00501E02">
      <w:pPr>
        <w:spacing w:after="120"/>
        <w:jc w:val="both"/>
        <w:rPr>
          <w:rFonts w:ascii="Arial" w:hAnsi="Arial" w:cs="Arial"/>
          <w:sz w:val="20"/>
          <w:szCs w:val="20"/>
        </w:rPr>
      </w:pPr>
      <w:r w:rsidRPr="00C9631A">
        <w:rPr>
          <w:rFonts w:ascii="Arial" w:hAnsi="Arial" w:cs="Arial"/>
          <w:sz w:val="20"/>
          <w:szCs w:val="20"/>
        </w:rPr>
        <w:t xml:space="preserve">La rilevazione del commercio con i paesi extra Ue </w:t>
      </w:r>
      <w:r>
        <w:rPr>
          <w:rFonts w:ascii="Arial" w:hAnsi="Arial" w:cs="Arial"/>
          <w:sz w:val="20"/>
          <w:szCs w:val="20"/>
        </w:rPr>
        <w:t xml:space="preserve">trova </w:t>
      </w:r>
      <w:r w:rsidRPr="00C9631A">
        <w:rPr>
          <w:rFonts w:ascii="Arial" w:hAnsi="Arial" w:cs="Arial"/>
          <w:sz w:val="20"/>
          <w:szCs w:val="20"/>
        </w:rPr>
        <w:t xml:space="preserve">applicazione in sede nazionale con opportuni provvedimenti emanati dall’Agenzia delle </w:t>
      </w:r>
      <w:r>
        <w:rPr>
          <w:rFonts w:ascii="Arial" w:hAnsi="Arial" w:cs="Arial"/>
          <w:sz w:val="20"/>
          <w:szCs w:val="20"/>
        </w:rPr>
        <w:t>d</w:t>
      </w:r>
      <w:r w:rsidRPr="00C9631A">
        <w:rPr>
          <w:rFonts w:ascii="Arial" w:hAnsi="Arial" w:cs="Arial"/>
          <w:sz w:val="20"/>
          <w:szCs w:val="20"/>
        </w:rPr>
        <w:t>ogane</w:t>
      </w:r>
      <w:r>
        <w:rPr>
          <w:rFonts w:ascii="Arial" w:hAnsi="Arial" w:cs="Arial"/>
          <w:sz w:val="20"/>
          <w:szCs w:val="20"/>
        </w:rPr>
        <w:t>.</w:t>
      </w:r>
    </w:p>
    <w:p w14:paraId="49AD2B4B" w14:textId="77777777" w:rsidR="00501E02" w:rsidRDefault="00501E02" w:rsidP="00501E02">
      <w:pPr>
        <w:spacing w:after="120"/>
        <w:jc w:val="both"/>
        <w:rPr>
          <w:rFonts w:ascii="Arial" w:hAnsi="Arial" w:cs="Arial"/>
          <w:sz w:val="20"/>
          <w:szCs w:val="20"/>
        </w:rPr>
      </w:pPr>
    </w:p>
    <w:p w14:paraId="1362B3FD" w14:textId="77777777" w:rsidR="00501E02" w:rsidRDefault="00501E02" w:rsidP="00501E02">
      <w:pPr>
        <w:spacing w:after="120"/>
        <w:jc w:val="both"/>
        <w:rPr>
          <w:rFonts w:ascii="Arial" w:hAnsi="Arial" w:cs="Arial"/>
          <w:sz w:val="20"/>
          <w:szCs w:val="20"/>
        </w:rPr>
      </w:pPr>
    </w:p>
    <w:p w14:paraId="4C9FBF49" w14:textId="77777777" w:rsidR="00501E02" w:rsidRDefault="00501E02" w:rsidP="00501E02">
      <w:pPr>
        <w:spacing w:after="120"/>
        <w:jc w:val="both"/>
        <w:rPr>
          <w:rFonts w:ascii="Arial" w:hAnsi="Arial" w:cs="Arial"/>
          <w:sz w:val="20"/>
          <w:szCs w:val="20"/>
        </w:rPr>
      </w:pPr>
    </w:p>
    <w:p w14:paraId="277A2D36" w14:textId="77777777" w:rsidR="00501E02" w:rsidRDefault="00501E02" w:rsidP="00501E02">
      <w:pPr>
        <w:spacing w:after="120"/>
        <w:jc w:val="both"/>
        <w:rPr>
          <w:rFonts w:ascii="Arial" w:hAnsi="Arial" w:cs="Arial"/>
          <w:sz w:val="20"/>
          <w:szCs w:val="20"/>
        </w:rPr>
      </w:pPr>
    </w:p>
    <w:p w14:paraId="1525345B" w14:textId="77777777" w:rsidR="00501E02" w:rsidRPr="00C9631A" w:rsidRDefault="00501E02" w:rsidP="00501E02">
      <w:pPr>
        <w:spacing w:after="120"/>
        <w:jc w:val="both"/>
        <w:rPr>
          <w:rFonts w:ascii="Arial" w:hAnsi="Arial" w:cs="Arial"/>
          <w:sz w:val="20"/>
          <w:szCs w:val="20"/>
        </w:rPr>
      </w:pPr>
    </w:p>
    <w:p w14:paraId="4F564254" w14:textId="77777777" w:rsidR="00501E02" w:rsidRPr="00C9631A" w:rsidRDefault="00501E02" w:rsidP="00501E02">
      <w:pPr>
        <w:spacing w:after="120"/>
        <w:jc w:val="both"/>
        <w:rPr>
          <w:rFonts w:ascii="Arial" w:hAnsi="Arial" w:cs="Arial"/>
          <w:b/>
          <w:sz w:val="20"/>
          <w:szCs w:val="20"/>
        </w:rPr>
      </w:pPr>
      <w:r w:rsidRPr="00C9631A">
        <w:rPr>
          <w:rFonts w:ascii="Arial" w:hAnsi="Arial" w:cs="Arial"/>
          <w:b/>
          <w:sz w:val="20"/>
          <w:szCs w:val="20"/>
        </w:rPr>
        <w:t xml:space="preserve">Fonti utilizzate e raccolta dei dati </w:t>
      </w:r>
    </w:p>
    <w:p w14:paraId="3B3B5DFE" w14:textId="77777777" w:rsidR="00501E02" w:rsidRPr="00FA0113" w:rsidRDefault="00501E02" w:rsidP="00501E02">
      <w:pPr>
        <w:spacing w:after="120"/>
        <w:jc w:val="both"/>
        <w:rPr>
          <w:rFonts w:ascii="Arial" w:hAnsi="Arial" w:cs="Arial"/>
          <w:sz w:val="16"/>
          <w:szCs w:val="16"/>
        </w:rPr>
      </w:pPr>
      <w:r w:rsidRPr="00C9631A">
        <w:rPr>
          <w:rFonts w:ascii="Arial" w:hAnsi="Arial" w:cs="Arial"/>
          <w:sz w:val="20"/>
          <w:szCs w:val="20"/>
        </w:rPr>
        <w:t xml:space="preserve">Per la produzione di statistiche sugli scambi di merci con i paesi Ue, le informazioni sono raccolte tramite i modelli </w:t>
      </w:r>
      <w:proofErr w:type="spellStart"/>
      <w:r w:rsidRPr="00C9631A">
        <w:rPr>
          <w:rFonts w:ascii="Arial" w:hAnsi="Arial" w:cs="Arial"/>
          <w:sz w:val="20"/>
          <w:szCs w:val="20"/>
        </w:rPr>
        <w:t>Intrastat</w:t>
      </w:r>
      <w:proofErr w:type="spellEnd"/>
      <w:r w:rsidRPr="00C9631A">
        <w:rPr>
          <w:rFonts w:ascii="Arial" w:hAnsi="Arial" w:cs="Arial"/>
          <w:sz w:val="20"/>
          <w:szCs w:val="20"/>
        </w:rPr>
        <w:t xml:space="preserve"> che riportano, in sezioni distinte, le dichiarazioni per acquisti e cessioni di beni e per prestazioni di servizi resi e ricevuti. </w:t>
      </w:r>
    </w:p>
    <w:p w14:paraId="6F91AC11" w14:textId="77777777" w:rsidR="00501E02" w:rsidRPr="00A80498" w:rsidRDefault="00501E02" w:rsidP="00501E02">
      <w:pPr>
        <w:spacing w:after="120"/>
        <w:jc w:val="both"/>
        <w:rPr>
          <w:rFonts w:ascii="Arial" w:hAnsi="Arial" w:cs="Arial"/>
          <w:sz w:val="20"/>
          <w:szCs w:val="20"/>
        </w:rPr>
      </w:pPr>
      <w:r w:rsidRPr="00A80498">
        <w:rPr>
          <w:rFonts w:ascii="Arial" w:hAnsi="Arial" w:cs="Arial"/>
          <w:sz w:val="20"/>
          <w:szCs w:val="20"/>
        </w:rPr>
        <w:t xml:space="preserve">L’universo di riferimento è costituito dai soggetti economici identificati sulla base della partiva iva, che risultano aver effettuato almeno una transazione commerciale con i paesi Ue nel periodo considerato. Ai sensi della legge 27 febbraio 2017 n. 19 e della Determinazione del Direttore dell’Agenzia delle dogane e dei monopoli n. 493869 del 23 dicembre 2021, a partire dal 1° gennaio 2022 le soglie statistiche che determinano l’obbligatorietà di risposta alla rilevazione mensile </w:t>
      </w:r>
      <w:proofErr w:type="spellStart"/>
      <w:r w:rsidRPr="00A80498">
        <w:rPr>
          <w:rFonts w:ascii="Arial" w:hAnsi="Arial" w:cs="Arial"/>
          <w:sz w:val="20"/>
          <w:szCs w:val="20"/>
        </w:rPr>
        <w:t>Intrastat</w:t>
      </w:r>
      <w:proofErr w:type="spellEnd"/>
      <w:r w:rsidRPr="00A80498">
        <w:rPr>
          <w:rFonts w:ascii="Arial" w:hAnsi="Arial" w:cs="Arial"/>
          <w:sz w:val="20"/>
          <w:szCs w:val="20"/>
        </w:rPr>
        <w:t xml:space="preserve"> sono così definite:</w:t>
      </w:r>
    </w:p>
    <w:p w14:paraId="4282FD5D" w14:textId="77777777" w:rsidR="00501E02" w:rsidRPr="00A80498" w:rsidRDefault="00501E02" w:rsidP="00501E02">
      <w:pPr>
        <w:spacing w:after="120"/>
        <w:jc w:val="both"/>
        <w:rPr>
          <w:rFonts w:ascii="Arial" w:hAnsi="Arial" w:cs="Arial"/>
          <w:sz w:val="20"/>
          <w:szCs w:val="20"/>
        </w:rPr>
      </w:pPr>
      <w:r w:rsidRPr="00A80498">
        <w:rPr>
          <w:rFonts w:ascii="Arial" w:hAnsi="Arial" w:cs="Arial"/>
          <w:sz w:val="20"/>
          <w:szCs w:val="20"/>
        </w:rPr>
        <w:t>a) cessioni di beni, per i soggetti che hanno realizzato, in almeno uno dei quattro trimestri precedenti, un ammontare totale trimestrale superiore ai 100.000 euro (tale soglia resta la stessa in vigore dal 1° gennaio 2018);</w:t>
      </w:r>
    </w:p>
    <w:p w14:paraId="363EB5EC" w14:textId="77777777" w:rsidR="00501E02" w:rsidRPr="00C9631A" w:rsidRDefault="00501E02" w:rsidP="00501E02">
      <w:pPr>
        <w:spacing w:after="120"/>
        <w:jc w:val="both"/>
        <w:rPr>
          <w:rFonts w:ascii="Arial" w:hAnsi="Arial" w:cs="Arial"/>
          <w:sz w:val="20"/>
          <w:szCs w:val="20"/>
        </w:rPr>
      </w:pPr>
      <w:r w:rsidRPr="00A80498">
        <w:rPr>
          <w:rFonts w:ascii="Arial" w:hAnsi="Arial" w:cs="Arial"/>
          <w:sz w:val="20"/>
          <w:szCs w:val="20"/>
        </w:rPr>
        <w:t>b) acquisti di beni, per i soggetti che hanno realizzato, in almeno uno dei quattro trimestri precedenti, un ammontare totale trimestrale superiore ai 350.000 euro (da gennaio 2018 a dicembre 2021, la soglia era di 200.000 euro).</w:t>
      </w:r>
    </w:p>
    <w:p w14:paraId="1ED5F01C"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 xml:space="preserve">Le dichiarazioni </w:t>
      </w:r>
      <w:proofErr w:type="spellStart"/>
      <w:r w:rsidRPr="00C9631A">
        <w:rPr>
          <w:rFonts w:ascii="Arial" w:hAnsi="Arial" w:cs="Arial"/>
          <w:sz w:val="20"/>
          <w:szCs w:val="20"/>
        </w:rPr>
        <w:t>Intrastat</w:t>
      </w:r>
      <w:proofErr w:type="spellEnd"/>
      <w:r w:rsidRPr="00C9631A">
        <w:rPr>
          <w:rFonts w:ascii="Arial" w:hAnsi="Arial" w:cs="Arial"/>
          <w:sz w:val="20"/>
          <w:szCs w:val="20"/>
        </w:rPr>
        <w:t xml:space="preserve"> vengono trasmesse in via telematica all’Agenzia delle Dogane.</w:t>
      </w:r>
    </w:p>
    <w:p w14:paraId="10691FB1"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A partire dal 20</w:t>
      </w:r>
      <w:r>
        <w:rPr>
          <w:rFonts w:ascii="Arial" w:hAnsi="Arial" w:cs="Arial"/>
          <w:sz w:val="20"/>
          <w:szCs w:val="20"/>
        </w:rPr>
        <w:t>22</w:t>
      </w:r>
      <w:r w:rsidRPr="00C9631A">
        <w:rPr>
          <w:rFonts w:ascii="Arial" w:hAnsi="Arial" w:cs="Arial"/>
          <w:sz w:val="20"/>
          <w:szCs w:val="20"/>
        </w:rPr>
        <w:t>, i dati necessari alla compilazione delle statistiche sugli scambi di merci con i paesi dell’Ue sono forniti esclusivamente dagli operatori obbligati alle dichiarazioni mensili secondo le nuove soglie sopra riportate. I flussi di merci attivati da questi operatori coprono circa il 97% delle cessioni e il 9</w:t>
      </w:r>
      <w:r>
        <w:rPr>
          <w:rFonts w:ascii="Arial" w:hAnsi="Arial" w:cs="Arial"/>
          <w:sz w:val="20"/>
          <w:szCs w:val="20"/>
        </w:rPr>
        <w:t>1</w:t>
      </w:r>
      <w:r w:rsidRPr="00C9631A">
        <w:rPr>
          <w:rFonts w:ascii="Arial" w:hAnsi="Arial" w:cs="Arial"/>
          <w:sz w:val="20"/>
          <w:szCs w:val="20"/>
        </w:rPr>
        <w:t>% degli acquisti intracomunitari realizzando una consistente riduzione del carico informativo sugli operatori</w:t>
      </w:r>
      <w:r w:rsidRPr="00C9631A">
        <w:rPr>
          <w:rStyle w:val="Rimandonotaapidipagina"/>
          <w:rFonts w:ascii="Arial" w:hAnsi="Arial" w:cs="Arial"/>
          <w:sz w:val="20"/>
          <w:szCs w:val="20"/>
        </w:rPr>
        <w:footnoteReference w:id="1"/>
      </w:r>
      <w:r w:rsidRPr="00C9631A">
        <w:rPr>
          <w:rFonts w:ascii="Arial" w:hAnsi="Arial" w:cs="Arial"/>
          <w:sz w:val="20"/>
          <w:szCs w:val="20"/>
        </w:rPr>
        <w:t xml:space="preserve">. </w:t>
      </w:r>
    </w:p>
    <w:p w14:paraId="2BF181A6" w14:textId="5F36F63D" w:rsidR="00501E02" w:rsidRDefault="00501E02" w:rsidP="00501E02">
      <w:pPr>
        <w:spacing w:after="120"/>
        <w:jc w:val="both"/>
        <w:rPr>
          <w:rFonts w:ascii="Arial" w:hAnsi="Arial" w:cs="Arial"/>
          <w:sz w:val="20"/>
          <w:szCs w:val="20"/>
        </w:rPr>
      </w:pPr>
      <w:r w:rsidRPr="00C9631A">
        <w:rPr>
          <w:rFonts w:ascii="Arial" w:hAnsi="Arial" w:cs="Arial"/>
          <w:sz w:val="20"/>
          <w:szCs w:val="20"/>
        </w:rPr>
        <w:t xml:space="preserve">Al fine di realizzare una stima accurata e tempestiva che completi il quadro informativo rispetto all’universo degli operatori che realizzano scambi commerciali con i paesi dell’Ue è stato adottato un approccio di tipo </w:t>
      </w:r>
      <w:proofErr w:type="spellStart"/>
      <w:r w:rsidRPr="00AB0189">
        <w:rPr>
          <w:rFonts w:ascii="Arial" w:hAnsi="Arial" w:cs="Arial"/>
          <w:i/>
          <w:sz w:val="20"/>
          <w:szCs w:val="20"/>
        </w:rPr>
        <w:t>register-based</w:t>
      </w:r>
      <w:proofErr w:type="spellEnd"/>
      <w:r w:rsidRPr="00C9631A">
        <w:rPr>
          <w:rFonts w:ascii="Arial" w:hAnsi="Arial" w:cs="Arial"/>
          <w:sz w:val="20"/>
          <w:szCs w:val="20"/>
        </w:rPr>
        <w:t xml:space="preserve"> che provvede a stimare, attraverso opportune metodologie, la componente dei flussi attribuibile agli operatori non obbligati a fornire informazioni, considerando congiuntamente sia i domini nazionali che territoriali. In occasione della revisione annuale dei dati realizzata ogni anno a novembre, verranno considerate nei processi di imputazione e stima delle informazioni mancanti ulteriori informazioni presenti nel sistema dei registri e delle fonti fiscali e amministrative disponibili per migliorare ulteriormente la qualità e la copertura delle stime prodotte. </w:t>
      </w:r>
    </w:p>
    <w:p w14:paraId="6B07878E"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La rilevazione con i paesi extra Ue è effettuata elaborando dati provenienti da una base dati di tipo fiscale-amministrativo (Documento Amministrativo Unico – DAU) coerente con le definizioni e le classificazioni di tipo statistico e ha periodicità mensile.</w:t>
      </w:r>
    </w:p>
    <w:p w14:paraId="1AE85304" w14:textId="77777777" w:rsidR="00501E02" w:rsidRDefault="00501E02" w:rsidP="00501E02">
      <w:pPr>
        <w:spacing w:after="120"/>
        <w:jc w:val="both"/>
        <w:rPr>
          <w:rFonts w:ascii="Arial" w:hAnsi="Arial" w:cs="Arial"/>
          <w:sz w:val="20"/>
          <w:szCs w:val="20"/>
        </w:rPr>
      </w:pPr>
      <w:r w:rsidRPr="00C9631A">
        <w:rPr>
          <w:rFonts w:ascii="Arial" w:hAnsi="Arial" w:cs="Arial"/>
          <w:sz w:val="20"/>
          <w:szCs w:val="20"/>
        </w:rPr>
        <w:t>Conformemente alla normativa comunitaria, dal 2000 le esportazioni e le importazioni al di sotto delle soglie di esclusione (operazioni commerciali di valore – a partire dal 2010 – inferiore a 1.000 euro) vengono inserite nelle statistiche del commercio estero con i paesi extra Ue mensilmente in forma aggregata.</w:t>
      </w:r>
    </w:p>
    <w:p w14:paraId="5DC580D1" w14:textId="77777777" w:rsidR="00501E02" w:rsidRPr="00C9631A" w:rsidRDefault="00501E02" w:rsidP="00501E02">
      <w:pPr>
        <w:spacing w:after="120"/>
        <w:jc w:val="both"/>
        <w:rPr>
          <w:rFonts w:ascii="Arial" w:hAnsi="Arial" w:cs="Arial"/>
          <w:sz w:val="20"/>
          <w:szCs w:val="20"/>
        </w:rPr>
      </w:pPr>
      <w:r>
        <w:rPr>
          <w:rFonts w:ascii="Arial" w:hAnsi="Arial" w:cs="Arial"/>
          <w:sz w:val="20"/>
          <w:szCs w:val="20"/>
        </w:rPr>
        <w:t>A partire dal mese di gennaio 2022, i</w:t>
      </w:r>
      <w:r w:rsidRPr="00C232B1">
        <w:rPr>
          <w:rFonts w:ascii="Arial" w:hAnsi="Arial" w:cs="Arial"/>
          <w:sz w:val="20"/>
          <w:szCs w:val="20"/>
        </w:rPr>
        <w:t xml:space="preserve">n applicazione delle disposizioni di cui al Regolamento di </w:t>
      </w:r>
      <w:r>
        <w:rPr>
          <w:rFonts w:ascii="Arial" w:hAnsi="Arial" w:cs="Arial"/>
          <w:sz w:val="20"/>
          <w:szCs w:val="20"/>
        </w:rPr>
        <w:t xml:space="preserve">esecuzione (UE) 2020/1197, non è richiesta la disaggregazione dei flussi di interscambio intracomunitario in termini di singoli prodotti </w:t>
      </w:r>
      <w:r w:rsidRPr="00C232B1">
        <w:rPr>
          <w:rFonts w:ascii="Arial" w:hAnsi="Arial" w:cs="Arial"/>
          <w:sz w:val="20"/>
          <w:szCs w:val="20"/>
        </w:rPr>
        <w:t>della nomenclatura co</w:t>
      </w:r>
      <w:r>
        <w:rPr>
          <w:rFonts w:ascii="Arial" w:hAnsi="Arial" w:cs="Arial"/>
          <w:sz w:val="20"/>
          <w:szCs w:val="20"/>
        </w:rPr>
        <w:t xml:space="preserve">mbinata </w:t>
      </w:r>
      <w:r w:rsidRPr="00C232B1">
        <w:rPr>
          <w:rFonts w:ascii="Arial" w:hAnsi="Arial" w:cs="Arial"/>
          <w:sz w:val="20"/>
          <w:szCs w:val="20"/>
        </w:rPr>
        <w:t xml:space="preserve">per le spedizioni di valore inferiore </w:t>
      </w:r>
      <w:r>
        <w:rPr>
          <w:rFonts w:ascii="Arial" w:hAnsi="Arial" w:cs="Arial"/>
          <w:sz w:val="20"/>
          <w:szCs w:val="20"/>
        </w:rPr>
        <w:t>a</w:t>
      </w:r>
      <w:r w:rsidRPr="00C232B1">
        <w:rPr>
          <w:rFonts w:ascii="Arial" w:hAnsi="Arial" w:cs="Arial"/>
          <w:sz w:val="20"/>
          <w:szCs w:val="20"/>
        </w:rPr>
        <w:t xml:space="preserve"> 1.000</w:t>
      </w:r>
      <w:r>
        <w:rPr>
          <w:rFonts w:ascii="Arial" w:hAnsi="Arial" w:cs="Arial"/>
          <w:sz w:val="20"/>
          <w:szCs w:val="20"/>
        </w:rPr>
        <w:t xml:space="preserve"> euro.</w:t>
      </w:r>
    </w:p>
    <w:p w14:paraId="7CEBACE3" w14:textId="77777777" w:rsidR="00501E02" w:rsidRDefault="00501E02" w:rsidP="00501E02">
      <w:pPr>
        <w:suppressAutoHyphens/>
        <w:spacing w:after="120"/>
        <w:jc w:val="both"/>
        <w:rPr>
          <w:rFonts w:ascii="Arial" w:hAnsi="Arial" w:cs="Arial"/>
          <w:sz w:val="20"/>
          <w:szCs w:val="20"/>
        </w:rPr>
      </w:pPr>
      <w:r w:rsidRPr="00C9631A">
        <w:rPr>
          <w:rFonts w:ascii="Arial" w:hAnsi="Arial" w:cs="Arial"/>
          <w:sz w:val="20"/>
          <w:szCs w:val="20"/>
        </w:rPr>
        <w:t xml:space="preserve">A partire dal mese di settembre 2011 è stata implementata una nuova metodologia di produzione delle statistiche sugli scambi con l’estero di gas naturale allo stato gassoso e di energia elettrica, che si basa sull’impiego diretto di fonti informative alternative ai dati statistico-doganali solo per quanto riguarda la misurazione degli scambi complessivi in quantità, mentre per le altre variabili di analisi e classificazione richieste dai regolamenti statistici comunitari (dati in valore monetario e allocazione geografica dei flussi con l’estero per “paese statistico”) sono stati adottati opportuni criteri di stima. </w:t>
      </w:r>
    </w:p>
    <w:p w14:paraId="00C009EB" w14:textId="77777777" w:rsidR="00C50F34" w:rsidRPr="00C9631A" w:rsidRDefault="00C50F34" w:rsidP="00774D4C">
      <w:pPr>
        <w:spacing w:after="120"/>
        <w:jc w:val="both"/>
        <w:rPr>
          <w:rFonts w:ascii="Arial" w:hAnsi="Arial" w:cs="Arial"/>
          <w:sz w:val="20"/>
          <w:szCs w:val="20"/>
        </w:rPr>
      </w:pPr>
    </w:p>
    <w:p w14:paraId="5900496A" w14:textId="77777777" w:rsidR="00501E02" w:rsidRPr="00C9631A" w:rsidRDefault="00501E02" w:rsidP="00501E02">
      <w:pPr>
        <w:spacing w:after="120"/>
        <w:jc w:val="both"/>
        <w:rPr>
          <w:rFonts w:ascii="Arial" w:hAnsi="Arial" w:cs="Arial"/>
          <w:b/>
          <w:sz w:val="20"/>
          <w:szCs w:val="20"/>
        </w:rPr>
      </w:pPr>
      <w:r w:rsidRPr="00C9631A">
        <w:rPr>
          <w:rFonts w:ascii="Arial" w:hAnsi="Arial" w:cs="Arial"/>
          <w:b/>
          <w:sz w:val="20"/>
          <w:szCs w:val="20"/>
        </w:rPr>
        <w:t>Classificazioni utilizzate</w:t>
      </w:r>
    </w:p>
    <w:p w14:paraId="075E785B" w14:textId="7D8BCD17" w:rsidR="00501E02" w:rsidRDefault="00501E02" w:rsidP="00501E02">
      <w:pPr>
        <w:spacing w:after="100"/>
        <w:jc w:val="both"/>
        <w:rPr>
          <w:rFonts w:ascii="Arial" w:hAnsi="Arial" w:cs="Arial"/>
          <w:sz w:val="20"/>
          <w:szCs w:val="20"/>
        </w:rPr>
      </w:pPr>
      <w:r w:rsidRPr="00C9631A">
        <w:rPr>
          <w:rFonts w:ascii="Arial" w:hAnsi="Arial" w:cs="Arial"/>
          <w:sz w:val="20"/>
          <w:szCs w:val="20"/>
        </w:rPr>
        <w:t>Le principali classificazioni utilizzate nella produzione delle statistiche del commercio con l’estero sono definite a partire dall</w:t>
      </w:r>
      <w:r>
        <w:rPr>
          <w:rFonts w:ascii="Arial" w:hAnsi="Arial" w:cs="Arial"/>
          <w:sz w:val="20"/>
          <w:szCs w:val="20"/>
        </w:rPr>
        <w:t>e</w:t>
      </w:r>
      <w:r w:rsidRPr="00C9631A">
        <w:rPr>
          <w:rFonts w:ascii="Arial" w:hAnsi="Arial" w:cs="Arial"/>
          <w:sz w:val="20"/>
          <w:szCs w:val="20"/>
        </w:rPr>
        <w:t xml:space="preserve"> informazioni elementari riguardanti la tipologia delle merci, il paese statistico e la provincia di provenienza o destinazione delle merci. </w:t>
      </w:r>
    </w:p>
    <w:p w14:paraId="4E3BDC7A" w14:textId="48422151" w:rsidR="00501E02" w:rsidRDefault="00501E02" w:rsidP="00501E02">
      <w:pPr>
        <w:spacing w:after="100"/>
        <w:jc w:val="both"/>
        <w:rPr>
          <w:rFonts w:ascii="Arial" w:hAnsi="Arial" w:cs="Arial"/>
          <w:sz w:val="20"/>
          <w:szCs w:val="20"/>
        </w:rPr>
      </w:pPr>
      <w:r w:rsidRPr="00C9631A">
        <w:rPr>
          <w:rFonts w:ascii="Arial" w:hAnsi="Arial" w:cs="Arial"/>
          <w:sz w:val="20"/>
          <w:szCs w:val="20"/>
        </w:rPr>
        <w:t>Nel rispetto dei Regolamenti comunitari, gli scambi commerciali di beni tra paesi membri sono classificati secondo il paese di provenienza per gli acquisti e il paese di destinazione per le cessioni, mentre quelli con i paesi terzi sono classificati secondo il paese di origine per le importazioni e il paese di destinazione per le esportazioni.</w:t>
      </w:r>
    </w:p>
    <w:p w14:paraId="5CD2C4AE" w14:textId="77777777" w:rsidR="00874F65" w:rsidRDefault="00874F65" w:rsidP="00501E02">
      <w:pPr>
        <w:suppressAutoHyphens/>
        <w:spacing w:after="100"/>
        <w:jc w:val="both"/>
        <w:rPr>
          <w:rFonts w:ascii="Arial" w:hAnsi="Arial" w:cs="Arial"/>
          <w:sz w:val="20"/>
          <w:szCs w:val="20"/>
        </w:rPr>
      </w:pPr>
    </w:p>
    <w:p w14:paraId="23F0948D" w14:textId="77777777" w:rsidR="00874F65" w:rsidRDefault="00874F65" w:rsidP="00501E02">
      <w:pPr>
        <w:suppressAutoHyphens/>
        <w:spacing w:after="100"/>
        <w:jc w:val="both"/>
        <w:rPr>
          <w:rFonts w:ascii="Arial" w:hAnsi="Arial" w:cs="Arial"/>
          <w:sz w:val="20"/>
          <w:szCs w:val="20"/>
        </w:rPr>
      </w:pPr>
    </w:p>
    <w:p w14:paraId="69860E9B" w14:textId="4F950BC0" w:rsidR="00501E02" w:rsidRPr="00C9631A" w:rsidRDefault="00501E02" w:rsidP="00501E02">
      <w:pPr>
        <w:suppressAutoHyphens/>
        <w:spacing w:after="100"/>
        <w:jc w:val="both"/>
        <w:rPr>
          <w:rFonts w:ascii="Arial" w:hAnsi="Arial" w:cs="Arial"/>
          <w:sz w:val="20"/>
          <w:szCs w:val="20"/>
        </w:rPr>
      </w:pPr>
      <w:r w:rsidRPr="00C9631A">
        <w:rPr>
          <w:rFonts w:ascii="Arial" w:hAnsi="Arial" w:cs="Arial"/>
          <w:sz w:val="20"/>
          <w:szCs w:val="20"/>
        </w:rPr>
        <w:t xml:space="preserve">La classificazione utilizzata per definire le aree geografiche e le aree </w:t>
      </w:r>
      <w:proofErr w:type="spellStart"/>
      <w:r w:rsidRPr="00C9631A">
        <w:rPr>
          <w:rFonts w:ascii="Arial" w:hAnsi="Arial" w:cs="Arial"/>
          <w:sz w:val="20"/>
          <w:szCs w:val="20"/>
        </w:rPr>
        <w:t>geoeconomiche</w:t>
      </w:r>
      <w:proofErr w:type="spellEnd"/>
      <w:r w:rsidRPr="00C9631A">
        <w:rPr>
          <w:rFonts w:ascii="Arial" w:hAnsi="Arial" w:cs="Arial"/>
          <w:sz w:val="20"/>
          <w:szCs w:val="20"/>
        </w:rPr>
        <w:t xml:space="preserve"> di appartenenza dei paesi è la </w:t>
      </w:r>
      <w:proofErr w:type="spellStart"/>
      <w:r w:rsidRPr="00C9631A">
        <w:rPr>
          <w:rFonts w:ascii="Arial" w:hAnsi="Arial" w:cs="Arial"/>
          <w:sz w:val="20"/>
          <w:szCs w:val="20"/>
        </w:rPr>
        <w:t>Geonomenclatura</w:t>
      </w:r>
      <w:proofErr w:type="spellEnd"/>
      <w:r w:rsidRPr="00C9631A">
        <w:rPr>
          <w:rFonts w:ascii="Arial" w:hAnsi="Arial" w:cs="Arial"/>
          <w:sz w:val="20"/>
          <w:szCs w:val="20"/>
        </w:rPr>
        <w:t xml:space="preserve"> dei paesi e territori per le statistiche del commercio estero dell’Unione e del commercio tra i suoi Stati membri, stabilita da </w:t>
      </w:r>
      <w:proofErr w:type="spellStart"/>
      <w:r w:rsidRPr="00C9631A">
        <w:rPr>
          <w:rFonts w:ascii="Arial" w:hAnsi="Arial" w:cs="Arial"/>
          <w:sz w:val="20"/>
          <w:szCs w:val="20"/>
        </w:rPr>
        <w:t>Eurostat</w:t>
      </w:r>
      <w:proofErr w:type="spellEnd"/>
      <w:r w:rsidRPr="00C9631A">
        <w:rPr>
          <w:rFonts w:ascii="Arial" w:hAnsi="Arial" w:cs="Arial"/>
          <w:sz w:val="20"/>
          <w:szCs w:val="20"/>
        </w:rPr>
        <w:t>.</w:t>
      </w:r>
    </w:p>
    <w:p w14:paraId="56EB4BCA" w14:textId="77777777" w:rsidR="00501E02" w:rsidRDefault="00501E02" w:rsidP="00501E02">
      <w:pPr>
        <w:spacing w:after="120"/>
        <w:jc w:val="both"/>
        <w:rPr>
          <w:rFonts w:ascii="Arial" w:hAnsi="Arial" w:cs="Arial"/>
          <w:sz w:val="20"/>
          <w:szCs w:val="20"/>
        </w:rPr>
      </w:pPr>
      <w:r w:rsidRPr="00C9631A">
        <w:rPr>
          <w:rFonts w:ascii="Arial" w:hAnsi="Arial" w:cs="Arial"/>
          <w:sz w:val="20"/>
          <w:szCs w:val="20"/>
        </w:rPr>
        <w:t xml:space="preserve">La classificazione di base utilizzata per la rilevazione di informazioni statistiche sugli scambi di merci è la Nomenclatura Combinata (NC), definita dall’Unione europea e annualmente aggiornata. </w:t>
      </w:r>
    </w:p>
    <w:p w14:paraId="1BC76B69"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 xml:space="preserve">A partire da gennaio 2009 i raggruppamenti di merci dell’interscambio commerciale sono definiti sulla base della classificazione delle attività economiche </w:t>
      </w:r>
      <w:proofErr w:type="spellStart"/>
      <w:r w:rsidRPr="00C9631A">
        <w:rPr>
          <w:rFonts w:ascii="Arial" w:hAnsi="Arial" w:cs="Arial"/>
          <w:sz w:val="20"/>
          <w:szCs w:val="20"/>
        </w:rPr>
        <w:t>Ateco</w:t>
      </w:r>
      <w:proofErr w:type="spellEnd"/>
      <w:r w:rsidRPr="00C9631A">
        <w:rPr>
          <w:rFonts w:ascii="Arial" w:hAnsi="Arial" w:cs="Arial"/>
          <w:sz w:val="20"/>
          <w:szCs w:val="20"/>
        </w:rPr>
        <w:t xml:space="preserve"> 2007 opportunamente adattata alle statistiche sul commercio estero. L’</w:t>
      </w:r>
      <w:proofErr w:type="spellStart"/>
      <w:r w:rsidRPr="00C9631A">
        <w:rPr>
          <w:rFonts w:ascii="Arial" w:hAnsi="Arial" w:cs="Arial"/>
          <w:sz w:val="20"/>
          <w:szCs w:val="20"/>
        </w:rPr>
        <w:t>Ateco</w:t>
      </w:r>
      <w:proofErr w:type="spellEnd"/>
      <w:r w:rsidRPr="00C9631A">
        <w:rPr>
          <w:rFonts w:ascii="Arial" w:hAnsi="Arial" w:cs="Arial"/>
          <w:sz w:val="20"/>
          <w:szCs w:val="20"/>
        </w:rPr>
        <w:t xml:space="preserve"> 2007, infatti, costituisce la versione nazionale della nomenclatura europea </w:t>
      </w:r>
      <w:proofErr w:type="spellStart"/>
      <w:r w:rsidRPr="00C9631A">
        <w:rPr>
          <w:rFonts w:ascii="Arial" w:hAnsi="Arial" w:cs="Arial"/>
          <w:sz w:val="20"/>
          <w:szCs w:val="20"/>
        </w:rPr>
        <w:t>Nace</w:t>
      </w:r>
      <w:proofErr w:type="spellEnd"/>
      <w:r w:rsidRPr="00C9631A">
        <w:rPr>
          <w:rFonts w:ascii="Arial" w:hAnsi="Arial" w:cs="Arial"/>
          <w:sz w:val="20"/>
          <w:szCs w:val="20"/>
        </w:rPr>
        <w:t xml:space="preserve"> rev. 2, pubblicata sull’</w:t>
      </w:r>
      <w:proofErr w:type="spellStart"/>
      <w:r w:rsidRPr="00C9631A">
        <w:rPr>
          <w:rFonts w:ascii="Arial" w:hAnsi="Arial" w:cs="Arial"/>
          <w:sz w:val="20"/>
          <w:szCs w:val="20"/>
        </w:rPr>
        <w:t>Official</w:t>
      </w:r>
      <w:proofErr w:type="spellEnd"/>
      <w:r w:rsidRPr="00C9631A">
        <w:rPr>
          <w:rFonts w:ascii="Arial" w:hAnsi="Arial" w:cs="Arial"/>
          <w:sz w:val="20"/>
          <w:szCs w:val="20"/>
        </w:rPr>
        <w:t xml:space="preserve"> Journal il 2 dicembre 2006 (Regolamento (CE) n. 1893/2006 del PE e del Consiglio del 20/12/2006), con la quale coincide fino alla quarta cifra.</w:t>
      </w:r>
    </w:p>
    <w:p w14:paraId="4C706B9E"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Ai fini di fornire le informazioni a un livello di dettaglio idoneo ad analizzare l’interscambio commerciale italiano, i dati sono rilasciati secondo un’opportuna disaggregazione intermedia delle sezioni.</w:t>
      </w:r>
    </w:p>
    <w:p w14:paraId="0FDD6963"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 xml:space="preserve">Nel corso dell’anno 2003, l’Istat ha modificato, per i dati di commercio estero così come per tutti gli indicatori congiunturali dell’industria, la classificazione delle aggregazioni per destinazione economica dei prodotti “Raggruppamenti Principali di Industrie (RPI)”, definiti dal Regolamento della Commissione n.586/2001 (G.U. delle Comunità europee del 27/03/2001). A seguito dell'entrata in vigore della </w:t>
      </w:r>
      <w:proofErr w:type="spellStart"/>
      <w:r w:rsidRPr="00C9631A">
        <w:rPr>
          <w:rFonts w:ascii="Arial" w:hAnsi="Arial" w:cs="Arial"/>
          <w:sz w:val="20"/>
          <w:szCs w:val="20"/>
        </w:rPr>
        <w:t>Nace</w:t>
      </w:r>
      <w:proofErr w:type="spellEnd"/>
      <w:r w:rsidRPr="00C9631A">
        <w:rPr>
          <w:rFonts w:ascii="Arial" w:hAnsi="Arial" w:cs="Arial"/>
          <w:sz w:val="20"/>
          <w:szCs w:val="20"/>
        </w:rPr>
        <w:t xml:space="preserve"> Rev. 2 tale Regolamento è stato modificato dal Regolamento (CE) n. 656/2007 del 14/06/2007.</w:t>
      </w:r>
    </w:p>
    <w:p w14:paraId="3C20BE67"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I Raggruppamenti Principali di Industrie (RPI) sono:</w:t>
      </w:r>
    </w:p>
    <w:p w14:paraId="4F353B2D" w14:textId="77777777" w:rsidR="00501E02" w:rsidRPr="00C9631A" w:rsidRDefault="00501E02" w:rsidP="00501E02">
      <w:pPr>
        <w:numPr>
          <w:ilvl w:val="0"/>
          <w:numId w:val="32"/>
        </w:numPr>
        <w:spacing w:after="120"/>
        <w:ind w:left="426"/>
        <w:jc w:val="both"/>
        <w:rPr>
          <w:rFonts w:ascii="Arial" w:hAnsi="Arial" w:cs="Arial"/>
          <w:sz w:val="20"/>
          <w:szCs w:val="20"/>
        </w:rPr>
      </w:pPr>
      <w:r w:rsidRPr="00C9631A">
        <w:rPr>
          <w:rFonts w:ascii="Arial" w:hAnsi="Arial" w:cs="Arial"/>
          <w:sz w:val="20"/>
          <w:szCs w:val="20"/>
        </w:rPr>
        <w:t>Beni di consumo durevoli;</w:t>
      </w:r>
    </w:p>
    <w:p w14:paraId="482C0B4F" w14:textId="77777777" w:rsidR="00501E02" w:rsidRPr="00C9631A" w:rsidRDefault="00501E02" w:rsidP="00501E02">
      <w:pPr>
        <w:numPr>
          <w:ilvl w:val="0"/>
          <w:numId w:val="32"/>
        </w:numPr>
        <w:spacing w:after="120"/>
        <w:ind w:left="426"/>
        <w:jc w:val="both"/>
        <w:rPr>
          <w:rFonts w:ascii="Arial" w:hAnsi="Arial" w:cs="Arial"/>
          <w:sz w:val="20"/>
          <w:szCs w:val="20"/>
        </w:rPr>
      </w:pPr>
      <w:r w:rsidRPr="00C9631A">
        <w:rPr>
          <w:rFonts w:ascii="Arial" w:hAnsi="Arial" w:cs="Arial"/>
          <w:sz w:val="20"/>
          <w:szCs w:val="20"/>
        </w:rPr>
        <w:t>Beni di consumo non durevoli;</w:t>
      </w:r>
    </w:p>
    <w:p w14:paraId="5CBAA6FF" w14:textId="77777777" w:rsidR="00501E02" w:rsidRPr="00C9631A" w:rsidRDefault="00501E02" w:rsidP="00501E02">
      <w:pPr>
        <w:numPr>
          <w:ilvl w:val="0"/>
          <w:numId w:val="32"/>
        </w:numPr>
        <w:spacing w:after="120"/>
        <w:ind w:left="426"/>
        <w:jc w:val="both"/>
        <w:rPr>
          <w:rFonts w:ascii="Arial" w:hAnsi="Arial" w:cs="Arial"/>
          <w:sz w:val="20"/>
          <w:szCs w:val="20"/>
        </w:rPr>
      </w:pPr>
      <w:r w:rsidRPr="00C9631A">
        <w:rPr>
          <w:rFonts w:ascii="Arial" w:hAnsi="Arial" w:cs="Arial"/>
          <w:sz w:val="20"/>
          <w:szCs w:val="20"/>
        </w:rPr>
        <w:t>Beni strumentali;</w:t>
      </w:r>
    </w:p>
    <w:p w14:paraId="7FA5618B" w14:textId="77777777" w:rsidR="00501E02" w:rsidRPr="00C9631A" w:rsidRDefault="00501E02" w:rsidP="00501E02">
      <w:pPr>
        <w:numPr>
          <w:ilvl w:val="0"/>
          <w:numId w:val="32"/>
        </w:numPr>
        <w:spacing w:after="120"/>
        <w:ind w:left="426"/>
        <w:jc w:val="both"/>
        <w:rPr>
          <w:rFonts w:ascii="Arial" w:hAnsi="Arial" w:cs="Arial"/>
          <w:sz w:val="20"/>
          <w:szCs w:val="20"/>
        </w:rPr>
      </w:pPr>
      <w:r w:rsidRPr="00C9631A">
        <w:rPr>
          <w:rFonts w:ascii="Arial" w:hAnsi="Arial" w:cs="Arial"/>
          <w:sz w:val="20"/>
          <w:szCs w:val="20"/>
        </w:rPr>
        <w:t>Prodotti intermedi;</w:t>
      </w:r>
    </w:p>
    <w:p w14:paraId="069C1AB2" w14:textId="77777777" w:rsidR="00501E02" w:rsidRPr="00C9631A" w:rsidRDefault="00501E02" w:rsidP="00501E02">
      <w:pPr>
        <w:numPr>
          <w:ilvl w:val="0"/>
          <w:numId w:val="32"/>
        </w:numPr>
        <w:spacing w:after="120"/>
        <w:ind w:left="426"/>
        <w:jc w:val="both"/>
        <w:rPr>
          <w:rFonts w:ascii="Arial" w:hAnsi="Arial" w:cs="Arial"/>
          <w:sz w:val="20"/>
          <w:szCs w:val="20"/>
        </w:rPr>
      </w:pPr>
      <w:r w:rsidRPr="00C9631A">
        <w:rPr>
          <w:rFonts w:ascii="Arial" w:hAnsi="Arial" w:cs="Arial"/>
          <w:sz w:val="20"/>
          <w:szCs w:val="20"/>
        </w:rPr>
        <w:t>Energia.</w:t>
      </w:r>
    </w:p>
    <w:p w14:paraId="2DB8C242"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Al pari dell’</w:t>
      </w:r>
      <w:proofErr w:type="spellStart"/>
      <w:r w:rsidRPr="00C9631A">
        <w:rPr>
          <w:rFonts w:ascii="Arial" w:hAnsi="Arial" w:cs="Arial"/>
          <w:sz w:val="20"/>
          <w:szCs w:val="20"/>
        </w:rPr>
        <w:t>Ateco</w:t>
      </w:r>
      <w:proofErr w:type="spellEnd"/>
      <w:r w:rsidRPr="00C9631A">
        <w:rPr>
          <w:rFonts w:ascii="Arial" w:hAnsi="Arial" w:cs="Arial"/>
          <w:sz w:val="20"/>
          <w:szCs w:val="20"/>
        </w:rPr>
        <w:t xml:space="preserve"> 2007</w:t>
      </w:r>
      <w:r w:rsidRPr="00C9631A">
        <w:rPr>
          <w:rStyle w:val="Rimandonotaapidipagina"/>
          <w:rFonts w:ascii="Arial" w:hAnsi="Arial" w:cs="Arial"/>
          <w:sz w:val="20"/>
          <w:szCs w:val="20"/>
        </w:rPr>
        <w:footnoteReference w:id="2"/>
      </w:r>
      <w:r w:rsidRPr="00C9631A">
        <w:rPr>
          <w:rFonts w:ascii="Arial" w:hAnsi="Arial" w:cs="Arial"/>
          <w:sz w:val="20"/>
          <w:szCs w:val="20"/>
        </w:rPr>
        <w:t>, anche la classificazione RPI è stata adattata alle statistiche sul commercio con l’estero.</w:t>
      </w:r>
    </w:p>
    <w:p w14:paraId="24011C2B" w14:textId="77777777" w:rsidR="00501E02" w:rsidRPr="00C9631A" w:rsidRDefault="00501E02" w:rsidP="00501E02">
      <w:pPr>
        <w:spacing w:after="120"/>
        <w:jc w:val="both"/>
        <w:rPr>
          <w:rFonts w:ascii="Arial" w:hAnsi="Arial" w:cs="Arial"/>
          <w:sz w:val="20"/>
          <w:szCs w:val="20"/>
        </w:rPr>
      </w:pPr>
    </w:p>
    <w:p w14:paraId="59A26E51" w14:textId="77777777" w:rsidR="00501E02" w:rsidRPr="00C9631A" w:rsidRDefault="00501E02" w:rsidP="00501E02">
      <w:pPr>
        <w:spacing w:after="120"/>
        <w:jc w:val="both"/>
        <w:rPr>
          <w:rFonts w:ascii="Arial" w:hAnsi="Arial" w:cs="Arial"/>
          <w:b/>
          <w:sz w:val="20"/>
          <w:szCs w:val="20"/>
        </w:rPr>
      </w:pPr>
      <w:r w:rsidRPr="00C9631A">
        <w:rPr>
          <w:rFonts w:ascii="Arial" w:hAnsi="Arial" w:cs="Arial"/>
          <w:b/>
          <w:sz w:val="20"/>
          <w:szCs w:val="20"/>
        </w:rPr>
        <w:t>Strumenti di elaborazione dei dati</w:t>
      </w:r>
    </w:p>
    <w:p w14:paraId="476F0B51"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Insieme ai dati grezzi, vengono pubblicati anche i dati depurati della componente stagionale e dagli effetti di calendario. Tali dati sono ottenuti attraverso la procedura TRAMO-SEATS per Linux (versione di febbraio 2010).</w:t>
      </w:r>
    </w:p>
    <w:p w14:paraId="0A11FFDD" w14:textId="77777777" w:rsidR="00501E02" w:rsidRPr="00C9631A" w:rsidRDefault="00501E02" w:rsidP="00501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ascii="Arial" w:hAnsi="Arial" w:cs="Arial"/>
          <w:sz w:val="20"/>
          <w:szCs w:val="20"/>
        </w:rPr>
      </w:pPr>
      <w:r w:rsidRPr="00C9631A">
        <w:rPr>
          <w:rFonts w:ascii="Arial" w:hAnsi="Arial" w:cs="Arial"/>
          <w:sz w:val="20"/>
          <w:szCs w:val="20"/>
        </w:rPr>
        <w:t>A partire dai dati mensili del 2012, sono state introdotte alcune sostanziali innovazioni di processo e prodotto nelle procedure di destagionalizzazione, finalizzate a migliorare l’accuratezza delle stime prodotte e a fornire agli utenti un più ampio dettaglio degli indicatori statistici per l’analisi congiunturale del commercio con l’estero, rendendo disponibili nuove serie destagionalizzate a livello di raggruppamenti principali di industrie.</w:t>
      </w:r>
    </w:p>
    <w:p w14:paraId="6F91882A" w14:textId="77777777" w:rsidR="00501E02" w:rsidRDefault="00501E02" w:rsidP="00501E02">
      <w:pPr>
        <w:spacing w:after="120"/>
        <w:jc w:val="both"/>
        <w:rPr>
          <w:rFonts w:ascii="Arial" w:hAnsi="Arial" w:cs="Arial"/>
          <w:sz w:val="20"/>
          <w:szCs w:val="20"/>
        </w:rPr>
      </w:pPr>
      <w:r w:rsidRPr="00C9631A">
        <w:rPr>
          <w:rFonts w:ascii="Arial" w:hAnsi="Arial" w:cs="Arial"/>
          <w:sz w:val="20"/>
          <w:szCs w:val="20"/>
        </w:rPr>
        <w:t>I dati destagionalizzati sono soggetti a revisione ogni mese. I modelli utilizzati vengono verificati in occasione delle revisioni dei dati grezzi. Le specifiche utilizzate dall'Istat nell'ambito della procedura TRAMO-SEATS sono disponibili per gli utenti che ne facciano richiesta per proprie finalità di analisi.</w:t>
      </w:r>
    </w:p>
    <w:p w14:paraId="3D21AD04" w14:textId="77777777" w:rsidR="00501E02" w:rsidRPr="00C9631A" w:rsidRDefault="00501E02" w:rsidP="00501E02">
      <w:pPr>
        <w:spacing w:after="120"/>
        <w:jc w:val="both"/>
        <w:rPr>
          <w:rFonts w:ascii="Arial" w:hAnsi="Arial" w:cs="Arial"/>
          <w:sz w:val="20"/>
          <w:szCs w:val="20"/>
        </w:rPr>
      </w:pPr>
    </w:p>
    <w:p w14:paraId="4FF752BC" w14:textId="77777777" w:rsidR="00501E02" w:rsidRPr="00C9631A" w:rsidRDefault="00501E02" w:rsidP="00501E02">
      <w:pPr>
        <w:spacing w:after="120"/>
        <w:jc w:val="both"/>
        <w:rPr>
          <w:rFonts w:ascii="Arial" w:hAnsi="Arial" w:cs="Arial"/>
          <w:b/>
          <w:sz w:val="20"/>
          <w:szCs w:val="20"/>
        </w:rPr>
      </w:pPr>
      <w:r w:rsidRPr="00C9631A">
        <w:rPr>
          <w:rFonts w:ascii="Arial" w:hAnsi="Arial" w:cs="Arial"/>
          <w:b/>
          <w:sz w:val="20"/>
          <w:szCs w:val="20"/>
        </w:rPr>
        <w:t>Output</w:t>
      </w:r>
    </w:p>
    <w:p w14:paraId="1CA4C0AB" w14:textId="77777777" w:rsidR="00C50F34" w:rsidRDefault="00501E02" w:rsidP="00501E02">
      <w:pPr>
        <w:spacing w:after="120"/>
        <w:jc w:val="both"/>
        <w:rPr>
          <w:rFonts w:ascii="Arial" w:hAnsi="Arial" w:cs="Arial"/>
          <w:sz w:val="20"/>
          <w:szCs w:val="20"/>
        </w:rPr>
      </w:pPr>
      <w:r w:rsidRPr="00C9631A">
        <w:rPr>
          <w:rFonts w:ascii="Arial" w:hAnsi="Arial" w:cs="Arial"/>
          <w:sz w:val="20"/>
          <w:szCs w:val="20"/>
        </w:rPr>
        <w:t xml:space="preserve">I dati diffusi mensilmente riguardano i valori monetari, gli indici e le variazioni tendenziali e congiunturali relativi alle variabili che descrivono i flussi commerciali con l’estero. </w:t>
      </w:r>
    </w:p>
    <w:p w14:paraId="20EF655C" w14:textId="1B9F98C4"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I valori monetari a prezzi correnti si riferiscono alle importazioni ed esportazioni di merci rilevate o stimate in termini di valore statistico (</w:t>
      </w:r>
      <w:proofErr w:type="spellStart"/>
      <w:r w:rsidRPr="00C9631A">
        <w:rPr>
          <w:rFonts w:ascii="Arial" w:hAnsi="Arial" w:cs="Arial"/>
          <w:sz w:val="20"/>
          <w:szCs w:val="20"/>
        </w:rPr>
        <w:t>Cif</w:t>
      </w:r>
      <w:proofErr w:type="spellEnd"/>
      <w:r w:rsidRPr="00C9631A">
        <w:rPr>
          <w:rFonts w:ascii="Arial" w:hAnsi="Arial" w:cs="Arial"/>
          <w:sz w:val="20"/>
          <w:szCs w:val="20"/>
        </w:rPr>
        <w:t xml:space="preserve">, </w:t>
      </w:r>
      <w:proofErr w:type="spellStart"/>
      <w:r w:rsidRPr="00C9631A">
        <w:rPr>
          <w:rFonts w:ascii="Arial" w:hAnsi="Arial" w:cs="Arial"/>
          <w:sz w:val="20"/>
          <w:szCs w:val="20"/>
        </w:rPr>
        <w:t>Fob</w:t>
      </w:r>
      <w:proofErr w:type="spellEnd"/>
      <w:r w:rsidRPr="00C9631A">
        <w:rPr>
          <w:rFonts w:ascii="Arial" w:hAnsi="Arial" w:cs="Arial"/>
          <w:sz w:val="20"/>
          <w:szCs w:val="20"/>
        </w:rPr>
        <w:t xml:space="preserve">). </w:t>
      </w:r>
    </w:p>
    <w:p w14:paraId="6DD79FE5" w14:textId="77777777" w:rsidR="00874F65" w:rsidRDefault="00501E02" w:rsidP="00501E02">
      <w:pPr>
        <w:spacing w:after="120"/>
        <w:jc w:val="both"/>
        <w:rPr>
          <w:rFonts w:ascii="Arial" w:hAnsi="Arial" w:cs="Arial"/>
          <w:sz w:val="20"/>
          <w:szCs w:val="20"/>
        </w:rPr>
      </w:pPr>
      <w:r w:rsidRPr="00C9631A">
        <w:rPr>
          <w:rFonts w:ascii="Arial" w:hAnsi="Arial" w:cs="Arial"/>
          <w:sz w:val="20"/>
          <w:szCs w:val="20"/>
        </w:rPr>
        <w:t>La produzione di indici del commercio estero prevede la produzione e diffusione di indici dei valori medi unitari e dei volumi dei prodotti esportati e importati, secondo un break-down articolato per gruppi di</w:t>
      </w:r>
      <w:r w:rsidR="00220D58">
        <w:rPr>
          <w:rFonts w:ascii="Arial" w:hAnsi="Arial" w:cs="Arial"/>
          <w:sz w:val="20"/>
          <w:szCs w:val="20"/>
        </w:rPr>
        <w:t xml:space="preserve"> prodotto della classificazione </w:t>
      </w:r>
      <w:proofErr w:type="spellStart"/>
      <w:r w:rsidRPr="00C9631A">
        <w:rPr>
          <w:rFonts w:ascii="Arial" w:hAnsi="Arial" w:cs="Arial"/>
          <w:sz w:val="20"/>
          <w:szCs w:val="20"/>
        </w:rPr>
        <w:t>Ateco</w:t>
      </w:r>
      <w:proofErr w:type="spellEnd"/>
      <w:r w:rsidRPr="00C9631A">
        <w:rPr>
          <w:rFonts w:ascii="Arial" w:hAnsi="Arial" w:cs="Arial"/>
          <w:sz w:val="20"/>
          <w:szCs w:val="20"/>
        </w:rPr>
        <w:t xml:space="preserve"> 2007 e per specifiche aree geografiche e/o </w:t>
      </w:r>
      <w:proofErr w:type="spellStart"/>
      <w:r w:rsidRPr="00C9631A">
        <w:rPr>
          <w:rFonts w:ascii="Arial" w:hAnsi="Arial" w:cs="Arial"/>
          <w:sz w:val="20"/>
          <w:szCs w:val="20"/>
        </w:rPr>
        <w:t>geoeconomiche</w:t>
      </w:r>
      <w:proofErr w:type="spellEnd"/>
      <w:r w:rsidRPr="00C9631A">
        <w:rPr>
          <w:rFonts w:ascii="Arial" w:hAnsi="Arial" w:cs="Arial"/>
          <w:sz w:val="20"/>
          <w:szCs w:val="20"/>
        </w:rPr>
        <w:t xml:space="preserve">, nonché per raggruppamenti principali di industrie (RPI). I singoli indici mensili dei valori medi unitari relativi ai diversi gruppi di prodotti e con riferimento alle aree geografiche o </w:t>
      </w:r>
      <w:proofErr w:type="spellStart"/>
      <w:r w:rsidRPr="00C9631A">
        <w:rPr>
          <w:rFonts w:ascii="Arial" w:hAnsi="Arial" w:cs="Arial"/>
          <w:sz w:val="20"/>
          <w:szCs w:val="20"/>
        </w:rPr>
        <w:t>geoeconomiche</w:t>
      </w:r>
      <w:proofErr w:type="spellEnd"/>
      <w:r w:rsidRPr="00C9631A">
        <w:rPr>
          <w:rFonts w:ascii="Arial" w:hAnsi="Arial" w:cs="Arial"/>
          <w:sz w:val="20"/>
          <w:szCs w:val="20"/>
        </w:rPr>
        <w:t xml:space="preserve"> di provenienza o destinazione delle merci sono ottenuti utilizzando la formula di Fisher in cui l’anno base è rappresentato dall’anno immediatamente precedente (indici a “base mobile”). L’aggiornamento a cadenza annuale del sistema di ponderazione consente di calcolare le variazioni dei valori medi unitari seguendo</w:t>
      </w:r>
      <w:r w:rsidR="00C50F34">
        <w:rPr>
          <w:rFonts w:ascii="Arial" w:hAnsi="Arial" w:cs="Arial"/>
          <w:sz w:val="20"/>
          <w:szCs w:val="20"/>
        </w:rPr>
        <w:t xml:space="preserve"> </w:t>
      </w:r>
    </w:p>
    <w:p w14:paraId="5075270C" w14:textId="77777777" w:rsidR="00874F65" w:rsidRDefault="00874F65" w:rsidP="00501E02">
      <w:pPr>
        <w:spacing w:after="120"/>
        <w:jc w:val="both"/>
        <w:rPr>
          <w:rFonts w:ascii="Arial" w:hAnsi="Arial" w:cs="Arial"/>
          <w:sz w:val="20"/>
          <w:szCs w:val="20"/>
        </w:rPr>
      </w:pPr>
    </w:p>
    <w:p w14:paraId="28E5F8DB" w14:textId="56A9F051" w:rsidR="00501E02" w:rsidRDefault="00501E02" w:rsidP="00501E02">
      <w:pPr>
        <w:spacing w:after="120"/>
        <w:jc w:val="both"/>
        <w:rPr>
          <w:rFonts w:ascii="Arial" w:hAnsi="Arial" w:cs="Arial"/>
          <w:sz w:val="20"/>
          <w:szCs w:val="20"/>
        </w:rPr>
      </w:pPr>
      <w:r w:rsidRPr="00C9631A">
        <w:rPr>
          <w:rFonts w:ascii="Arial" w:hAnsi="Arial" w:cs="Arial"/>
          <w:sz w:val="20"/>
          <w:szCs w:val="20"/>
        </w:rPr>
        <w:t>più da vicino l’evoluzione in composizione del mix di prodotti movimentati. Tuttavia, poiché gli indici a base mobile di anni diversi</w:t>
      </w:r>
      <w:r>
        <w:rPr>
          <w:rFonts w:ascii="Arial" w:hAnsi="Arial" w:cs="Arial"/>
          <w:sz w:val="20"/>
          <w:szCs w:val="20"/>
        </w:rPr>
        <w:t xml:space="preserve"> </w:t>
      </w:r>
      <w:r w:rsidRPr="00C9631A">
        <w:rPr>
          <w:rFonts w:ascii="Arial" w:hAnsi="Arial" w:cs="Arial"/>
          <w:sz w:val="20"/>
          <w:szCs w:val="20"/>
        </w:rPr>
        <w:t>non</w:t>
      </w:r>
      <w:r>
        <w:rPr>
          <w:rFonts w:ascii="Arial" w:hAnsi="Arial" w:cs="Arial"/>
          <w:sz w:val="20"/>
          <w:szCs w:val="20"/>
        </w:rPr>
        <w:t xml:space="preserve"> </w:t>
      </w:r>
      <w:r w:rsidRPr="00C9631A">
        <w:rPr>
          <w:rFonts w:ascii="Arial" w:hAnsi="Arial" w:cs="Arial"/>
          <w:sz w:val="20"/>
          <w:szCs w:val="20"/>
        </w:rPr>
        <w:t>sono direttamente</w:t>
      </w:r>
      <w:r>
        <w:rPr>
          <w:rFonts w:ascii="Arial" w:hAnsi="Arial" w:cs="Arial"/>
          <w:sz w:val="20"/>
          <w:szCs w:val="20"/>
        </w:rPr>
        <w:t xml:space="preserve"> </w:t>
      </w:r>
      <w:r w:rsidRPr="00C9631A">
        <w:rPr>
          <w:rFonts w:ascii="Arial" w:hAnsi="Arial" w:cs="Arial"/>
          <w:sz w:val="20"/>
          <w:szCs w:val="20"/>
        </w:rPr>
        <w:t>confrontabili tra loro, per consentire l’analisi economica su</w:t>
      </w:r>
      <w:r>
        <w:rPr>
          <w:rFonts w:ascii="Arial" w:hAnsi="Arial" w:cs="Arial"/>
          <w:sz w:val="20"/>
          <w:szCs w:val="20"/>
        </w:rPr>
        <w:t xml:space="preserve"> </w:t>
      </w:r>
      <w:r w:rsidRPr="00C9631A">
        <w:rPr>
          <w:rFonts w:ascii="Arial" w:hAnsi="Arial" w:cs="Arial"/>
          <w:sz w:val="20"/>
          <w:szCs w:val="20"/>
        </w:rPr>
        <w:t xml:space="preserve">orizzonti temporali superiori ai dodici mesi, le serie storiche previste dal piano di diffusione sono ricondotte a uno stesso anno di riferimento, aggiornato ogni 5 anni in linea con le indicazioni fornite a livello internazionale per le statistiche congiunturali. </w:t>
      </w:r>
    </w:p>
    <w:p w14:paraId="1988ABF3" w14:textId="77777777" w:rsidR="00501E02" w:rsidRPr="00E07DF0" w:rsidRDefault="00501E02" w:rsidP="00501E02">
      <w:pPr>
        <w:spacing w:after="120"/>
        <w:jc w:val="both"/>
        <w:rPr>
          <w:rFonts w:ascii="Arial" w:hAnsi="Arial" w:cs="Arial"/>
          <w:sz w:val="20"/>
          <w:szCs w:val="20"/>
        </w:rPr>
      </w:pPr>
      <w:r w:rsidRPr="00C9631A">
        <w:rPr>
          <w:rFonts w:ascii="Arial" w:hAnsi="Arial" w:cs="Arial"/>
          <w:sz w:val="20"/>
          <w:szCs w:val="20"/>
        </w:rPr>
        <w:t xml:space="preserve">A partire dai dati di gennaio 2018, l’anno di riferimento è il 2015, assunto come “base” attraverso opportuni coefficienti di raccordo che legano tra loro gli indici riferiti alle diverse basi annuali. La metodologia adottata prevede il calcolo degli indici elementari a livello merceologico di nomenclatura combinata, l’individuazione e il trattamento di eventuali errori di misura e l’aggregazione degli indici elementari mediante medie troncate (Istat, “Nota informativa” del 25/02/2008). Gli indici dei valori medi unitari e gli indici di valore vengono calcolati in modo diretto, mentre gli indici dei volumi sono ottenuti dal rapporto tra gli indici di valore e i corrispondenti indici del valore medio unitario, in modo da assicurare la relazione di complementarietà tra i tre indici. Il piano di diffusione dispone la pubblicazione dei soli indici dei valori medi unitari e dei volumi. Gli indici annuali e trimestrali dei valori medi unitari sono calcolati come media aritmetica dei corrispondenti indici mensili, che non includono le dichiarazioni trimestrali e annuali relative all’indagine </w:t>
      </w:r>
      <w:proofErr w:type="spellStart"/>
      <w:r w:rsidRPr="00C9631A">
        <w:rPr>
          <w:rFonts w:ascii="Arial" w:hAnsi="Arial" w:cs="Arial"/>
          <w:sz w:val="20"/>
          <w:szCs w:val="20"/>
        </w:rPr>
        <w:t>Intrastat</w:t>
      </w:r>
      <w:proofErr w:type="spellEnd"/>
      <w:r w:rsidRPr="00C9631A">
        <w:rPr>
          <w:rFonts w:ascii="Arial" w:hAnsi="Arial" w:cs="Arial"/>
          <w:sz w:val="20"/>
          <w:szCs w:val="20"/>
        </w:rPr>
        <w:t xml:space="preserve">. Al contrario, gli indici dei volumi vengono calcolati utilizzando indici del valore riferiti al totale delle transazioni, in modo da consentire una più precisa scomposizione delle variazioni dei valori in volume e valori </w:t>
      </w:r>
      <w:r w:rsidRPr="00E07DF0">
        <w:rPr>
          <w:rFonts w:ascii="Arial" w:hAnsi="Arial" w:cs="Arial"/>
          <w:sz w:val="20"/>
          <w:szCs w:val="20"/>
        </w:rPr>
        <w:t>medi unitari.</w:t>
      </w:r>
    </w:p>
    <w:p w14:paraId="2B393A35" w14:textId="77777777" w:rsidR="00501E02" w:rsidRPr="00C9631A" w:rsidRDefault="00501E02" w:rsidP="00501E02">
      <w:pPr>
        <w:spacing w:after="60"/>
        <w:jc w:val="both"/>
        <w:rPr>
          <w:rFonts w:ascii="Arial" w:hAnsi="Arial" w:cs="Arial"/>
          <w:sz w:val="20"/>
          <w:szCs w:val="20"/>
        </w:rPr>
      </w:pPr>
    </w:p>
    <w:p w14:paraId="4D7ACE2F" w14:textId="77777777" w:rsidR="00501E02" w:rsidRPr="00C9631A" w:rsidRDefault="00501E02" w:rsidP="00501E02">
      <w:pPr>
        <w:spacing w:after="120"/>
        <w:jc w:val="both"/>
        <w:rPr>
          <w:rFonts w:ascii="Arial" w:hAnsi="Arial" w:cs="Arial"/>
          <w:b/>
          <w:sz w:val="20"/>
          <w:szCs w:val="20"/>
        </w:rPr>
      </w:pPr>
      <w:r w:rsidRPr="00C9631A">
        <w:rPr>
          <w:rFonts w:ascii="Arial" w:hAnsi="Arial" w:cs="Arial"/>
          <w:b/>
          <w:sz w:val="20"/>
          <w:szCs w:val="20"/>
        </w:rPr>
        <w:t>Riservatezza</w:t>
      </w:r>
    </w:p>
    <w:p w14:paraId="7B44AD20"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A partire dall'anno 2000, l'Istat ha definito nuove procedure per il trattamento e la diffusione dei dati personali relativi agli scambi di merci con l'estero e ai soggetti importatori ed esportatori, compatibili con l'attuale quadro normativo nazionale (legge 675/96, D.lgs.322/89, 281/99 e 196/03).</w:t>
      </w:r>
    </w:p>
    <w:p w14:paraId="14B28C7B"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In particolare, le nuove procedure consentono di ridurre fortemente il rischio di identificazione, indiretta e accidentale, di dati confidenziali e nel contempo di limitare la perdita di informazione fornita agli utenti esterni.</w:t>
      </w:r>
    </w:p>
    <w:p w14:paraId="20C3F4DF"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Per quanto riguarda le statistiche relative alle merci, l'Istat, oltre a tutelare le informazioni riservate secondo il principio della riservatezza passiva, ha definito un piano per la diffusione delle statistiche del commercio con l'estero. Tale piano disciplina le possibilità di incrocio tra variabili in funzione di particolari livelli di dettaglio merceologico, geografico o territoriale riducendo entro soglie ragionevoli il rischio di identificazione dei soggetti indirettamente interessati.</w:t>
      </w:r>
    </w:p>
    <w:p w14:paraId="1895CC9B" w14:textId="77777777" w:rsidR="00501E02" w:rsidRPr="00C9631A" w:rsidRDefault="00501E02" w:rsidP="00501E02">
      <w:pPr>
        <w:spacing w:after="120"/>
        <w:jc w:val="both"/>
        <w:rPr>
          <w:rStyle w:val="Collegamentoipertestuale"/>
          <w:rFonts w:ascii="Arial" w:hAnsi="Arial" w:cs="Arial"/>
          <w:sz w:val="20"/>
          <w:szCs w:val="20"/>
        </w:rPr>
      </w:pPr>
      <w:r w:rsidRPr="00C9631A">
        <w:rPr>
          <w:rFonts w:ascii="Arial" w:hAnsi="Arial" w:cs="Arial"/>
          <w:sz w:val="20"/>
          <w:szCs w:val="20"/>
        </w:rPr>
        <w:t xml:space="preserve">Ulteriori informazioni sulla tutela della riservatezza sono disponibili al seguente link </w:t>
      </w:r>
      <w:hyperlink r:id="rId39" w:history="1">
        <w:r w:rsidRPr="00C9631A">
          <w:rPr>
            <w:rStyle w:val="Collegamentoipertestuale"/>
            <w:rFonts w:ascii="Arial" w:hAnsi="Arial" w:cs="Arial"/>
            <w:sz w:val="20"/>
            <w:szCs w:val="20"/>
          </w:rPr>
          <w:t>https://www.coeweb.istat.it</w:t>
        </w:r>
      </w:hyperlink>
    </w:p>
    <w:p w14:paraId="45D7159F" w14:textId="77777777" w:rsidR="00501E02" w:rsidRPr="00CC6703" w:rsidRDefault="00501E02" w:rsidP="00501E02">
      <w:pPr>
        <w:spacing w:after="120"/>
        <w:jc w:val="both"/>
        <w:rPr>
          <w:rFonts w:ascii="Arial" w:hAnsi="Arial" w:cs="Arial"/>
          <w:sz w:val="16"/>
          <w:szCs w:val="16"/>
        </w:rPr>
      </w:pPr>
    </w:p>
    <w:p w14:paraId="67656141" w14:textId="77777777" w:rsidR="00501E02" w:rsidRPr="00B0387D" w:rsidRDefault="00501E02" w:rsidP="00501E02">
      <w:pPr>
        <w:spacing w:after="120"/>
        <w:jc w:val="both"/>
        <w:rPr>
          <w:rFonts w:ascii="Arial" w:hAnsi="Arial" w:cs="Arial"/>
          <w:b/>
          <w:sz w:val="20"/>
          <w:szCs w:val="20"/>
        </w:rPr>
      </w:pPr>
      <w:r w:rsidRPr="00B0387D">
        <w:rPr>
          <w:rFonts w:ascii="Arial" w:hAnsi="Arial" w:cs="Arial"/>
          <w:b/>
          <w:sz w:val="20"/>
          <w:szCs w:val="20"/>
        </w:rPr>
        <w:t xml:space="preserve">L’emergenza sanitaria Covid-19 e la rilevazione </w:t>
      </w:r>
      <w:proofErr w:type="spellStart"/>
      <w:r w:rsidRPr="00B0387D">
        <w:rPr>
          <w:rFonts w:ascii="Arial" w:hAnsi="Arial" w:cs="Arial"/>
          <w:b/>
          <w:sz w:val="20"/>
          <w:szCs w:val="20"/>
        </w:rPr>
        <w:t>Intrastat</w:t>
      </w:r>
      <w:proofErr w:type="spellEnd"/>
    </w:p>
    <w:p w14:paraId="3750FB6A" w14:textId="77777777" w:rsidR="00501E02" w:rsidRDefault="00501E02" w:rsidP="00501E02">
      <w:pPr>
        <w:spacing w:after="120"/>
        <w:jc w:val="both"/>
        <w:rPr>
          <w:rFonts w:ascii="Arial" w:hAnsi="Arial" w:cs="Arial"/>
          <w:sz w:val="20"/>
          <w:szCs w:val="20"/>
        </w:rPr>
      </w:pPr>
      <w:r>
        <w:rPr>
          <w:rFonts w:ascii="Arial" w:hAnsi="Arial" w:cs="Arial"/>
          <w:sz w:val="20"/>
          <w:szCs w:val="20"/>
        </w:rPr>
        <w:t>Dal mese di giugno 2020</w:t>
      </w:r>
      <w:r w:rsidRPr="00111E5D">
        <w:rPr>
          <w:rFonts w:ascii="Arial" w:hAnsi="Arial" w:cs="Arial"/>
          <w:sz w:val="20"/>
          <w:szCs w:val="20"/>
        </w:rPr>
        <w:t xml:space="preserve">, la rilevazione </w:t>
      </w:r>
      <w:proofErr w:type="spellStart"/>
      <w:r w:rsidRPr="00111E5D">
        <w:rPr>
          <w:rFonts w:ascii="Arial" w:hAnsi="Arial" w:cs="Arial"/>
          <w:sz w:val="20"/>
          <w:szCs w:val="20"/>
        </w:rPr>
        <w:t>Intrastat</w:t>
      </w:r>
      <w:proofErr w:type="spellEnd"/>
      <w:r w:rsidRPr="00111E5D">
        <w:rPr>
          <w:rFonts w:ascii="Arial" w:hAnsi="Arial" w:cs="Arial"/>
          <w:sz w:val="20"/>
          <w:szCs w:val="20"/>
        </w:rPr>
        <w:t xml:space="preserve"> non registra più particolari criticità. Scaduto</w:t>
      </w:r>
      <w:r>
        <w:rPr>
          <w:rFonts w:ascii="Arial" w:hAnsi="Arial" w:cs="Arial"/>
          <w:sz w:val="20"/>
          <w:szCs w:val="20"/>
        </w:rPr>
        <w:t xml:space="preserve"> infatti</w:t>
      </w:r>
      <w:r w:rsidRPr="00111E5D">
        <w:rPr>
          <w:rFonts w:ascii="Arial" w:hAnsi="Arial" w:cs="Arial"/>
          <w:sz w:val="20"/>
          <w:szCs w:val="20"/>
        </w:rPr>
        <w:t xml:space="preserve">, il 30 giugno, il periodo di sospensione dei termini di trasmissione dei dati, previsto dal Decreto Legge 17 marzo 2020, n.18 (Decreto “Cura Italia”), il numero delle dichiarazioni </w:t>
      </w:r>
      <w:proofErr w:type="spellStart"/>
      <w:r w:rsidRPr="00111E5D">
        <w:rPr>
          <w:rFonts w:ascii="Arial" w:hAnsi="Arial" w:cs="Arial"/>
          <w:sz w:val="20"/>
          <w:szCs w:val="20"/>
        </w:rPr>
        <w:t>Intrastat</w:t>
      </w:r>
      <w:proofErr w:type="spellEnd"/>
      <w:r w:rsidRPr="00111E5D">
        <w:rPr>
          <w:rFonts w:ascii="Arial" w:hAnsi="Arial" w:cs="Arial"/>
          <w:sz w:val="20"/>
          <w:szCs w:val="20"/>
        </w:rPr>
        <w:t xml:space="preserve"> trasmesse – sia per le cessioni sia per gli acquisti – è tornato in linea con quello dei mesi precedenti all</w:t>
      </w:r>
      <w:r>
        <w:rPr>
          <w:rFonts w:ascii="Arial" w:hAnsi="Arial" w:cs="Arial"/>
          <w:sz w:val="20"/>
          <w:szCs w:val="20"/>
        </w:rPr>
        <w:t>a prima fase dell</w:t>
      </w:r>
      <w:r w:rsidRPr="00111E5D">
        <w:rPr>
          <w:rFonts w:ascii="Arial" w:hAnsi="Arial" w:cs="Arial"/>
          <w:sz w:val="20"/>
          <w:szCs w:val="20"/>
        </w:rPr>
        <w:t>’emergenza Covid-19.</w:t>
      </w:r>
    </w:p>
    <w:p w14:paraId="38C9F490" w14:textId="18D63B05" w:rsidR="00501E02" w:rsidRDefault="00501E02" w:rsidP="00501E02">
      <w:pPr>
        <w:spacing w:after="120"/>
        <w:jc w:val="both"/>
        <w:rPr>
          <w:rFonts w:ascii="Arial" w:hAnsi="Arial" w:cs="Arial"/>
          <w:sz w:val="20"/>
          <w:szCs w:val="20"/>
        </w:rPr>
      </w:pPr>
      <w:r>
        <w:rPr>
          <w:rFonts w:ascii="Arial" w:hAnsi="Arial" w:cs="Arial"/>
          <w:sz w:val="20"/>
          <w:szCs w:val="20"/>
        </w:rPr>
        <w:t>P</w:t>
      </w:r>
      <w:r w:rsidRPr="002D542F">
        <w:rPr>
          <w:rFonts w:ascii="Arial" w:hAnsi="Arial" w:cs="Arial"/>
          <w:sz w:val="20"/>
          <w:szCs w:val="20"/>
        </w:rPr>
        <w:t xml:space="preserve">er quanto riguarda la destagionalizzazione dei dati grezzi, </w:t>
      </w:r>
      <w:r>
        <w:rPr>
          <w:rFonts w:ascii="Arial" w:hAnsi="Arial" w:cs="Arial"/>
          <w:sz w:val="20"/>
          <w:szCs w:val="20"/>
        </w:rPr>
        <w:t xml:space="preserve">essa è stata effettuata coerentemente alle linee guida metodologiche indicate da </w:t>
      </w:r>
      <w:proofErr w:type="spellStart"/>
      <w:r>
        <w:rPr>
          <w:rFonts w:ascii="Arial" w:hAnsi="Arial" w:cs="Arial"/>
          <w:sz w:val="20"/>
          <w:szCs w:val="20"/>
        </w:rPr>
        <w:t>Eurostat</w:t>
      </w:r>
      <w:proofErr w:type="spellEnd"/>
      <w:r>
        <w:rPr>
          <w:rFonts w:ascii="Arial" w:hAnsi="Arial" w:cs="Arial"/>
          <w:sz w:val="20"/>
          <w:szCs w:val="20"/>
        </w:rPr>
        <w:t xml:space="preserve">, disponibili alla pagina web </w:t>
      </w:r>
      <w:hyperlink r:id="rId40" w:history="1">
        <w:r w:rsidRPr="00A94B30">
          <w:rPr>
            <w:rStyle w:val="Collegamentoipertestuale"/>
            <w:rFonts w:ascii="Arial" w:hAnsi="Arial" w:cs="Arial"/>
            <w:sz w:val="20"/>
            <w:szCs w:val="20"/>
          </w:rPr>
          <w:t xml:space="preserve">Covid-19: </w:t>
        </w:r>
        <w:proofErr w:type="spellStart"/>
        <w:r w:rsidRPr="00A94B30">
          <w:rPr>
            <w:rStyle w:val="Collegamentoipertestuale"/>
            <w:rFonts w:ascii="Arial" w:hAnsi="Arial" w:cs="Arial"/>
            <w:sz w:val="20"/>
            <w:szCs w:val="20"/>
          </w:rPr>
          <w:t>Support</w:t>
        </w:r>
        <w:proofErr w:type="spellEnd"/>
        <w:r w:rsidRPr="00A94B30">
          <w:rPr>
            <w:rStyle w:val="Collegamentoipertestuale"/>
            <w:rFonts w:ascii="Arial" w:hAnsi="Arial" w:cs="Arial"/>
            <w:sz w:val="20"/>
            <w:szCs w:val="20"/>
          </w:rPr>
          <w:t xml:space="preserve"> for </w:t>
        </w:r>
        <w:proofErr w:type="spellStart"/>
        <w:r w:rsidRPr="00A94B30">
          <w:rPr>
            <w:rStyle w:val="Collegamentoipertestuale"/>
            <w:rFonts w:ascii="Arial" w:hAnsi="Arial" w:cs="Arial"/>
            <w:sz w:val="20"/>
            <w:szCs w:val="20"/>
          </w:rPr>
          <w:t>statisticians</w:t>
        </w:r>
        <w:proofErr w:type="spellEnd"/>
      </w:hyperlink>
      <w:r>
        <w:rPr>
          <w:rFonts w:ascii="Arial" w:hAnsi="Arial" w:cs="Arial"/>
          <w:sz w:val="20"/>
          <w:szCs w:val="20"/>
        </w:rPr>
        <w:t>.</w:t>
      </w:r>
    </w:p>
    <w:p w14:paraId="36B81719" w14:textId="77777777" w:rsidR="00501E02" w:rsidRPr="00632A22" w:rsidRDefault="00501E02" w:rsidP="00501E02">
      <w:pPr>
        <w:spacing w:after="120"/>
        <w:jc w:val="both"/>
        <w:rPr>
          <w:rFonts w:ascii="Arial" w:hAnsi="Arial" w:cs="Arial"/>
          <w:sz w:val="20"/>
          <w:szCs w:val="20"/>
        </w:rPr>
      </w:pPr>
      <w:r w:rsidRPr="00C21B33">
        <w:rPr>
          <w:rFonts w:ascii="Arial" w:hAnsi="Arial" w:cs="Arial"/>
          <w:sz w:val="20"/>
          <w:szCs w:val="20"/>
        </w:rPr>
        <w:t xml:space="preserve">Pertanto, nelle serie storiche si è tenuto conto – a partire da marzo 2020 - dell’ampiezza inusuale delle variazioni dei flussi commerciali intra ed extra comunitari inserendo nei modelli statistici di destagionalizzazione, ove statisticamente significativi, </w:t>
      </w:r>
      <w:proofErr w:type="spellStart"/>
      <w:r w:rsidRPr="00A80498">
        <w:rPr>
          <w:rFonts w:ascii="Arial" w:hAnsi="Arial" w:cs="Arial"/>
          <w:sz w:val="20"/>
          <w:szCs w:val="20"/>
        </w:rPr>
        <w:t>regressori</w:t>
      </w:r>
      <w:proofErr w:type="spellEnd"/>
      <w:r w:rsidRPr="00A80498">
        <w:rPr>
          <w:rFonts w:ascii="Arial" w:hAnsi="Arial" w:cs="Arial"/>
          <w:sz w:val="20"/>
          <w:szCs w:val="20"/>
        </w:rPr>
        <w:t xml:space="preserve"> aggiuntivi. Non appena le informazioni disponibili lo consentiranno, si procederà alla revisione dei modelli.</w:t>
      </w:r>
    </w:p>
    <w:p w14:paraId="6DA3BBC7" w14:textId="77777777" w:rsidR="00C50F34" w:rsidRPr="007817A4" w:rsidRDefault="00C50F34" w:rsidP="00501E02">
      <w:pPr>
        <w:spacing w:after="120"/>
        <w:jc w:val="both"/>
        <w:rPr>
          <w:rFonts w:ascii="Arial" w:hAnsi="Arial" w:cs="Arial"/>
          <w:sz w:val="20"/>
          <w:szCs w:val="20"/>
        </w:rPr>
      </w:pPr>
    </w:p>
    <w:p w14:paraId="6E01E547" w14:textId="35986D60" w:rsidR="00501E02" w:rsidRDefault="00501E02" w:rsidP="00501E02">
      <w:pPr>
        <w:spacing w:after="120"/>
        <w:jc w:val="both"/>
        <w:rPr>
          <w:rFonts w:ascii="Arial" w:hAnsi="Arial" w:cs="Arial"/>
          <w:b/>
          <w:sz w:val="20"/>
          <w:szCs w:val="20"/>
        </w:rPr>
      </w:pPr>
      <w:r>
        <w:rPr>
          <w:rFonts w:ascii="Arial" w:hAnsi="Arial" w:cs="Arial"/>
          <w:b/>
          <w:sz w:val="20"/>
          <w:szCs w:val="20"/>
        </w:rPr>
        <w:t xml:space="preserve">Le novità del sistema </w:t>
      </w:r>
      <w:proofErr w:type="spellStart"/>
      <w:r>
        <w:rPr>
          <w:rFonts w:ascii="Arial" w:hAnsi="Arial" w:cs="Arial"/>
          <w:b/>
          <w:sz w:val="20"/>
          <w:szCs w:val="20"/>
        </w:rPr>
        <w:t>Intrastat</w:t>
      </w:r>
      <w:proofErr w:type="spellEnd"/>
      <w:r>
        <w:rPr>
          <w:rFonts w:ascii="Arial" w:hAnsi="Arial" w:cs="Arial"/>
          <w:b/>
          <w:sz w:val="20"/>
          <w:szCs w:val="20"/>
        </w:rPr>
        <w:t xml:space="preserve"> </w:t>
      </w:r>
      <w:r w:rsidR="0026239E">
        <w:rPr>
          <w:rFonts w:ascii="Arial" w:hAnsi="Arial" w:cs="Arial"/>
          <w:b/>
          <w:sz w:val="20"/>
          <w:szCs w:val="20"/>
        </w:rPr>
        <w:t xml:space="preserve">a partire da </w:t>
      </w:r>
      <w:r w:rsidRPr="001D441E">
        <w:rPr>
          <w:rFonts w:ascii="Arial" w:hAnsi="Arial" w:cs="Arial"/>
          <w:b/>
          <w:sz w:val="20"/>
          <w:szCs w:val="20"/>
        </w:rPr>
        <w:t>gennaio 2022</w:t>
      </w:r>
    </w:p>
    <w:p w14:paraId="59C5BBBE" w14:textId="77777777" w:rsidR="00501E02" w:rsidRPr="005A72C3" w:rsidRDefault="00501E02" w:rsidP="00501E02">
      <w:pPr>
        <w:spacing w:after="120"/>
        <w:jc w:val="both"/>
        <w:rPr>
          <w:rFonts w:asciiTheme="minorHAnsi" w:hAnsiTheme="minorHAnsi"/>
          <w:sz w:val="22"/>
          <w:szCs w:val="22"/>
          <w:lang w:eastAsia="en-US"/>
        </w:rPr>
      </w:pPr>
      <w:r>
        <w:rPr>
          <w:rFonts w:ascii="Arial" w:hAnsi="Arial" w:cs="Arial"/>
          <w:sz w:val="20"/>
          <w:szCs w:val="20"/>
        </w:rPr>
        <w:t xml:space="preserve">Con </w:t>
      </w:r>
      <w:r w:rsidRPr="00615A28">
        <w:rPr>
          <w:rFonts w:ascii="Arial" w:hAnsi="Arial" w:cs="Arial"/>
          <w:sz w:val="20"/>
          <w:szCs w:val="20"/>
        </w:rPr>
        <w:t>Determinazione del Direttore dell’Agenzia delle dogane e dei monopoli n.</w:t>
      </w:r>
      <w:r>
        <w:rPr>
          <w:rFonts w:ascii="Arial" w:hAnsi="Arial" w:cs="Arial"/>
          <w:sz w:val="20"/>
          <w:szCs w:val="20"/>
        </w:rPr>
        <w:t xml:space="preserve"> </w:t>
      </w:r>
      <w:r w:rsidRPr="00615A28">
        <w:rPr>
          <w:rFonts w:ascii="Arial" w:hAnsi="Arial" w:cs="Arial"/>
          <w:sz w:val="20"/>
          <w:szCs w:val="20"/>
        </w:rPr>
        <w:t>493869 del 23 dicembre 2021</w:t>
      </w:r>
      <w:r>
        <w:rPr>
          <w:rFonts w:ascii="Arial" w:hAnsi="Arial" w:cs="Arial"/>
          <w:sz w:val="20"/>
          <w:szCs w:val="20"/>
        </w:rPr>
        <w:t xml:space="preserve">, a partire dai dati di gennaio 2022, sono state introdotte importanti novità nel </w:t>
      </w:r>
      <w:r w:rsidRPr="005A72C3">
        <w:rPr>
          <w:rFonts w:ascii="Arial" w:hAnsi="Arial" w:cs="Arial"/>
          <w:sz w:val="20"/>
          <w:szCs w:val="20"/>
        </w:rPr>
        <w:t xml:space="preserve">sistema </w:t>
      </w:r>
      <w:proofErr w:type="spellStart"/>
      <w:r w:rsidRPr="005A72C3">
        <w:rPr>
          <w:rFonts w:ascii="Arial" w:hAnsi="Arial" w:cs="Arial"/>
          <w:sz w:val="20"/>
          <w:szCs w:val="20"/>
        </w:rPr>
        <w:t>Intrastat</w:t>
      </w:r>
      <w:proofErr w:type="spellEnd"/>
      <w:r w:rsidRPr="005A72C3">
        <w:rPr>
          <w:rFonts w:ascii="Arial" w:hAnsi="Arial" w:cs="Arial"/>
          <w:sz w:val="20"/>
          <w:szCs w:val="20"/>
        </w:rPr>
        <w:t xml:space="preserve"> nel rispetto della recente normativa statistica comunitaria (</w:t>
      </w:r>
      <w:r w:rsidRPr="00D61DDB">
        <w:rPr>
          <w:rFonts w:ascii="Arial" w:hAnsi="Arial" w:cs="Arial"/>
          <w:sz w:val="20"/>
          <w:szCs w:val="20"/>
        </w:rPr>
        <w:t xml:space="preserve">Regolamento (UE) 2019/2152 </w:t>
      </w:r>
      <w:r>
        <w:rPr>
          <w:rFonts w:ascii="Arial" w:hAnsi="Arial" w:cs="Arial"/>
          <w:sz w:val="20"/>
          <w:szCs w:val="20"/>
        </w:rPr>
        <w:t xml:space="preserve">e il relativo </w:t>
      </w:r>
      <w:r w:rsidRPr="00D61DDB">
        <w:rPr>
          <w:rFonts w:ascii="Arial" w:hAnsi="Arial" w:cs="Arial"/>
          <w:sz w:val="20"/>
          <w:szCs w:val="20"/>
        </w:rPr>
        <w:t>Regolamento di esecuzione (UE) 2020/1197</w:t>
      </w:r>
      <w:r>
        <w:rPr>
          <w:rFonts w:ascii="Arial" w:hAnsi="Arial" w:cs="Arial"/>
          <w:sz w:val="20"/>
          <w:szCs w:val="20"/>
        </w:rPr>
        <w:t>)</w:t>
      </w:r>
      <w:r w:rsidRPr="005A72C3">
        <w:rPr>
          <w:rFonts w:ascii="Arial" w:hAnsi="Arial" w:cs="Arial"/>
          <w:sz w:val="20"/>
          <w:szCs w:val="20"/>
        </w:rPr>
        <w:t xml:space="preserve"> e nell’ottica della semplificazione e riduzione del carico statistico sugli operatori economici.</w:t>
      </w:r>
    </w:p>
    <w:p w14:paraId="1AFE66AE" w14:textId="2A27DE66" w:rsidR="00501E02" w:rsidRDefault="00501E02" w:rsidP="00501E02">
      <w:pPr>
        <w:spacing w:after="120"/>
        <w:jc w:val="both"/>
        <w:rPr>
          <w:rFonts w:ascii="Arial" w:hAnsi="Arial" w:cs="Arial"/>
          <w:sz w:val="20"/>
          <w:szCs w:val="20"/>
        </w:rPr>
      </w:pPr>
      <w:r w:rsidRPr="005A72C3">
        <w:rPr>
          <w:rFonts w:ascii="Arial" w:hAnsi="Arial" w:cs="Arial"/>
          <w:sz w:val="20"/>
          <w:szCs w:val="20"/>
        </w:rPr>
        <w:t xml:space="preserve">Il Regolamento </w:t>
      </w:r>
      <w:r>
        <w:rPr>
          <w:rFonts w:ascii="Arial" w:hAnsi="Arial" w:cs="Arial"/>
          <w:sz w:val="20"/>
          <w:szCs w:val="20"/>
        </w:rPr>
        <w:t>(</w:t>
      </w:r>
      <w:r w:rsidRPr="005A72C3">
        <w:rPr>
          <w:rFonts w:ascii="Arial" w:hAnsi="Arial" w:cs="Arial"/>
          <w:sz w:val="20"/>
          <w:szCs w:val="20"/>
        </w:rPr>
        <w:t>UE</w:t>
      </w:r>
      <w:r>
        <w:rPr>
          <w:rFonts w:ascii="Arial" w:hAnsi="Arial" w:cs="Arial"/>
          <w:sz w:val="20"/>
          <w:szCs w:val="20"/>
        </w:rPr>
        <w:t>)</w:t>
      </w:r>
      <w:r w:rsidRPr="005A72C3">
        <w:rPr>
          <w:rFonts w:ascii="Arial" w:hAnsi="Arial" w:cs="Arial"/>
          <w:sz w:val="20"/>
          <w:szCs w:val="20"/>
        </w:rPr>
        <w:t xml:space="preserve"> 2019/2152 introduce l’obbligo dello scambio di </w:t>
      </w:r>
      <w:proofErr w:type="spellStart"/>
      <w:r w:rsidRPr="005A72C3">
        <w:rPr>
          <w:rFonts w:ascii="Arial" w:hAnsi="Arial" w:cs="Arial"/>
          <w:sz w:val="20"/>
          <w:szCs w:val="20"/>
        </w:rPr>
        <w:t>microdati</w:t>
      </w:r>
      <w:proofErr w:type="spellEnd"/>
      <w:r w:rsidRPr="005A72C3">
        <w:rPr>
          <w:rFonts w:ascii="Arial" w:hAnsi="Arial" w:cs="Arial"/>
          <w:sz w:val="20"/>
          <w:szCs w:val="20"/>
        </w:rPr>
        <w:t xml:space="preserve"> relativi alle cessioni (indicate come esportazioni intracomunitarie nel nuovo Regolamento) tra gli Istituti nazionali di statistica dei Paesi membri a decorrere dal mese di gennaio 2022.</w:t>
      </w:r>
    </w:p>
    <w:p w14:paraId="7D537CBA" w14:textId="77777777" w:rsidR="00874F65" w:rsidRDefault="00874F65" w:rsidP="00501E02">
      <w:pPr>
        <w:spacing w:after="120"/>
        <w:jc w:val="both"/>
        <w:rPr>
          <w:rFonts w:ascii="Arial" w:hAnsi="Arial" w:cs="Arial"/>
          <w:sz w:val="20"/>
          <w:szCs w:val="20"/>
        </w:rPr>
      </w:pPr>
    </w:p>
    <w:p w14:paraId="7456DE93" w14:textId="77777777" w:rsidR="00874F65" w:rsidRDefault="00874F65" w:rsidP="00501E02">
      <w:pPr>
        <w:spacing w:after="120"/>
        <w:jc w:val="both"/>
        <w:rPr>
          <w:rFonts w:ascii="Arial" w:hAnsi="Arial" w:cs="Arial"/>
          <w:sz w:val="20"/>
          <w:szCs w:val="20"/>
        </w:rPr>
      </w:pPr>
    </w:p>
    <w:p w14:paraId="2CB5DC08" w14:textId="538A1BBC" w:rsidR="00501E02" w:rsidRPr="005A72C3" w:rsidRDefault="00501E02" w:rsidP="00501E02">
      <w:pPr>
        <w:spacing w:after="120"/>
        <w:jc w:val="both"/>
        <w:rPr>
          <w:rFonts w:ascii="Arial" w:hAnsi="Arial" w:cs="Arial"/>
          <w:sz w:val="20"/>
          <w:szCs w:val="20"/>
        </w:rPr>
      </w:pPr>
      <w:r w:rsidRPr="005A72C3">
        <w:rPr>
          <w:rFonts w:ascii="Arial" w:hAnsi="Arial" w:cs="Arial"/>
          <w:sz w:val="20"/>
          <w:szCs w:val="20"/>
        </w:rPr>
        <w:t xml:space="preserve">Il sistema di scambio dei </w:t>
      </w:r>
      <w:proofErr w:type="spellStart"/>
      <w:r w:rsidRPr="005A72C3">
        <w:rPr>
          <w:rFonts w:ascii="Arial" w:hAnsi="Arial" w:cs="Arial"/>
          <w:sz w:val="20"/>
          <w:szCs w:val="20"/>
        </w:rPr>
        <w:t>microdati</w:t>
      </w:r>
      <w:proofErr w:type="spellEnd"/>
      <w:r w:rsidRPr="005A72C3">
        <w:rPr>
          <w:rFonts w:ascii="Arial" w:hAnsi="Arial" w:cs="Arial"/>
          <w:sz w:val="20"/>
          <w:szCs w:val="20"/>
        </w:rPr>
        <w:t xml:space="preserve"> – basato sul principio che i dati non devono essere raccolti più di una volta (“once </w:t>
      </w:r>
      <w:proofErr w:type="spellStart"/>
      <w:r w:rsidRPr="005A72C3">
        <w:rPr>
          <w:rFonts w:ascii="Arial" w:hAnsi="Arial" w:cs="Arial"/>
          <w:sz w:val="20"/>
          <w:szCs w:val="20"/>
        </w:rPr>
        <w:t>only</w:t>
      </w:r>
      <w:proofErr w:type="spellEnd"/>
      <w:r w:rsidRPr="005A72C3">
        <w:rPr>
          <w:rFonts w:ascii="Arial" w:hAnsi="Arial" w:cs="Arial"/>
          <w:sz w:val="20"/>
          <w:szCs w:val="20"/>
        </w:rPr>
        <w:t xml:space="preserve">”) – costituisce un approccio innovativo per la compilazione delle statistiche di commercio intracomunitario, progettato in ambito europeo con la finalità di ridurre l’onere statistico del sistema </w:t>
      </w:r>
      <w:proofErr w:type="spellStart"/>
      <w:r w:rsidRPr="005A72C3">
        <w:rPr>
          <w:rFonts w:ascii="Arial" w:hAnsi="Arial" w:cs="Arial"/>
          <w:sz w:val="20"/>
          <w:szCs w:val="20"/>
        </w:rPr>
        <w:t>Intrastat</w:t>
      </w:r>
      <w:proofErr w:type="spellEnd"/>
      <w:r w:rsidRPr="005A72C3">
        <w:rPr>
          <w:rFonts w:ascii="Arial" w:hAnsi="Arial" w:cs="Arial"/>
          <w:sz w:val="20"/>
          <w:szCs w:val="20"/>
        </w:rPr>
        <w:t xml:space="preserve"> e di fornire ai Paesi membri una fonte aggiuntiva e dettagliata per la compilazione delle statistiche sugli acquisti intracomunitari.</w:t>
      </w:r>
    </w:p>
    <w:p w14:paraId="57C6E8EF" w14:textId="77777777" w:rsidR="00501E02" w:rsidRDefault="00501E02" w:rsidP="00501E02">
      <w:pPr>
        <w:spacing w:after="120"/>
        <w:jc w:val="both"/>
        <w:rPr>
          <w:rFonts w:ascii="Arial" w:hAnsi="Arial" w:cs="Arial"/>
          <w:sz w:val="20"/>
          <w:szCs w:val="20"/>
        </w:rPr>
      </w:pPr>
      <w:r w:rsidRPr="005A72C3">
        <w:rPr>
          <w:rFonts w:ascii="Arial" w:hAnsi="Arial" w:cs="Arial"/>
          <w:sz w:val="20"/>
          <w:szCs w:val="20"/>
        </w:rPr>
        <w:t xml:space="preserve">Per attuare </w:t>
      </w:r>
      <w:r>
        <w:rPr>
          <w:rFonts w:ascii="Arial" w:hAnsi="Arial" w:cs="Arial"/>
          <w:sz w:val="20"/>
          <w:szCs w:val="20"/>
        </w:rPr>
        <w:t xml:space="preserve">questo </w:t>
      </w:r>
      <w:r w:rsidRPr="005A72C3">
        <w:rPr>
          <w:rFonts w:ascii="Arial" w:hAnsi="Arial" w:cs="Arial"/>
          <w:sz w:val="20"/>
          <w:szCs w:val="20"/>
        </w:rPr>
        <w:t xml:space="preserve">nuovo approccio e consentire a tutti gli Istituti nazionali di statistica dei Paesi Ue di utilizzare i </w:t>
      </w:r>
      <w:proofErr w:type="spellStart"/>
      <w:r w:rsidRPr="005A72C3">
        <w:rPr>
          <w:rFonts w:ascii="Arial" w:hAnsi="Arial" w:cs="Arial"/>
          <w:sz w:val="20"/>
          <w:szCs w:val="20"/>
        </w:rPr>
        <w:t>microdati</w:t>
      </w:r>
      <w:proofErr w:type="spellEnd"/>
      <w:r w:rsidRPr="005A72C3">
        <w:rPr>
          <w:rFonts w:ascii="Arial" w:hAnsi="Arial" w:cs="Arial"/>
          <w:sz w:val="20"/>
          <w:szCs w:val="20"/>
        </w:rPr>
        <w:t xml:space="preserve"> sulle cessioni </w:t>
      </w:r>
      <w:r>
        <w:rPr>
          <w:rFonts w:ascii="Arial" w:hAnsi="Arial" w:cs="Arial"/>
          <w:sz w:val="20"/>
          <w:szCs w:val="20"/>
        </w:rPr>
        <w:t>de</w:t>
      </w:r>
      <w:r w:rsidRPr="005A72C3">
        <w:rPr>
          <w:rFonts w:ascii="Arial" w:hAnsi="Arial" w:cs="Arial"/>
          <w:sz w:val="20"/>
          <w:szCs w:val="20"/>
        </w:rPr>
        <w:t>gli altri Paesi partner</w:t>
      </w:r>
      <w:r>
        <w:rPr>
          <w:rFonts w:ascii="Arial" w:hAnsi="Arial" w:cs="Arial"/>
          <w:sz w:val="20"/>
          <w:szCs w:val="20"/>
        </w:rPr>
        <w:t xml:space="preserve"> – </w:t>
      </w:r>
      <w:r w:rsidRPr="005A72C3">
        <w:rPr>
          <w:rFonts w:ascii="Arial" w:hAnsi="Arial" w:cs="Arial"/>
          <w:sz w:val="20"/>
          <w:szCs w:val="20"/>
        </w:rPr>
        <w:t>in sostituzione totale o parziale dei dati raccolti a livello nazionale</w:t>
      </w:r>
      <w:r>
        <w:rPr>
          <w:rFonts w:ascii="Arial" w:hAnsi="Arial" w:cs="Arial"/>
          <w:sz w:val="20"/>
          <w:szCs w:val="20"/>
        </w:rPr>
        <w:t xml:space="preserve"> –</w:t>
      </w:r>
      <w:r w:rsidRPr="005A72C3">
        <w:rPr>
          <w:rFonts w:ascii="Arial" w:hAnsi="Arial" w:cs="Arial"/>
          <w:sz w:val="20"/>
          <w:szCs w:val="20"/>
        </w:rPr>
        <w:t>,</w:t>
      </w:r>
      <w:r w:rsidRPr="00656343">
        <w:rPr>
          <w:rFonts w:ascii="Arial" w:hAnsi="Arial" w:cs="Arial"/>
          <w:sz w:val="20"/>
          <w:szCs w:val="20"/>
        </w:rPr>
        <w:t xml:space="preserve"> a decorrere dai dati di gennaio 2022 è stata richiesta la compilazione di una </w:t>
      </w:r>
      <w:r>
        <w:rPr>
          <w:rFonts w:ascii="Arial" w:hAnsi="Arial" w:cs="Arial"/>
          <w:sz w:val="20"/>
          <w:szCs w:val="20"/>
        </w:rPr>
        <w:t xml:space="preserve">nuova </w:t>
      </w:r>
      <w:r w:rsidRPr="00656343">
        <w:rPr>
          <w:rFonts w:ascii="Arial" w:hAnsi="Arial" w:cs="Arial"/>
          <w:sz w:val="20"/>
          <w:szCs w:val="20"/>
        </w:rPr>
        <w:t xml:space="preserve">variabile nei modelli </w:t>
      </w:r>
      <w:proofErr w:type="spellStart"/>
      <w:r w:rsidRPr="00656343">
        <w:rPr>
          <w:rFonts w:ascii="Arial" w:hAnsi="Arial" w:cs="Arial"/>
          <w:sz w:val="20"/>
          <w:szCs w:val="20"/>
        </w:rPr>
        <w:t>Intrastat</w:t>
      </w:r>
      <w:proofErr w:type="spellEnd"/>
      <w:r w:rsidRPr="00656343">
        <w:rPr>
          <w:rFonts w:ascii="Arial" w:hAnsi="Arial" w:cs="Arial"/>
          <w:sz w:val="20"/>
          <w:szCs w:val="20"/>
        </w:rPr>
        <w:t xml:space="preserve"> relativi alle cessioni</w:t>
      </w:r>
      <w:r>
        <w:rPr>
          <w:rFonts w:ascii="Arial" w:hAnsi="Arial" w:cs="Arial"/>
          <w:sz w:val="20"/>
          <w:szCs w:val="20"/>
        </w:rPr>
        <w:t xml:space="preserve"> (</w:t>
      </w:r>
      <w:r w:rsidRPr="00656343">
        <w:rPr>
          <w:rFonts w:ascii="Arial" w:hAnsi="Arial" w:cs="Arial"/>
          <w:sz w:val="20"/>
          <w:szCs w:val="20"/>
        </w:rPr>
        <w:t>la variabile “Paese di origine” delle merci, definito come il paese in cui il bene è stato sottoposto all’ultima trasformazione o lavorazione sostanziale</w:t>
      </w:r>
      <w:r>
        <w:rPr>
          <w:rFonts w:ascii="Arial" w:hAnsi="Arial" w:cs="Arial"/>
          <w:sz w:val="20"/>
          <w:szCs w:val="20"/>
        </w:rPr>
        <w:t xml:space="preserve"> - </w:t>
      </w:r>
      <w:r w:rsidRPr="00656343">
        <w:rPr>
          <w:rFonts w:ascii="Arial" w:hAnsi="Arial" w:cs="Arial"/>
          <w:sz w:val="20"/>
          <w:szCs w:val="20"/>
        </w:rPr>
        <w:t xml:space="preserve">Regolamento </w:t>
      </w:r>
      <w:r>
        <w:rPr>
          <w:rFonts w:ascii="Arial" w:hAnsi="Arial" w:cs="Arial"/>
          <w:sz w:val="20"/>
          <w:szCs w:val="20"/>
        </w:rPr>
        <w:t>(</w:t>
      </w:r>
      <w:r w:rsidRPr="00656343">
        <w:rPr>
          <w:rFonts w:ascii="Arial" w:hAnsi="Arial" w:cs="Arial"/>
          <w:sz w:val="20"/>
          <w:szCs w:val="20"/>
        </w:rPr>
        <w:t>UE</w:t>
      </w:r>
      <w:r>
        <w:rPr>
          <w:rFonts w:ascii="Arial" w:hAnsi="Arial" w:cs="Arial"/>
          <w:sz w:val="20"/>
          <w:szCs w:val="20"/>
        </w:rPr>
        <w:t>)</w:t>
      </w:r>
      <w:r w:rsidRPr="00656343">
        <w:rPr>
          <w:rFonts w:ascii="Arial" w:hAnsi="Arial" w:cs="Arial"/>
          <w:sz w:val="20"/>
          <w:szCs w:val="20"/>
        </w:rPr>
        <w:t xml:space="preserve"> 2020/1197, sez. 12 par. 3). È stata inoltre adottata una codifica</w:t>
      </w:r>
      <w:r>
        <w:rPr>
          <w:rFonts w:ascii="Arial" w:hAnsi="Arial" w:cs="Arial"/>
          <w:sz w:val="20"/>
          <w:szCs w:val="20"/>
        </w:rPr>
        <w:t xml:space="preserve"> più dettagliata</w:t>
      </w:r>
      <w:r w:rsidRPr="00656343">
        <w:rPr>
          <w:rFonts w:ascii="Arial" w:hAnsi="Arial" w:cs="Arial"/>
          <w:sz w:val="20"/>
          <w:szCs w:val="20"/>
        </w:rPr>
        <w:t xml:space="preserve"> per la variabile “Natura della transazione”. </w:t>
      </w:r>
    </w:p>
    <w:p w14:paraId="04E3045A" w14:textId="77777777" w:rsidR="00501E02" w:rsidRDefault="00501E02" w:rsidP="00501E02">
      <w:pPr>
        <w:spacing w:after="120"/>
        <w:jc w:val="both"/>
        <w:rPr>
          <w:rFonts w:ascii="Arial" w:hAnsi="Arial" w:cs="Arial"/>
          <w:sz w:val="20"/>
          <w:szCs w:val="20"/>
        </w:rPr>
      </w:pPr>
      <w:r>
        <w:rPr>
          <w:rFonts w:ascii="Arial" w:hAnsi="Arial" w:cs="Arial"/>
          <w:sz w:val="20"/>
          <w:szCs w:val="20"/>
        </w:rPr>
        <w:t xml:space="preserve">Allo stesso tempo sono state introdotte numerose semplificazioni, tra queste l’innalzamento della soglia statistica che determina </w:t>
      </w:r>
      <w:r w:rsidRPr="00656343">
        <w:rPr>
          <w:rFonts w:ascii="Arial" w:hAnsi="Arial" w:cs="Arial"/>
          <w:sz w:val="20"/>
          <w:szCs w:val="20"/>
        </w:rPr>
        <w:t xml:space="preserve">l’obbligatorietà di compilazione mensile dei modelli </w:t>
      </w:r>
      <w:proofErr w:type="spellStart"/>
      <w:r w:rsidRPr="00656343">
        <w:rPr>
          <w:rFonts w:ascii="Arial" w:hAnsi="Arial" w:cs="Arial"/>
          <w:sz w:val="20"/>
          <w:szCs w:val="20"/>
        </w:rPr>
        <w:t>Intrastat</w:t>
      </w:r>
      <w:proofErr w:type="spellEnd"/>
      <w:r w:rsidRPr="00656343">
        <w:rPr>
          <w:rFonts w:ascii="Arial" w:hAnsi="Arial" w:cs="Arial"/>
          <w:sz w:val="20"/>
          <w:szCs w:val="20"/>
        </w:rPr>
        <w:t xml:space="preserve"> relativi agli acquisti (da 200.000 a 350.000 euro). </w:t>
      </w:r>
    </w:p>
    <w:p w14:paraId="23C55C92" w14:textId="46380F4B" w:rsidR="00501E02" w:rsidRDefault="006A2C28" w:rsidP="006A2C28">
      <w:pPr>
        <w:spacing w:after="120"/>
        <w:jc w:val="both"/>
        <w:rPr>
          <w:rFonts w:ascii="Arial" w:hAnsi="Arial" w:cs="Arial"/>
          <w:sz w:val="20"/>
          <w:szCs w:val="20"/>
        </w:rPr>
      </w:pPr>
      <w:r>
        <w:rPr>
          <w:rFonts w:ascii="Arial" w:hAnsi="Arial" w:cs="Arial"/>
          <w:sz w:val="20"/>
          <w:szCs w:val="20"/>
        </w:rPr>
        <w:t>Infine</w:t>
      </w:r>
      <w:r w:rsidR="00220D58">
        <w:rPr>
          <w:rFonts w:ascii="Arial" w:hAnsi="Arial" w:cs="Arial"/>
          <w:sz w:val="20"/>
          <w:szCs w:val="20"/>
        </w:rPr>
        <w:t>, ai soli fini fiscali,</w:t>
      </w:r>
      <w:r>
        <w:rPr>
          <w:rFonts w:ascii="Arial" w:hAnsi="Arial" w:cs="Arial"/>
          <w:sz w:val="20"/>
          <w:szCs w:val="20"/>
        </w:rPr>
        <w:t xml:space="preserve"> nei</w:t>
      </w:r>
      <w:r w:rsidRPr="00483363">
        <w:rPr>
          <w:rFonts w:ascii="Arial" w:hAnsi="Arial" w:cs="Arial"/>
          <w:sz w:val="20"/>
          <w:szCs w:val="20"/>
        </w:rPr>
        <w:t xml:space="preserve"> modelli </w:t>
      </w:r>
      <w:proofErr w:type="spellStart"/>
      <w:r w:rsidRPr="00483363">
        <w:rPr>
          <w:rFonts w:ascii="Arial" w:hAnsi="Arial" w:cs="Arial"/>
          <w:sz w:val="20"/>
          <w:szCs w:val="20"/>
        </w:rPr>
        <w:t>Intrastat</w:t>
      </w:r>
      <w:proofErr w:type="spellEnd"/>
      <w:r>
        <w:rPr>
          <w:rFonts w:ascii="Arial" w:hAnsi="Arial" w:cs="Arial"/>
          <w:sz w:val="20"/>
          <w:szCs w:val="20"/>
        </w:rPr>
        <w:t xml:space="preserve"> per </w:t>
      </w:r>
      <w:r w:rsidRPr="00483363">
        <w:rPr>
          <w:rFonts w:ascii="Arial" w:hAnsi="Arial" w:cs="Arial"/>
          <w:sz w:val="20"/>
          <w:szCs w:val="20"/>
        </w:rPr>
        <w:t xml:space="preserve">le </w:t>
      </w:r>
      <w:r>
        <w:rPr>
          <w:rFonts w:ascii="Arial" w:hAnsi="Arial" w:cs="Arial"/>
          <w:sz w:val="20"/>
          <w:szCs w:val="20"/>
        </w:rPr>
        <w:t>cessioni è stata inserita</w:t>
      </w:r>
      <w:r w:rsidRPr="00483363">
        <w:rPr>
          <w:rFonts w:ascii="Arial" w:hAnsi="Arial" w:cs="Arial"/>
          <w:sz w:val="20"/>
          <w:szCs w:val="20"/>
        </w:rPr>
        <w:t xml:space="preserve"> una nuova sezione </w:t>
      </w:r>
      <w:r>
        <w:rPr>
          <w:rFonts w:ascii="Arial" w:hAnsi="Arial" w:cs="Arial"/>
          <w:sz w:val="20"/>
          <w:szCs w:val="20"/>
        </w:rPr>
        <w:t>relativa alle cessioni in regime cosiddetto di “call-off stock” (</w:t>
      </w:r>
      <w:r w:rsidRPr="00217CBB">
        <w:rPr>
          <w:rFonts w:ascii="Arial" w:hAnsi="Arial" w:cs="Arial"/>
          <w:sz w:val="20"/>
          <w:szCs w:val="20"/>
        </w:rPr>
        <w:t>Decreto legislativo 5 novembre 2021, n. 192</w:t>
      </w:r>
      <w:r>
        <w:rPr>
          <w:rFonts w:ascii="Arial" w:hAnsi="Arial" w:cs="Arial"/>
          <w:sz w:val="20"/>
          <w:szCs w:val="20"/>
        </w:rPr>
        <w:t>).</w:t>
      </w:r>
    </w:p>
    <w:p w14:paraId="386EF34B" w14:textId="0D1BE8EA" w:rsidR="006A2C28" w:rsidRPr="006A2C28" w:rsidRDefault="006A2C28" w:rsidP="006A2C28">
      <w:pPr>
        <w:spacing w:after="120"/>
        <w:jc w:val="both"/>
        <w:rPr>
          <w:rFonts w:ascii="Arial" w:hAnsi="Arial" w:cs="Arial"/>
          <w:sz w:val="10"/>
          <w:szCs w:val="10"/>
        </w:rPr>
      </w:pPr>
    </w:p>
    <w:p w14:paraId="02C32224" w14:textId="77777777" w:rsidR="006A2C28" w:rsidRPr="006A2C28" w:rsidRDefault="006A2C28" w:rsidP="006A2C28">
      <w:pPr>
        <w:spacing w:after="120"/>
        <w:jc w:val="both"/>
        <w:rPr>
          <w:rFonts w:ascii="Arial" w:hAnsi="Arial" w:cs="Arial"/>
          <w:sz w:val="20"/>
          <w:szCs w:val="20"/>
        </w:rPr>
      </w:pPr>
    </w:p>
    <w:p w14:paraId="657D224E" w14:textId="77777777" w:rsidR="00501E02" w:rsidRPr="00C9631A" w:rsidRDefault="00501E02" w:rsidP="00501E02">
      <w:pPr>
        <w:pStyle w:val="Titolo8"/>
        <w:spacing w:before="0" w:after="120"/>
        <w:rPr>
          <w:rFonts w:ascii="Arial" w:hAnsi="Arial" w:cs="Arial"/>
          <w:b/>
          <w:i w:val="0"/>
          <w:color w:val="E42618"/>
          <w:sz w:val="22"/>
          <w:szCs w:val="20"/>
        </w:rPr>
      </w:pPr>
      <w:r w:rsidRPr="00C9631A">
        <w:rPr>
          <w:rFonts w:ascii="Arial" w:hAnsi="Arial" w:cs="Arial"/>
          <w:b/>
          <w:i w:val="0"/>
          <w:color w:val="E42618"/>
          <w:sz w:val="22"/>
          <w:szCs w:val="20"/>
        </w:rPr>
        <w:t>Prezzi all’importazione</w:t>
      </w:r>
    </w:p>
    <w:p w14:paraId="0C99FF4D" w14:textId="77777777" w:rsidR="00501E02" w:rsidRDefault="00501E02" w:rsidP="00501E02">
      <w:pPr>
        <w:spacing w:after="100"/>
        <w:jc w:val="both"/>
        <w:rPr>
          <w:rFonts w:ascii="Arial" w:hAnsi="Arial" w:cs="Arial"/>
          <w:b/>
          <w:bCs/>
          <w:sz w:val="20"/>
          <w:szCs w:val="20"/>
        </w:rPr>
      </w:pPr>
      <w:r w:rsidRPr="00BE3D84">
        <w:rPr>
          <w:rFonts w:ascii="Arial" w:hAnsi="Arial" w:cs="Arial"/>
          <w:b/>
          <w:bCs/>
          <w:sz w:val="20"/>
          <w:szCs w:val="20"/>
        </w:rPr>
        <w:t>Obiettivi conoscitivi e quadro normativo di riferimento</w:t>
      </w:r>
    </w:p>
    <w:p w14:paraId="0AE3F535" w14:textId="77777777" w:rsidR="00501E02" w:rsidRDefault="00501E02" w:rsidP="00501E02">
      <w:pPr>
        <w:spacing w:after="100"/>
        <w:jc w:val="both"/>
        <w:rPr>
          <w:rFonts w:ascii="Arial" w:hAnsi="Arial" w:cs="Arial"/>
          <w:bCs/>
          <w:sz w:val="20"/>
          <w:szCs w:val="20"/>
        </w:rPr>
      </w:pPr>
      <w:r w:rsidRPr="0038751B">
        <w:rPr>
          <w:rFonts w:ascii="Arial" w:hAnsi="Arial" w:cs="Arial"/>
          <w:bCs/>
          <w:sz w:val="20"/>
          <w:szCs w:val="20"/>
        </w:rPr>
        <w:t>Gli indici dei prezzi all’importazione misurano la variazione nel tempo dei prezzi di un paniere rappresentativo dei principali prodotti importati, dall’area euro e dall’area non euro, da imprese dell’industria e dei servizi.</w:t>
      </w:r>
    </w:p>
    <w:p w14:paraId="6642A9A0" w14:textId="77777777" w:rsidR="00501E02" w:rsidRDefault="00501E02" w:rsidP="00501E02">
      <w:pPr>
        <w:spacing w:after="100"/>
        <w:jc w:val="both"/>
        <w:rPr>
          <w:rFonts w:ascii="Arial" w:hAnsi="Arial" w:cs="Arial"/>
          <w:bCs/>
          <w:sz w:val="20"/>
          <w:szCs w:val="20"/>
        </w:rPr>
      </w:pPr>
      <w:r w:rsidRPr="00113EDF">
        <w:rPr>
          <w:rFonts w:ascii="Arial" w:hAnsi="Arial" w:cs="Arial"/>
          <w:b/>
          <w:sz w:val="20"/>
          <w:szCs w:val="20"/>
        </w:rPr>
        <w:t>A partire dai dati riferiti a gennaio 2022</w:t>
      </w:r>
      <w:r>
        <w:rPr>
          <w:rFonts w:ascii="Arial" w:hAnsi="Arial" w:cs="Arial"/>
          <w:sz w:val="20"/>
          <w:szCs w:val="20"/>
        </w:rPr>
        <w:t xml:space="preserve">, </w:t>
      </w:r>
      <w:r w:rsidRPr="00113EDF">
        <w:rPr>
          <w:rFonts w:ascii="Arial" w:hAnsi="Arial" w:cs="Arial"/>
          <w:bCs/>
          <w:sz w:val="20"/>
          <w:szCs w:val="20"/>
        </w:rPr>
        <w:t>gli indici dei prezzi all’importazione sono calcolati con il metodo del con</w:t>
      </w:r>
      <w:r>
        <w:rPr>
          <w:rFonts w:ascii="Arial" w:hAnsi="Arial" w:cs="Arial"/>
          <w:bCs/>
          <w:sz w:val="20"/>
          <w:szCs w:val="20"/>
        </w:rPr>
        <w:t>ca</w:t>
      </w:r>
      <w:r w:rsidRPr="00113EDF">
        <w:rPr>
          <w:rFonts w:ascii="Arial" w:hAnsi="Arial" w:cs="Arial"/>
          <w:bCs/>
          <w:sz w:val="20"/>
          <w:szCs w:val="20"/>
        </w:rPr>
        <w:t>tenamento annuale, utilizzando il mese di dicembre 2021 come base di calcolo; l’anno 2015 resta la base di riferimento.</w:t>
      </w:r>
    </w:p>
    <w:p w14:paraId="267241E2" w14:textId="77777777" w:rsidR="00501E02" w:rsidRPr="00BE3D84" w:rsidRDefault="00501E02" w:rsidP="00501E02">
      <w:pPr>
        <w:spacing w:after="100"/>
        <w:jc w:val="both"/>
        <w:rPr>
          <w:rFonts w:ascii="Arial" w:hAnsi="Arial" w:cs="Arial"/>
          <w:bCs/>
          <w:sz w:val="20"/>
          <w:szCs w:val="20"/>
        </w:rPr>
      </w:pPr>
      <w:r w:rsidRPr="00BE3D84">
        <w:rPr>
          <w:rFonts w:ascii="Arial" w:hAnsi="Arial" w:cs="Arial"/>
          <w:bCs/>
          <w:sz w:val="20"/>
          <w:szCs w:val="20"/>
        </w:rPr>
        <w:t xml:space="preserve">Dal 1° gennaio 2021 ha effetto il Regolamento (UE) 2019/2152 del Parlamento europeo e del Consiglio del 27 novembre 2019 (con successivo Regolamento di esecuzione (UE) 2020/1197 della Commissione europea del 30 luglio 2020) che sostituisce il Regolamento (CE) 1165/1998 del Consiglio europeo (successivamente emendato dal Regolamento (CE) 1158/2005) e stabilisce il livello di dettaglio, la metodologia e la cadenza con cui gli indicatori congiunturali devono essere prodotti e trasmessi a </w:t>
      </w:r>
      <w:proofErr w:type="spellStart"/>
      <w:r w:rsidRPr="00BE3D84">
        <w:rPr>
          <w:rFonts w:ascii="Arial" w:hAnsi="Arial" w:cs="Arial"/>
          <w:bCs/>
          <w:sz w:val="20"/>
          <w:szCs w:val="20"/>
        </w:rPr>
        <w:t>Eurostat</w:t>
      </w:r>
      <w:proofErr w:type="spellEnd"/>
      <w:r w:rsidRPr="00BE3D84">
        <w:rPr>
          <w:rFonts w:ascii="Arial" w:hAnsi="Arial" w:cs="Arial"/>
          <w:bCs/>
          <w:sz w:val="20"/>
          <w:szCs w:val="20"/>
        </w:rPr>
        <w:t>.</w:t>
      </w:r>
    </w:p>
    <w:p w14:paraId="08563E04" w14:textId="77777777" w:rsidR="00501E02" w:rsidRDefault="00501E02" w:rsidP="00501E02">
      <w:pPr>
        <w:spacing w:after="100"/>
        <w:jc w:val="both"/>
        <w:rPr>
          <w:rFonts w:ascii="Arial" w:hAnsi="Arial" w:cs="Arial"/>
          <w:sz w:val="20"/>
          <w:szCs w:val="20"/>
        </w:rPr>
      </w:pPr>
      <w:r w:rsidRPr="00BE3D84">
        <w:rPr>
          <w:rFonts w:ascii="Arial" w:hAnsi="Arial" w:cs="Arial"/>
          <w:bCs/>
          <w:sz w:val="20"/>
          <w:szCs w:val="20"/>
        </w:rPr>
        <w:t>La rilevazione dei prezzi all’importazione è prevista dal Programma Statistico Nazionale in vigore, consultabile sul sito internet dell'Istat all'indirizzo</w:t>
      </w:r>
      <w:r w:rsidRPr="00380EB6">
        <w:rPr>
          <w:rFonts w:ascii="Arial" w:hAnsi="Arial" w:cs="Arial"/>
        </w:rPr>
        <w:t xml:space="preserve"> </w:t>
      </w:r>
      <w:hyperlink r:id="rId41" w:history="1">
        <w:r w:rsidRPr="00BE3D84">
          <w:rPr>
            <w:rStyle w:val="Collegamentoipertestuale"/>
            <w:rFonts w:ascii="Arial" w:hAnsi="Arial" w:cs="Arial"/>
            <w:sz w:val="20"/>
            <w:szCs w:val="20"/>
          </w:rPr>
          <w:t>https://www.istat.it/it/istituto-nazionale-di-statistica/organizzazione/normativa</w:t>
        </w:r>
      </w:hyperlink>
      <w:r w:rsidRPr="00BE3D84">
        <w:rPr>
          <w:rFonts w:ascii="Arial" w:hAnsi="Arial" w:cs="Arial"/>
          <w:sz w:val="20"/>
          <w:szCs w:val="20"/>
        </w:rPr>
        <w:t>.</w:t>
      </w:r>
    </w:p>
    <w:p w14:paraId="6D5E0F68" w14:textId="77777777" w:rsidR="00501E02" w:rsidRDefault="00501E02" w:rsidP="00501E02">
      <w:pPr>
        <w:spacing w:after="120"/>
        <w:jc w:val="both"/>
        <w:rPr>
          <w:rFonts w:ascii="Arial" w:hAnsi="Arial" w:cs="Arial"/>
          <w:b/>
          <w:bCs/>
          <w:sz w:val="20"/>
          <w:szCs w:val="20"/>
        </w:rPr>
      </w:pPr>
    </w:p>
    <w:p w14:paraId="4C8204A3" w14:textId="77777777" w:rsidR="00501E02" w:rsidRPr="00C9631A" w:rsidRDefault="00501E02" w:rsidP="00501E02">
      <w:pPr>
        <w:spacing w:after="120"/>
        <w:jc w:val="both"/>
        <w:rPr>
          <w:rFonts w:ascii="Arial" w:hAnsi="Arial" w:cs="Arial"/>
          <w:b/>
          <w:bCs/>
          <w:sz w:val="20"/>
          <w:szCs w:val="20"/>
        </w:rPr>
      </w:pPr>
      <w:r>
        <w:rPr>
          <w:rFonts w:ascii="Arial" w:hAnsi="Arial" w:cs="Arial"/>
          <w:b/>
          <w:bCs/>
          <w:sz w:val="20"/>
          <w:szCs w:val="20"/>
        </w:rPr>
        <w:t>Fonte dei dati, c</w:t>
      </w:r>
      <w:r w:rsidRPr="00C9631A">
        <w:rPr>
          <w:rFonts w:ascii="Arial" w:hAnsi="Arial" w:cs="Arial"/>
          <w:b/>
          <w:bCs/>
          <w:sz w:val="20"/>
          <w:szCs w:val="20"/>
        </w:rPr>
        <w:t>ampo di osservazione, unità di analisi e di rilevazione</w:t>
      </w:r>
    </w:p>
    <w:p w14:paraId="32F8C4CC" w14:textId="77777777" w:rsidR="00501E02" w:rsidRPr="00BE3D84" w:rsidRDefault="00501E02" w:rsidP="00501E02">
      <w:pPr>
        <w:spacing w:after="120"/>
        <w:jc w:val="both"/>
        <w:rPr>
          <w:rFonts w:ascii="Arial" w:hAnsi="Arial" w:cs="Arial"/>
          <w:sz w:val="20"/>
          <w:szCs w:val="20"/>
        </w:rPr>
      </w:pPr>
      <w:r w:rsidRPr="00A54830">
        <w:rPr>
          <w:rFonts w:ascii="Arial" w:hAnsi="Arial" w:cs="Arial"/>
          <w:sz w:val="20"/>
          <w:szCs w:val="20"/>
        </w:rPr>
        <w:t>Il sistema degli indici dei prezzi all’importazione è elaborato a partire dai dati raccolti mediante una rilevazione statistica campionaria, con periodicità mensile.</w:t>
      </w:r>
    </w:p>
    <w:p w14:paraId="0CA288F3" w14:textId="77777777" w:rsidR="00501E02" w:rsidRPr="00C9631A" w:rsidRDefault="00501E02" w:rsidP="00501E02">
      <w:pPr>
        <w:spacing w:after="100"/>
        <w:jc w:val="both"/>
        <w:rPr>
          <w:rFonts w:ascii="Arial" w:hAnsi="Arial" w:cs="Arial"/>
          <w:bCs/>
          <w:sz w:val="20"/>
          <w:szCs w:val="20"/>
        </w:rPr>
      </w:pPr>
      <w:r w:rsidRPr="00C9631A">
        <w:rPr>
          <w:rFonts w:ascii="Arial" w:hAnsi="Arial" w:cs="Arial"/>
          <w:bCs/>
          <w:sz w:val="20"/>
          <w:szCs w:val="20"/>
        </w:rPr>
        <w:t xml:space="preserve">Dal punto di vista dimensionale, l’indagine è basata su un campione </w:t>
      </w:r>
      <w:r>
        <w:rPr>
          <w:rFonts w:ascii="Arial" w:hAnsi="Arial" w:cs="Arial"/>
          <w:bCs/>
          <w:sz w:val="20"/>
          <w:szCs w:val="20"/>
        </w:rPr>
        <w:t>di</w:t>
      </w:r>
      <w:r w:rsidRPr="00C9631A">
        <w:rPr>
          <w:rFonts w:ascii="Arial" w:hAnsi="Arial" w:cs="Arial"/>
          <w:bCs/>
          <w:sz w:val="20"/>
          <w:szCs w:val="20"/>
        </w:rPr>
        <w:t xml:space="preserve"> 1.</w:t>
      </w:r>
      <w:r>
        <w:rPr>
          <w:rFonts w:ascii="Arial" w:hAnsi="Arial" w:cs="Arial"/>
          <w:bCs/>
          <w:sz w:val="20"/>
          <w:szCs w:val="20"/>
        </w:rPr>
        <w:t>241</w:t>
      </w:r>
      <w:r w:rsidRPr="00C9631A">
        <w:rPr>
          <w:rFonts w:ascii="Arial" w:hAnsi="Arial" w:cs="Arial"/>
          <w:bCs/>
          <w:sz w:val="20"/>
          <w:szCs w:val="20"/>
        </w:rPr>
        <w:t xml:space="preserve"> prodotti rilevati presso una lista di </w:t>
      </w:r>
      <w:r>
        <w:rPr>
          <w:rFonts w:ascii="Arial" w:hAnsi="Arial" w:cs="Arial"/>
          <w:bCs/>
          <w:sz w:val="20"/>
          <w:szCs w:val="20"/>
        </w:rPr>
        <w:t>3</w:t>
      </w:r>
      <w:r w:rsidRPr="00C9631A">
        <w:rPr>
          <w:rFonts w:ascii="Arial" w:hAnsi="Arial" w:cs="Arial"/>
          <w:bCs/>
          <w:sz w:val="20"/>
          <w:szCs w:val="20"/>
        </w:rPr>
        <w:t>.</w:t>
      </w:r>
      <w:r>
        <w:rPr>
          <w:rFonts w:ascii="Arial" w:hAnsi="Arial" w:cs="Arial"/>
          <w:bCs/>
          <w:sz w:val="20"/>
          <w:szCs w:val="20"/>
        </w:rPr>
        <w:t>652</w:t>
      </w:r>
      <w:r w:rsidRPr="00C9631A">
        <w:rPr>
          <w:rFonts w:ascii="Arial" w:hAnsi="Arial" w:cs="Arial"/>
          <w:bCs/>
          <w:sz w:val="20"/>
          <w:szCs w:val="20"/>
        </w:rPr>
        <w:t xml:space="preserve"> imprese che forniscono mensilmente </w:t>
      </w:r>
      <w:r>
        <w:rPr>
          <w:rFonts w:ascii="Arial" w:hAnsi="Arial" w:cs="Arial"/>
          <w:bCs/>
          <w:sz w:val="20"/>
          <w:szCs w:val="20"/>
        </w:rPr>
        <w:t>10.164</w:t>
      </w:r>
      <w:r w:rsidRPr="00C9631A">
        <w:rPr>
          <w:rFonts w:ascii="Arial" w:hAnsi="Arial" w:cs="Arial"/>
          <w:bCs/>
          <w:sz w:val="20"/>
          <w:szCs w:val="20"/>
        </w:rPr>
        <w:t xml:space="preserve"> quotazioni di prezzo.</w:t>
      </w:r>
    </w:p>
    <w:p w14:paraId="526C86A7"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Il campo di osservazione della rilevazione riguarda:</w:t>
      </w:r>
    </w:p>
    <w:p w14:paraId="28768D3C" w14:textId="77777777" w:rsidR="00501E02" w:rsidRPr="00C9631A" w:rsidRDefault="00501E02" w:rsidP="00501E02">
      <w:pPr>
        <w:numPr>
          <w:ilvl w:val="0"/>
          <w:numId w:val="31"/>
        </w:numPr>
        <w:spacing w:after="120"/>
        <w:ind w:left="426"/>
        <w:jc w:val="both"/>
        <w:rPr>
          <w:rFonts w:ascii="Arial" w:hAnsi="Arial" w:cs="Arial"/>
          <w:sz w:val="20"/>
          <w:szCs w:val="20"/>
        </w:rPr>
      </w:pPr>
      <w:r w:rsidRPr="00C9631A">
        <w:rPr>
          <w:rFonts w:ascii="Arial" w:hAnsi="Arial" w:cs="Arial"/>
          <w:sz w:val="20"/>
          <w:szCs w:val="20"/>
        </w:rPr>
        <w:t>prodotti inclusi nelle sezioni da B a D della classificazione CPA;</w:t>
      </w:r>
    </w:p>
    <w:p w14:paraId="67150518" w14:textId="77777777" w:rsidR="00501E02" w:rsidRPr="00C9631A" w:rsidRDefault="00501E02" w:rsidP="00501E02">
      <w:pPr>
        <w:numPr>
          <w:ilvl w:val="0"/>
          <w:numId w:val="31"/>
        </w:numPr>
        <w:spacing w:after="120"/>
        <w:ind w:left="426"/>
        <w:jc w:val="both"/>
        <w:rPr>
          <w:rFonts w:ascii="Arial" w:hAnsi="Arial" w:cs="Arial"/>
          <w:sz w:val="20"/>
          <w:szCs w:val="20"/>
        </w:rPr>
      </w:pPr>
      <w:r w:rsidRPr="00C9631A">
        <w:rPr>
          <w:rFonts w:ascii="Arial" w:hAnsi="Arial" w:cs="Arial"/>
          <w:sz w:val="20"/>
          <w:szCs w:val="20"/>
        </w:rPr>
        <w:t xml:space="preserve">imprese con attività economica prevalente nelle sezioni B, C, D, E, G della classificazione </w:t>
      </w:r>
      <w:proofErr w:type="spellStart"/>
      <w:r w:rsidRPr="00C9631A">
        <w:rPr>
          <w:rFonts w:ascii="Arial" w:hAnsi="Arial" w:cs="Arial"/>
          <w:sz w:val="20"/>
          <w:szCs w:val="20"/>
        </w:rPr>
        <w:t>Ateco</w:t>
      </w:r>
      <w:proofErr w:type="spellEnd"/>
      <w:r w:rsidRPr="00C9631A">
        <w:rPr>
          <w:rFonts w:ascii="Arial" w:hAnsi="Arial" w:cs="Arial"/>
          <w:sz w:val="20"/>
          <w:szCs w:val="20"/>
        </w:rPr>
        <w:t xml:space="preserve"> 2007.</w:t>
      </w:r>
    </w:p>
    <w:p w14:paraId="2C7162CE" w14:textId="7FD56D09" w:rsidR="00501E02" w:rsidRPr="00C9631A" w:rsidRDefault="00501E02" w:rsidP="00C50F34">
      <w:pPr>
        <w:spacing w:after="120"/>
        <w:jc w:val="both"/>
        <w:rPr>
          <w:rFonts w:ascii="Arial" w:hAnsi="Arial" w:cs="Arial"/>
          <w:sz w:val="20"/>
          <w:szCs w:val="20"/>
        </w:rPr>
      </w:pPr>
      <w:r w:rsidRPr="00C9631A">
        <w:rPr>
          <w:rFonts w:ascii="Arial" w:hAnsi="Arial" w:cs="Arial"/>
          <w:sz w:val="20"/>
          <w:szCs w:val="20"/>
        </w:rPr>
        <w:t xml:space="preserve">L’unità di analisi è il prodotto, ovvero la </w:t>
      </w:r>
      <w:r w:rsidRPr="00E660CB">
        <w:rPr>
          <w:rFonts w:ascii="Arial" w:hAnsi="Arial" w:cs="Arial"/>
          <w:sz w:val="20"/>
          <w:szCs w:val="20"/>
        </w:rPr>
        <w:t>tipologia di prodotto</w:t>
      </w:r>
      <w:r w:rsidRPr="00C9631A">
        <w:rPr>
          <w:rFonts w:ascii="Arial" w:hAnsi="Arial" w:cs="Arial"/>
          <w:sz w:val="20"/>
          <w:szCs w:val="20"/>
        </w:rPr>
        <w:t xml:space="preserve"> (materia prima, semilavorato e prodotto finito) acquistata sul mercato estero e destinata al reimpiego nel processo di produzione (nel caso di un’impresa industriale) oppure alla vendita sul territorio nazionale o estero (nel caso di un’impresa commerciale).</w:t>
      </w:r>
    </w:p>
    <w:p w14:paraId="14E840B2" w14:textId="4C5B0F7A" w:rsidR="00501E02" w:rsidRDefault="00501E02" w:rsidP="00C50F34">
      <w:pPr>
        <w:spacing w:after="120"/>
        <w:jc w:val="both"/>
        <w:rPr>
          <w:rFonts w:ascii="Arial" w:hAnsi="Arial" w:cs="Arial"/>
          <w:sz w:val="20"/>
          <w:szCs w:val="20"/>
        </w:rPr>
      </w:pPr>
      <w:r w:rsidRPr="00C9631A">
        <w:rPr>
          <w:rFonts w:ascii="Arial" w:hAnsi="Arial" w:cs="Arial"/>
          <w:sz w:val="20"/>
          <w:szCs w:val="20"/>
        </w:rPr>
        <w:t>L’unità di rilevazione – impresa – deve essere localizzata sul territorio nazionale; nel caso di impresa industriale, la localizzazione è riferita agli stabilimenti di produzione: l’impresa acquista sul mercato estero materie prime, semilavorati e prodotti finiti che reimpiega nel proprio processo di produzione. Se l’impresa è commerciale, acquista sul mercato estero materie prime, semilavorati e prodotti finiti al fine di rivenderli sul mercato nazionale o estero.</w:t>
      </w:r>
    </w:p>
    <w:p w14:paraId="34C5D63D" w14:textId="77777777" w:rsidR="00874F65" w:rsidRDefault="00874F65" w:rsidP="00501E02">
      <w:pPr>
        <w:spacing w:after="120"/>
        <w:jc w:val="both"/>
        <w:rPr>
          <w:rFonts w:ascii="Arial" w:hAnsi="Arial" w:cs="Arial"/>
          <w:sz w:val="20"/>
          <w:szCs w:val="20"/>
        </w:rPr>
      </w:pPr>
    </w:p>
    <w:p w14:paraId="0408F458" w14:textId="77777777" w:rsidR="00874F65" w:rsidRDefault="00874F65" w:rsidP="00501E02">
      <w:pPr>
        <w:spacing w:after="120"/>
        <w:jc w:val="both"/>
        <w:rPr>
          <w:rFonts w:ascii="Arial" w:hAnsi="Arial" w:cs="Arial"/>
          <w:sz w:val="20"/>
          <w:szCs w:val="20"/>
        </w:rPr>
      </w:pPr>
    </w:p>
    <w:p w14:paraId="2FA0D990" w14:textId="77777777" w:rsidR="00874F65" w:rsidRDefault="00874F65" w:rsidP="00501E02">
      <w:pPr>
        <w:spacing w:after="120"/>
        <w:jc w:val="both"/>
        <w:rPr>
          <w:rFonts w:ascii="Arial" w:hAnsi="Arial" w:cs="Arial"/>
          <w:sz w:val="20"/>
          <w:szCs w:val="20"/>
        </w:rPr>
      </w:pPr>
    </w:p>
    <w:p w14:paraId="5EF6AF66" w14:textId="77777777" w:rsidR="00874F65" w:rsidRDefault="00874F65" w:rsidP="00501E02">
      <w:pPr>
        <w:spacing w:after="120"/>
        <w:jc w:val="both"/>
        <w:rPr>
          <w:rFonts w:ascii="Arial" w:hAnsi="Arial" w:cs="Arial"/>
          <w:sz w:val="20"/>
          <w:szCs w:val="20"/>
        </w:rPr>
      </w:pPr>
    </w:p>
    <w:p w14:paraId="2D06A78F" w14:textId="76F2E2E0" w:rsidR="00501E02" w:rsidRPr="000D4A0C" w:rsidRDefault="00501E02" w:rsidP="00501E02">
      <w:pPr>
        <w:spacing w:after="120"/>
        <w:jc w:val="both"/>
        <w:rPr>
          <w:rFonts w:ascii="Arial" w:hAnsi="Arial" w:cs="Arial"/>
          <w:sz w:val="20"/>
          <w:szCs w:val="20"/>
        </w:rPr>
      </w:pPr>
      <w:r w:rsidRPr="000D4A0C">
        <w:rPr>
          <w:rFonts w:ascii="Arial" w:hAnsi="Arial" w:cs="Arial"/>
          <w:sz w:val="20"/>
          <w:szCs w:val="20"/>
        </w:rPr>
        <w:t>Il regime del commercio considerato è quello del regime del commercio speciale, sono pertanto incluse le importazioni normali nonché le importazioni in regime di perfezionamento attivo e dopo perfezionamento passivo, quando l’unità rispondente acquisisce la proprietà dei beni; sono escluse dal campo di osservazione:</w:t>
      </w:r>
    </w:p>
    <w:p w14:paraId="7356E9F2" w14:textId="77777777" w:rsidR="00501E02" w:rsidRDefault="00501E02" w:rsidP="00501E02">
      <w:pPr>
        <w:numPr>
          <w:ilvl w:val="0"/>
          <w:numId w:val="39"/>
        </w:numPr>
        <w:spacing w:after="120"/>
        <w:ind w:left="425" w:hanging="425"/>
        <w:jc w:val="both"/>
        <w:rPr>
          <w:rFonts w:ascii="Arial" w:hAnsi="Arial" w:cs="Arial"/>
          <w:sz w:val="20"/>
          <w:szCs w:val="20"/>
        </w:rPr>
      </w:pPr>
      <w:r w:rsidRPr="000D4A0C">
        <w:rPr>
          <w:rFonts w:ascii="Arial" w:hAnsi="Arial" w:cs="Arial"/>
          <w:sz w:val="20"/>
          <w:szCs w:val="20"/>
        </w:rPr>
        <w:t>le importazioni delle famiglie, delle amministrazioni pubbliche e delle istituzioni senza scopo di lucro;</w:t>
      </w:r>
    </w:p>
    <w:p w14:paraId="6859D050" w14:textId="77777777" w:rsidR="00501E02" w:rsidRDefault="00501E02" w:rsidP="00501E02">
      <w:pPr>
        <w:numPr>
          <w:ilvl w:val="0"/>
          <w:numId w:val="39"/>
        </w:numPr>
        <w:spacing w:after="120"/>
        <w:ind w:left="425" w:hanging="425"/>
        <w:jc w:val="both"/>
        <w:rPr>
          <w:rFonts w:ascii="Arial" w:hAnsi="Arial" w:cs="Arial"/>
          <w:sz w:val="20"/>
          <w:szCs w:val="20"/>
        </w:rPr>
      </w:pPr>
      <w:r w:rsidRPr="002A34BD">
        <w:rPr>
          <w:rFonts w:ascii="Arial" w:hAnsi="Arial" w:cs="Arial"/>
          <w:sz w:val="20"/>
          <w:szCs w:val="20"/>
        </w:rPr>
        <w:t>l’importazione a fini di riparazione;</w:t>
      </w:r>
    </w:p>
    <w:p w14:paraId="58998060" w14:textId="77777777" w:rsidR="00501E02" w:rsidRPr="002A34BD" w:rsidRDefault="00501E02" w:rsidP="00501E02">
      <w:pPr>
        <w:numPr>
          <w:ilvl w:val="0"/>
          <w:numId w:val="39"/>
        </w:numPr>
        <w:spacing w:after="120"/>
        <w:ind w:left="425" w:hanging="425"/>
        <w:jc w:val="both"/>
        <w:rPr>
          <w:rFonts w:ascii="Arial" w:hAnsi="Arial" w:cs="Arial"/>
          <w:sz w:val="20"/>
          <w:szCs w:val="20"/>
        </w:rPr>
      </w:pPr>
      <w:r w:rsidRPr="002A34BD">
        <w:rPr>
          <w:rFonts w:ascii="Arial" w:hAnsi="Arial" w:cs="Arial"/>
          <w:sz w:val="20"/>
          <w:szCs w:val="20"/>
        </w:rPr>
        <w:t>tutti i servizi correlati ai prodotti.</w:t>
      </w:r>
    </w:p>
    <w:p w14:paraId="13DED19F" w14:textId="77777777" w:rsidR="00501E02" w:rsidRPr="00C9631A" w:rsidRDefault="00501E02" w:rsidP="00501E02">
      <w:pPr>
        <w:spacing w:after="120"/>
        <w:ind w:left="426"/>
        <w:jc w:val="both"/>
        <w:rPr>
          <w:rFonts w:ascii="Arial" w:hAnsi="Arial" w:cs="Arial"/>
          <w:sz w:val="20"/>
          <w:szCs w:val="20"/>
        </w:rPr>
      </w:pPr>
    </w:p>
    <w:p w14:paraId="661C8612" w14:textId="77777777" w:rsidR="00501E02" w:rsidRPr="00C9631A" w:rsidRDefault="00501E02" w:rsidP="00501E02">
      <w:pPr>
        <w:spacing w:after="120"/>
        <w:jc w:val="both"/>
        <w:rPr>
          <w:rFonts w:ascii="Arial" w:hAnsi="Arial" w:cs="Arial"/>
          <w:b/>
          <w:sz w:val="20"/>
          <w:szCs w:val="20"/>
        </w:rPr>
      </w:pPr>
      <w:r w:rsidRPr="00C9631A">
        <w:rPr>
          <w:rFonts w:ascii="Arial" w:hAnsi="Arial" w:cs="Arial"/>
          <w:b/>
          <w:sz w:val="20"/>
          <w:szCs w:val="20"/>
        </w:rPr>
        <w:t>Disegno di campionamento</w:t>
      </w:r>
    </w:p>
    <w:p w14:paraId="6F503B0D"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La rilevazione mensile dei prezzi dei prodotti importati dall</w:t>
      </w:r>
      <w:r>
        <w:rPr>
          <w:rFonts w:ascii="Arial" w:hAnsi="Arial" w:cs="Arial"/>
          <w:sz w:val="20"/>
          <w:szCs w:val="20"/>
        </w:rPr>
        <w:t xml:space="preserve">e </w:t>
      </w:r>
      <w:r w:rsidRPr="00C9631A">
        <w:rPr>
          <w:rFonts w:ascii="Arial" w:hAnsi="Arial" w:cs="Arial"/>
          <w:sz w:val="20"/>
          <w:szCs w:val="20"/>
        </w:rPr>
        <w:t>impres</w:t>
      </w:r>
      <w:r>
        <w:rPr>
          <w:rFonts w:ascii="Arial" w:hAnsi="Arial" w:cs="Arial"/>
          <w:sz w:val="20"/>
          <w:szCs w:val="20"/>
        </w:rPr>
        <w:t xml:space="preserve">e </w:t>
      </w:r>
      <w:r w:rsidRPr="00C9631A">
        <w:rPr>
          <w:rFonts w:ascii="Arial" w:hAnsi="Arial" w:cs="Arial"/>
          <w:sz w:val="20"/>
          <w:szCs w:val="20"/>
        </w:rPr>
        <w:t xml:space="preserve">si effettua </w:t>
      </w:r>
      <w:r>
        <w:rPr>
          <w:rFonts w:ascii="Arial" w:hAnsi="Arial" w:cs="Arial"/>
          <w:sz w:val="20"/>
          <w:szCs w:val="20"/>
        </w:rPr>
        <w:t xml:space="preserve">– con riferimento alle due aree, euro e non euro – </w:t>
      </w:r>
      <w:r w:rsidRPr="00C9631A">
        <w:rPr>
          <w:rFonts w:ascii="Arial" w:hAnsi="Arial" w:cs="Arial"/>
          <w:sz w:val="20"/>
          <w:szCs w:val="20"/>
        </w:rPr>
        <w:t xml:space="preserve">sulla base di un disegno di campionamento nel quale si definiscono, relativamente </w:t>
      </w:r>
      <w:r>
        <w:rPr>
          <w:rFonts w:ascii="Arial" w:hAnsi="Arial" w:cs="Arial"/>
          <w:sz w:val="20"/>
          <w:szCs w:val="20"/>
        </w:rPr>
        <w:t>alla base di calcolo</w:t>
      </w:r>
      <w:r w:rsidRPr="00C9631A">
        <w:rPr>
          <w:rFonts w:ascii="Arial" w:hAnsi="Arial" w:cs="Arial"/>
          <w:sz w:val="20"/>
          <w:szCs w:val="20"/>
        </w:rPr>
        <w:t xml:space="preserve">, la composizione del paniere dei prodotti e la lista delle unità di rilevazione. </w:t>
      </w:r>
    </w:p>
    <w:p w14:paraId="73F64BBE"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Il paniere dei prodotti è costituito da un campione rappresentativo dei principali beni acquistati dalle imprese sul mercato estero e destinati al reimpiego nel processo di produzione (nel caso di un’impresa industriale) oppure alla vendita sul territorio nazionale o estero (nel caso di un’impresa commerciale). La selezione dei prodotti si effettua utilizzando, come informazione principale, quella proveniente dalle statistiche del commercio con l’estero (valore annuale delle importazioni a livello di merce, codificata secondo la Nomenclatura Combinata).</w:t>
      </w:r>
    </w:p>
    <w:p w14:paraId="4AC4B920" w14:textId="77777777" w:rsidR="00501E02" w:rsidRDefault="00501E02" w:rsidP="00501E02">
      <w:pPr>
        <w:spacing w:after="120"/>
        <w:jc w:val="both"/>
        <w:rPr>
          <w:rFonts w:ascii="Arial" w:hAnsi="Arial" w:cs="Arial"/>
          <w:sz w:val="20"/>
          <w:szCs w:val="20"/>
        </w:rPr>
      </w:pPr>
      <w:r w:rsidRPr="00C9631A">
        <w:rPr>
          <w:rFonts w:ascii="Arial" w:hAnsi="Arial" w:cs="Arial"/>
          <w:sz w:val="20"/>
          <w:szCs w:val="20"/>
        </w:rPr>
        <w:t>La lista delle unità di rilevazione è determinata integrando le informazioni sull’interscambio commerciale con quelle contenute nell’Archivio Statistico delle Imprese Attive (Asia) dell’Istat (relativamente all’identificativo dell’impresa e all’attività econo</w:t>
      </w:r>
      <w:r>
        <w:rPr>
          <w:rFonts w:ascii="Arial" w:hAnsi="Arial" w:cs="Arial"/>
          <w:sz w:val="20"/>
          <w:szCs w:val="20"/>
        </w:rPr>
        <w:t>mica prevalente della medesima)</w:t>
      </w:r>
      <w:r w:rsidRPr="00C9631A">
        <w:rPr>
          <w:rFonts w:ascii="Arial" w:hAnsi="Arial" w:cs="Arial"/>
          <w:sz w:val="20"/>
          <w:szCs w:val="20"/>
        </w:rPr>
        <w:t xml:space="preserve"> e nell’Anagrafe Tributaria (relativamente alla corrispondenza operatore economico/partita Iva – impresa/codice fiscale). Attraverso tale link si collegano le unità di analisi (i prodotti importati) alle unità di rilevazione (le imprese importatrici).</w:t>
      </w:r>
    </w:p>
    <w:p w14:paraId="77FED943" w14:textId="77777777" w:rsidR="00501E02" w:rsidRDefault="00501E02" w:rsidP="006A2C28">
      <w:pPr>
        <w:spacing w:after="240"/>
        <w:jc w:val="both"/>
        <w:rPr>
          <w:rFonts w:ascii="Arial" w:hAnsi="Arial" w:cs="Arial"/>
          <w:sz w:val="20"/>
          <w:szCs w:val="20"/>
        </w:rPr>
      </w:pPr>
      <w:r>
        <w:rPr>
          <w:rFonts w:ascii="Arial" w:hAnsi="Arial" w:cs="Arial"/>
          <w:sz w:val="20"/>
          <w:szCs w:val="20"/>
        </w:rPr>
        <w:t>Nel Prospetto B viene sintetizzata la composizione imprese/prodotti/prezzi della base di calcolo dicembre 2021, con riferimento alle tre variabili elaborate.</w:t>
      </w:r>
    </w:p>
    <w:p w14:paraId="06E1DAFA" w14:textId="77777777" w:rsidR="00501E02" w:rsidRDefault="00501E02" w:rsidP="00501E02">
      <w:pPr>
        <w:jc w:val="both"/>
        <w:rPr>
          <w:rFonts w:ascii="Arial Narrow" w:hAnsi="Arial Narrow" w:cs="Arial"/>
          <w:color w:val="7F7F7F"/>
          <w:sz w:val="20"/>
          <w:szCs w:val="20"/>
        </w:rPr>
      </w:pPr>
      <w:r w:rsidRPr="00861AAF">
        <w:rPr>
          <w:rFonts w:ascii="Arial Narrow" w:hAnsi="Arial Narrow" w:cs="Arial"/>
          <w:b/>
          <w:color w:val="E42618"/>
          <w:sz w:val="22"/>
          <w:szCs w:val="22"/>
        </w:rPr>
        <w:t xml:space="preserve">PROSPETTO </w:t>
      </w:r>
      <w:r>
        <w:rPr>
          <w:rFonts w:ascii="Arial Narrow" w:hAnsi="Arial Narrow" w:cs="Arial"/>
          <w:b/>
          <w:color w:val="E42618"/>
          <w:sz w:val="22"/>
          <w:szCs w:val="22"/>
        </w:rPr>
        <w:t>B</w:t>
      </w:r>
      <w:r w:rsidRPr="00861AAF">
        <w:rPr>
          <w:rFonts w:ascii="Arial Narrow" w:hAnsi="Arial Narrow" w:cs="Arial"/>
          <w:b/>
          <w:color w:val="E42618"/>
          <w:sz w:val="22"/>
          <w:szCs w:val="22"/>
        </w:rPr>
        <w:t>.</w:t>
      </w:r>
      <w:r w:rsidRPr="00861AAF">
        <w:rPr>
          <w:rFonts w:ascii="Arial Narrow" w:hAnsi="Arial Narrow" w:cs="Arial"/>
          <w:b/>
          <w:color w:val="7F7F7F"/>
          <w:sz w:val="22"/>
          <w:szCs w:val="22"/>
        </w:rPr>
        <w:t xml:space="preserve"> PREZZI ALL</w:t>
      </w:r>
      <w:r>
        <w:rPr>
          <w:rFonts w:ascii="Arial Narrow" w:hAnsi="Arial Narrow" w:cs="Arial"/>
          <w:b/>
          <w:color w:val="7F7F7F"/>
          <w:sz w:val="22"/>
          <w:szCs w:val="22"/>
        </w:rPr>
        <w:t xml:space="preserve">’IMPORTAZIONE. </w:t>
      </w:r>
      <w:r w:rsidRPr="00832200">
        <w:rPr>
          <w:rFonts w:ascii="Arial Narrow" w:hAnsi="Arial Narrow" w:cs="Arial"/>
          <w:b/>
          <w:color w:val="7F7F7F"/>
          <w:sz w:val="22"/>
          <w:szCs w:val="22"/>
        </w:rPr>
        <w:t>N</w:t>
      </w:r>
      <w:r>
        <w:rPr>
          <w:rFonts w:ascii="Arial Narrow" w:hAnsi="Arial Narrow" w:cs="Arial"/>
          <w:b/>
          <w:color w:val="7F7F7F"/>
          <w:sz w:val="22"/>
          <w:szCs w:val="22"/>
        </w:rPr>
        <w:t>U</w:t>
      </w:r>
      <w:r w:rsidRPr="00832200">
        <w:rPr>
          <w:rFonts w:ascii="Arial Narrow" w:hAnsi="Arial Narrow" w:cs="Arial"/>
          <w:b/>
          <w:color w:val="7F7F7F"/>
          <w:sz w:val="22"/>
          <w:szCs w:val="22"/>
        </w:rPr>
        <w:t>MEROSITÀ DEL CAMPIONE DEI PRODOTTI, IMPRESE E PREZZI</w:t>
      </w:r>
    </w:p>
    <w:p w14:paraId="219A5135" w14:textId="1680CBB9" w:rsidR="00501E02" w:rsidRPr="001F0B80" w:rsidRDefault="00AB0189" w:rsidP="00501E02">
      <w:pPr>
        <w:jc w:val="both"/>
        <w:rPr>
          <w:rFonts w:ascii="Arial Narrow" w:hAnsi="Arial Narrow" w:cs="Arial"/>
          <w:color w:val="7F7F7F"/>
          <w:sz w:val="20"/>
          <w:szCs w:val="20"/>
        </w:rPr>
      </w:pPr>
      <w:r>
        <w:rPr>
          <w:rFonts w:ascii="Arial Narrow" w:hAnsi="Arial Narrow" w:cs="Arial"/>
          <w:color w:val="7F7F7F"/>
          <w:sz w:val="20"/>
          <w:szCs w:val="20"/>
        </w:rPr>
        <w:t>Base di calcolo d</w:t>
      </w:r>
      <w:r w:rsidR="00501E02" w:rsidRPr="001F0B80">
        <w:rPr>
          <w:rFonts w:ascii="Arial Narrow" w:hAnsi="Arial Narrow" w:cs="Arial"/>
          <w:color w:val="7F7F7F"/>
          <w:sz w:val="20"/>
          <w:szCs w:val="20"/>
        </w:rPr>
        <w:t>icembre 2021</w:t>
      </w:r>
    </w:p>
    <w:tbl>
      <w:tblPr>
        <w:tblW w:w="10147" w:type="dxa"/>
        <w:tblCellMar>
          <w:left w:w="70" w:type="dxa"/>
          <w:right w:w="454" w:type="dxa"/>
        </w:tblCellMar>
        <w:tblLook w:val="04A0" w:firstRow="1" w:lastRow="0" w:firstColumn="1" w:lastColumn="0" w:noHBand="0" w:noVBand="1"/>
      </w:tblPr>
      <w:tblGrid>
        <w:gridCol w:w="2551"/>
        <w:gridCol w:w="2494"/>
        <w:gridCol w:w="2551"/>
        <w:gridCol w:w="2551"/>
      </w:tblGrid>
      <w:tr w:rsidR="00501E02" w:rsidRPr="00861AAF" w14:paraId="01948937" w14:textId="77777777" w:rsidTr="002C489F">
        <w:trPr>
          <w:trHeight w:val="340"/>
        </w:trPr>
        <w:tc>
          <w:tcPr>
            <w:tcW w:w="2551" w:type="dxa"/>
            <w:tcBorders>
              <w:top w:val="single" w:sz="8" w:space="0" w:color="333333"/>
              <w:left w:val="nil"/>
              <w:bottom w:val="single" w:sz="8" w:space="0" w:color="333333"/>
              <w:right w:val="nil"/>
            </w:tcBorders>
            <w:shd w:val="clear" w:color="auto" w:fill="auto"/>
            <w:vAlign w:val="center"/>
            <w:hideMark/>
          </w:tcPr>
          <w:p w14:paraId="382A346C" w14:textId="77777777" w:rsidR="00501E02" w:rsidRPr="00861AAF" w:rsidRDefault="00501E02" w:rsidP="002C489F">
            <w:pPr>
              <w:rPr>
                <w:rFonts w:ascii="Arial Narrow" w:hAnsi="Arial Narrow" w:cs="Arial"/>
                <w:b/>
                <w:bCs/>
                <w:color w:val="000000"/>
                <w:sz w:val="18"/>
                <w:szCs w:val="18"/>
              </w:rPr>
            </w:pPr>
            <w:r w:rsidRPr="00861AAF">
              <w:rPr>
                <w:rFonts w:ascii="Arial Narrow" w:hAnsi="Arial Narrow" w:cs="Arial"/>
                <w:b/>
                <w:bCs/>
                <w:color w:val="000000"/>
                <w:sz w:val="18"/>
                <w:szCs w:val="18"/>
              </w:rPr>
              <w:t>UNITÀ</w:t>
            </w:r>
          </w:p>
        </w:tc>
        <w:tc>
          <w:tcPr>
            <w:tcW w:w="2494" w:type="dxa"/>
            <w:tcBorders>
              <w:top w:val="single" w:sz="8" w:space="0" w:color="333333"/>
              <w:left w:val="nil"/>
              <w:bottom w:val="single" w:sz="4" w:space="0" w:color="auto"/>
              <w:right w:val="nil"/>
            </w:tcBorders>
            <w:shd w:val="clear" w:color="000000" w:fill="E6E6E6"/>
            <w:vAlign w:val="center"/>
            <w:hideMark/>
          </w:tcPr>
          <w:p w14:paraId="4629E8BA" w14:textId="77777777" w:rsidR="00501E02" w:rsidRPr="00861AAF" w:rsidRDefault="00501E02" w:rsidP="002C489F">
            <w:pPr>
              <w:jc w:val="right"/>
              <w:rPr>
                <w:rFonts w:ascii="Arial Narrow" w:hAnsi="Arial Narrow" w:cs="Arial"/>
                <w:b/>
                <w:bCs/>
                <w:color w:val="000000"/>
                <w:sz w:val="18"/>
                <w:szCs w:val="18"/>
              </w:rPr>
            </w:pPr>
            <w:r w:rsidRPr="00861AAF">
              <w:rPr>
                <w:rFonts w:ascii="Arial Narrow" w:hAnsi="Arial Narrow" w:cs="Arial"/>
                <w:b/>
                <w:bCs/>
                <w:color w:val="000000"/>
                <w:sz w:val="18"/>
                <w:szCs w:val="18"/>
              </w:rPr>
              <w:t>Totale</w:t>
            </w:r>
          </w:p>
        </w:tc>
        <w:tc>
          <w:tcPr>
            <w:tcW w:w="2551" w:type="dxa"/>
            <w:tcBorders>
              <w:top w:val="single" w:sz="8" w:space="0" w:color="333333"/>
              <w:left w:val="nil"/>
              <w:bottom w:val="single" w:sz="4" w:space="0" w:color="auto"/>
              <w:right w:val="nil"/>
            </w:tcBorders>
            <w:shd w:val="clear" w:color="auto" w:fill="auto"/>
            <w:vAlign w:val="center"/>
            <w:hideMark/>
          </w:tcPr>
          <w:p w14:paraId="50D20B13" w14:textId="77777777" w:rsidR="00501E02" w:rsidRPr="00861AAF" w:rsidRDefault="00501E02" w:rsidP="002C489F">
            <w:pPr>
              <w:jc w:val="right"/>
              <w:rPr>
                <w:rFonts w:ascii="Arial Narrow" w:hAnsi="Arial Narrow" w:cs="Arial"/>
                <w:b/>
                <w:bCs/>
                <w:color w:val="000000"/>
                <w:sz w:val="18"/>
                <w:szCs w:val="18"/>
              </w:rPr>
            </w:pPr>
            <w:r>
              <w:rPr>
                <w:rFonts w:ascii="Arial Narrow" w:hAnsi="Arial Narrow" w:cs="Arial"/>
                <w:b/>
                <w:bCs/>
                <w:color w:val="000000"/>
                <w:sz w:val="18"/>
                <w:szCs w:val="18"/>
              </w:rPr>
              <w:t>A</w:t>
            </w:r>
            <w:r w:rsidRPr="00861AAF">
              <w:rPr>
                <w:rFonts w:ascii="Arial Narrow" w:hAnsi="Arial Narrow" w:cs="Arial"/>
                <w:b/>
                <w:bCs/>
                <w:color w:val="000000"/>
                <w:sz w:val="18"/>
                <w:szCs w:val="18"/>
              </w:rPr>
              <w:t>rea euro</w:t>
            </w:r>
          </w:p>
        </w:tc>
        <w:tc>
          <w:tcPr>
            <w:tcW w:w="2551" w:type="dxa"/>
            <w:tcBorders>
              <w:top w:val="single" w:sz="8" w:space="0" w:color="333333"/>
              <w:left w:val="nil"/>
              <w:bottom w:val="single" w:sz="4" w:space="0" w:color="auto"/>
              <w:right w:val="nil"/>
            </w:tcBorders>
            <w:shd w:val="clear" w:color="000000" w:fill="E6E6E6"/>
            <w:vAlign w:val="center"/>
            <w:hideMark/>
          </w:tcPr>
          <w:p w14:paraId="24FFBA23" w14:textId="77777777" w:rsidR="00501E02" w:rsidRPr="00861AAF" w:rsidRDefault="00501E02" w:rsidP="002C489F">
            <w:pPr>
              <w:jc w:val="right"/>
              <w:rPr>
                <w:rFonts w:ascii="Arial Narrow" w:hAnsi="Arial Narrow" w:cs="Arial"/>
                <w:b/>
                <w:bCs/>
                <w:color w:val="000000"/>
                <w:sz w:val="18"/>
                <w:szCs w:val="18"/>
              </w:rPr>
            </w:pPr>
            <w:r>
              <w:rPr>
                <w:rFonts w:ascii="Arial Narrow" w:hAnsi="Arial Narrow" w:cs="Arial"/>
                <w:b/>
                <w:bCs/>
                <w:color w:val="000000"/>
                <w:sz w:val="18"/>
                <w:szCs w:val="18"/>
              </w:rPr>
              <w:t>A</w:t>
            </w:r>
            <w:r w:rsidRPr="00861AAF">
              <w:rPr>
                <w:rFonts w:ascii="Arial Narrow" w:hAnsi="Arial Narrow" w:cs="Arial"/>
                <w:b/>
                <w:bCs/>
                <w:color w:val="000000"/>
                <w:sz w:val="18"/>
                <w:szCs w:val="18"/>
              </w:rPr>
              <w:t>rea non euro</w:t>
            </w:r>
          </w:p>
        </w:tc>
      </w:tr>
      <w:tr w:rsidR="00501E02" w:rsidRPr="00861AAF" w14:paraId="0A151E60" w14:textId="77777777" w:rsidTr="002C489F">
        <w:trPr>
          <w:trHeight w:val="255"/>
        </w:trPr>
        <w:tc>
          <w:tcPr>
            <w:tcW w:w="2551" w:type="dxa"/>
            <w:tcBorders>
              <w:top w:val="nil"/>
              <w:left w:val="nil"/>
              <w:bottom w:val="single" w:sz="8" w:space="0" w:color="333333"/>
              <w:right w:val="nil"/>
            </w:tcBorders>
            <w:shd w:val="clear" w:color="auto" w:fill="auto"/>
            <w:vAlign w:val="center"/>
            <w:hideMark/>
          </w:tcPr>
          <w:p w14:paraId="3A60B4CF" w14:textId="77777777" w:rsidR="00501E02" w:rsidRPr="00861AAF" w:rsidRDefault="00501E02" w:rsidP="002C489F">
            <w:pPr>
              <w:rPr>
                <w:rFonts w:ascii="Arial Narrow" w:hAnsi="Arial Narrow" w:cs="Arial"/>
                <w:color w:val="000000"/>
                <w:sz w:val="18"/>
                <w:szCs w:val="18"/>
              </w:rPr>
            </w:pPr>
            <w:r w:rsidRPr="00861AAF">
              <w:rPr>
                <w:rFonts w:ascii="Arial Narrow" w:hAnsi="Arial Narrow" w:cs="Arial"/>
                <w:color w:val="000000"/>
                <w:sz w:val="18"/>
                <w:szCs w:val="18"/>
              </w:rPr>
              <w:t>Prodotti</w:t>
            </w:r>
          </w:p>
        </w:tc>
        <w:tc>
          <w:tcPr>
            <w:tcW w:w="2494" w:type="dxa"/>
            <w:tcBorders>
              <w:top w:val="single" w:sz="4" w:space="0" w:color="auto"/>
              <w:left w:val="nil"/>
              <w:bottom w:val="single" w:sz="8" w:space="0" w:color="333333"/>
              <w:right w:val="nil"/>
            </w:tcBorders>
            <w:shd w:val="clear" w:color="auto" w:fill="D9D9D9"/>
            <w:vAlign w:val="center"/>
          </w:tcPr>
          <w:p w14:paraId="2B053B06" w14:textId="77777777" w:rsidR="00501E02" w:rsidRPr="001F0B80" w:rsidRDefault="00501E02" w:rsidP="002C489F">
            <w:pPr>
              <w:jc w:val="right"/>
              <w:rPr>
                <w:rFonts w:ascii="Arial Narrow" w:hAnsi="Arial Narrow"/>
                <w:color w:val="000000"/>
                <w:sz w:val="18"/>
                <w:szCs w:val="18"/>
              </w:rPr>
            </w:pPr>
            <w:r w:rsidRPr="00861AAF">
              <w:rPr>
                <w:rFonts w:ascii="Arial Narrow" w:hAnsi="Arial Narrow"/>
                <w:color w:val="000000"/>
                <w:sz w:val="18"/>
                <w:szCs w:val="18"/>
              </w:rPr>
              <w:t>1.</w:t>
            </w:r>
            <w:r>
              <w:rPr>
                <w:rFonts w:ascii="Arial Narrow" w:hAnsi="Arial Narrow"/>
                <w:color w:val="000000"/>
                <w:sz w:val="18"/>
                <w:szCs w:val="18"/>
              </w:rPr>
              <w:t>241</w:t>
            </w:r>
          </w:p>
        </w:tc>
        <w:tc>
          <w:tcPr>
            <w:tcW w:w="2551" w:type="dxa"/>
            <w:tcBorders>
              <w:top w:val="single" w:sz="4" w:space="0" w:color="auto"/>
              <w:left w:val="nil"/>
              <w:bottom w:val="single" w:sz="8" w:space="0" w:color="333333"/>
              <w:right w:val="nil"/>
            </w:tcBorders>
            <w:shd w:val="clear" w:color="auto" w:fill="auto"/>
            <w:vAlign w:val="center"/>
          </w:tcPr>
          <w:p w14:paraId="02B6219C" w14:textId="77777777" w:rsidR="00501E02" w:rsidRPr="001F0B80" w:rsidRDefault="00501E02" w:rsidP="002C489F">
            <w:pPr>
              <w:jc w:val="right"/>
              <w:rPr>
                <w:rFonts w:ascii="Arial Narrow" w:hAnsi="Arial Narrow"/>
                <w:color w:val="000000"/>
                <w:sz w:val="18"/>
                <w:szCs w:val="18"/>
              </w:rPr>
            </w:pPr>
            <w:r>
              <w:rPr>
                <w:rFonts w:ascii="Arial Narrow" w:hAnsi="Arial Narrow"/>
                <w:color w:val="000000"/>
                <w:sz w:val="18"/>
                <w:szCs w:val="18"/>
              </w:rPr>
              <w:t>963</w:t>
            </w:r>
          </w:p>
        </w:tc>
        <w:tc>
          <w:tcPr>
            <w:tcW w:w="2551" w:type="dxa"/>
            <w:tcBorders>
              <w:top w:val="single" w:sz="4" w:space="0" w:color="auto"/>
              <w:left w:val="nil"/>
              <w:bottom w:val="single" w:sz="8" w:space="0" w:color="333333"/>
              <w:right w:val="nil"/>
            </w:tcBorders>
            <w:shd w:val="clear" w:color="auto" w:fill="D9D9D9"/>
            <w:vAlign w:val="center"/>
          </w:tcPr>
          <w:p w14:paraId="20341BA4" w14:textId="77777777" w:rsidR="00501E02" w:rsidRPr="001F0B80" w:rsidRDefault="00501E02" w:rsidP="002C489F">
            <w:pPr>
              <w:jc w:val="right"/>
              <w:rPr>
                <w:rFonts w:ascii="Arial Narrow" w:hAnsi="Arial Narrow"/>
                <w:color w:val="000000"/>
                <w:sz w:val="18"/>
                <w:szCs w:val="18"/>
              </w:rPr>
            </w:pPr>
            <w:r>
              <w:rPr>
                <w:rFonts w:ascii="Arial Narrow" w:hAnsi="Arial Narrow"/>
                <w:color w:val="000000"/>
                <w:sz w:val="18"/>
                <w:szCs w:val="18"/>
              </w:rPr>
              <w:t>800</w:t>
            </w:r>
          </w:p>
        </w:tc>
      </w:tr>
      <w:tr w:rsidR="00501E02" w:rsidRPr="00861AAF" w14:paraId="11D0F0DE" w14:textId="77777777" w:rsidTr="002C489F">
        <w:trPr>
          <w:trHeight w:val="255"/>
        </w:trPr>
        <w:tc>
          <w:tcPr>
            <w:tcW w:w="2551" w:type="dxa"/>
            <w:tcBorders>
              <w:top w:val="nil"/>
              <w:left w:val="nil"/>
              <w:bottom w:val="single" w:sz="8" w:space="0" w:color="333333"/>
              <w:right w:val="nil"/>
            </w:tcBorders>
            <w:shd w:val="clear" w:color="auto" w:fill="auto"/>
            <w:vAlign w:val="center"/>
            <w:hideMark/>
          </w:tcPr>
          <w:p w14:paraId="673B1167" w14:textId="77777777" w:rsidR="00501E02" w:rsidRPr="00861AAF" w:rsidRDefault="00501E02" w:rsidP="002C489F">
            <w:pPr>
              <w:rPr>
                <w:rFonts w:ascii="Arial Narrow" w:hAnsi="Arial Narrow" w:cs="Arial"/>
                <w:color w:val="000000"/>
                <w:sz w:val="18"/>
                <w:szCs w:val="18"/>
              </w:rPr>
            </w:pPr>
            <w:r w:rsidRPr="00861AAF">
              <w:rPr>
                <w:rFonts w:ascii="Arial Narrow" w:hAnsi="Arial Narrow" w:cs="Arial"/>
                <w:color w:val="000000"/>
                <w:sz w:val="18"/>
                <w:szCs w:val="18"/>
              </w:rPr>
              <w:t>Imprese</w:t>
            </w:r>
          </w:p>
        </w:tc>
        <w:tc>
          <w:tcPr>
            <w:tcW w:w="2494" w:type="dxa"/>
            <w:tcBorders>
              <w:top w:val="nil"/>
              <w:left w:val="nil"/>
              <w:bottom w:val="single" w:sz="8" w:space="0" w:color="333333"/>
              <w:right w:val="nil"/>
            </w:tcBorders>
            <w:shd w:val="clear" w:color="auto" w:fill="D9D9D9"/>
            <w:vAlign w:val="center"/>
          </w:tcPr>
          <w:p w14:paraId="60179606" w14:textId="77777777" w:rsidR="00501E02" w:rsidRPr="00861AAF" w:rsidRDefault="00501E02" w:rsidP="002C489F">
            <w:pPr>
              <w:jc w:val="right"/>
              <w:rPr>
                <w:rFonts w:ascii="Arial Narrow" w:hAnsi="Arial Narrow" w:cs="Arial"/>
                <w:color w:val="000000"/>
                <w:sz w:val="18"/>
                <w:szCs w:val="18"/>
              </w:rPr>
            </w:pPr>
            <w:r>
              <w:rPr>
                <w:rFonts w:ascii="Arial Narrow" w:hAnsi="Arial Narrow"/>
                <w:color w:val="000000"/>
                <w:sz w:val="18"/>
                <w:szCs w:val="18"/>
              </w:rPr>
              <w:t>3</w:t>
            </w:r>
            <w:r w:rsidRPr="00861AAF">
              <w:rPr>
                <w:rFonts w:ascii="Arial Narrow" w:hAnsi="Arial Narrow"/>
                <w:color w:val="000000"/>
                <w:sz w:val="18"/>
                <w:szCs w:val="18"/>
              </w:rPr>
              <w:t>.</w:t>
            </w:r>
            <w:r>
              <w:rPr>
                <w:rFonts w:ascii="Arial Narrow" w:hAnsi="Arial Narrow"/>
                <w:color w:val="000000"/>
                <w:sz w:val="18"/>
                <w:szCs w:val="18"/>
              </w:rPr>
              <w:t>652</w:t>
            </w:r>
          </w:p>
        </w:tc>
        <w:tc>
          <w:tcPr>
            <w:tcW w:w="2551" w:type="dxa"/>
            <w:tcBorders>
              <w:top w:val="nil"/>
              <w:left w:val="nil"/>
              <w:bottom w:val="single" w:sz="8" w:space="0" w:color="333333"/>
              <w:right w:val="nil"/>
            </w:tcBorders>
            <w:shd w:val="clear" w:color="auto" w:fill="auto"/>
            <w:vAlign w:val="center"/>
          </w:tcPr>
          <w:p w14:paraId="03E35CD1" w14:textId="77777777" w:rsidR="00501E02" w:rsidRPr="00861AAF" w:rsidRDefault="00501E02" w:rsidP="002C489F">
            <w:pPr>
              <w:jc w:val="right"/>
              <w:rPr>
                <w:rFonts w:ascii="Arial Narrow" w:hAnsi="Arial Narrow" w:cs="Arial"/>
                <w:color w:val="000000"/>
                <w:sz w:val="18"/>
                <w:szCs w:val="18"/>
              </w:rPr>
            </w:pPr>
            <w:r>
              <w:rPr>
                <w:rFonts w:ascii="Arial Narrow" w:hAnsi="Arial Narrow"/>
                <w:color w:val="000000"/>
                <w:sz w:val="18"/>
                <w:szCs w:val="18"/>
              </w:rPr>
              <w:t>2</w:t>
            </w:r>
            <w:r w:rsidRPr="00861AAF">
              <w:rPr>
                <w:rFonts w:ascii="Arial Narrow" w:hAnsi="Arial Narrow"/>
                <w:color w:val="000000"/>
                <w:sz w:val="18"/>
                <w:szCs w:val="18"/>
              </w:rPr>
              <w:t>.</w:t>
            </w:r>
            <w:r>
              <w:rPr>
                <w:rFonts w:ascii="Arial Narrow" w:hAnsi="Arial Narrow"/>
                <w:color w:val="000000"/>
                <w:sz w:val="18"/>
                <w:szCs w:val="18"/>
              </w:rPr>
              <w:t>196</w:t>
            </w:r>
          </w:p>
        </w:tc>
        <w:tc>
          <w:tcPr>
            <w:tcW w:w="2551" w:type="dxa"/>
            <w:tcBorders>
              <w:top w:val="nil"/>
              <w:left w:val="nil"/>
              <w:bottom w:val="single" w:sz="8" w:space="0" w:color="333333"/>
              <w:right w:val="nil"/>
            </w:tcBorders>
            <w:shd w:val="clear" w:color="auto" w:fill="D9D9D9"/>
            <w:vAlign w:val="center"/>
          </w:tcPr>
          <w:p w14:paraId="446C8256" w14:textId="77777777" w:rsidR="00501E02" w:rsidRPr="00861AAF" w:rsidRDefault="00501E02" w:rsidP="002C489F">
            <w:pPr>
              <w:jc w:val="right"/>
              <w:rPr>
                <w:rFonts w:ascii="Arial Narrow" w:hAnsi="Arial Narrow" w:cs="Arial"/>
                <w:color w:val="000000"/>
                <w:sz w:val="18"/>
                <w:szCs w:val="18"/>
              </w:rPr>
            </w:pPr>
            <w:r>
              <w:rPr>
                <w:rFonts w:ascii="Arial Narrow" w:hAnsi="Arial Narrow"/>
                <w:color w:val="000000"/>
                <w:sz w:val="18"/>
                <w:szCs w:val="18"/>
              </w:rPr>
              <w:t>2</w:t>
            </w:r>
            <w:r w:rsidRPr="00861AAF">
              <w:rPr>
                <w:rFonts w:ascii="Arial Narrow" w:hAnsi="Arial Narrow"/>
                <w:color w:val="000000"/>
                <w:sz w:val="18"/>
                <w:szCs w:val="18"/>
              </w:rPr>
              <w:t>.</w:t>
            </w:r>
            <w:r>
              <w:rPr>
                <w:rFonts w:ascii="Arial Narrow" w:hAnsi="Arial Narrow"/>
                <w:color w:val="000000"/>
                <w:sz w:val="18"/>
                <w:szCs w:val="18"/>
              </w:rPr>
              <w:t>087</w:t>
            </w:r>
          </w:p>
        </w:tc>
      </w:tr>
      <w:tr w:rsidR="00501E02" w:rsidRPr="00861AAF" w14:paraId="1D626E37" w14:textId="77777777" w:rsidTr="002C489F">
        <w:trPr>
          <w:trHeight w:val="255"/>
        </w:trPr>
        <w:tc>
          <w:tcPr>
            <w:tcW w:w="2551" w:type="dxa"/>
            <w:tcBorders>
              <w:top w:val="nil"/>
              <w:left w:val="nil"/>
              <w:bottom w:val="single" w:sz="8" w:space="0" w:color="333333"/>
              <w:right w:val="nil"/>
            </w:tcBorders>
            <w:shd w:val="clear" w:color="auto" w:fill="auto"/>
            <w:vAlign w:val="center"/>
            <w:hideMark/>
          </w:tcPr>
          <w:p w14:paraId="17B51D0A" w14:textId="77777777" w:rsidR="00501E02" w:rsidRPr="00861AAF" w:rsidRDefault="00501E02" w:rsidP="002C489F">
            <w:pPr>
              <w:rPr>
                <w:rFonts w:ascii="Arial Narrow" w:hAnsi="Arial Narrow" w:cs="Arial"/>
                <w:color w:val="000000"/>
                <w:sz w:val="18"/>
                <w:szCs w:val="18"/>
              </w:rPr>
            </w:pPr>
            <w:r w:rsidRPr="00861AAF">
              <w:rPr>
                <w:rFonts w:ascii="Arial Narrow" w:hAnsi="Arial Narrow" w:cs="Arial"/>
                <w:color w:val="000000"/>
                <w:sz w:val="18"/>
                <w:szCs w:val="18"/>
              </w:rPr>
              <w:t>Prezzi</w:t>
            </w:r>
          </w:p>
        </w:tc>
        <w:tc>
          <w:tcPr>
            <w:tcW w:w="2494" w:type="dxa"/>
            <w:tcBorders>
              <w:top w:val="nil"/>
              <w:left w:val="nil"/>
              <w:bottom w:val="single" w:sz="8" w:space="0" w:color="333333"/>
              <w:right w:val="nil"/>
            </w:tcBorders>
            <w:shd w:val="clear" w:color="auto" w:fill="D9D9D9"/>
            <w:vAlign w:val="center"/>
          </w:tcPr>
          <w:p w14:paraId="1A27B871" w14:textId="77777777" w:rsidR="00501E02" w:rsidRPr="00861AAF" w:rsidRDefault="00501E02" w:rsidP="002C489F">
            <w:pPr>
              <w:jc w:val="right"/>
              <w:rPr>
                <w:rFonts w:ascii="Arial Narrow" w:hAnsi="Arial Narrow" w:cs="Arial"/>
                <w:color w:val="000000"/>
                <w:sz w:val="18"/>
                <w:szCs w:val="18"/>
              </w:rPr>
            </w:pPr>
            <w:r>
              <w:rPr>
                <w:rFonts w:ascii="Arial Narrow" w:hAnsi="Arial Narrow"/>
                <w:color w:val="000000"/>
                <w:sz w:val="18"/>
                <w:szCs w:val="18"/>
              </w:rPr>
              <w:t>10</w:t>
            </w:r>
            <w:r w:rsidRPr="00861AAF">
              <w:rPr>
                <w:rFonts w:ascii="Arial Narrow" w:hAnsi="Arial Narrow"/>
                <w:color w:val="000000"/>
                <w:sz w:val="18"/>
                <w:szCs w:val="18"/>
              </w:rPr>
              <w:t>.1</w:t>
            </w:r>
            <w:r>
              <w:rPr>
                <w:rFonts w:ascii="Arial Narrow" w:hAnsi="Arial Narrow"/>
                <w:color w:val="000000"/>
                <w:sz w:val="18"/>
                <w:szCs w:val="18"/>
              </w:rPr>
              <w:t>64</w:t>
            </w:r>
          </w:p>
        </w:tc>
        <w:tc>
          <w:tcPr>
            <w:tcW w:w="2551" w:type="dxa"/>
            <w:tcBorders>
              <w:top w:val="nil"/>
              <w:left w:val="nil"/>
              <w:bottom w:val="single" w:sz="8" w:space="0" w:color="333333"/>
              <w:right w:val="nil"/>
            </w:tcBorders>
            <w:shd w:val="clear" w:color="auto" w:fill="auto"/>
            <w:vAlign w:val="center"/>
          </w:tcPr>
          <w:p w14:paraId="00DB762F" w14:textId="77777777" w:rsidR="00501E02" w:rsidRPr="00861AAF" w:rsidRDefault="00501E02" w:rsidP="002C489F">
            <w:pPr>
              <w:jc w:val="right"/>
              <w:rPr>
                <w:rFonts w:ascii="Arial Narrow" w:hAnsi="Arial Narrow" w:cs="Arial"/>
                <w:color w:val="000000"/>
                <w:sz w:val="18"/>
                <w:szCs w:val="18"/>
              </w:rPr>
            </w:pPr>
            <w:r>
              <w:rPr>
                <w:rFonts w:ascii="Arial Narrow" w:hAnsi="Arial Narrow"/>
                <w:color w:val="000000"/>
                <w:sz w:val="18"/>
                <w:szCs w:val="18"/>
              </w:rPr>
              <w:t>5</w:t>
            </w:r>
            <w:r w:rsidRPr="00861AAF">
              <w:rPr>
                <w:rFonts w:ascii="Arial Narrow" w:hAnsi="Arial Narrow"/>
                <w:color w:val="000000"/>
                <w:sz w:val="18"/>
                <w:szCs w:val="18"/>
              </w:rPr>
              <w:t>.</w:t>
            </w:r>
            <w:r>
              <w:rPr>
                <w:rFonts w:ascii="Arial Narrow" w:hAnsi="Arial Narrow"/>
                <w:color w:val="000000"/>
                <w:sz w:val="18"/>
                <w:szCs w:val="18"/>
              </w:rPr>
              <w:t>465</w:t>
            </w:r>
          </w:p>
        </w:tc>
        <w:tc>
          <w:tcPr>
            <w:tcW w:w="2551" w:type="dxa"/>
            <w:tcBorders>
              <w:top w:val="nil"/>
              <w:left w:val="nil"/>
              <w:bottom w:val="single" w:sz="8" w:space="0" w:color="333333"/>
              <w:right w:val="nil"/>
            </w:tcBorders>
            <w:shd w:val="clear" w:color="auto" w:fill="D9D9D9"/>
            <w:vAlign w:val="center"/>
          </w:tcPr>
          <w:p w14:paraId="7E51A636" w14:textId="77777777" w:rsidR="00501E02" w:rsidRPr="00861AAF" w:rsidRDefault="00501E02" w:rsidP="002C489F">
            <w:pPr>
              <w:jc w:val="right"/>
              <w:rPr>
                <w:rFonts w:ascii="Arial Narrow" w:hAnsi="Arial Narrow" w:cs="Arial"/>
                <w:color w:val="000000"/>
                <w:sz w:val="18"/>
                <w:szCs w:val="18"/>
              </w:rPr>
            </w:pPr>
            <w:r w:rsidRPr="00861AAF">
              <w:rPr>
                <w:rFonts w:ascii="Arial Narrow" w:hAnsi="Arial Narrow"/>
                <w:color w:val="000000"/>
                <w:sz w:val="18"/>
                <w:szCs w:val="18"/>
              </w:rPr>
              <w:t>4.</w:t>
            </w:r>
            <w:r>
              <w:rPr>
                <w:rFonts w:ascii="Arial Narrow" w:hAnsi="Arial Narrow"/>
                <w:color w:val="000000"/>
                <w:sz w:val="18"/>
                <w:szCs w:val="18"/>
              </w:rPr>
              <w:t>699</w:t>
            </w:r>
          </w:p>
        </w:tc>
      </w:tr>
    </w:tbl>
    <w:p w14:paraId="6D73B5E6" w14:textId="77777777" w:rsidR="00501E02" w:rsidRPr="00861AAF" w:rsidRDefault="00501E02" w:rsidP="00501E02">
      <w:pPr>
        <w:spacing w:before="120" w:after="120"/>
        <w:jc w:val="both"/>
        <w:rPr>
          <w:rFonts w:ascii="Arial" w:hAnsi="Arial" w:cs="Arial"/>
          <w:b/>
          <w:sz w:val="22"/>
          <w:szCs w:val="22"/>
        </w:rPr>
      </w:pPr>
    </w:p>
    <w:p w14:paraId="0B161C23" w14:textId="77777777" w:rsidR="00501E02" w:rsidRPr="00C9631A" w:rsidRDefault="00501E02" w:rsidP="00501E02">
      <w:pPr>
        <w:spacing w:after="120"/>
        <w:jc w:val="both"/>
        <w:rPr>
          <w:rFonts w:ascii="Arial" w:hAnsi="Arial" w:cs="Arial"/>
          <w:b/>
          <w:bCs/>
          <w:sz w:val="20"/>
          <w:szCs w:val="20"/>
        </w:rPr>
      </w:pPr>
      <w:r w:rsidRPr="00C9631A">
        <w:rPr>
          <w:rFonts w:ascii="Arial" w:hAnsi="Arial" w:cs="Arial"/>
          <w:b/>
          <w:bCs/>
          <w:sz w:val="20"/>
          <w:szCs w:val="20"/>
        </w:rPr>
        <w:t>Raccolta e controllo di qualità dei dati</w:t>
      </w:r>
    </w:p>
    <w:p w14:paraId="6A422DA0" w14:textId="77777777" w:rsidR="00501E02" w:rsidRDefault="00501E02" w:rsidP="00501E02">
      <w:pPr>
        <w:spacing w:after="120"/>
        <w:jc w:val="both"/>
        <w:rPr>
          <w:rFonts w:ascii="Arial" w:hAnsi="Arial" w:cs="Arial"/>
          <w:bCs/>
          <w:sz w:val="20"/>
          <w:szCs w:val="20"/>
        </w:rPr>
      </w:pPr>
      <w:r w:rsidRPr="00C9631A">
        <w:rPr>
          <w:rFonts w:ascii="Arial" w:hAnsi="Arial" w:cs="Arial"/>
          <w:bCs/>
          <w:sz w:val="20"/>
          <w:szCs w:val="20"/>
        </w:rPr>
        <w:t xml:space="preserve">La raccolta delle informazioni statistiche avviene mediante auto-compilazione del questionario elettronico disponibile all’interno del Portale statistico delle imprese, il sistema introdotto dall'Istat per la semplificazione degli adempimenti statistici delle imprese coinvolte nelle rilevazioni economiche. </w:t>
      </w:r>
    </w:p>
    <w:p w14:paraId="087B1A84" w14:textId="3E285E07" w:rsidR="0026239E" w:rsidRDefault="00501E02" w:rsidP="00501E02">
      <w:pPr>
        <w:pStyle w:val="Testocorrente"/>
        <w:keepNext w:val="0"/>
        <w:tabs>
          <w:tab w:val="left" w:pos="0"/>
        </w:tabs>
        <w:spacing w:after="120"/>
        <w:rPr>
          <w:rFonts w:ascii="Arial" w:hAnsi="Arial" w:cs="Arial"/>
          <w:b w:val="0"/>
          <w:i w:val="0"/>
          <w:sz w:val="20"/>
          <w:lang w:val="it-IT"/>
        </w:rPr>
      </w:pPr>
      <w:r w:rsidRPr="00DB2D37">
        <w:rPr>
          <w:rFonts w:ascii="Arial" w:hAnsi="Arial" w:cs="Arial"/>
          <w:b w:val="0"/>
          <w:i w:val="0"/>
          <w:sz w:val="20"/>
          <w:lang w:val="it-IT"/>
        </w:rPr>
        <w:t>Dall’edizione 2022, l’indagine si avvale della nuova piattaforma informatica integrata (nuovo questionario, nuovo software gestionale e nuov</w:t>
      </w:r>
      <w:r w:rsidR="0026239E">
        <w:rPr>
          <w:rFonts w:ascii="Arial" w:hAnsi="Arial" w:cs="Arial"/>
          <w:b w:val="0"/>
          <w:i w:val="0"/>
          <w:sz w:val="20"/>
          <w:lang w:val="it-IT"/>
        </w:rPr>
        <w:t>i</w:t>
      </w:r>
      <w:r w:rsidRPr="00DB2D37">
        <w:rPr>
          <w:rFonts w:ascii="Arial" w:hAnsi="Arial" w:cs="Arial"/>
          <w:b w:val="0"/>
          <w:i w:val="0"/>
          <w:sz w:val="20"/>
          <w:lang w:val="it-IT"/>
        </w:rPr>
        <w:t xml:space="preserve"> data base), denominata SINTESI, </w:t>
      </w:r>
      <w:r w:rsidR="0026239E" w:rsidRPr="0026239E">
        <w:rPr>
          <w:rFonts w:ascii="Arial" w:hAnsi="Arial" w:cs="Arial"/>
          <w:b w:val="0"/>
          <w:i w:val="0"/>
          <w:sz w:val="20"/>
          <w:lang w:val="it-IT"/>
        </w:rPr>
        <w:t>progettata e sviluppata internamente all’Istituto nell’ambito del progetto di modernizzazione/unificazione di metodi e strumenti per la gestione e conduzione dei processi di produzione delle indagini congiunturali sulle imprese</w:t>
      </w:r>
      <w:r w:rsidR="0026239E">
        <w:rPr>
          <w:rFonts w:ascii="Arial" w:hAnsi="Arial" w:cs="Arial"/>
          <w:b w:val="0"/>
          <w:i w:val="0"/>
          <w:sz w:val="20"/>
          <w:lang w:val="it-IT"/>
        </w:rPr>
        <w:t>.</w:t>
      </w:r>
    </w:p>
    <w:p w14:paraId="4C40A3D3" w14:textId="77777777" w:rsidR="00501E02" w:rsidRDefault="00501E02" w:rsidP="00501E02">
      <w:pPr>
        <w:spacing w:after="120"/>
        <w:jc w:val="both"/>
        <w:rPr>
          <w:rFonts w:ascii="Arial" w:hAnsi="Arial" w:cs="Arial"/>
          <w:bCs/>
          <w:sz w:val="20"/>
          <w:szCs w:val="20"/>
        </w:rPr>
      </w:pPr>
      <w:r w:rsidRPr="00C9631A">
        <w:rPr>
          <w:rFonts w:ascii="Arial" w:hAnsi="Arial" w:cs="Arial"/>
          <w:bCs/>
          <w:sz w:val="20"/>
          <w:szCs w:val="20"/>
        </w:rPr>
        <w:t xml:space="preserve">La modalità di compilazione per via telematica favorisce la tempestività della rilevazione dei dati e la qualità delle informazioni raccolte, poiché prevede un programma di </w:t>
      </w:r>
      <w:proofErr w:type="spellStart"/>
      <w:r w:rsidRPr="00C9631A">
        <w:rPr>
          <w:rFonts w:ascii="Arial" w:hAnsi="Arial" w:cs="Arial"/>
          <w:bCs/>
          <w:i/>
          <w:sz w:val="20"/>
          <w:szCs w:val="20"/>
        </w:rPr>
        <w:t>check</w:t>
      </w:r>
      <w:proofErr w:type="spellEnd"/>
      <w:r w:rsidRPr="00C9631A">
        <w:rPr>
          <w:rFonts w:ascii="Arial" w:hAnsi="Arial" w:cs="Arial"/>
          <w:bCs/>
          <w:sz w:val="20"/>
          <w:szCs w:val="20"/>
        </w:rPr>
        <w:t xml:space="preserve"> automatico che segnala direttamente al rispondente eventuali risposte incompatibili, errori di coerenza, incongruenze e omissioni, che possono essere risolti nel corso della stessa compilazione.</w:t>
      </w:r>
    </w:p>
    <w:p w14:paraId="66D9A453" w14:textId="05F9382E" w:rsidR="00501E02" w:rsidRPr="00C9631A" w:rsidRDefault="00501E02" w:rsidP="00501E02">
      <w:pPr>
        <w:spacing w:after="120"/>
        <w:jc w:val="both"/>
        <w:rPr>
          <w:rFonts w:ascii="Arial" w:hAnsi="Arial" w:cs="Arial"/>
          <w:bCs/>
          <w:sz w:val="20"/>
          <w:szCs w:val="20"/>
        </w:rPr>
      </w:pPr>
      <w:r w:rsidRPr="00C9631A">
        <w:rPr>
          <w:rFonts w:ascii="Arial" w:hAnsi="Arial" w:cs="Arial"/>
          <w:bCs/>
          <w:sz w:val="20"/>
          <w:szCs w:val="20"/>
        </w:rPr>
        <w:t xml:space="preserve">I dati possono essere inviati dal </w:t>
      </w:r>
      <w:r>
        <w:rPr>
          <w:rFonts w:ascii="Arial" w:hAnsi="Arial" w:cs="Arial"/>
          <w:bCs/>
          <w:sz w:val="20"/>
          <w:szCs w:val="20"/>
        </w:rPr>
        <w:t>primo</w:t>
      </w:r>
      <w:r w:rsidRPr="00C9631A">
        <w:rPr>
          <w:rFonts w:ascii="Arial" w:hAnsi="Arial" w:cs="Arial"/>
          <w:bCs/>
          <w:sz w:val="20"/>
          <w:szCs w:val="20"/>
        </w:rPr>
        <w:t xml:space="preserve"> giorno dopo la fine del mese di riferimento</w:t>
      </w:r>
      <w:r>
        <w:rPr>
          <w:rFonts w:ascii="Arial" w:hAnsi="Arial" w:cs="Arial"/>
          <w:bCs/>
          <w:sz w:val="20"/>
          <w:szCs w:val="20"/>
        </w:rPr>
        <w:t xml:space="preserve"> e</w:t>
      </w:r>
      <w:r w:rsidRPr="00C9631A">
        <w:rPr>
          <w:rFonts w:ascii="Arial" w:hAnsi="Arial" w:cs="Arial"/>
          <w:bCs/>
          <w:sz w:val="20"/>
          <w:szCs w:val="20"/>
        </w:rPr>
        <w:t xml:space="preserve"> la trasmissione </w:t>
      </w:r>
      <w:r>
        <w:rPr>
          <w:rFonts w:ascii="Arial" w:hAnsi="Arial" w:cs="Arial"/>
          <w:bCs/>
          <w:sz w:val="20"/>
          <w:szCs w:val="20"/>
        </w:rPr>
        <w:t xml:space="preserve">deve </w:t>
      </w:r>
      <w:r w:rsidR="00AB0189">
        <w:rPr>
          <w:rFonts w:ascii="Arial" w:hAnsi="Arial" w:cs="Arial"/>
          <w:bCs/>
          <w:sz w:val="20"/>
          <w:szCs w:val="20"/>
        </w:rPr>
        <w:t>essere effettuata</w:t>
      </w:r>
      <w:r w:rsidRPr="00EE3D7B">
        <w:rPr>
          <w:rFonts w:ascii="Arial" w:hAnsi="Arial" w:cs="Arial"/>
          <w:bCs/>
          <w:sz w:val="20"/>
          <w:szCs w:val="20"/>
        </w:rPr>
        <w:t xml:space="preserve"> entro le date di</w:t>
      </w:r>
      <w:r>
        <w:rPr>
          <w:rFonts w:ascii="Arial" w:hAnsi="Arial" w:cs="Arial"/>
          <w:bCs/>
          <w:sz w:val="20"/>
          <w:szCs w:val="20"/>
        </w:rPr>
        <w:t xml:space="preserve"> indicate nella lettera informativa</w:t>
      </w:r>
      <w:r w:rsidRPr="00EE3D7B">
        <w:rPr>
          <w:rFonts w:ascii="Arial" w:hAnsi="Arial" w:cs="Arial"/>
          <w:bCs/>
          <w:sz w:val="20"/>
          <w:szCs w:val="20"/>
        </w:rPr>
        <w:t xml:space="preserve"> </w:t>
      </w:r>
      <w:r w:rsidRPr="00C9631A">
        <w:rPr>
          <w:rFonts w:ascii="Arial" w:hAnsi="Arial" w:cs="Arial"/>
          <w:bCs/>
          <w:sz w:val="20"/>
          <w:szCs w:val="20"/>
        </w:rPr>
        <w:t>al fine di poter rispettare le scadenze dei regolamenti europei</w:t>
      </w:r>
      <w:r>
        <w:rPr>
          <w:rFonts w:ascii="Arial" w:hAnsi="Arial" w:cs="Arial"/>
          <w:bCs/>
          <w:sz w:val="20"/>
          <w:szCs w:val="20"/>
        </w:rPr>
        <w:t>.</w:t>
      </w:r>
      <w:r w:rsidRPr="00C9631A">
        <w:rPr>
          <w:rFonts w:ascii="Arial" w:hAnsi="Arial" w:cs="Arial"/>
          <w:bCs/>
          <w:sz w:val="20"/>
          <w:szCs w:val="20"/>
        </w:rPr>
        <w:t xml:space="preserve"> </w:t>
      </w:r>
      <w:r>
        <w:rPr>
          <w:rFonts w:ascii="Arial" w:hAnsi="Arial" w:cs="Arial"/>
          <w:bCs/>
          <w:sz w:val="20"/>
          <w:szCs w:val="20"/>
        </w:rPr>
        <w:t>S</w:t>
      </w:r>
      <w:r w:rsidRPr="00C9631A">
        <w:rPr>
          <w:rFonts w:ascii="Arial" w:hAnsi="Arial" w:cs="Arial"/>
          <w:bCs/>
          <w:sz w:val="20"/>
          <w:szCs w:val="20"/>
        </w:rPr>
        <w:t>uccessivamente sono previste operazioni di sollecito e contatto delle unità non rispondenti al fine di aumentare la copertura delle stime provvisorie e definitive.</w:t>
      </w:r>
    </w:p>
    <w:p w14:paraId="4681F9B7" w14:textId="674296A4" w:rsidR="00501E02" w:rsidRDefault="00501E02" w:rsidP="00501E02">
      <w:pPr>
        <w:spacing w:after="120"/>
        <w:jc w:val="both"/>
        <w:rPr>
          <w:rFonts w:ascii="Arial" w:hAnsi="Arial" w:cs="Arial"/>
          <w:bCs/>
          <w:sz w:val="20"/>
          <w:szCs w:val="20"/>
        </w:rPr>
      </w:pPr>
      <w:r w:rsidRPr="00C9631A">
        <w:rPr>
          <w:rFonts w:ascii="Arial" w:hAnsi="Arial" w:cs="Arial"/>
          <w:bCs/>
          <w:sz w:val="20"/>
          <w:szCs w:val="20"/>
        </w:rPr>
        <w:t xml:space="preserve">Il questionario è di tipo chiuso, riporta prestampato l’elenco dei prodotti sottoposti a osservazione; l’impresa, coerentemente con la denominazione del prodotto assegnato, individua le </w:t>
      </w:r>
      <w:r w:rsidRPr="00C9631A">
        <w:rPr>
          <w:rFonts w:ascii="Arial" w:hAnsi="Arial" w:cs="Arial"/>
          <w:bCs/>
          <w:i/>
          <w:sz w:val="20"/>
          <w:szCs w:val="20"/>
        </w:rPr>
        <w:t>tipologie di prodotto</w:t>
      </w:r>
      <w:r w:rsidRPr="00C9631A">
        <w:rPr>
          <w:rFonts w:ascii="Arial" w:hAnsi="Arial" w:cs="Arial"/>
          <w:bCs/>
          <w:sz w:val="20"/>
          <w:szCs w:val="20"/>
        </w:rPr>
        <w:t xml:space="preserve"> maggiormente rappresentative delle importazioni dell’impresa per le quali sia possibile determinare regolarmente un prezzo di </w:t>
      </w:r>
      <w:r>
        <w:rPr>
          <w:rFonts w:ascii="Arial" w:hAnsi="Arial" w:cs="Arial"/>
          <w:bCs/>
          <w:sz w:val="20"/>
          <w:szCs w:val="20"/>
        </w:rPr>
        <w:t>a</w:t>
      </w:r>
      <w:r w:rsidRPr="00C9631A">
        <w:rPr>
          <w:rFonts w:ascii="Arial" w:hAnsi="Arial" w:cs="Arial"/>
          <w:bCs/>
          <w:sz w:val="20"/>
          <w:szCs w:val="20"/>
        </w:rPr>
        <w:t xml:space="preserve">cquisto nel tempo. </w:t>
      </w:r>
    </w:p>
    <w:p w14:paraId="425606EE" w14:textId="77777777" w:rsidR="00874F65" w:rsidRDefault="00874F65" w:rsidP="00501E02">
      <w:pPr>
        <w:spacing w:after="120"/>
        <w:jc w:val="both"/>
        <w:rPr>
          <w:rFonts w:ascii="Arial" w:hAnsi="Arial" w:cs="Arial"/>
          <w:bCs/>
          <w:sz w:val="20"/>
          <w:szCs w:val="20"/>
        </w:rPr>
      </w:pPr>
    </w:p>
    <w:p w14:paraId="0355BB19" w14:textId="1CFA1DCD" w:rsidR="00501E02" w:rsidRPr="00C9631A" w:rsidRDefault="00501E02" w:rsidP="00501E02">
      <w:pPr>
        <w:spacing w:after="120"/>
        <w:jc w:val="both"/>
        <w:rPr>
          <w:rFonts w:ascii="Arial" w:hAnsi="Arial" w:cs="Arial"/>
          <w:bCs/>
          <w:sz w:val="20"/>
          <w:szCs w:val="20"/>
        </w:rPr>
      </w:pPr>
      <w:r w:rsidRPr="00C9631A">
        <w:rPr>
          <w:rFonts w:ascii="Arial" w:hAnsi="Arial" w:cs="Arial"/>
          <w:bCs/>
          <w:sz w:val="20"/>
          <w:szCs w:val="20"/>
        </w:rPr>
        <w:t xml:space="preserve">La variabile rilevata è il prezzo all’importazione ovvero un prezzo di acquisto di un prodotto ceduto da un operatore non residente da parte di un’impresa residente in Italia. </w:t>
      </w:r>
      <w:r w:rsidRPr="00C9631A">
        <w:rPr>
          <w:rFonts w:ascii="Arial" w:hAnsi="Arial" w:cs="Arial"/>
          <w:sz w:val="20"/>
          <w:szCs w:val="20"/>
        </w:rPr>
        <w:t xml:space="preserve">Si tratta di un prezzo di mercato o di transazione reale, cioè un prezzo che si riferisce a un acquisto effettivamente realizzato. I prezzi sono rilevati in euro secondo la clausola </w:t>
      </w:r>
      <w:proofErr w:type="spellStart"/>
      <w:r w:rsidRPr="00C9631A">
        <w:rPr>
          <w:rFonts w:ascii="Arial" w:hAnsi="Arial" w:cs="Arial"/>
          <w:iCs/>
          <w:sz w:val="20"/>
          <w:szCs w:val="20"/>
        </w:rPr>
        <w:t>Cif</w:t>
      </w:r>
      <w:proofErr w:type="spellEnd"/>
      <w:r w:rsidRPr="00C9631A">
        <w:rPr>
          <w:rFonts w:ascii="Arial" w:hAnsi="Arial" w:cs="Arial"/>
          <w:iCs/>
          <w:sz w:val="20"/>
          <w:szCs w:val="20"/>
        </w:rPr>
        <w:t xml:space="preserve"> </w:t>
      </w:r>
      <w:r w:rsidRPr="00C9631A">
        <w:rPr>
          <w:rFonts w:ascii="Arial" w:hAnsi="Arial" w:cs="Arial"/>
          <w:sz w:val="20"/>
          <w:szCs w:val="20"/>
        </w:rPr>
        <w:t xml:space="preserve">(costo, assicurazione e nolo) alla frontiera nazionale; sono al netto dell'Iva e di ogni altro onere a carico dell'acquirente. </w:t>
      </w:r>
    </w:p>
    <w:p w14:paraId="0AF76ADA"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 xml:space="preserve">L’importazione è il </w:t>
      </w:r>
      <w:r w:rsidRPr="00C9631A">
        <w:rPr>
          <w:rFonts w:ascii="Arial" w:hAnsi="Arial" w:cs="Arial"/>
          <w:iCs/>
          <w:sz w:val="20"/>
          <w:szCs w:val="20"/>
        </w:rPr>
        <w:t xml:space="preserve">valore della merce acquistata all’estero dalle imprese industriali e commerciali, valutato </w:t>
      </w:r>
      <w:proofErr w:type="spellStart"/>
      <w:r w:rsidRPr="00C9631A">
        <w:rPr>
          <w:rFonts w:ascii="Arial" w:hAnsi="Arial" w:cs="Arial"/>
          <w:iCs/>
          <w:sz w:val="20"/>
          <w:szCs w:val="20"/>
        </w:rPr>
        <w:t>Cif</w:t>
      </w:r>
      <w:proofErr w:type="spellEnd"/>
      <w:r w:rsidRPr="00C9631A">
        <w:rPr>
          <w:rFonts w:ascii="Arial" w:hAnsi="Arial" w:cs="Arial"/>
          <w:iCs/>
          <w:sz w:val="20"/>
          <w:szCs w:val="20"/>
        </w:rPr>
        <w:t xml:space="preserve"> e riferito ai soli regimi definitivi (cioè al netto delle importazioni temporanee e delle reimportazioni), distinto per area di importazione euro/non euro.</w:t>
      </w:r>
    </w:p>
    <w:p w14:paraId="50CAEC95" w14:textId="77777777" w:rsidR="00501E02" w:rsidRPr="00C9631A" w:rsidRDefault="00501E02" w:rsidP="00501E02">
      <w:pPr>
        <w:spacing w:after="120"/>
        <w:jc w:val="both"/>
        <w:rPr>
          <w:rFonts w:ascii="Arial" w:hAnsi="Arial" w:cs="Arial"/>
          <w:bCs/>
          <w:sz w:val="20"/>
          <w:szCs w:val="20"/>
        </w:rPr>
      </w:pPr>
      <w:r w:rsidRPr="00C9631A">
        <w:rPr>
          <w:rFonts w:ascii="Arial" w:hAnsi="Arial" w:cs="Arial"/>
          <w:bCs/>
          <w:sz w:val="20"/>
          <w:szCs w:val="20"/>
        </w:rPr>
        <w:t>I dati raccolti sono sottoposti a un processo di controllo e correzione con integrazione delle mancate risposte. In particolare, si verifica la compatibilità dei valori con l’informazione richiesta (prezzo all’importazione), la coerenza intertemporale dei dati, la presenza di valori anomali; la validazione dei dati può richiedere il ritorno sul rispondente al fine di sanare i problemi rilevati. I dati mancanti sono stimati utilizzando l’ultima informazione disponibile validata.</w:t>
      </w:r>
    </w:p>
    <w:p w14:paraId="13E30399" w14:textId="067692F0" w:rsidR="00501E02" w:rsidRDefault="00501E02" w:rsidP="00501E02">
      <w:pPr>
        <w:spacing w:after="120"/>
        <w:jc w:val="both"/>
        <w:rPr>
          <w:rFonts w:ascii="Arial" w:hAnsi="Arial" w:cs="Arial"/>
          <w:bCs/>
          <w:sz w:val="20"/>
          <w:szCs w:val="20"/>
        </w:rPr>
      </w:pPr>
      <w:r w:rsidRPr="00C9631A">
        <w:rPr>
          <w:rFonts w:ascii="Arial" w:hAnsi="Arial" w:cs="Arial"/>
          <w:bCs/>
          <w:sz w:val="20"/>
          <w:szCs w:val="20"/>
        </w:rPr>
        <w:t>I dati raccolti mensilmente sono elaborati sotto forma di numeri indici di prezzo e sono diffusi in forma aggregata.</w:t>
      </w:r>
    </w:p>
    <w:p w14:paraId="0DEFAF1F" w14:textId="13B21FAC" w:rsidR="007815EF" w:rsidRDefault="007815EF" w:rsidP="00501E02">
      <w:pPr>
        <w:spacing w:after="120"/>
        <w:jc w:val="both"/>
        <w:rPr>
          <w:rFonts w:ascii="Arial" w:hAnsi="Arial" w:cs="Arial"/>
          <w:bCs/>
          <w:sz w:val="20"/>
          <w:szCs w:val="20"/>
        </w:rPr>
      </w:pPr>
      <w:r w:rsidRPr="00C9631A">
        <w:rPr>
          <w:rFonts w:ascii="Arial" w:hAnsi="Arial" w:cs="Arial"/>
          <w:sz w:val="20"/>
          <w:szCs w:val="20"/>
        </w:rPr>
        <w:t xml:space="preserve">A partire dal mese di </w:t>
      </w:r>
      <w:r>
        <w:rPr>
          <w:rFonts w:ascii="Arial" w:hAnsi="Arial" w:cs="Arial"/>
          <w:sz w:val="20"/>
          <w:szCs w:val="20"/>
        </w:rPr>
        <w:t>gennaio 2022</w:t>
      </w:r>
      <w:r w:rsidRPr="00C9631A">
        <w:rPr>
          <w:rFonts w:ascii="Arial" w:hAnsi="Arial" w:cs="Arial"/>
          <w:sz w:val="20"/>
          <w:szCs w:val="20"/>
        </w:rPr>
        <w:t xml:space="preserve"> è stata implementata una nuova metodologia di </w:t>
      </w:r>
      <w:r>
        <w:rPr>
          <w:rFonts w:ascii="Arial" w:hAnsi="Arial" w:cs="Arial"/>
          <w:sz w:val="20"/>
          <w:szCs w:val="20"/>
        </w:rPr>
        <w:t xml:space="preserve">calcolo degli indici dei prezzi all’importazione per alcuni prodotti energetici </w:t>
      </w:r>
      <w:r w:rsidRPr="00C9631A">
        <w:rPr>
          <w:rFonts w:ascii="Arial" w:hAnsi="Arial" w:cs="Arial"/>
          <w:sz w:val="20"/>
          <w:szCs w:val="20"/>
        </w:rPr>
        <w:t xml:space="preserve">che si basa </w:t>
      </w:r>
      <w:r>
        <w:rPr>
          <w:rFonts w:ascii="Arial" w:hAnsi="Arial" w:cs="Arial"/>
          <w:sz w:val="20"/>
          <w:szCs w:val="20"/>
        </w:rPr>
        <w:t>sulle informazioni mensili desunte dai dati di commercio con l’estero.</w:t>
      </w:r>
    </w:p>
    <w:p w14:paraId="070DB48A" w14:textId="77777777" w:rsidR="00501E02" w:rsidRDefault="00501E02" w:rsidP="00501E02">
      <w:pPr>
        <w:spacing w:after="120"/>
        <w:jc w:val="both"/>
        <w:rPr>
          <w:rFonts w:ascii="Arial" w:hAnsi="Arial" w:cs="Arial"/>
          <w:b/>
          <w:sz w:val="20"/>
          <w:szCs w:val="20"/>
        </w:rPr>
      </w:pPr>
    </w:p>
    <w:p w14:paraId="33D3CF33" w14:textId="77777777" w:rsidR="00501E02" w:rsidRDefault="00501E02" w:rsidP="00501E02">
      <w:pPr>
        <w:spacing w:after="120"/>
        <w:jc w:val="both"/>
        <w:rPr>
          <w:rFonts w:ascii="Arial" w:hAnsi="Arial" w:cs="Arial"/>
          <w:b/>
          <w:sz w:val="20"/>
          <w:szCs w:val="20"/>
        </w:rPr>
      </w:pPr>
      <w:r>
        <w:rPr>
          <w:rFonts w:ascii="Arial" w:hAnsi="Arial" w:cs="Arial"/>
          <w:b/>
          <w:sz w:val="20"/>
          <w:szCs w:val="20"/>
        </w:rPr>
        <w:t xml:space="preserve">Metodologia di calcolo del sistema </w:t>
      </w:r>
      <w:r w:rsidRPr="00C9631A">
        <w:rPr>
          <w:rFonts w:ascii="Arial" w:hAnsi="Arial" w:cs="Arial"/>
          <w:b/>
          <w:sz w:val="20"/>
          <w:szCs w:val="20"/>
        </w:rPr>
        <w:t>degli indici</w:t>
      </w:r>
    </w:p>
    <w:p w14:paraId="5FC0B2CA" w14:textId="77777777" w:rsidR="00501E02" w:rsidRDefault="00501E02" w:rsidP="00501E02">
      <w:pPr>
        <w:spacing w:after="120"/>
        <w:jc w:val="both"/>
        <w:rPr>
          <w:rFonts w:ascii="Arial" w:hAnsi="Arial" w:cs="Arial"/>
          <w:sz w:val="20"/>
          <w:szCs w:val="20"/>
        </w:rPr>
      </w:pPr>
      <w:r>
        <w:rPr>
          <w:rFonts w:ascii="Arial" w:hAnsi="Arial" w:cs="Arial"/>
          <w:sz w:val="20"/>
          <w:szCs w:val="20"/>
        </w:rPr>
        <w:t>D</w:t>
      </w:r>
      <w:r w:rsidRPr="00994100">
        <w:rPr>
          <w:rFonts w:ascii="Arial" w:hAnsi="Arial" w:cs="Arial"/>
          <w:sz w:val="20"/>
          <w:szCs w:val="20"/>
        </w:rPr>
        <w:t>a marzo 2022, con la diffusione dei dati riferiti a gennaio</w:t>
      </w:r>
      <w:r>
        <w:rPr>
          <w:rFonts w:ascii="Arial" w:hAnsi="Arial" w:cs="Arial"/>
          <w:sz w:val="20"/>
          <w:szCs w:val="20"/>
        </w:rPr>
        <w:t xml:space="preserve"> 2022</w:t>
      </w:r>
      <w:r w:rsidRPr="00994100">
        <w:rPr>
          <w:rFonts w:ascii="Arial" w:hAnsi="Arial" w:cs="Arial"/>
          <w:sz w:val="20"/>
          <w:szCs w:val="20"/>
        </w:rPr>
        <w:t xml:space="preserve">, gli indici dei prezzi </w:t>
      </w:r>
      <w:r w:rsidRPr="00C9631A">
        <w:rPr>
          <w:rFonts w:ascii="Arial" w:hAnsi="Arial" w:cs="Arial"/>
          <w:sz w:val="20"/>
          <w:szCs w:val="20"/>
        </w:rPr>
        <w:t>all’importazione</w:t>
      </w:r>
      <w:r w:rsidRPr="00994100">
        <w:rPr>
          <w:rFonts w:ascii="Arial" w:hAnsi="Arial" w:cs="Arial"/>
          <w:sz w:val="20"/>
          <w:szCs w:val="20"/>
        </w:rPr>
        <w:t xml:space="preserve"> </w:t>
      </w:r>
      <w:r>
        <w:rPr>
          <w:rFonts w:ascii="Arial" w:hAnsi="Arial" w:cs="Arial"/>
          <w:sz w:val="20"/>
          <w:szCs w:val="20"/>
        </w:rPr>
        <w:t>sono calcolati con il metodo del concatenamento annuale su base mensile; s</w:t>
      </w:r>
      <w:r w:rsidRPr="00994100">
        <w:rPr>
          <w:rFonts w:ascii="Arial" w:hAnsi="Arial" w:cs="Arial"/>
          <w:sz w:val="20"/>
          <w:szCs w:val="20"/>
        </w:rPr>
        <w:t xml:space="preserve">ono </w:t>
      </w:r>
      <w:r>
        <w:rPr>
          <w:rFonts w:ascii="Arial" w:hAnsi="Arial" w:cs="Arial"/>
          <w:sz w:val="20"/>
          <w:szCs w:val="20"/>
        </w:rPr>
        <w:t xml:space="preserve">pertanto </w:t>
      </w:r>
      <w:r w:rsidRPr="00994100">
        <w:rPr>
          <w:rFonts w:ascii="Arial" w:hAnsi="Arial" w:cs="Arial"/>
          <w:sz w:val="20"/>
          <w:szCs w:val="20"/>
        </w:rPr>
        <w:t>elaborati in base di calcolo dicembre 2021</w:t>
      </w:r>
      <w:r>
        <w:rPr>
          <w:rFonts w:ascii="Arial" w:hAnsi="Arial" w:cs="Arial"/>
          <w:sz w:val="20"/>
          <w:szCs w:val="20"/>
        </w:rPr>
        <w:t>. La base di riferimento resta l’anno</w:t>
      </w:r>
      <w:r w:rsidRPr="00994100">
        <w:rPr>
          <w:rFonts w:ascii="Arial" w:hAnsi="Arial" w:cs="Arial"/>
          <w:sz w:val="20"/>
          <w:szCs w:val="20"/>
        </w:rPr>
        <w:t xml:space="preserve"> 2015.</w:t>
      </w:r>
    </w:p>
    <w:p w14:paraId="7E97D25C" w14:textId="77777777" w:rsidR="00501E02" w:rsidRPr="00994100" w:rsidRDefault="00501E02" w:rsidP="00501E02">
      <w:pPr>
        <w:spacing w:after="120"/>
        <w:jc w:val="both"/>
        <w:rPr>
          <w:rFonts w:ascii="Arial" w:hAnsi="Arial" w:cs="Arial"/>
          <w:sz w:val="20"/>
          <w:szCs w:val="20"/>
        </w:rPr>
      </w:pPr>
      <w:r>
        <w:rPr>
          <w:rFonts w:ascii="Arial" w:hAnsi="Arial" w:cs="Arial"/>
          <w:sz w:val="20"/>
          <w:szCs w:val="20"/>
        </w:rPr>
        <w:t>Il sistema degli indici dei prezzi all’importazione è costituito da due variabili rilevate – riferite all’Area euro e all’Area non euro – e da una variabile di sintesi – totale (Area euro più Area non euro).</w:t>
      </w:r>
    </w:p>
    <w:p w14:paraId="216E119A" w14:textId="6256BC1A" w:rsidR="00501E02" w:rsidRPr="00942E72" w:rsidRDefault="00501E02" w:rsidP="00501E02">
      <w:pPr>
        <w:spacing w:after="120"/>
        <w:jc w:val="both"/>
        <w:rPr>
          <w:rFonts w:ascii="Arial" w:hAnsi="Arial" w:cs="Arial"/>
          <w:sz w:val="20"/>
          <w:szCs w:val="20"/>
        </w:rPr>
      </w:pPr>
      <w:r w:rsidRPr="00994100">
        <w:rPr>
          <w:rFonts w:ascii="Arial" w:hAnsi="Arial" w:cs="Arial"/>
          <w:sz w:val="20"/>
          <w:szCs w:val="20"/>
        </w:rPr>
        <w:t xml:space="preserve">Le variabili rilevate si calcolano prima longitudinalmente (o per colonna: indici in base di calcolo) quindi per riga (indici in base di riferimento). La procedura di calcolo è articolata in tre livelli: nel primo si definiscono i prezzi relativi (rapporti tra i prezzi correnti e quelli base </w:t>
      </w:r>
      <w:r w:rsidR="00AB0189">
        <w:rPr>
          <w:rFonts w:ascii="Arial" w:hAnsi="Arial" w:cs="Arial"/>
          <w:sz w:val="20"/>
          <w:szCs w:val="20"/>
        </w:rPr>
        <w:t>d</w:t>
      </w:r>
      <w:r w:rsidRPr="00994100">
        <w:rPr>
          <w:rFonts w:ascii="Arial" w:hAnsi="Arial" w:cs="Arial"/>
          <w:sz w:val="20"/>
          <w:szCs w:val="20"/>
        </w:rPr>
        <w:t xml:space="preserve">icembre 2021). Nel secondo, si aggregano in media geometrica semplice i prezzi relativi associati ai prodotti. Nel terzo si aggregano in media aritmetica ponderata gli indici dei sotto-aggregati, dai </w:t>
      </w:r>
      <w:r w:rsidRPr="00942E72">
        <w:rPr>
          <w:rFonts w:ascii="Arial" w:hAnsi="Arial" w:cs="Arial"/>
          <w:sz w:val="20"/>
          <w:szCs w:val="20"/>
        </w:rPr>
        <w:t xml:space="preserve">prodotti all’indice generale (formula tipo </w:t>
      </w:r>
      <w:proofErr w:type="spellStart"/>
      <w:r w:rsidRPr="00942E72">
        <w:rPr>
          <w:rFonts w:ascii="Arial" w:hAnsi="Arial" w:cs="Arial"/>
          <w:sz w:val="20"/>
          <w:szCs w:val="20"/>
        </w:rPr>
        <w:t>Laspeyres</w:t>
      </w:r>
      <w:proofErr w:type="spellEnd"/>
      <w:r w:rsidRPr="00942E72">
        <w:rPr>
          <w:rFonts w:ascii="Arial" w:hAnsi="Arial" w:cs="Arial"/>
          <w:sz w:val="20"/>
          <w:szCs w:val="20"/>
        </w:rPr>
        <w:t xml:space="preserve"> concatenato). </w:t>
      </w:r>
    </w:p>
    <w:p w14:paraId="16A6164B" w14:textId="77777777" w:rsidR="00501E02" w:rsidRPr="00994100" w:rsidRDefault="00501E02" w:rsidP="00501E02">
      <w:pPr>
        <w:spacing w:after="120"/>
        <w:jc w:val="both"/>
        <w:rPr>
          <w:rFonts w:ascii="Arial" w:hAnsi="Arial" w:cs="Arial"/>
          <w:sz w:val="20"/>
          <w:szCs w:val="20"/>
        </w:rPr>
      </w:pPr>
      <w:r w:rsidRPr="00942E72">
        <w:rPr>
          <w:rFonts w:ascii="Arial" w:hAnsi="Arial" w:cs="Arial"/>
          <w:sz w:val="20"/>
          <w:szCs w:val="20"/>
        </w:rPr>
        <w:t>Gli indici in base di riferimento dell</w:t>
      </w:r>
      <w:r>
        <w:rPr>
          <w:rFonts w:ascii="Arial" w:hAnsi="Arial" w:cs="Arial"/>
          <w:sz w:val="20"/>
          <w:szCs w:val="20"/>
        </w:rPr>
        <w:t>a variabile di sintesi</w:t>
      </w:r>
      <w:r w:rsidRPr="00942E72">
        <w:rPr>
          <w:rFonts w:ascii="Arial" w:hAnsi="Arial" w:cs="Arial"/>
          <w:sz w:val="20"/>
          <w:szCs w:val="20"/>
        </w:rPr>
        <w:t xml:space="preserve"> si definiscono a partire dalla media aritmetica ponderata degli indici in base di calcolo delle variabili rilevate, utilizzando – per ciascun aggregato – un coefficiente di ponderazione derivato dai pesi assoluti. Ottenuto l’indice in base di calcolo, quello in base di riferimento si deriva con la formula di concatenamento. Gli indici sono concatenati a partire dagli aggregati a 4 cifre </w:t>
      </w:r>
      <w:proofErr w:type="spellStart"/>
      <w:r w:rsidRPr="00942E72">
        <w:rPr>
          <w:rFonts w:ascii="Arial" w:hAnsi="Arial" w:cs="Arial"/>
          <w:sz w:val="20"/>
          <w:szCs w:val="20"/>
        </w:rPr>
        <w:t>Ateco</w:t>
      </w:r>
      <w:proofErr w:type="spellEnd"/>
      <w:r w:rsidRPr="00942E72">
        <w:rPr>
          <w:rFonts w:ascii="Arial" w:hAnsi="Arial" w:cs="Arial"/>
          <w:sz w:val="20"/>
          <w:szCs w:val="20"/>
        </w:rPr>
        <w:t xml:space="preserve"> 2007.</w:t>
      </w:r>
    </w:p>
    <w:p w14:paraId="7AA77186" w14:textId="77777777" w:rsidR="00501E02" w:rsidRDefault="00501E02" w:rsidP="00501E02">
      <w:pPr>
        <w:spacing w:after="120"/>
        <w:jc w:val="both"/>
        <w:rPr>
          <w:rFonts w:ascii="Arial" w:hAnsi="Arial" w:cs="Arial"/>
          <w:color w:val="000000"/>
          <w:sz w:val="20"/>
          <w:szCs w:val="20"/>
        </w:rPr>
      </w:pPr>
    </w:p>
    <w:p w14:paraId="04BB1898" w14:textId="77777777" w:rsidR="00501E02" w:rsidRPr="00C9631A" w:rsidRDefault="00501E02" w:rsidP="00501E02">
      <w:pPr>
        <w:spacing w:after="120"/>
        <w:jc w:val="both"/>
        <w:rPr>
          <w:rFonts w:ascii="Arial" w:hAnsi="Arial" w:cs="Arial"/>
          <w:b/>
          <w:sz w:val="20"/>
          <w:szCs w:val="20"/>
        </w:rPr>
      </w:pPr>
      <w:r w:rsidRPr="00C9631A">
        <w:rPr>
          <w:rFonts w:ascii="Arial" w:hAnsi="Arial" w:cs="Arial"/>
          <w:b/>
          <w:sz w:val="20"/>
          <w:szCs w:val="20"/>
        </w:rPr>
        <w:t>Struttura di ponderazione</w:t>
      </w:r>
    </w:p>
    <w:p w14:paraId="18AB3CE3"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I sistemi di ponderazione degli indici dei prezzi dei prodotti industriali importati dalle imprese (Area euro e Area non euro) sono determinati utilizzando le informazioni desumibili dalle statistiche del commercio con l’estero.</w:t>
      </w:r>
    </w:p>
    <w:p w14:paraId="7C4B96BF"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La variabile utilizzata per la costruzione del sistema di ponderazione (a partire dalle voci di prodotto sino al totale dell’industria) è il valore annuale delle importazioni di prodotti industriali realizzato nell’anno 201</w:t>
      </w:r>
      <w:r>
        <w:rPr>
          <w:rFonts w:ascii="Arial" w:hAnsi="Arial" w:cs="Arial"/>
          <w:sz w:val="20"/>
          <w:szCs w:val="20"/>
        </w:rPr>
        <w:t>9</w:t>
      </w:r>
      <w:r w:rsidRPr="00C9631A">
        <w:rPr>
          <w:rFonts w:ascii="Arial" w:hAnsi="Arial" w:cs="Arial"/>
          <w:sz w:val="20"/>
          <w:szCs w:val="20"/>
        </w:rPr>
        <w:t xml:space="preserve"> nell’Area euro e nell’Area non euro, misurato dalle rilevazioni del commercio con l’estero a livello di merce (ovvero 8 cifre della Nomenclatura Combinata espressa secondo la classificazione CPA) per area di importazione (euro e non euro). </w:t>
      </w:r>
      <w:r>
        <w:rPr>
          <w:rFonts w:ascii="Arial" w:hAnsi="Arial" w:cs="Arial"/>
          <w:sz w:val="20"/>
          <w:szCs w:val="20"/>
        </w:rPr>
        <w:t>I valori 2019 sono stati attualizzati al mese di dicembre 2021.</w:t>
      </w:r>
    </w:p>
    <w:p w14:paraId="7AE305C2"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 xml:space="preserve">I valori riferiti alle statistiche del commercio con l’estero - espressi inizialmente secondo i codici della Nomenclatura Combinata - sono riportati alla codifica della classificazione </w:t>
      </w:r>
      <w:proofErr w:type="spellStart"/>
      <w:r w:rsidRPr="00C9631A">
        <w:rPr>
          <w:rFonts w:ascii="Arial" w:hAnsi="Arial" w:cs="Arial"/>
          <w:sz w:val="20"/>
          <w:szCs w:val="20"/>
        </w:rPr>
        <w:t>ProdCom</w:t>
      </w:r>
      <w:proofErr w:type="spellEnd"/>
      <w:r w:rsidRPr="00C9631A">
        <w:rPr>
          <w:rFonts w:ascii="Arial" w:hAnsi="Arial" w:cs="Arial"/>
          <w:sz w:val="20"/>
          <w:szCs w:val="20"/>
        </w:rPr>
        <w:t xml:space="preserve"> (nelle prime 4 cifre derivata dalla </w:t>
      </w:r>
      <w:proofErr w:type="spellStart"/>
      <w:r w:rsidRPr="00C9631A">
        <w:rPr>
          <w:rFonts w:ascii="Arial" w:hAnsi="Arial" w:cs="Arial"/>
          <w:sz w:val="20"/>
          <w:szCs w:val="20"/>
        </w:rPr>
        <w:t>Ateco</w:t>
      </w:r>
      <w:proofErr w:type="spellEnd"/>
      <w:r w:rsidRPr="00C9631A">
        <w:rPr>
          <w:rFonts w:ascii="Arial" w:hAnsi="Arial" w:cs="Arial"/>
          <w:sz w:val="20"/>
          <w:szCs w:val="20"/>
        </w:rPr>
        <w:t xml:space="preserve"> 2007) mediante le tavole di corrispondenza messe a punto da </w:t>
      </w:r>
      <w:proofErr w:type="spellStart"/>
      <w:r w:rsidRPr="00C9631A">
        <w:rPr>
          <w:rFonts w:ascii="Arial" w:hAnsi="Arial" w:cs="Arial"/>
          <w:sz w:val="20"/>
          <w:szCs w:val="20"/>
        </w:rPr>
        <w:t>Eurostat</w:t>
      </w:r>
      <w:proofErr w:type="spellEnd"/>
      <w:r w:rsidRPr="00C9631A">
        <w:rPr>
          <w:rFonts w:ascii="Arial" w:hAnsi="Arial" w:cs="Arial"/>
          <w:sz w:val="20"/>
          <w:szCs w:val="20"/>
        </w:rPr>
        <w:t>.</w:t>
      </w:r>
    </w:p>
    <w:p w14:paraId="7260E4BA" w14:textId="3DC10C6C"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Per l’indice all’importazione totale (sintesi delle due aree), la struttura di ponderazione è definita per ciascun livello di aggregazione settoriale sulla base dei pesi relativi delle due aree.</w:t>
      </w:r>
    </w:p>
    <w:p w14:paraId="0A339A27"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 xml:space="preserve">I prodotti inclusi nel campione hanno pesi rappresentativi anche dei prodotti simili non selezionati e i loro indici sono espressi secondo la classificazione </w:t>
      </w:r>
      <w:proofErr w:type="spellStart"/>
      <w:r w:rsidRPr="00C9631A">
        <w:rPr>
          <w:rFonts w:ascii="Arial" w:hAnsi="Arial" w:cs="Arial"/>
          <w:sz w:val="20"/>
          <w:szCs w:val="20"/>
        </w:rPr>
        <w:t>Ateco</w:t>
      </w:r>
      <w:proofErr w:type="spellEnd"/>
      <w:r w:rsidRPr="00C9631A">
        <w:rPr>
          <w:rFonts w:ascii="Arial" w:hAnsi="Arial" w:cs="Arial"/>
          <w:sz w:val="20"/>
          <w:szCs w:val="20"/>
        </w:rPr>
        <w:t xml:space="preserve"> 2007.</w:t>
      </w:r>
    </w:p>
    <w:p w14:paraId="7D18B9C6" w14:textId="53593B22" w:rsidR="006A2C28" w:rsidRDefault="006A2C28" w:rsidP="006A2C28">
      <w:pPr>
        <w:jc w:val="both"/>
        <w:rPr>
          <w:rFonts w:ascii="Arial" w:hAnsi="Arial" w:cs="Arial"/>
          <w:b/>
          <w:bCs/>
          <w:sz w:val="20"/>
          <w:szCs w:val="20"/>
        </w:rPr>
      </w:pPr>
    </w:p>
    <w:p w14:paraId="213E7B7E" w14:textId="1D15883A" w:rsidR="00874F65" w:rsidRDefault="00874F65" w:rsidP="006A2C28">
      <w:pPr>
        <w:jc w:val="both"/>
        <w:rPr>
          <w:rFonts w:ascii="Arial" w:hAnsi="Arial" w:cs="Arial"/>
          <w:b/>
          <w:bCs/>
          <w:sz w:val="20"/>
          <w:szCs w:val="20"/>
        </w:rPr>
      </w:pPr>
    </w:p>
    <w:p w14:paraId="5E17CC65" w14:textId="77777777" w:rsidR="00874F65" w:rsidRDefault="00874F65" w:rsidP="006A2C28">
      <w:pPr>
        <w:jc w:val="both"/>
        <w:rPr>
          <w:rFonts w:ascii="Arial" w:hAnsi="Arial" w:cs="Arial"/>
          <w:b/>
          <w:bCs/>
          <w:sz w:val="20"/>
          <w:szCs w:val="20"/>
        </w:rPr>
      </w:pPr>
    </w:p>
    <w:p w14:paraId="3F0AE86E" w14:textId="77777777" w:rsidR="00874F65" w:rsidRDefault="00874F65" w:rsidP="00501E02">
      <w:pPr>
        <w:spacing w:after="120"/>
        <w:jc w:val="both"/>
        <w:rPr>
          <w:rFonts w:ascii="Arial" w:hAnsi="Arial" w:cs="Arial"/>
          <w:b/>
          <w:bCs/>
          <w:sz w:val="20"/>
          <w:szCs w:val="20"/>
        </w:rPr>
      </w:pPr>
    </w:p>
    <w:p w14:paraId="30D14A9A" w14:textId="4CFDC8BD" w:rsidR="00501E02" w:rsidRPr="00C9631A" w:rsidRDefault="00501E02" w:rsidP="00501E02">
      <w:pPr>
        <w:spacing w:after="120"/>
        <w:jc w:val="both"/>
        <w:rPr>
          <w:rFonts w:ascii="Arial" w:hAnsi="Arial" w:cs="Arial"/>
          <w:b/>
          <w:bCs/>
          <w:sz w:val="20"/>
          <w:szCs w:val="20"/>
        </w:rPr>
      </w:pPr>
      <w:r w:rsidRPr="00C9631A">
        <w:rPr>
          <w:rFonts w:ascii="Arial" w:hAnsi="Arial" w:cs="Arial"/>
          <w:b/>
          <w:bCs/>
          <w:sz w:val="20"/>
          <w:szCs w:val="20"/>
        </w:rPr>
        <w:t>Riservatezza</w:t>
      </w:r>
    </w:p>
    <w:p w14:paraId="6827B302" w14:textId="77777777" w:rsidR="00501E02" w:rsidRPr="00C9631A" w:rsidRDefault="00501E02" w:rsidP="00501E02">
      <w:pPr>
        <w:spacing w:after="120"/>
        <w:jc w:val="both"/>
        <w:rPr>
          <w:rFonts w:ascii="Arial" w:hAnsi="Arial" w:cs="Arial"/>
          <w:bCs/>
          <w:sz w:val="20"/>
          <w:szCs w:val="20"/>
        </w:rPr>
      </w:pPr>
      <w:r w:rsidRPr="00C9631A">
        <w:rPr>
          <w:rFonts w:ascii="Arial" w:hAnsi="Arial" w:cs="Arial"/>
          <w:bCs/>
          <w:sz w:val="20"/>
          <w:szCs w:val="20"/>
        </w:rPr>
        <w:t xml:space="preserve">I dati raccolti nell’ambito </w:t>
      </w:r>
      <w:r w:rsidRPr="00E660CB">
        <w:rPr>
          <w:rFonts w:ascii="Arial" w:hAnsi="Arial" w:cs="Arial"/>
          <w:bCs/>
          <w:sz w:val="20"/>
          <w:szCs w:val="20"/>
        </w:rPr>
        <w:t>della Rilevazione dei prezzi all’importazione</w:t>
      </w:r>
      <w:r w:rsidRPr="00C9631A">
        <w:rPr>
          <w:rFonts w:ascii="Arial" w:hAnsi="Arial" w:cs="Arial"/>
          <w:bCs/>
          <w:sz w:val="20"/>
          <w:szCs w:val="20"/>
        </w:rPr>
        <w:t xml:space="preserve"> sono tutelati dal segreto statistico (art. 9 d.lgs. n. 322/89) e sottoposti alla normativa relativa alla protezione e al trattamento dei dati personali (d.lgs. 30 giugno 2003, n. 196).</w:t>
      </w:r>
    </w:p>
    <w:p w14:paraId="560B555A" w14:textId="77777777" w:rsidR="00501E02" w:rsidRDefault="00501E02" w:rsidP="00501E02">
      <w:pPr>
        <w:spacing w:after="120"/>
        <w:jc w:val="both"/>
        <w:rPr>
          <w:rFonts w:ascii="Arial" w:hAnsi="Arial" w:cs="Arial"/>
          <w:b/>
          <w:bCs/>
          <w:sz w:val="21"/>
          <w:szCs w:val="21"/>
        </w:rPr>
      </w:pPr>
    </w:p>
    <w:p w14:paraId="0BD640AE" w14:textId="77777777" w:rsidR="00501E02" w:rsidRPr="001971DE" w:rsidRDefault="00501E02" w:rsidP="00501E02">
      <w:pPr>
        <w:spacing w:after="120"/>
        <w:jc w:val="both"/>
        <w:rPr>
          <w:rFonts w:ascii="Arial" w:hAnsi="Arial" w:cs="Arial"/>
          <w:b/>
          <w:bCs/>
          <w:sz w:val="21"/>
          <w:szCs w:val="21"/>
        </w:rPr>
      </w:pPr>
      <w:r w:rsidRPr="001971DE">
        <w:rPr>
          <w:rFonts w:ascii="Arial" w:hAnsi="Arial" w:cs="Arial"/>
          <w:b/>
          <w:bCs/>
          <w:sz w:val="21"/>
          <w:szCs w:val="21"/>
        </w:rPr>
        <w:t>Commercio estero e prezzi all’import: la diffusione dei dati</w:t>
      </w:r>
    </w:p>
    <w:p w14:paraId="357C04AA" w14:textId="77777777" w:rsidR="00501E02" w:rsidRPr="00C9631A" w:rsidRDefault="00501E02" w:rsidP="00501E02">
      <w:pPr>
        <w:spacing w:after="120"/>
        <w:jc w:val="both"/>
        <w:rPr>
          <w:rFonts w:ascii="Arial" w:hAnsi="Arial" w:cs="Arial"/>
          <w:b/>
          <w:sz w:val="20"/>
          <w:szCs w:val="20"/>
        </w:rPr>
      </w:pPr>
      <w:r w:rsidRPr="00C9631A">
        <w:rPr>
          <w:rFonts w:ascii="Arial" w:hAnsi="Arial" w:cs="Arial"/>
          <w:b/>
          <w:sz w:val="20"/>
          <w:szCs w:val="20"/>
        </w:rPr>
        <w:t>Tempestività del rilascio e revisione dei dati</w:t>
      </w:r>
    </w:p>
    <w:p w14:paraId="71CBC319" w14:textId="77777777" w:rsidR="00501E02" w:rsidRPr="00C9631A" w:rsidRDefault="00501E02" w:rsidP="00501E02">
      <w:pPr>
        <w:spacing w:after="120"/>
        <w:jc w:val="both"/>
        <w:rPr>
          <w:rFonts w:ascii="Arial" w:hAnsi="Arial" w:cs="Arial"/>
          <w:bCs/>
          <w:sz w:val="20"/>
          <w:szCs w:val="20"/>
        </w:rPr>
      </w:pPr>
      <w:r w:rsidRPr="00C9631A">
        <w:rPr>
          <w:rFonts w:ascii="Arial" w:hAnsi="Arial" w:cs="Arial"/>
          <w:sz w:val="20"/>
          <w:szCs w:val="20"/>
        </w:rPr>
        <w:t>I dati sono pubblicati a 45 giorni dal mese di riferimento.</w:t>
      </w:r>
      <w:r w:rsidRPr="00C9631A">
        <w:rPr>
          <w:rFonts w:ascii="Arial" w:hAnsi="Arial" w:cs="Arial"/>
          <w:bCs/>
          <w:sz w:val="20"/>
          <w:szCs w:val="20"/>
        </w:rPr>
        <w:t xml:space="preserve"> Il </w:t>
      </w:r>
      <w:hyperlink r:id="rId42" w:history="1">
        <w:r w:rsidRPr="00E660CB">
          <w:rPr>
            <w:rStyle w:val="Collegamentoipertestuale"/>
            <w:rFonts w:ascii="Arial" w:hAnsi="Arial" w:cs="Arial"/>
            <w:bCs/>
            <w:sz w:val="20"/>
            <w:szCs w:val="20"/>
          </w:rPr>
          <w:t>calendario della diffusione</w:t>
        </w:r>
      </w:hyperlink>
      <w:r w:rsidRPr="00C9631A">
        <w:rPr>
          <w:rFonts w:ascii="Arial" w:hAnsi="Arial" w:cs="Arial"/>
          <w:bCs/>
          <w:sz w:val="20"/>
          <w:szCs w:val="20"/>
        </w:rPr>
        <w:t xml:space="preserve"> è definito annualmente e pubblicato sul sito web dell’Istituto</w:t>
      </w:r>
      <w:r>
        <w:rPr>
          <w:rFonts w:ascii="Arial" w:hAnsi="Arial" w:cs="Arial"/>
          <w:bCs/>
          <w:sz w:val="20"/>
          <w:szCs w:val="20"/>
        </w:rPr>
        <w:t>.</w:t>
      </w:r>
    </w:p>
    <w:p w14:paraId="31089204"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 xml:space="preserve">Al momento della prima pubblicazione, i dati di commercio estero sono di natura provvisoria e sono soggetti a una prima revisione nel mese successivo, al fine di incorporare ulteriori informazioni che si rendono disponibili successivamente alla loro diffusione, per essere definitivamente consolidati nel mese di novembre dell’anno seguente. </w:t>
      </w:r>
    </w:p>
    <w:p w14:paraId="30D667B7" w14:textId="77777777" w:rsidR="00501E02" w:rsidRPr="00C9631A" w:rsidRDefault="00501E02" w:rsidP="00501E02">
      <w:pPr>
        <w:spacing w:after="120"/>
        <w:jc w:val="both"/>
        <w:rPr>
          <w:rFonts w:ascii="Arial" w:hAnsi="Arial" w:cs="Arial"/>
          <w:sz w:val="20"/>
          <w:szCs w:val="20"/>
        </w:rPr>
      </w:pPr>
      <w:r w:rsidRPr="00C9631A">
        <w:rPr>
          <w:rFonts w:ascii="Arial" w:hAnsi="Arial" w:cs="Arial"/>
          <w:bCs/>
          <w:sz w:val="20"/>
          <w:szCs w:val="20"/>
        </w:rPr>
        <w:t>I dati definitivi dei prezzi all’import vengono invece diffusi dopo 75 giorni</w:t>
      </w:r>
      <w:r>
        <w:rPr>
          <w:rFonts w:ascii="Arial" w:hAnsi="Arial" w:cs="Arial"/>
          <w:bCs/>
          <w:sz w:val="20"/>
          <w:szCs w:val="20"/>
        </w:rPr>
        <w:t xml:space="preserve">, nel rispetto delle </w:t>
      </w:r>
      <w:r w:rsidRPr="00C9631A">
        <w:rPr>
          <w:rFonts w:ascii="Arial" w:hAnsi="Arial" w:cs="Arial"/>
          <w:bCs/>
          <w:sz w:val="20"/>
          <w:szCs w:val="20"/>
        </w:rPr>
        <w:t xml:space="preserve">condizioni richieste da </w:t>
      </w:r>
      <w:proofErr w:type="spellStart"/>
      <w:r w:rsidRPr="00C9631A">
        <w:rPr>
          <w:rFonts w:ascii="Arial" w:hAnsi="Arial" w:cs="Arial"/>
          <w:bCs/>
          <w:sz w:val="20"/>
          <w:szCs w:val="20"/>
        </w:rPr>
        <w:t>Eurostat</w:t>
      </w:r>
      <w:proofErr w:type="spellEnd"/>
      <w:r w:rsidRPr="00C9631A">
        <w:rPr>
          <w:rFonts w:ascii="Arial" w:hAnsi="Arial" w:cs="Arial"/>
          <w:bCs/>
          <w:sz w:val="20"/>
          <w:szCs w:val="20"/>
        </w:rPr>
        <w:t xml:space="preserve">. </w:t>
      </w:r>
    </w:p>
    <w:p w14:paraId="2C559D2A"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 xml:space="preserve">Per ulteriori informazioni relative alle revisioni degli indicatori congiunturali, consultare la </w:t>
      </w:r>
      <w:hyperlink r:id="rId43" w:history="1">
        <w:r w:rsidRPr="00C9631A">
          <w:rPr>
            <w:rStyle w:val="Collegamentoipertestuale"/>
            <w:rFonts w:ascii="Arial" w:hAnsi="Arial" w:cs="Arial"/>
            <w:sz w:val="20"/>
            <w:szCs w:val="20"/>
          </w:rPr>
          <w:t>sezione dedicata</w:t>
        </w:r>
      </w:hyperlink>
      <w:r w:rsidRPr="00C9631A">
        <w:rPr>
          <w:rFonts w:ascii="Arial" w:hAnsi="Arial" w:cs="Arial"/>
          <w:sz w:val="20"/>
          <w:szCs w:val="20"/>
        </w:rPr>
        <w:t xml:space="preserve">. Fare riferimento, in particolare, alla </w:t>
      </w:r>
      <w:hyperlink r:id="rId44" w:history="1">
        <w:r w:rsidRPr="00C9631A">
          <w:rPr>
            <w:rStyle w:val="Collegamentoipertestuale"/>
            <w:rFonts w:ascii="Arial" w:hAnsi="Arial" w:cs="Arial"/>
            <w:sz w:val="20"/>
            <w:szCs w:val="20"/>
          </w:rPr>
          <w:t>scheda</w:t>
        </w:r>
      </w:hyperlink>
      <w:r w:rsidRPr="00C9631A">
        <w:rPr>
          <w:rFonts w:ascii="Arial" w:hAnsi="Arial" w:cs="Arial"/>
          <w:sz w:val="20"/>
          <w:szCs w:val="20"/>
        </w:rPr>
        <w:t xml:space="preserve"> relativa alle politiche di revisione degli indicatori del commercio con l’estero e prezzi all’import.</w:t>
      </w:r>
    </w:p>
    <w:p w14:paraId="6B7B2B3F" w14:textId="77777777" w:rsidR="00501E02" w:rsidRDefault="00501E02" w:rsidP="00501E02">
      <w:pPr>
        <w:spacing w:after="120"/>
        <w:jc w:val="both"/>
        <w:rPr>
          <w:rFonts w:ascii="Arial" w:hAnsi="Arial" w:cs="Arial"/>
          <w:b/>
          <w:sz w:val="20"/>
          <w:szCs w:val="20"/>
        </w:rPr>
      </w:pPr>
    </w:p>
    <w:p w14:paraId="6F370BAA" w14:textId="77777777" w:rsidR="00501E02" w:rsidRPr="00C9631A" w:rsidRDefault="00501E02" w:rsidP="00501E02">
      <w:pPr>
        <w:spacing w:after="120"/>
        <w:jc w:val="both"/>
        <w:rPr>
          <w:rFonts w:ascii="Arial" w:hAnsi="Arial" w:cs="Arial"/>
          <w:b/>
          <w:sz w:val="20"/>
          <w:szCs w:val="20"/>
        </w:rPr>
      </w:pPr>
      <w:r w:rsidRPr="00C9631A">
        <w:rPr>
          <w:rFonts w:ascii="Arial" w:hAnsi="Arial" w:cs="Arial"/>
          <w:b/>
          <w:sz w:val="20"/>
          <w:szCs w:val="20"/>
        </w:rPr>
        <w:t>I canali di diffusione dei dati statistici</w:t>
      </w:r>
    </w:p>
    <w:p w14:paraId="2DC77BA9" w14:textId="77777777" w:rsidR="00501E02" w:rsidRPr="00C9631A" w:rsidRDefault="00501E02" w:rsidP="00501E02">
      <w:pPr>
        <w:spacing w:after="120"/>
        <w:jc w:val="both"/>
        <w:rPr>
          <w:rFonts w:ascii="Arial" w:hAnsi="Arial" w:cs="Arial"/>
          <w:bCs/>
          <w:sz w:val="20"/>
          <w:szCs w:val="20"/>
        </w:rPr>
      </w:pPr>
      <w:r w:rsidRPr="00C9631A">
        <w:rPr>
          <w:rFonts w:ascii="Arial" w:hAnsi="Arial" w:cs="Arial"/>
          <w:bCs/>
          <w:sz w:val="20"/>
          <w:szCs w:val="20"/>
        </w:rPr>
        <w:t>I dati sono diffusi simultaneamente a tutte le parti interessate mediante il comunicato stampa mensile - la Statistica Flash “Commercio con l’estero e prezzi all’import dei prodotti industriali” – pubblicato sul sito web dell’Istituto:</w:t>
      </w:r>
    </w:p>
    <w:p w14:paraId="58DFC275" w14:textId="77777777" w:rsidR="00501E02" w:rsidRPr="00C9631A" w:rsidRDefault="00455EA4" w:rsidP="00501E02">
      <w:pPr>
        <w:pStyle w:val="Paragrafoelenco"/>
        <w:numPr>
          <w:ilvl w:val="0"/>
          <w:numId w:val="34"/>
        </w:numPr>
        <w:tabs>
          <w:tab w:val="clear" w:pos="426"/>
        </w:tabs>
        <w:ind w:left="426"/>
        <w:rPr>
          <w:rFonts w:ascii="Arial" w:hAnsi="Arial" w:cs="Arial"/>
          <w:sz w:val="20"/>
          <w:szCs w:val="20"/>
        </w:rPr>
      </w:pPr>
      <w:hyperlink r:id="rId45" w:history="1">
        <w:r w:rsidR="00501E02" w:rsidRPr="00C9631A">
          <w:rPr>
            <w:rStyle w:val="Collegamentoipertestuale"/>
            <w:rFonts w:ascii="Arial" w:hAnsi="Arial" w:cs="Arial"/>
            <w:sz w:val="20"/>
            <w:szCs w:val="20"/>
          </w:rPr>
          <w:t>Commercio estero e prezzi all’import</w:t>
        </w:r>
      </w:hyperlink>
    </w:p>
    <w:p w14:paraId="1B33E7F6" w14:textId="77777777" w:rsidR="00501E02" w:rsidRPr="00C9631A" w:rsidRDefault="00501E02" w:rsidP="00501E02">
      <w:pPr>
        <w:spacing w:after="120"/>
        <w:jc w:val="both"/>
        <w:rPr>
          <w:rFonts w:ascii="Arial" w:hAnsi="Arial" w:cs="Arial"/>
          <w:bCs/>
          <w:sz w:val="20"/>
          <w:szCs w:val="20"/>
        </w:rPr>
      </w:pPr>
      <w:r w:rsidRPr="00C9631A">
        <w:rPr>
          <w:rFonts w:ascii="Arial" w:hAnsi="Arial" w:cs="Arial"/>
          <w:bCs/>
          <w:sz w:val="20"/>
          <w:szCs w:val="20"/>
        </w:rPr>
        <w:t>Le serie storiche aggiornate sono pubblicate in allegato al comunicato stampa.</w:t>
      </w:r>
    </w:p>
    <w:p w14:paraId="31567999" w14:textId="77777777" w:rsidR="00501E02" w:rsidRPr="00C9631A" w:rsidRDefault="00501E02" w:rsidP="00501E02">
      <w:pPr>
        <w:jc w:val="both"/>
        <w:rPr>
          <w:rFonts w:ascii="Arial" w:hAnsi="Arial" w:cs="Arial"/>
          <w:sz w:val="20"/>
          <w:szCs w:val="20"/>
        </w:rPr>
      </w:pPr>
      <w:r w:rsidRPr="00C9631A">
        <w:rPr>
          <w:rFonts w:ascii="Arial" w:hAnsi="Arial" w:cs="Arial"/>
          <w:sz w:val="20"/>
          <w:szCs w:val="20"/>
        </w:rPr>
        <w:t>Ulteriori comunicati stampa sul commercio estero:</w:t>
      </w:r>
    </w:p>
    <w:p w14:paraId="5D83A305" w14:textId="77777777" w:rsidR="00501E02" w:rsidRPr="00C9631A" w:rsidRDefault="00455EA4" w:rsidP="00501E02">
      <w:pPr>
        <w:pStyle w:val="Paragrafoelenco"/>
        <w:numPr>
          <w:ilvl w:val="0"/>
          <w:numId w:val="34"/>
        </w:numPr>
        <w:tabs>
          <w:tab w:val="clear" w:pos="426"/>
        </w:tabs>
        <w:spacing w:before="120"/>
        <w:ind w:left="425" w:hanging="357"/>
        <w:rPr>
          <w:rFonts w:ascii="Arial" w:hAnsi="Arial" w:cs="Arial"/>
          <w:sz w:val="20"/>
          <w:szCs w:val="20"/>
        </w:rPr>
      </w:pPr>
      <w:hyperlink r:id="rId46" w:history="1">
        <w:r w:rsidR="00501E02" w:rsidRPr="00C9631A">
          <w:rPr>
            <w:rStyle w:val="Collegamentoipertestuale"/>
            <w:rFonts w:ascii="Arial" w:hAnsi="Arial" w:cs="Arial"/>
            <w:sz w:val="20"/>
            <w:szCs w:val="20"/>
          </w:rPr>
          <w:t>Commercio estero con i paesi extra UE</w:t>
        </w:r>
      </w:hyperlink>
    </w:p>
    <w:p w14:paraId="1E11D8C0" w14:textId="77777777" w:rsidR="00501E02" w:rsidRPr="00C9631A" w:rsidRDefault="00455EA4" w:rsidP="00501E02">
      <w:pPr>
        <w:pStyle w:val="Paragrafoelenco"/>
        <w:numPr>
          <w:ilvl w:val="0"/>
          <w:numId w:val="34"/>
        </w:numPr>
        <w:tabs>
          <w:tab w:val="clear" w:pos="426"/>
        </w:tabs>
        <w:spacing w:before="240"/>
        <w:ind w:left="426"/>
        <w:rPr>
          <w:rFonts w:ascii="Arial" w:hAnsi="Arial" w:cs="Arial"/>
          <w:sz w:val="20"/>
          <w:szCs w:val="20"/>
        </w:rPr>
      </w:pPr>
      <w:hyperlink r:id="rId47" w:history="1">
        <w:r w:rsidR="00501E02" w:rsidRPr="00C9631A">
          <w:rPr>
            <w:rStyle w:val="Collegamentoipertestuale"/>
            <w:rFonts w:ascii="Arial" w:hAnsi="Arial" w:cs="Arial"/>
            <w:sz w:val="20"/>
            <w:szCs w:val="20"/>
          </w:rPr>
          <w:t>Le esportazioni delle regioni italiane</w:t>
        </w:r>
      </w:hyperlink>
    </w:p>
    <w:p w14:paraId="2DB500BD" w14:textId="77777777" w:rsidR="00501E02" w:rsidRPr="00C9631A" w:rsidRDefault="00501E02" w:rsidP="00501E02">
      <w:pPr>
        <w:spacing w:after="120"/>
        <w:jc w:val="both"/>
        <w:rPr>
          <w:rFonts w:ascii="Arial" w:hAnsi="Arial" w:cs="Arial"/>
          <w:bCs/>
          <w:sz w:val="20"/>
          <w:szCs w:val="20"/>
        </w:rPr>
      </w:pPr>
      <w:r>
        <w:rPr>
          <w:rFonts w:ascii="Arial" w:hAnsi="Arial" w:cs="Arial"/>
          <w:bCs/>
          <w:sz w:val="20"/>
          <w:szCs w:val="20"/>
        </w:rPr>
        <w:t>I</w:t>
      </w:r>
      <w:r w:rsidRPr="00C9631A">
        <w:rPr>
          <w:rFonts w:ascii="Arial" w:hAnsi="Arial" w:cs="Arial"/>
          <w:bCs/>
          <w:sz w:val="20"/>
          <w:szCs w:val="20"/>
        </w:rPr>
        <w:t xml:space="preserve"> dati sono trasmessi mensilmente ad </w:t>
      </w:r>
      <w:proofErr w:type="spellStart"/>
      <w:r w:rsidRPr="00C9631A">
        <w:rPr>
          <w:rFonts w:ascii="Arial" w:hAnsi="Arial" w:cs="Arial"/>
          <w:bCs/>
          <w:sz w:val="20"/>
          <w:szCs w:val="20"/>
        </w:rPr>
        <w:t>Eurostat</w:t>
      </w:r>
      <w:proofErr w:type="spellEnd"/>
      <w:r w:rsidRPr="00C9631A">
        <w:rPr>
          <w:rFonts w:ascii="Arial" w:hAnsi="Arial" w:cs="Arial"/>
          <w:bCs/>
          <w:sz w:val="20"/>
          <w:szCs w:val="20"/>
        </w:rPr>
        <w:t xml:space="preserve"> e consultabili all’indirizzo </w:t>
      </w:r>
      <w:hyperlink r:id="rId48" w:history="1">
        <w:r w:rsidRPr="00C9631A">
          <w:rPr>
            <w:rFonts w:ascii="Arial" w:hAnsi="Arial" w:cs="Arial"/>
            <w:bCs/>
            <w:color w:val="0000FF"/>
            <w:sz w:val="20"/>
            <w:szCs w:val="20"/>
            <w:u w:val="single"/>
          </w:rPr>
          <w:t>http://ec.europa.eu/eurostat/data/database</w:t>
        </w:r>
      </w:hyperlink>
      <w:r w:rsidRPr="00C9631A">
        <w:rPr>
          <w:rFonts w:ascii="Arial" w:hAnsi="Arial" w:cs="Arial"/>
          <w:bCs/>
          <w:sz w:val="20"/>
          <w:szCs w:val="20"/>
        </w:rPr>
        <w:t xml:space="preserve"> (Tema </w:t>
      </w:r>
      <w:proofErr w:type="spellStart"/>
      <w:r w:rsidRPr="00C9631A">
        <w:rPr>
          <w:rFonts w:ascii="Arial" w:hAnsi="Arial" w:cs="Arial"/>
          <w:bCs/>
          <w:i/>
          <w:sz w:val="20"/>
          <w:szCs w:val="20"/>
        </w:rPr>
        <w:t>Industry</w:t>
      </w:r>
      <w:proofErr w:type="spellEnd"/>
      <w:r w:rsidRPr="00C9631A">
        <w:rPr>
          <w:rFonts w:ascii="Arial" w:hAnsi="Arial" w:cs="Arial"/>
          <w:bCs/>
          <w:i/>
          <w:sz w:val="20"/>
          <w:szCs w:val="20"/>
        </w:rPr>
        <w:t xml:space="preserve">, </w:t>
      </w:r>
      <w:proofErr w:type="spellStart"/>
      <w:r w:rsidRPr="00C9631A">
        <w:rPr>
          <w:rFonts w:ascii="Arial" w:hAnsi="Arial" w:cs="Arial"/>
          <w:bCs/>
          <w:i/>
          <w:sz w:val="20"/>
          <w:szCs w:val="20"/>
        </w:rPr>
        <w:t>trade</w:t>
      </w:r>
      <w:proofErr w:type="spellEnd"/>
      <w:r w:rsidRPr="00C9631A">
        <w:rPr>
          <w:rFonts w:ascii="Arial" w:hAnsi="Arial" w:cs="Arial"/>
          <w:bCs/>
          <w:i/>
          <w:sz w:val="20"/>
          <w:szCs w:val="20"/>
        </w:rPr>
        <w:t xml:space="preserve"> and </w:t>
      </w:r>
      <w:proofErr w:type="spellStart"/>
      <w:r w:rsidRPr="00C9631A">
        <w:rPr>
          <w:rFonts w:ascii="Arial" w:hAnsi="Arial" w:cs="Arial"/>
          <w:bCs/>
          <w:i/>
          <w:sz w:val="20"/>
          <w:szCs w:val="20"/>
        </w:rPr>
        <w:t>services</w:t>
      </w:r>
      <w:proofErr w:type="spellEnd"/>
      <w:r w:rsidRPr="00C9631A">
        <w:rPr>
          <w:rFonts w:ascii="Arial" w:hAnsi="Arial" w:cs="Arial"/>
          <w:bCs/>
          <w:sz w:val="20"/>
          <w:szCs w:val="20"/>
        </w:rPr>
        <w:t xml:space="preserve">, argomento </w:t>
      </w:r>
      <w:r w:rsidRPr="00C9631A">
        <w:rPr>
          <w:rFonts w:ascii="Arial" w:hAnsi="Arial" w:cs="Arial"/>
          <w:bCs/>
          <w:i/>
          <w:sz w:val="20"/>
          <w:szCs w:val="20"/>
        </w:rPr>
        <w:t>Short-</w:t>
      </w:r>
      <w:proofErr w:type="spellStart"/>
      <w:r w:rsidRPr="00C9631A">
        <w:rPr>
          <w:rFonts w:ascii="Arial" w:hAnsi="Arial" w:cs="Arial"/>
          <w:bCs/>
          <w:i/>
          <w:sz w:val="20"/>
          <w:szCs w:val="20"/>
        </w:rPr>
        <w:t>term</w:t>
      </w:r>
      <w:proofErr w:type="spellEnd"/>
      <w:r w:rsidRPr="00C9631A">
        <w:rPr>
          <w:rFonts w:ascii="Arial" w:hAnsi="Arial" w:cs="Arial"/>
          <w:bCs/>
          <w:i/>
          <w:sz w:val="20"/>
          <w:szCs w:val="20"/>
        </w:rPr>
        <w:t xml:space="preserve"> business </w:t>
      </w:r>
      <w:proofErr w:type="spellStart"/>
      <w:r w:rsidRPr="00C9631A">
        <w:rPr>
          <w:rFonts w:ascii="Arial" w:hAnsi="Arial" w:cs="Arial"/>
          <w:bCs/>
          <w:i/>
          <w:sz w:val="20"/>
          <w:szCs w:val="20"/>
        </w:rPr>
        <w:t>statistics</w:t>
      </w:r>
      <w:proofErr w:type="spellEnd"/>
      <w:r w:rsidRPr="00C9631A">
        <w:rPr>
          <w:rFonts w:ascii="Arial" w:hAnsi="Arial" w:cs="Arial"/>
          <w:bCs/>
          <w:i/>
          <w:sz w:val="20"/>
          <w:szCs w:val="20"/>
        </w:rPr>
        <w:t xml:space="preserve"> (</w:t>
      </w:r>
      <w:proofErr w:type="spellStart"/>
      <w:r w:rsidRPr="00C9631A">
        <w:rPr>
          <w:rFonts w:ascii="Arial" w:hAnsi="Arial" w:cs="Arial"/>
          <w:bCs/>
          <w:i/>
          <w:sz w:val="20"/>
          <w:szCs w:val="20"/>
        </w:rPr>
        <w:t>sts</w:t>
      </w:r>
      <w:proofErr w:type="spellEnd"/>
      <w:r w:rsidRPr="00C9631A">
        <w:rPr>
          <w:rFonts w:ascii="Arial" w:hAnsi="Arial" w:cs="Arial"/>
          <w:bCs/>
          <w:i/>
          <w:sz w:val="20"/>
          <w:szCs w:val="20"/>
        </w:rPr>
        <w:t>)</w:t>
      </w:r>
      <w:r w:rsidRPr="00C9631A">
        <w:rPr>
          <w:rFonts w:ascii="Arial" w:hAnsi="Arial" w:cs="Arial"/>
          <w:bCs/>
          <w:sz w:val="20"/>
          <w:szCs w:val="20"/>
        </w:rPr>
        <w:t>).</w:t>
      </w:r>
    </w:p>
    <w:p w14:paraId="4E69BA6E"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 xml:space="preserve">I dati di commercio estero sono disponibili su </w:t>
      </w:r>
      <w:proofErr w:type="spellStart"/>
      <w:r w:rsidRPr="00C9631A">
        <w:rPr>
          <w:rFonts w:ascii="Arial" w:hAnsi="Arial" w:cs="Arial"/>
          <w:sz w:val="20"/>
          <w:szCs w:val="20"/>
        </w:rPr>
        <w:t>Coeweb</w:t>
      </w:r>
      <w:proofErr w:type="spellEnd"/>
      <w:r w:rsidRPr="00C9631A">
        <w:rPr>
          <w:rFonts w:ascii="Arial" w:hAnsi="Arial" w:cs="Arial"/>
          <w:sz w:val="20"/>
          <w:szCs w:val="20"/>
        </w:rPr>
        <w:t xml:space="preserve">, il </w:t>
      </w:r>
      <w:proofErr w:type="spellStart"/>
      <w:r w:rsidRPr="00C9631A">
        <w:rPr>
          <w:rFonts w:ascii="Arial" w:hAnsi="Arial" w:cs="Arial"/>
          <w:sz w:val="20"/>
          <w:szCs w:val="20"/>
        </w:rPr>
        <w:t>datawarehouse</w:t>
      </w:r>
      <w:proofErr w:type="spellEnd"/>
      <w:r w:rsidRPr="00C9631A">
        <w:rPr>
          <w:rFonts w:ascii="Arial" w:hAnsi="Arial" w:cs="Arial"/>
          <w:sz w:val="20"/>
          <w:szCs w:val="20"/>
        </w:rPr>
        <w:t xml:space="preserve"> completamente dedicato alle statistiche del commercio con l'estero, nel mese successivo all’uscita del comunicato. La banca dati fornisce, con cadenza mensile, un ricco patrimonio informativo sui flussi commerciali dell'Italia con il resto del mondo e contiene informazioni e serie storiche a partire dal 1991.</w:t>
      </w:r>
    </w:p>
    <w:p w14:paraId="4921F955"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 xml:space="preserve">Le serie aggiornate degli indici dei prezzi all’importazione sono pubblicate, in concomitanza con la diffusione del comunicato stampa, sul </w:t>
      </w:r>
      <w:proofErr w:type="spellStart"/>
      <w:r w:rsidRPr="00C9631A">
        <w:rPr>
          <w:rFonts w:ascii="Arial" w:hAnsi="Arial" w:cs="Arial"/>
          <w:sz w:val="20"/>
          <w:szCs w:val="20"/>
        </w:rPr>
        <w:t>datawarehouse</w:t>
      </w:r>
      <w:proofErr w:type="spellEnd"/>
      <w:r w:rsidRPr="00C9631A">
        <w:rPr>
          <w:rFonts w:ascii="Arial" w:hAnsi="Arial" w:cs="Arial"/>
          <w:sz w:val="20"/>
          <w:szCs w:val="20"/>
        </w:rPr>
        <w:t xml:space="preserve"> dell’Istituto (</w:t>
      </w:r>
      <w:proofErr w:type="spellStart"/>
      <w:proofErr w:type="gramStart"/>
      <w:r w:rsidRPr="00C9631A">
        <w:rPr>
          <w:rFonts w:ascii="Arial" w:hAnsi="Arial" w:cs="Arial"/>
          <w:sz w:val="20"/>
          <w:szCs w:val="20"/>
        </w:rPr>
        <w:t>I.</w:t>
      </w:r>
      <w:r>
        <w:rPr>
          <w:rFonts w:ascii="Arial" w:hAnsi="Arial" w:cs="Arial"/>
          <w:sz w:val="20"/>
          <w:szCs w:val="20"/>
        </w:rPr>
        <w:t>S</w:t>
      </w:r>
      <w:r w:rsidRPr="00C9631A">
        <w:rPr>
          <w:rFonts w:ascii="Arial" w:hAnsi="Arial" w:cs="Arial"/>
          <w:sz w:val="20"/>
          <w:szCs w:val="20"/>
        </w:rPr>
        <w:t>tat</w:t>
      </w:r>
      <w:proofErr w:type="spellEnd"/>
      <w:proofErr w:type="gramEnd"/>
      <w:r w:rsidRPr="00C9631A">
        <w:rPr>
          <w:rFonts w:ascii="Arial" w:hAnsi="Arial" w:cs="Arial"/>
          <w:sz w:val="20"/>
          <w:szCs w:val="20"/>
        </w:rPr>
        <w:t>) all’interno del tema Prezzi - Prezzi all'importazione.</w:t>
      </w:r>
    </w:p>
    <w:p w14:paraId="376716E2" w14:textId="77777777" w:rsidR="00501E02" w:rsidRPr="00C9631A" w:rsidRDefault="00501E02" w:rsidP="00501E02">
      <w:pPr>
        <w:spacing w:after="120"/>
        <w:jc w:val="both"/>
        <w:rPr>
          <w:rFonts w:ascii="Arial" w:hAnsi="Arial" w:cs="Arial"/>
          <w:sz w:val="20"/>
          <w:szCs w:val="20"/>
        </w:rPr>
      </w:pPr>
    </w:p>
    <w:p w14:paraId="08E5B040" w14:textId="77777777" w:rsidR="00501E02" w:rsidRPr="00C9631A" w:rsidRDefault="00501E02" w:rsidP="00501E02">
      <w:pPr>
        <w:spacing w:after="120"/>
        <w:jc w:val="both"/>
        <w:rPr>
          <w:rFonts w:ascii="Arial" w:hAnsi="Arial" w:cs="Arial"/>
          <w:b/>
          <w:bCs/>
          <w:sz w:val="20"/>
          <w:szCs w:val="20"/>
        </w:rPr>
      </w:pPr>
      <w:r w:rsidRPr="00C9631A">
        <w:rPr>
          <w:rFonts w:ascii="Arial" w:hAnsi="Arial" w:cs="Arial"/>
          <w:b/>
          <w:bCs/>
          <w:sz w:val="20"/>
          <w:szCs w:val="20"/>
        </w:rPr>
        <w:t>Approfondimenti</w:t>
      </w:r>
    </w:p>
    <w:p w14:paraId="6EA73A0D" w14:textId="77777777" w:rsidR="00501E02" w:rsidRPr="00C9631A" w:rsidRDefault="00455EA4" w:rsidP="00501E02">
      <w:pPr>
        <w:numPr>
          <w:ilvl w:val="0"/>
          <w:numId w:val="36"/>
        </w:numPr>
        <w:spacing w:after="120"/>
        <w:ind w:left="284" w:hanging="284"/>
        <w:jc w:val="both"/>
        <w:rPr>
          <w:rFonts w:ascii="Arial" w:hAnsi="Arial" w:cs="Arial"/>
          <w:sz w:val="20"/>
          <w:szCs w:val="20"/>
        </w:rPr>
      </w:pPr>
      <w:hyperlink r:id="rId49" w:history="1">
        <w:r w:rsidR="00501E02" w:rsidRPr="00C9631A">
          <w:rPr>
            <w:rStyle w:val="Collegamentoipertestuale"/>
            <w:rFonts w:ascii="Arial" w:hAnsi="Arial" w:cs="Arial"/>
            <w:sz w:val="20"/>
            <w:szCs w:val="20"/>
          </w:rPr>
          <w:t>Nota Informativa</w:t>
        </w:r>
      </w:hyperlink>
      <w:r w:rsidR="00501E02" w:rsidRPr="00C9631A">
        <w:rPr>
          <w:rFonts w:ascii="Arial" w:hAnsi="Arial" w:cs="Arial"/>
          <w:sz w:val="20"/>
          <w:szCs w:val="20"/>
        </w:rPr>
        <w:t xml:space="preserve"> sulle caratteristiche dei nuovi indici del commercio con l’estero del 25/02/2008.</w:t>
      </w:r>
    </w:p>
    <w:p w14:paraId="206AE469" w14:textId="77777777" w:rsidR="00501E02" w:rsidRPr="00C9631A" w:rsidRDefault="00455EA4" w:rsidP="00501E02">
      <w:pPr>
        <w:numPr>
          <w:ilvl w:val="0"/>
          <w:numId w:val="36"/>
        </w:numPr>
        <w:spacing w:after="120"/>
        <w:ind w:left="284" w:hanging="284"/>
        <w:jc w:val="both"/>
        <w:rPr>
          <w:rFonts w:ascii="Arial" w:hAnsi="Arial" w:cs="Arial"/>
          <w:sz w:val="20"/>
          <w:szCs w:val="20"/>
        </w:rPr>
      </w:pPr>
      <w:hyperlink r:id="rId50" w:history="1">
        <w:r w:rsidR="00501E02" w:rsidRPr="00C9631A">
          <w:rPr>
            <w:rStyle w:val="Collegamentoipertestuale"/>
            <w:rFonts w:ascii="Arial" w:hAnsi="Arial" w:cs="Arial"/>
            <w:sz w:val="20"/>
            <w:szCs w:val="20"/>
          </w:rPr>
          <w:t>Nota informativa</w:t>
        </w:r>
      </w:hyperlink>
      <w:r w:rsidR="00501E02" w:rsidRPr="00C9631A">
        <w:rPr>
          <w:rFonts w:ascii="Arial" w:hAnsi="Arial" w:cs="Arial"/>
          <w:sz w:val="20"/>
          <w:szCs w:val="20"/>
        </w:rPr>
        <w:t xml:space="preserve"> sul nuovo sistema di produzione delle statistiche sugli scambi con l’estero di gas naturale ed energia elettrica del 15/11/2011.</w:t>
      </w:r>
    </w:p>
    <w:p w14:paraId="3FC941F9" w14:textId="77777777" w:rsidR="00501E02" w:rsidRPr="00C9631A" w:rsidRDefault="00455EA4" w:rsidP="00501E02">
      <w:pPr>
        <w:numPr>
          <w:ilvl w:val="0"/>
          <w:numId w:val="36"/>
        </w:numPr>
        <w:spacing w:after="120"/>
        <w:ind w:left="284" w:hanging="284"/>
        <w:jc w:val="both"/>
        <w:rPr>
          <w:rFonts w:ascii="Arial" w:hAnsi="Arial" w:cs="Arial"/>
          <w:sz w:val="20"/>
          <w:szCs w:val="20"/>
        </w:rPr>
      </w:pPr>
      <w:hyperlink r:id="rId51" w:history="1">
        <w:r w:rsidR="00501E02" w:rsidRPr="00C9631A">
          <w:rPr>
            <w:rStyle w:val="Collegamentoipertestuale"/>
            <w:rFonts w:ascii="Arial" w:hAnsi="Arial" w:cs="Arial"/>
            <w:sz w:val="20"/>
            <w:szCs w:val="20"/>
          </w:rPr>
          <w:t>Nota informativa</w:t>
        </w:r>
      </w:hyperlink>
      <w:r w:rsidR="00501E02" w:rsidRPr="00C9631A">
        <w:rPr>
          <w:rFonts w:ascii="Arial" w:hAnsi="Arial" w:cs="Arial"/>
          <w:sz w:val="20"/>
          <w:szCs w:val="20"/>
        </w:rPr>
        <w:t xml:space="preserve"> sull’avvio della rilevazione</w:t>
      </w:r>
      <w:r w:rsidR="00501E02">
        <w:rPr>
          <w:rFonts w:ascii="Arial" w:hAnsi="Arial" w:cs="Arial"/>
          <w:sz w:val="20"/>
          <w:szCs w:val="20"/>
        </w:rPr>
        <w:t xml:space="preserve"> dei prezzi all’import,</w:t>
      </w:r>
      <w:r w:rsidR="00501E02" w:rsidRPr="00C9631A">
        <w:rPr>
          <w:rFonts w:ascii="Arial" w:hAnsi="Arial" w:cs="Arial"/>
          <w:sz w:val="20"/>
          <w:szCs w:val="20"/>
        </w:rPr>
        <w:t xml:space="preserve"> del 24/02/2014. </w:t>
      </w:r>
    </w:p>
    <w:p w14:paraId="26F4BF48" w14:textId="111B1F9A" w:rsidR="00501E02" w:rsidRPr="00C9631A" w:rsidRDefault="00455EA4" w:rsidP="00501E02">
      <w:pPr>
        <w:numPr>
          <w:ilvl w:val="0"/>
          <w:numId w:val="36"/>
        </w:numPr>
        <w:spacing w:after="120"/>
        <w:ind w:left="284" w:hanging="284"/>
        <w:jc w:val="both"/>
        <w:rPr>
          <w:rFonts w:ascii="Arial" w:hAnsi="Arial" w:cs="Arial"/>
          <w:b/>
          <w:sz w:val="20"/>
          <w:szCs w:val="20"/>
        </w:rPr>
      </w:pPr>
      <w:hyperlink r:id="rId52" w:history="1">
        <w:r w:rsidR="00501E02" w:rsidRPr="008A6D09">
          <w:rPr>
            <w:rStyle w:val="Collegamentoipertestuale"/>
            <w:rFonts w:ascii="Arial" w:hAnsi="Arial" w:cs="Arial"/>
            <w:sz w:val="20"/>
            <w:szCs w:val="20"/>
          </w:rPr>
          <w:t>Nota informativa</w:t>
        </w:r>
      </w:hyperlink>
      <w:r w:rsidR="00501E02" w:rsidRPr="00C9631A">
        <w:rPr>
          <w:rFonts w:ascii="Arial" w:hAnsi="Arial" w:cs="Arial"/>
          <w:sz w:val="20"/>
          <w:szCs w:val="20"/>
        </w:rPr>
        <w:t xml:space="preserve"> sulla ricostruzione delle serie storiche </w:t>
      </w:r>
      <w:r w:rsidR="00501E02">
        <w:rPr>
          <w:rFonts w:ascii="Arial" w:hAnsi="Arial" w:cs="Arial"/>
          <w:sz w:val="20"/>
          <w:szCs w:val="20"/>
        </w:rPr>
        <w:t xml:space="preserve">degli indici dei prezzi all’import </w:t>
      </w:r>
      <w:r w:rsidR="00501E02" w:rsidRPr="00C9631A">
        <w:rPr>
          <w:rFonts w:ascii="Arial" w:hAnsi="Arial" w:cs="Arial"/>
          <w:sz w:val="20"/>
          <w:szCs w:val="20"/>
        </w:rPr>
        <w:t>per il periodo 2005 – 2009, del 16/10/2015.</w:t>
      </w:r>
    </w:p>
    <w:p w14:paraId="165AEE1F" w14:textId="77777777" w:rsidR="00501E02" w:rsidRPr="00222CB7" w:rsidRDefault="00455EA4" w:rsidP="00501E02">
      <w:pPr>
        <w:numPr>
          <w:ilvl w:val="0"/>
          <w:numId w:val="36"/>
        </w:numPr>
        <w:spacing w:after="120"/>
        <w:ind w:left="284" w:hanging="284"/>
        <w:jc w:val="both"/>
        <w:rPr>
          <w:rFonts w:ascii="Arial" w:hAnsi="Arial" w:cs="Arial"/>
          <w:sz w:val="20"/>
          <w:szCs w:val="20"/>
        </w:rPr>
      </w:pPr>
      <w:hyperlink r:id="rId53" w:history="1">
        <w:r w:rsidR="00501E02" w:rsidRPr="00222CB7">
          <w:rPr>
            <w:rStyle w:val="Collegamentoipertestuale"/>
            <w:rFonts w:ascii="Arial" w:hAnsi="Arial" w:cs="Arial"/>
            <w:sz w:val="20"/>
            <w:szCs w:val="20"/>
          </w:rPr>
          <w:t>Nota informativa</w:t>
        </w:r>
      </w:hyperlink>
      <w:r w:rsidR="00501E02" w:rsidRPr="00222CB7">
        <w:rPr>
          <w:rFonts w:ascii="Arial" w:hAnsi="Arial" w:cs="Arial"/>
          <w:sz w:val="20"/>
          <w:szCs w:val="20"/>
        </w:rPr>
        <w:t xml:space="preserve"> sulla nuova base 2015</w:t>
      </w:r>
      <w:r w:rsidR="00501E02">
        <w:rPr>
          <w:rFonts w:ascii="Arial" w:hAnsi="Arial" w:cs="Arial"/>
          <w:sz w:val="20"/>
          <w:szCs w:val="20"/>
        </w:rPr>
        <w:t xml:space="preserve"> degli indici dei prezzi all’import</w:t>
      </w:r>
      <w:r w:rsidR="00501E02" w:rsidRPr="00222CB7">
        <w:rPr>
          <w:rFonts w:ascii="Arial" w:hAnsi="Arial" w:cs="Arial"/>
          <w:sz w:val="20"/>
          <w:szCs w:val="20"/>
        </w:rPr>
        <w:t>, del 17/05/2018.</w:t>
      </w:r>
    </w:p>
    <w:p w14:paraId="396DE13F" w14:textId="263FBB8E" w:rsidR="00501E02" w:rsidRDefault="00455EA4" w:rsidP="00501E02">
      <w:pPr>
        <w:numPr>
          <w:ilvl w:val="0"/>
          <w:numId w:val="36"/>
        </w:numPr>
        <w:spacing w:after="120"/>
        <w:ind w:left="284" w:hanging="284"/>
        <w:jc w:val="both"/>
        <w:rPr>
          <w:rFonts w:ascii="Arial" w:hAnsi="Arial" w:cs="Arial"/>
          <w:sz w:val="20"/>
          <w:szCs w:val="20"/>
        </w:rPr>
      </w:pPr>
      <w:hyperlink r:id="rId54" w:history="1">
        <w:r w:rsidR="00501E02" w:rsidRPr="00DD73E1">
          <w:rPr>
            <w:rStyle w:val="Collegamentoipertestuale"/>
            <w:rFonts w:ascii="Arial" w:hAnsi="Arial" w:cs="Arial"/>
            <w:sz w:val="20"/>
            <w:szCs w:val="20"/>
          </w:rPr>
          <w:t>Nota informativa</w:t>
        </w:r>
      </w:hyperlink>
      <w:r w:rsidR="00501E02" w:rsidRPr="00DD73E1">
        <w:rPr>
          <w:rFonts w:ascii="Arial" w:hAnsi="Arial" w:cs="Arial"/>
          <w:sz w:val="20"/>
          <w:szCs w:val="20"/>
        </w:rPr>
        <w:t xml:space="preserve"> sulla revisione dei dati di commercio estero per il periodo 2019, gennaio-maggio 2020.</w:t>
      </w:r>
    </w:p>
    <w:p w14:paraId="150DD0CF" w14:textId="5219192D" w:rsidR="00EB3E42" w:rsidRPr="0053425B" w:rsidRDefault="00EB3E42" w:rsidP="00EB3E42">
      <w:pPr>
        <w:numPr>
          <w:ilvl w:val="0"/>
          <w:numId w:val="36"/>
        </w:numPr>
        <w:spacing w:after="120"/>
        <w:ind w:left="284" w:hanging="284"/>
        <w:jc w:val="both"/>
        <w:rPr>
          <w:rFonts w:ascii="Arial" w:hAnsi="Arial" w:cs="Arial"/>
          <w:sz w:val="20"/>
          <w:szCs w:val="20"/>
        </w:rPr>
      </w:pPr>
      <w:r w:rsidRPr="0053425B">
        <w:rPr>
          <w:rStyle w:val="Collegamentoipertestuale"/>
          <w:rFonts w:ascii="Arial" w:hAnsi="Arial" w:cs="Arial"/>
          <w:sz w:val="20"/>
          <w:szCs w:val="20"/>
        </w:rPr>
        <w:t>Nota informativa</w:t>
      </w:r>
      <w:r w:rsidRPr="0053425B">
        <w:rPr>
          <w:rFonts w:ascii="Arial" w:hAnsi="Arial" w:cs="Arial"/>
          <w:sz w:val="20"/>
          <w:szCs w:val="20"/>
        </w:rPr>
        <w:t xml:space="preserve"> </w:t>
      </w:r>
      <w:r w:rsidR="0053425B" w:rsidRPr="0053425B">
        <w:rPr>
          <w:rFonts w:ascii="Arial" w:hAnsi="Arial" w:cs="Arial"/>
          <w:sz w:val="20"/>
          <w:szCs w:val="20"/>
        </w:rPr>
        <w:t xml:space="preserve">sul passaggio </w:t>
      </w:r>
      <w:r w:rsidR="0053425B">
        <w:rPr>
          <w:rFonts w:ascii="Arial" w:hAnsi="Arial" w:cs="Arial"/>
          <w:sz w:val="20"/>
          <w:szCs w:val="20"/>
        </w:rPr>
        <w:t xml:space="preserve">da indici a </w:t>
      </w:r>
      <w:r w:rsidR="0053425B" w:rsidRPr="0053425B">
        <w:rPr>
          <w:rFonts w:ascii="Arial" w:hAnsi="Arial" w:cs="Arial"/>
          <w:sz w:val="20"/>
          <w:szCs w:val="20"/>
        </w:rPr>
        <w:t xml:space="preserve">base fissa a indici </w:t>
      </w:r>
      <w:r w:rsidR="0053425B">
        <w:rPr>
          <w:rFonts w:ascii="Arial" w:hAnsi="Arial" w:cs="Arial"/>
          <w:sz w:val="20"/>
          <w:szCs w:val="20"/>
        </w:rPr>
        <w:t>concatenati</w:t>
      </w:r>
      <w:r w:rsidR="006A2C28">
        <w:rPr>
          <w:rFonts w:ascii="Arial" w:hAnsi="Arial" w:cs="Arial"/>
          <w:sz w:val="20"/>
          <w:szCs w:val="20"/>
        </w:rPr>
        <w:t xml:space="preserve"> per i prezzi all’import</w:t>
      </w:r>
      <w:r w:rsidRPr="0053425B">
        <w:rPr>
          <w:rFonts w:ascii="Arial" w:hAnsi="Arial" w:cs="Arial"/>
          <w:sz w:val="20"/>
          <w:szCs w:val="20"/>
        </w:rPr>
        <w:t>, del 20/04/2022.</w:t>
      </w:r>
    </w:p>
    <w:p w14:paraId="097F327A" w14:textId="77777777" w:rsidR="00C50F34" w:rsidRDefault="00C50F34" w:rsidP="00220D58">
      <w:pPr>
        <w:pStyle w:val="NormaleWeb"/>
        <w:spacing w:before="360" w:beforeAutospacing="0" w:after="240" w:afterAutospacing="0"/>
        <w:rPr>
          <w:rFonts w:ascii="Arial" w:hAnsi="Arial" w:cs="Arial"/>
          <w:bCs/>
          <w:color w:val="CD242F"/>
          <w:sz w:val="36"/>
          <w:szCs w:val="36"/>
        </w:rPr>
      </w:pPr>
    </w:p>
    <w:p w14:paraId="096DC865" w14:textId="3DEDDF40" w:rsidR="00501E02" w:rsidRPr="002300D8" w:rsidRDefault="00501E02" w:rsidP="00220D58">
      <w:pPr>
        <w:pStyle w:val="NormaleWeb"/>
        <w:spacing w:before="120" w:beforeAutospacing="0" w:after="120" w:afterAutospacing="0"/>
        <w:rPr>
          <w:rFonts w:ascii="Arial" w:hAnsi="Arial" w:cs="Arial"/>
          <w:color w:val="CD242F"/>
          <w:sz w:val="36"/>
          <w:szCs w:val="36"/>
        </w:rPr>
      </w:pPr>
      <w:r w:rsidRPr="002300D8">
        <w:rPr>
          <w:rFonts w:ascii="Arial" w:hAnsi="Arial" w:cs="Arial"/>
          <w:bCs/>
          <w:color w:val="CD242F"/>
          <w:sz w:val="36"/>
          <w:szCs w:val="36"/>
        </w:rPr>
        <w:t>Per chiarimenti tecnici e metodologici</w:t>
      </w:r>
    </w:p>
    <w:tbl>
      <w:tblPr>
        <w:tblW w:w="9814" w:type="dxa"/>
        <w:tblBorders>
          <w:top w:val="dotted" w:sz="4" w:space="0" w:color="808080"/>
        </w:tblBorders>
        <w:tblLook w:val="04A0" w:firstRow="1" w:lastRow="0" w:firstColumn="1" w:lastColumn="0" w:noHBand="0" w:noVBand="1"/>
      </w:tblPr>
      <w:tblGrid>
        <w:gridCol w:w="2835"/>
        <w:gridCol w:w="6979"/>
      </w:tblGrid>
      <w:tr w:rsidR="00501E02" w:rsidRPr="00E655EB" w14:paraId="40699954" w14:textId="77777777" w:rsidTr="002C489F">
        <w:trPr>
          <w:trHeight w:val="166"/>
        </w:trPr>
        <w:tc>
          <w:tcPr>
            <w:tcW w:w="9814" w:type="dxa"/>
            <w:gridSpan w:val="2"/>
            <w:shd w:val="clear" w:color="auto" w:fill="auto"/>
            <w:tcMar>
              <w:top w:w="170" w:type="dxa"/>
              <w:left w:w="0" w:type="dxa"/>
              <w:right w:w="0" w:type="dxa"/>
            </w:tcMar>
          </w:tcPr>
          <w:p w14:paraId="53AD74E0" w14:textId="77777777" w:rsidR="00501E02" w:rsidRPr="00E30D50" w:rsidRDefault="00501E02" w:rsidP="002C489F">
            <w:pPr>
              <w:pStyle w:val="NormaleWeb"/>
              <w:rPr>
                <w:rFonts w:ascii="Arial" w:hAnsi="Arial" w:cs="Arial"/>
                <w:b/>
              </w:rPr>
            </w:pPr>
            <w:r w:rsidRPr="00E30D50">
              <w:rPr>
                <w:rFonts w:ascii="Arial" w:hAnsi="Arial" w:cs="Arial"/>
                <w:b/>
                <w:bCs/>
              </w:rPr>
              <w:t>Commercio con l’estero</w:t>
            </w:r>
          </w:p>
        </w:tc>
      </w:tr>
      <w:tr w:rsidR="00501E02" w:rsidRPr="00E655EB" w14:paraId="2721D0A2" w14:textId="77777777" w:rsidTr="002C489F">
        <w:trPr>
          <w:trHeight w:val="1134"/>
        </w:trPr>
        <w:tc>
          <w:tcPr>
            <w:tcW w:w="2835" w:type="dxa"/>
            <w:shd w:val="clear" w:color="auto" w:fill="auto"/>
            <w:tcMar>
              <w:top w:w="170" w:type="dxa"/>
              <w:left w:w="0" w:type="dxa"/>
              <w:right w:w="0" w:type="dxa"/>
            </w:tcMar>
          </w:tcPr>
          <w:p w14:paraId="2E2C1132" w14:textId="77777777" w:rsidR="00501E02" w:rsidRPr="00E655EB" w:rsidRDefault="00501E02" w:rsidP="002C489F">
            <w:pPr>
              <w:pStyle w:val="NormaleWeb"/>
              <w:spacing w:beforeAutospacing="0" w:after="120" w:afterAutospacing="0"/>
              <w:rPr>
                <w:rFonts w:ascii="Arial" w:hAnsi="Arial" w:cs="Arial"/>
                <w:b/>
                <w:bCs/>
                <w:color w:val="CD242F"/>
                <w:sz w:val="22"/>
                <w:szCs w:val="22"/>
              </w:rPr>
            </w:pPr>
            <w:r>
              <w:rPr>
                <w:rFonts w:ascii="Arial" w:hAnsi="Arial" w:cs="Arial"/>
                <w:b/>
                <w:bCs/>
                <w:color w:val="CD242F"/>
                <w:sz w:val="22"/>
                <w:szCs w:val="22"/>
              </w:rPr>
              <w:t>Maria Serena Causo</w:t>
            </w:r>
          </w:p>
          <w:p w14:paraId="6B9C714B" w14:textId="77777777" w:rsidR="00501E02" w:rsidRPr="00E655EB" w:rsidRDefault="00501E02" w:rsidP="002C489F">
            <w:pPr>
              <w:pStyle w:val="NormaleWeb"/>
              <w:spacing w:beforeAutospacing="0" w:afterAutospacing="0"/>
              <w:rPr>
                <w:rFonts w:ascii="Arial" w:hAnsi="Arial" w:cs="Arial"/>
                <w:color w:val="000000"/>
              </w:rPr>
            </w:pPr>
            <w:r w:rsidRPr="00E655EB">
              <w:rPr>
                <w:rFonts w:ascii="Arial" w:hAnsi="Arial" w:cs="Arial"/>
                <w:color w:val="000000"/>
              </w:rPr>
              <w:t>tel.</w:t>
            </w:r>
            <w:r>
              <w:rPr>
                <w:rFonts w:ascii="Arial" w:hAnsi="Arial" w:cs="Arial"/>
                <w:color w:val="000000"/>
              </w:rPr>
              <w:t xml:space="preserve"> +39 </w:t>
            </w:r>
            <w:r w:rsidRPr="00E655EB">
              <w:rPr>
                <w:rFonts w:ascii="Arial" w:hAnsi="Arial" w:cs="Arial"/>
                <w:color w:val="000000"/>
              </w:rPr>
              <w:t>06 4673.</w:t>
            </w:r>
            <w:r>
              <w:rPr>
                <w:rFonts w:ascii="Arial" w:hAnsi="Arial" w:cs="Arial"/>
                <w:color w:val="000000"/>
              </w:rPr>
              <w:t>6651</w:t>
            </w:r>
          </w:p>
          <w:p w14:paraId="6BB34B0C" w14:textId="77777777" w:rsidR="00501E02" w:rsidRPr="00E655EB" w:rsidRDefault="00455EA4" w:rsidP="002C489F">
            <w:pPr>
              <w:pStyle w:val="NormaleWeb"/>
              <w:spacing w:beforeAutospacing="0" w:after="120" w:afterAutospacing="0"/>
              <w:rPr>
                <w:rFonts w:ascii="Arial" w:hAnsi="Arial" w:cs="Arial"/>
                <w:color w:val="000000"/>
              </w:rPr>
            </w:pPr>
            <w:hyperlink r:id="rId55" w:history="1">
              <w:r w:rsidR="00501E02" w:rsidRPr="003E2D10">
                <w:rPr>
                  <w:rStyle w:val="Collegamentoipertestuale"/>
                  <w:rFonts w:ascii="Arial" w:hAnsi="Arial" w:cs="Arial"/>
                </w:rPr>
                <w:t>causo@istat.it</w:t>
              </w:r>
            </w:hyperlink>
          </w:p>
        </w:tc>
        <w:tc>
          <w:tcPr>
            <w:tcW w:w="6979" w:type="dxa"/>
            <w:shd w:val="clear" w:color="auto" w:fill="auto"/>
            <w:tcMar>
              <w:top w:w="170" w:type="dxa"/>
              <w:left w:w="0" w:type="dxa"/>
              <w:right w:w="0" w:type="dxa"/>
            </w:tcMar>
          </w:tcPr>
          <w:p w14:paraId="5852EE7D" w14:textId="77777777" w:rsidR="00501E02" w:rsidRPr="00E655EB" w:rsidRDefault="00501E02" w:rsidP="002C489F">
            <w:pPr>
              <w:pStyle w:val="NormaleWeb"/>
              <w:spacing w:beforeAutospacing="0" w:after="120" w:afterAutospacing="0"/>
              <w:rPr>
                <w:rFonts w:ascii="Arial" w:hAnsi="Arial" w:cs="Arial"/>
                <w:color w:val="CD242F"/>
              </w:rPr>
            </w:pPr>
            <w:r>
              <w:rPr>
                <w:rFonts w:ascii="Arial" w:hAnsi="Arial" w:cs="Arial"/>
                <w:b/>
                <w:bCs/>
                <w:color w:val="CD242F"/>
                <w:sz w:val="22"/>
                <w:szCs w:val="22"/>
              </w:rPr>
              <w:t>Adele Vendetti</w:t>
            </w:r>
          </w:p>
          <w:p w14:paraId="0094173E" w14:textId="77777777" w:rsidR="00501E02" w:rsidRPr="00E655EB" w:rsidRDefault="00501E02" w:rsidP="002C489F">
            <w:pPr>
              <w:pStyle w:val="NormaleWeb"/>
              <w:spacing w:beforeAutospacing="0" w:after="120" w:afterAutospacing="0"/>
              <w:rPr>
                <w:rFonts w:ascii="Arial" w:hAnsi="Arial" w:cs="Arial"/>
                <w:color w:val="000000"/>
              </w:rPr>
            </w:pPr>
            <w:r w:rsidRPr="00E655EB">
              <w:rPr>
                <w:rFonts w:ascii="Arial" w:hAnsi="Arial" w:cs="Arial"/>
                <w:color w:val="000000"/>
              </w:rPr>
              <w:t>tel.</w:t>
            </w:r>
            <w:r>
              <w:rPr>
                <w:rFonts w:ascii="Arial" w:hAnsi="Arial" w:cs="Arial"/>
                <w:color w:val="000000"/>
              </w:rPr>
              <w:t xml:space="preserve"> +39</w:t>
            </w:r>
            <w:r w:rsidRPr="00E655EB">
              <w:rPr>
                <w:rFonts w:ascii="Arial" w:hAnsi="Arial" w:cs="Arial"/>
                <w:color w:val="000000"/>
              </w:rPr>
              <w:t xml:space="preserve"> 06 4673.</w:t>
            </w:r>
            <w:r>
              <w:rPr>
                <w:rFonts w:ascii="Arial" w:hAnsi="Arial" w:cs="Arial"/>
                <w:color w:val="000000"/>
              </w:rPr>
              <w:t>6342</w:t>
            </w:r>
            <w:r w:rsidRPr="00E655EB">
              <w:rPr>
                <w:rFonts w:ascii="Arial" w:hAnsi="Arial" w:cs="Arial"/>
                <w:color w:val="000000"/>
              </w:rPr>
              <w:br/>
            </w:r>
            <w:hyperlink r:id="rId56" w:history="1">
              <w:r w:rsidRPr="003E2D10">
                <w:rPr>
                  <w:rStyle w:val="Collegamentoipertestuale"/>
                  <w:rFonts w:ascii="Arial" w:hAnsi="Arial" w:cs="Arial"/>
                </w:rPr>
                <w:t>vendetti@istat.it</w:t>
              </w:r>
            </w:hyperlink>
          </w:p>
          <w:p w14:paraId="4C4C533B" w14:textId="77777777" w:rsidR="00501E02" w:rsidRPr="00E655EB" w:rsidRDefault="00501E02" w:rsidP="002C489F">
            <w:pPr>
              <w:pStyle w:val="NormaleWeb"/>
              <w:rPr>
                <w:rFonts w:ascii="Arial" w:hAnsi="Arial" w:cs="Arial"/>
                <w:color w:val="000000"/>
              </w:rPr>
            </w:pPr>
          </w:p>
        </w:tc>
      </w:tr>
      <w:tr w:rsidR="00501E02" w:rsidRPr="00E655EB" w14:paraId="57F6A533" w14:textId="77777777" w:rsidTr="002C489F">
        <w:trPr>
          <w:trHeight w:val="294"/>
        </w:trPr>
        <w:tc>
          <w:tcPr>
            <w:tcW w:w="9814" w:type="dxa"/>
            <w:gridSpan w:val="2"/>
            <w:shd w:val="clear" w:color="auto" w:fill="auto"/>
            <w:tcMar>
              <w:top w:w="170" w:type="dxa"/>
              <w:left w:w="0" w:type="dxa"/>
              <w:right w:w="0" w:type="dxa"/>
            </w:tcMar>
          </w:tcPr>
          <w:p w14:paraId="574D9FC1" w14:textId="77777777" w:rsidR="00501E02" w:rsidRPr="00E30D50" w:rsidRDefault="00501E02" w:rsidP="002C489F">
            <w:pPr>
              <w:pStyle w:val="NormaleWeb"/>
              <w:rPr>
                <w:rFonts w:ascii="Arial" w:hAnsi="Arial" w:cs="Arial"/>
                <w:b/>
                <w:bCs/>
                <w:sz w:val="22"/>
                <w:szCs w:val="22"/>
              </w:rPr>
            </w:pPr>
            <w:r w:rsidRPr="00E30D50">
              <w:rPr>
                <w:rFonts w:ascii="Arial" w:hAnsi="Arial" w:cs="Arial"/>
                <w:b/>
                <w:bCs/>
              </w:rPr>
              <w:t>Prezzi all’import</w:t>
            </w:r>
          </w:p>
        </w:tc>
      </w:tr>
      <w:tr w:rsidR="00501E02" w14:paraId="3D825D6F" w14:textId="77777777" w:rsidTr="002C489F">
        <w:trPr>
          <w:trHeight w:val="1134"/>
        </w:trPr>
        <w:tc>
          <w:tcPr>
            <w:tcW w:w="2835" w:type="dxa"/>
            <w:tcBorders>
              <w:top w:val="dotted" w:sz="4" w:space="0" w:color="808080"/>
              <w:left w:val="nil"/>
              <w:bottom w:val="nil"/>
              <w:right w:val="nil"/>
            </w:tcBorders>
            <w:tcMar>
              <w:top w:w="170" w:type="dxa"/>
              <w:left w:w="0" w:type="dxa"/>
              <w:bottom w:w="0" w:type="dxa"/>
              <w:right w:w="0" w:type="dxa"/>
            </w:tcMar>
            <w:hideMark/>
          </w:tcPr>
          <w:p w14:paraId="2C2C798F" w14:textId="77777777" w:rsidR="00501E02" w:rsidRDefault="00501E02" w:rsidP="002C489F">
            <w:pPr>
              <w:pStyle w:val="NormaleWeb"/>
              <w:spacing w:beforeAutospacing="0" w:afterAutospacing="0" w:line="276" w:lineRule="auto"/>
              <w:rPr>
                <w:rFonts w:ascii="Arial" w:hAnsi="Arial" w:cs="Arial"/>
                <w:b/>
                <w:bCs/>
                <w:color w:val="CD242F"/>
                <w:sz w:val="22"/>
                <w:szCs w:val="22"/>
                <w:lang w:eastAsia="en-US"/>
              </w:rPr>
            </w:pPr>
            <w:r>
              <w:rPr>
                <w:rFonts w:ascii="Arial" w:hAnsi="Arial" w:cs="Arial"/>
                <w:b/>
                <w:bCs/>
                <w:color w:val="CD242F"/>
                <w:sz w:val="22"/>
                <w:szCs w:val="22"/>
                <w:lang w:eastAsia="en-US"/>
              </w:rPr>
              <w:t xml:space="preserve">Emiliano </w:t>
            </w:r>
            <w:proofErr w:type="spellStart"/>
            <w:r>
              <w:rPr>
                <w:rFonts w:ascii="Arial" w:hAnsi="Arial" w:cs="Arial"/>
                <w:b/>
                <w:bCs/>
                <w:color w:val="CD242F"/>
                <w:sz w:val="22"/>
                <w:szCs w:val="22"/>
                <w:lang w:eastAsia="en-US"/>
              </w:rPr>
              <w:t>Sibio</w:t>
            </w:r>
            <w:proofErr w:type="spellEnd"/>
          </w:p>
          <w:p w14:paraId="4140293B" w14:textId="77777777" w:rsidR="00501E02" w:rsidRDefault="00501E02" w:rsidP="002C489F">
            <w:pPr>
              <w:pStyle w:val="NormaleWeb"/>
              <w:spacing w:beforeAutospacing="0" w:afterAutospacing="0" w:line="276" w:lineRule="auto"/>
              <w:rPr>
                <w:rFonts w:ascii="Arial" w:hAnsi="Arial" w:cs="Arial"/>
                <w:color w:val="000000"/>
                <w:lang w:eastAsia="en-US"/>
              </w:rPr>
            </w:pPr>
            <w:r>
              <w:rPr>
                <w:rFonts w:ascii="Arial" w:hAnsi="Arial" w:cs="Arial"/>
                <w:color w:val="000000"/>
                <w:lang w:eastAsia="en-US"/>
              </w:rPr>
              <w:t>tel. +39 06 4673.6028</w:t>
            </w:r>
          </w:p>
          <w:p w14:paraId="557AA4CF" w14:textId="77777777" w:rsidR="00501E02" w:rsidRDefault="00455EA4" w:rsidP="002C489F">
            <w:pPr>
              <w:pStyle w:val="NormaleWeb"/>
              <w:spacing w:beforeAutospacing="0" w:afterAutospacing="0" w:line="276" w:lineRule="auto"/>
              <w:rPr>
                <w:rFonts w:ascii="Arial" w:hAnsi="Arial" w:cs="Arial"/>
                <w:b/>
                <w:bCs/>
                <w:color w:val="CD242F"/>
                <w:sz w:val="22"/>
                <w:szCs w:val="22"/>
                <w:lang w:eastAsia="en-US"/>
              </w:rPr>
            </w:pPr>
            <w:hyperlink r:id="rId57" w:history="1">
              <w:r w:rsidR="00501E02">
                <w:rPr>
                  <w:rStyle w:val="Collegamentoipertestuale"/>
                  <w:rFonts w:ascii="Arial" w:hAnsi="Arial" w:cs="Arial"/>
                  <w:lang w:eastAsia="en-US"/>
                </w:rPr>
                <w:t>sibio@istat.it</w:t>
              </w:r>
            </w:hyperlink>
          </w:p>
        </w:tc>
        <w:tc>
          <w:tcPr>
            <w:tcW w:w="6979" w:type="dxa"/>
            <w:tcBorders>
              <w:top w:val="dotted" w:sz="4" w:space="0" w:color="808080"/>
              <w:left w:val="nil"/>
              <w:bottom w:val="nil"/>
              <w:right w:val="nil"/>
            </w:tcBorders>
            <w:tcMar>
              <w:top w:w="170" w:type="dxa"/>
              <w:left w:w="0" w:type="dxa"/>
              <w:bottom w:w="0" w:type="dxa"/>
              <w:right w:w="0" w:type="dxa"/>
            </w:tcMar>
            <w:hideMark/>
          </w:tcPr>
          <w:p w14:paraId="5D117403" w14:textId="77777777" w:rsidR="00501E02" w:rsidRDefault="00501E02" w:rsidP="002C489F">
            <w:pPr>
              <w:pStyle w:val="NormaleWeb"/>
              <w:spacing w:beforeAutospacing="0" w:afterAutospacing="0" w:line="276" w:lineRule="auto"/>
              <w:rPr>
                <w:rFonts w:ascii="Arial" w:hAnsi="Arial" w:cs="Arial"/>
                <w:b/>
                <w:bCs/>
                <w:color w:val="CD242F"/>
                <w:sz w:val="22"/>
                <w:szCs w:val="22"/>
                <w:lang w:eastAsia="en-US"/>
              </w:rPr>
            </w:pPr>
            <w:r>
              <w:rPr>
                <w:rFonts w:ascii="Arial" w:hAnsi="Arial" w:cs="Arial"/>
                <w:b/>
                <w:bCs/>
                <w:color w:val="CD242F"/>
                <w:sz w:val="22"/>
                <w:szCs w:val="22"/>
                <w:lang w:eastAsia="en-US"/>
              </w:rPr>
              <w:t>Lorenzo D’Orazio</w:t>
            </w:r>
          </w:p>
          <w:p w14:paraId="019C76A1" w14:textId="77777777" w:rsidR="00501E02" w:rsidRDefault="00501E02" w:rsidP="002C489F">
            <w:pPr>
              <w:pStyle w:val="NormaleWeb"/>
              <w:spacing w:beforeAutospacing="0" w:afterAutospacing="0" w:line="276" w:lineRule="auto"/>
              <w:rPr>
                <w:rFonts w:ascii="Arial" w:hAnsi="Arial" w:cs="Arial"/>
                <w:color w:val="000000"/>
                <w:lang w:eastAsia="en-US"/>
              </w:rPr>
            </w:pPr>
            <w:r>
              <w:rPr>
                <w:rFonts w:ascii="Arial" w:hAnsi="Arial" w:cs="Arial"/>
                <w:color w:val="000000"/>
                <w:lang w:eastAsia="en-US"/>
              </w:rPr>
              <w:t>tel. +39 06 4673.6281</w:t>
            </w:r>
          </w:p>
          <w:p w14:paraId="6A7FA24D" w14:textId="77777777" w:rsidR="00501E02" w:rsidRDefault="00455EA4" w:rsidP="002C489F">
            <w:pPr>
              <w:pStyle w:val="NormaleWeb"/>
              <w:spacing w:beforeAutospacing="0" w:afterAutospacing="0" w:line="276" w:lineRule="auto"/>
              <w:rPr>
                <w:rFonts w:ascii="Arial" w:hAnsi="Arial" w:cs="Arial"/>
                <w:b/>
                <w:bCs/>
                <w:color w:val="CD242F"/>
                <w:sz w:val="22"/>
                <w:szCs w:val="22"/>
                <w:lang w:eastAsia="en-US"/>
              </w:rPr>
            </w:pPr>
            <w:hyperlink r:id="rId58" w:history="1">
              <w:r w:rsidR="00501E02" w:rsidRPr="00B86CCC">
                <w:rPr>
                  <w:rStyle w:val="Collegamentoipertestuale"/>
                  <w:rFonts w:ascii="Arial" w:hAnsi="Arial" w:cs="Arial"/>
                  <w:lang w:eastAsia="en-US"/>
                </w:rPr>
                <w:t>lodorazi@istat.it</w:t>
              </w:r>
            </w:hyperlink>
          </w:p>
        </w:tc>
      </w:tr>
    </w:tbl>
    <w:p w14:paraId="4D473B1F" w14:textId="77777777" w:rsidR="00501E02" w:rsidRDefault="00501E02" w:rsidP="00501E02">
      <w:pPr>
        <w:pStyle w:val="Default"/>
        <w:spacing w:after="120"/>
        <w:jc w:val="both"/>
        <w:rPr>
          <w:rFonts w:ascii="Arial" w:hAnsi="Arial" w:cs="Arial"/>
          <w:sz w:val="20"/>
          <w:szCs w:val="20"/>
        </w:rPr>
      </w:pPr>
    </w:p>
    <w:p w14:paraId="40B3FF42" w14:textId="77777777" w:rsidR="00501E02" w:rsidRPr="00C9631A" w:rsidRDefault="00501E02" w:rsidP="00501E02">
      <w:pPr>
        <w:spacing w:after="120"/>
        <w:rPr>
          <w:rFonts w:ascii="Arial" w:hAnsi="Arial" w:cs="Arial"/>
          <w:sz w:val="20"/>
          <w:szCs w:val="20"/>
        </w:rPr>
      </w:pPr>
    </w:p>
    <w:p w14:paraId="47B26564" w14:textId="454D4DA3" w:rsidR="00257DC4" w:rsidRPr="00397FAC" w:rsidRDefault="00257DC4" w:rsidP="00257DC4">
      <w:pPr>
        <w:spacing w:after="120"/>
        <w:rPr>
          <w:rFonts w:ascii="Arial" w:hAnsi="Arial" w:cs="Arial"/>
          <w:b/>
          <w:szCs w:val="28"/>
        </w:rPr>
      </w:pPr>
    </w:p>
    <w:sectPr w:rsidR="00257DC4" w:rsidRPr="00397FAC" w:rsidSect="00B81D29">
      <w:headerReference w:type="default" r:id="rId59"/>
      <w:pgSz w:w="11907" w:h="16840" w:code="9"/>
      <w:pgMar w:top="1534" w:right="851" w:bottom="680" w:left="851" w:header="567" w:footer="567"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7F46D5" w14:textId="77777777" w:rsidR="00455EA4" w:rsidRDefault="00455EA4">
      <w:r>
        <w:separator/>
      </w:r>
    </w:p>
  </w:endnote>
  <w:endnote w:type="continuationSeparator" w:id="0">
    <w:p w14:paraId="40E54C05" w14:textId="77777777" w:rsidR="00455EA4" w:rsidRDefault="00455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D454E" w14:textId="79ECE116" w:rsidR="001A02BF" w:rsidRPr="002548DD" w:rsidRDefault="001A02BF" w:rsidP="002548DD">
    <w:pPr>
      <w:pStyle w:val="Pidipagina"/>
      <w:ind w:left="1560"/>
      <w:rPr>
        <w:rFonts w:ascii="Calibri" w:hAnsi="Calibri"/>
      </w:rPr>
    </w:pPr>
    <w:r w:rsidRPr="00AA5409">
      <w:rPr>
        <w:rFonts w:ascii="Calibri" w:hAnsi="Calibri"/>
        <w:b/>
        <w:noProof/>
        <w:color w:val="E42618"/>
        <w:szCs w:val="28"/>
      </w:rPr>
      <w:drawing>
        <wp:anchor distT="0" distB="0" distL="114300" distR="114300" simplePos="0" relativeHeight="251656192" behindDoc="0" locked="0" layoutInCell="1" allowOverlap="1" wp14:anchorId="75D3DE23" wp14:editId="3DC2B47C">
          <wp:simplePos x="0" y="0"/>
          <wp:positionH relativeFrom="column">
            <wp:posOffset>13335</wp:posOffset>
          </wp:positionH>
          <wp:positionV relativeFrom="paragraph">
            <wp:posOffset>-50800</wp:posOffset>
          </wp:positionV>
          <wp:extent cx="943610" cy="390525"/>
          <wp:effectExtent l="0" t="0" r="0" b="0"/>
          <wp:wrapNone/>
          <wp:docPr id="11" name="Immagine 8" descr="Descrizione: Logo a co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Descrizione: Logo a colo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610" cy="390525"/>
                  </a:xfrm>
                  <a:prstGeom prst="rect">
                    <a:avLst/>
                  </a:prstGeom>
                  <a:noFill/>
                </pic:spPr>
              </pic:pic>
            </a:graphicData>
          </a:graphic>
        </wp:anchor>
      </w:drawing>
    </w:r>
    <w:r w:rsidRPr="00AA5409">
      <w:rPr>
        <w:rStyle w:val="Numeropagina"/>
        <w:rFonts w:ascii="Calibri" w:hAnsi="Calibri"/>
        <w:b/>
        <w:color w:val="E42618"/>
        <w:szCs w:val="28"/>
      </w:rPr>
      <w:t>|</w:t>
    </w:r>
    <w:r>
      <w:rPr>
        <w:rStyle w:val="Numeropagina"/>
        <w:rFonts w:ascii="Calibri" w:hAnsi="Calibri"/>
        <w:color w:val="E31C18"/>
        <w:sz w:val="28"/>
        <w:szCs w:val="28"/>
      </w:rPr>
      <w:t xml:space="preserve"> </w:t>
    </w:r>
    <w:r w:rsidRPr="00AA5409">
      <w:rPr>
        <w:rFonts w:ascii="Calibri" w:hAnsi="Calibri" w:cs="Arial"/>
        <w:color w:val="5F5F5F"/>
      </w:rPr>
      <w:fldChar w:fldCharType="begin"/>
    </w:r>
    <w:r w:rsidRPr="00AA5409">
      <w:rPr>
        <w:rFonts w:ascii="Calibri" w:hAnsi="Calibri" w:cs="Arial"/>
        <w:color w:val="5F5F5F"/>
      </w:rPr>
      <w:instrText>PAGE   \* MERGEFORMAT</w:instrText>
    </w:r>
    <w:r w:rsidRPr="00AA5409">
      <w:rPr>
        <w:rFonts w:ascii="Calibri" w:hAnsi="Calibri" w:cs="Arial"/>
        <w:color w:val="5F5F5F"/>
      </w:rPr>
      <w:fldChar w:fldCharType="separate"/>
    </w:r>
    <w:r w:rsidR="008B61C8">
      <w:rPr>
        <w:rFonts w:ascii="Calibri" w:hAnsi="Calibri" w:cs="Arial"/>
        <w:noProof/>
        <w:color w:val="5F5F5F"/>
      </w:rPr>
      <w:t>20</w:t>
    </w:r>
    <w:r w:rsidRPr="00AA5409">
      <w:rPr>
        <w:rFonts w:ascii="Calibri" w:hAnsi="Calibri" w:cs="Arial"/>
        <w:color w:val="5F5F5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C532F4" w14:textId="77777777" w:rsidR="00455EA4" w:rsidRDefault="00455EA4">
      <w:r>
        <w:separator/>
      </w:r>
    </w:p>
  </w:footnote>
  <w:footnote w:type="continuationSeparator" w:id="0">
    <w:p w14:paraId="492C4DD0" w14:textId="77777777" w:rsidR="00455EA4" w:rsidRDefault="00455EA4">
      <w:r>
        <w:continuationSeparator/>
      </w:r>
    </w:p>
  </w:footnote>
  <w:footnote w:id="1">
    <w:p w14:paraId="54546F80" w14:textId="1DD8EB9B" w:rsidR="001A02BF" w:rsidRPr="00E74CD4" w:rsidRDefault="001A02BF" w:rsidP="00501E02">
      <w:pPr>
        <w:pStyle w:val="Testonotaapidipagina"/>
        <w:jc w:val="both"/>
        <w:rPr>
          <w:rFonts w:ascii="Arial Narrow" w:hAnsi="Arial Narrow"/>
          <w:sz w:val="15"/>
          <w:szCs w:val="15"/>
        </w:rPr>
      </w:pPr>
      <w:r w:rsidRPr="00AF0A9F">
        <w:rPr>
          <w:rFonts w:ascii="Arial Narrow" w:hAnsi="Arial Narrow" w:cs="Arial"/>
          <w:sz w:val="15"/>
          <w:szCs w:val="15"/>
          <w:vertAlign w:val="superscript"/>
        </w:rPr>
        <w:footnoteRef/>
      </w:r>
      <w:r w:rsidRPr="00E74CD4">
        <w:rPr>
          <w:rFonts w:ascii="Arial Narrow" w:hAnsi="Arial Narrow" w:cs="Arial"/>
          <w:sz w:val="15"/>
          <w:szCs w:val="15"/>
        </w:rPr>
        <w:t xml:space="preserve"> I</w:t>
      </w:r>
      <w:r>
        <w:rPr>
          <w:rFonts w:ascii="Arial Narrow" w:hAnsi="Arial Narrow" w:cs="Arial"/>
          <w:sz w:val="15"/>
          <w:szCs w:val="15"/>
        </w:rPr>
        <w:t>n conseguenza dell’innalzamento della soglia di esenzione introdotto a partire da gennaio 2022, il</w:t>
      </w:r>
      <w:r w:rsidRPr="00E74CD4">
        <w:rPr>
          <w:rFonts w:ascii="Arial Narrow" w:hAnsi="Arial Narrow" w:cs="Arial"/>
          <w:sz w:val="15"/>
          <w:szCs w:val="15"/>
        </w:rPr>
        <w:t xml:space="preserve"> numero degli operatori tenuti a presentare il modello mensile </w:t>
      </w:r>
      <w:proofErr w:type="spellStart"/>
      <w:r w:rsidRPr="00E74CD4">
        <w:rPr>
          <w:rFonts w:ascii="Arial Narrow" w:hAnsi="Arial Narrow" w:cs="Arial"/>
          <w:sz w:val="15"/>
          <w:szCs w:val="15"/>
        </w:rPr>
        <w:t>Intrastat</w:t>
      </w:r>
      <w:proofErr w:type="spellEnd"/>
      <w:r w:rsidRPr="00E74CD4">
        <w:rPr>
          <w:rFonts w:ascii="Arial Narrow" w:hAnsi="Arial Narrow" w:cs="Arial"/>
          <w:sz w:val="15"/>
          <w:szCs w:val="15"/>
        </w:rPr>
        <w:t xml:space="preserve"> per gli acquisti </w:t>
      </w:r>
      <w:r>
        <w:rPr>
          <w:rFonts w:ascii="Arial Narrow" w:hAnsi="Arial Narrow" w:cs="Arial"/>
          <w:sz w:val="15"/>
          <w:szCs w:val="15"/>
        </w:rPr>
        <w:t>passa a</w:t>
      </w:r>
      <w:r w:rsidRPr="00E74CD4">
        <w:rPr>
          <w:rFonts w:ascii="Arial Narrow" w:hAnsi="Arial Narrow" w:cs="Arial"/>
          <w:sz w:val="15"/>
          <w:szCs w:val="15"/>
        </w:rPr>
        <w:t xml:space="preserve"> </w:t>
      </w:r>
      <w:r>
        <w:rPr>
          <w:rFonts w:ascii="Arial Narrow" w:hAnsi="Arial Narrow" w:cs="Arial"/>
          <w:sz w:val="15"/>
          <w:szCs w:val="15"/>
        </w:rPr>
        <w:t xml:space="preserve">14.000 </w:t>
      </w:r>
      <w:r w:rsidRPr="00E74CD4">
        <w:rPr>
          <w:rFonts w:ascii="Arial Narrow" w:hAnsi="Arial Narrow" w:cs="Arial"/>
          <w:sz w:val="15"/>
          <w:szCs w:val="15"/>
        </w:rPr>
        <w:t xml:space="preserve">rispetto ai </w:t>
      </w:r>
      <w:r>
        <w:rPr>
          <w:rFonts w:ascii="Arial Narrow" w:hAnsi="Arial Narrow" w:cs="Arial"/>
          <w:sz w:val="15"/>
          <w:szCs w:val="15"/>
        </w:rPr>
        <w:t>18.</w:t>
      </w:r>
      <w:r w:rsidRPr="00D42794">
        <w:rPr>
          <w:rFonts w:ascii="Arial Narrow" w:hAnsi="Arial Narrow" w:cs="Arial"/>
          <w:sz w:val="15"/>
          <w:szCs w:val="15"/>
        </w:rPr>
        <w:t>000</w:t>
      </w:r>
      <w:r>
        <w:rPr>
          <w:rFonts w:ascii="Arial Narrow" w:hAnsi="Arial Narrow" w:cs="Arial"/>
          <w:sz w:val="15"/>
          <w:szCs w:val="15"/>
        </w:rPr>
        <w:t xml:space="preserve"> soggetti obbligati del 2021</w:t>
      </w:r>
      <w:r w:rsidRPr="00E74CD4">
        <w:rPr>
          <w:rFonts w:ascii="Arial Narrow" w:hAnsi="Arial Narrow" w:cs="Arial"/>
          <w:sz w:val="15"/>
          <w:szCs w:val="15"/>
        </w:rPr>
        <w:t>.</w:t>
      </w:r>
      <w:r w:rsidRPr="00E74CD4">
        <w:rPr>
          <w:rFonts w:ascii="Arial Narrow" w:hAnsi="Arial Narrow"/>
          <w:sz w:val="15"/>
          <w:szCs w:val="15"/>
        </w:rPr>
        <w:t xml:space="preserve"> </w:t>
      </w:r>
    </w:p>
  </w:footnote>
  <w:footnote w:id="2">
    <w:p w14:paraId="46466A40" w14:textId="77777777" w:rsidR="001A02BF" w:rsidRPr="00E74CD4" w:rsidRDefault="001A02BF" w:rsidP="00501E02">
      <w:pPr>
        <w:pStyle w:val="Testonotaapidipagina"/>
        <w:jc w:val="both"/>
        <w:rPr>
          <w:rFonts w:ascii="Arial Narrow" w:hAnsi="Arial Narrow" w:cs="Arial"/>
          <w:sz w:val="15"/>
          <w:szCs w:val="15"/>
        </w:rPr>
      </w:pPr>
      <w:r w:rsidRPr="00E74CD4">
        <w:rPr>
          <w:rStyle w:val="Rimandonotaapidipagina"/>
          <w:rFonts w:ascii="Arial Narrow" w:hAnsi="Arial Narrow"/>
          <w:sz w:val="15"/>
          <w:szCs w:val="15"/>
        </w:rPr>
        <w:footnoteRef/>
      </w:r>
      <w:r w:rsidRPr="00E74CD4">
        <w:rPr>
          <w:rFonts w:ascii="Arial Narrow" w:hAnsi="Arial Narrow"/>
          <w:sz w:val="15"/>
          <w:szCs w:val="15"/>
        </w:rPr>
        <w:t xml:space="preserve"> </w:t>
      </w:r>
      <w:r w:rsidRPr="00E74CD4">
        <w:rPr>
          <w:rFonts w:ascii="Arial Narrow" w:hAnsi="Arial Narrow" w:cs="Arial"/>
          <w:sz w:val="15"/>
          <w:szCs w:val="15"/>
        </w:rPr>
        <w:t>Le serie storiche dei valori di importazioni ed esportazioni per RPI sono state ricostruite e possono, quindi, differire da quelle precedentemente pubblicate.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2D952" w14:textId="77777777" w:rsidR="001A02BF" w:rsidRPr="009E5F03" w:rsidRDefault="001A02BF" w:rsidP="009E5F03">
    <w:pPr>
      <w:pStyle w:val="Intestazione"/>
    </w:pPr>
    <w:r>
      <w:rPr>
        <w:noProof/>
      </w:rPr>
      <mc:AlternateContent>
        <mc:Choice Requires="wps">
          <w:drawing>
            <wp:anchor distT="0" distB="0" distL="114300" distR="114300" simplePos="0" relativeHeight="251657216" behindDoc="0" locked="0" layoutInCell="1" allowOverlap="1" wp14:anchorId="7BFABAE4" wp14:editId="5CE0B1B7">
              <wp:simplePos x="0" y="0"/>
              <wp:positionH relativeFrom="column">
                <wp:posOffset>552450</wp:posOffset>
              </wp:positionH>
              <wp:positionV relativeFrom="paragraph">
                <wp:posOffset>65405</wp:posOffset>
              </wp:positionV>
              <wp:extent cx="1824355" cy="390525"/>
              <wp:effectExtent l="0" t="0" r="4445" b="0"/>
              <wp:wrapNone/>
              <wp:docPr id="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355" cy="390525"/>
                      </a:xfrm>
                      <a:prstGeom prst="rect">
                        <a:avLst/>
                      </a:prstGeom>
                      <a:solidFill>
                        <a:srgbClr val="FFFFFF"/>
                      </a:solidFill>
                      <a:ln w="9525">
                        <a:solidFill>
                          <a:srgbClr val="FFFFFF"/>
                        </a:solidFill>
                        <a:miter lim="800000"/>
                        <a:headEnd/>
                        <a:tailEnd/>
                      </a:ln>
                    </wps:spPr>
                    <wps:txbx>
                      <w:txbxContent>
                        <w:p w14:paraId="0CF4011B" w14:textId="77777777" w:rsidR="001A02BF" w:rsidRPr="000F5A7E" w:rsidRDefault="001A02BF" w:rsidP="00862146">
                          <w:pPr>
                            <w:pStyle w:val="Intestazione"/>
                            <w:spacing w:line="200" w:lineRule="exact"/>
                            <w:rPr>
                              <w:rFonts w:ascii="Arial Narrow" w:hAnsi="Arial Narrow"/>
                              <w:b/>
                              <w:color w:val="808080"/>
                              <w:sz w:val="20"/>
                            </w:rPr>
                          </w:pPr>
                          <w:r w:rsidRPr="000F5A7E">
                            <w:rPr>
                              <w:rFonts w:ascii="Arial Narrow" w:hAnsi="Arial Narrow"/>
                              <w:b/>
                              <w:color w:val="808080"/>
                              <w:sz w:val="20"/>
                            </w:rPr>
                            <w:t>COMMERCIO ESTERO E PREZZI ALL’IMPORT</w:t>
                          </w:r>
                        </w:p>
                        <w:p w14:paraId="07DB22BB" w14:textId="77777777" w:rsidR="001A02BF" w:rsidRPr="00E26DB7" w:rsidRDefault="001A02BF" w:rsidP="00862146">
                          <w:pPr>
                            <w:pStyle w:val="Intestazione"/>
                            <w:spacing w:line="200" w:lineRule="exact"/>
                            <w:rPr>
                              <w:rFonts w:ascii="Arial Narrow" w:hAnsi="Arial Narrow"/>
                              <w:b/>
                              <w:color w:val="5F5F5F"/>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BFABAE4" id="_x0000_t202" coordsize="21600,21600" o:spt="202" path="m,l,21600r21600,l21600,xe">
              <v:stroke joinstyle="miter"/>
              <v:path gradientshapeok="t" o:connecttype="rect"/>
            </v:shapetype>
            <v:shape id="_x0000_s1027" type="#_x0000_t202" style="position:absolute;margin-left:43.5pt;margin-top:5.15pt;width:143.65pt;height:30.7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" strokecolor="white">
              <v:textbox style="mso-fit-shape-to-text:t" inset="0,0,0,0">
                <w:txbxContent>
                  <w:p w14:paraId="0CF4011B" w14:textId="77777777" w:rsidR="001A02BF" w:rsidRPr="000F5A7E" w:rsidRDefault="001A02BF" w:rsidP="00862146">
                    <w:pPr>
                      <w:pStyle w:val="Intestazione"/>
                      <w:spacing w:line="200" w:lineRule="exact"/>
                      <w:rPr>
                        <w:rFonts w:ascii="Arial Narrow" w:hAnsi="Arial Narrow"/>
                        <w:b/>
                        <w:color w:val="808080"/>
                        <w:sz w:val="20"/>
                      </w:rPr>
                    </w:pPr>
                    <w:r w:rsidRPr="000F5A7E">
                      <w:rPr>
                        <w:rFonts w:ascii="Arial Narrow" w:hAnsi="Arial Narrow"/>
                        <w:b/>
                        <w:color w:val="808080"/>
                        <w:sz w:val="20"/>
                      </w:rPr>
                      <w:t>COMMERCIO ESTERO E PREZZI ALL’IMPORT</w:t>
                    </w:r>
                  </w:p>
                  <w:p w14:paraId="07DB22BB" w14:textId="77777777" w:rsidR="001A02BF" w:rsidRPr="00E26DB7" w:rsidRDefault="001A02BF" w:rsidP="00862146">
                    <w:pPr>
                      <w:pStyle w:val="Intestazione"/>
                      <w:spacing w:line="200" w:lineRule="exact"/>
                      <w:rPr>
                        <w:rFonts w:ascii="Arial Narrow" w:hAnsi="Arial Narrow"/>
                        <w:b/>
                        <w:color w:val="5F5F5F"/>
                      </w:rPr>
                    </w:pPr>
                  </w:p>
                </w:txbxContent>
              </v:textbox>
            </v:shape>
          </w:pict>
        </mc:Fallback>
      </mc:AlternateContent>
    </w:r>
    <w:r>
      <w:rPr>
        <w:noProof/>
      </w:rPr>
      <w:drawing>
        <wp:inline distT="0" distB="0" distL="0" distR="0" wp14:anchorId="330EA11B" wp14:editId="53476AAA">
          <wp:extent cx="6477000" cy="581025"/>
          <wp:effectExtent l="0" t="0" r="0" b="0"/>
          <wp:docPr id="9" name="Immagine 9" descr="iconeComunicatiRosso-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eComunicatiRosso-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5810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140CE" w14:textId="2D91102F" w:rsidR="001A02BF" w:rsidRDefault="001A02BF" w:rsidP="004342C5">
    <w:pPr>
      <w:pStyle w:val="Intestazione"/>
      <w:rPr>
        <w:sz w:val="20"/>
        <w:szCs w:val="20"/>
      </w:rPr>
    </w:pPr>
    <w:r>
      <w:rPr>
        <w:noProof/>
      </w:rPr>
      <w:drawing>
        <wp:anchor distT="0" distB="0" distL="114300" distR="114300" simplePos="0" relativeHeight="251665408" behindDoc="0" locked="0" layoutInCell="1" allowOverlap="1" wp14:anchorId="729C517F" wp14:editId="5D81AF42">
          <wp:simplePos x="0" y="0"/>
          <wp:positionH relativeFrom="column">
            <wp:posOffset>15875</wp:posOffset>
          </wp:positionH>
          <wp:positionV relativeFrom="paragraph">
            <wp:posOffset>-138430</wp:posOffset>
          </wp:positionV>
          <wp:extent cx="5332730" cy="1137920"/>
          <wp:effectExtent l="0" t="0" r="1270" b="5080"/>
          <wp:wrapNone/>
          <wp:docPr id="15" name="Immagine 15" descr="iconeComunicatiRosso-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6" descr="iconeComunicatiRosso-01"/>
                  <pic:cNvPicPr>
                    <a:picLocks noChangeArrowheads="1"/>
                  </pic:cNvPicPr>
                </pic:nvPicPr>
                <pic:blipFill>
                  <a:blip r:embed="rId1">
                    <a:extLst>
                      <a:ext uri="{28A0092B-C50C-407E-A947-70E740481C1C}">
                        <a14:useLocalDpi xmlns:a14="http://schemas.microsoft.com/office/drawing/2010/main" val="0"/>
                      </a:ext>
                    </a:extLst>
                  </a:blip>
                  <a:srcRect l="5" t="-12706" r="16052" b="7286"/>
                  <a:stretch>
                    <a:fillRect/>
                  </a:stretch>
                </pic:blipFill>
                <pic:spPr bwMode="auto">
                  <a:xfrm>
                    <a:off x="0" y="0"/>
                    <a:ext cx="5332730" cy="113792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71EF73FD" wp14:editId="002A6955">
              <wp:simplePos x="0" y="0"/>
              <wp:positionH relativeFrom="column">
                <wp:posOffset>5434965</wp:posOffset>
              </wp:positionH>
              <wp:positionV relativeFrom="paragraph">
                <wp:posOffset>363855</wp:posOffset>
              </wp:positionV>
              <wp:extent cx="994410" cy="701675"/>
              <wp:effectExtent l="0" t="0" r="0" b="3175"/>
              <wp:wrapNone/>
              <wp:docPr id="36" name="Casella di tes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4410" cy="701675"/>
                      </a:xfrm>
                      <a:prstGeom prst="rect">
                        <a:avLst/>
                      </a:prstGeom>
                      <a:solidFill>
                        <a:sysClr val="window" lastClr="FFFFFF"/>
                      </a:solidFill>
                      <a:ln w="6350">
                        <a:noFill/>
                      </a:ln>
                    </wps:spPr>
                    <wps:txbx>
                      <w:txbxContent>
                        <w:p w14:paraId="12715719" w14:textId="77777777" w:rsidR="001A02BF" w:rsidRPr="004342C5" w:rsidRDefault="001A02BF" w:rsidP="004342C5">
                          <w:pPr>
                            <w:spacing w:after="120" w:line="180" w:lineRule="exact"/>
                            <w:rPr>
                              <w:rFonts w:ascii="Arial Narrow" w:hAnsi="Arial Narrow"/>
                              <w:sz w:val="18"/>
                              <w:szCs w:val="18"/>
                            </w:rPr>
                          </w:pPr>
                          <w:r w:rsidRPr="004342C5">
                            <w:rPr>
                              <w:rFonts w:ascii="Arial Narrow" w:hAnsi="Arial Narrow"/>
                              <w:sz w:val="18"/>
                              <w:szCs w:val="18"/>
                            </w:rPr>
                            <w:t>http://www.istat.it</w:t>
                          </w:r>
                        </w:p>
                        <w:p w14:paraId="2127246A" w14:textId="77777777" w:rsidR="001A02BF" w:rsidRDefault="001A02BF" w:rsidP="004342C5">
                          <w:pPr>
                            <w:spacing w:after="120" w:line="180" w:lineRule="exact"/>
                            <w:rPr>
                              <w:rFonts w:ascii="Arial Narrow" w:hAnsi="Arial Narrow"/>
                              <w:b/>
                              <w:bCs/>
                              <w:sz w:val="18"/>
                              <w:szCs w:val="18"/>
                              <w:lang w:val="en-US"/>
                            </w:rPr>
                          </w:pPr>
                          <w:r w:rsidRPr="004342C5">
                            <w:rPr>
                              <w:rFonts w:ascii="Arial Narrow" w:hAnsi="Arial Narrow"/>
                              <w:b/>
                              <w:bCs/>
                              <w:sz w:val="18"/>
                              <w:szCs w:val="18"/>
                            </w:rPr>
                            <w:t>Ufficio Stampa</w:t>
                          </w:r>
                          <w:r w:rsidRPr="004342C5">
                            <w:rPr>
                              <w:rFonts w:ascii="Arial Narrow" w:hAnsi="Arial Narrow"/>
                              <w:b/>
                              <w:bCs/>
                              <w:sz w:val="18"/>
                              <w:szCs w:val="18"/>
                            </w:rPr>
                            <w:br/>
                          </w:r>
                          <w:r w:rsidRPr="004342C5">
                            <w:rPr>
                              <w:rFonts w:ascii="Arial Narrow" w:hAnsi="Arial Narrow"/>
                              <w:sz w:val="18"/>
                              <w:szCs w:val="18"/>
                            </w:rPr>
                            <w:t xml:space="preserve">tel. </w:t>
                          </w:r>
                          <w:r>
                            <w:rPr>
                              <w:rFonts w:ascii="Arial Narrow" w:hAnsi="Arial Narrow"/>
                              <w:sz w:val="18"/>
                              <w:szCs w:val="18"/>
                              <w:lang w:val="en-US"/>
                            </w:rPr>
                            <w:t>+39 06 4673.2243/4</w:t>
                          </w:r>
                        </w:p>
                        <w:p w14:paraId="75ACB12C" w14:textId="77777777" w:rsidR="001A02BF" w:rsidRDefault="001A02BF" w:rsidP="004342C5">
                          <w:pPr>
                            <w:spacing w:after="120" w:line="180" w:lineRule="exact"/>
                            <w:rPr>
                              <w:rFonts w:ascii="Arial Narrow" w:hAnsi="Arial Narrow"/>
                              <w:b/>
                              <w:bCs/>
                              <w:color w:val="7F7F7F"/>
                              <w:sz w:val="18"/>
                              <w:szCs w:val="18"/>
                              <w:lang w:val="en-US"/>
                            </w:rPr>
                          </w:pPr>
                          <w:r>
                            <w:rPr>
                              <w:rFonts w:ascii="Arial Narrow" w:hAnsi="Arial Narrow"/>
                              <w:b/>
                              <w:bCs/>
                              <w:color w:val="7F7F7F"/>
                              <w:sz w:val="18"/>
                              <w:szCs w:val="18"/>
                              <w:lang w:val="en-US"/>
                            </w:rPr>
                            <w:t>ufficiostampa@istat.it</w:t>
                          </w:r>
                        </w:p>
                        <w:p w14:paraId="7D15EDCD" w14:textId="77777777" w:rsidR="001A02BF" w:rsidRDefault="001A02BF" w:rsidP="004342C5">
                          <w:pPr>
                            <w:rPr>
                              <w:rFonts w:ascii="Arial Narrow" w:hAnsi="Arial Narrow"/>
                              <w:b/>
                              <w:bCs/>
                              <w:color w:val="7F7F7F"/>
                              <w:sz w:val="18"/>
                              <w:szCs w:val="18"/>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EF73FD" id="_x0000_t202" coordsize="21600,21600" o:spt="202" path="m,l,21600r21600,l21600,xe">
              <v:stroke joinstyle="miter"/>
              <v:path gradientshapeok="t" o:connecttype="rect"/>
            </v:shapetype>
            <v:shape id="Casella di testo 36" o:spid="_x0000_s1028" type="#_x0000_t202" style="position:absolute;margin-left:427.95pt;margin-top:28.65pt;width:78.3pt;height:5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" fillcolor="window" stroked="f" strokeweight=".5pt">
              <v:path arrowok="t"/>
              <v:textbox inset="0,0,0,0">
                <w:txbxContent>
                  <w:p w14:paraId="12715719" w14:textId="77777777" w:rsidR="001A02BF" w:rsidRPr="004342C5" w:rsidRDefault="001A02BF" w:rsidP="004342C5">
                    <w:pPr>
                      <w:spacing w:after="120" w:line="180" w:lineRule="exact"/>
                      <w:rPr>
                        <w:rFonts w:ascii="Arial Narrow" w:hAnsi="Arial Narrow"/>
                        <w:sz w:val="18"/>
                        <w:szCs w:val="18"/>
                      </w:rPr>
                    </w:pPr>
                    <w:r w:rsidRPr="004342C5">
                      <w:rPr>
                        <w:rFonts w:ascii="Arial Narrow" w:hAnsi="Arial Narrow"/>
                        <w:sz w:val="18"/>
                        <w:szCs w:val="18"/>
                      </w:rPr>
                      <w:t>http://www.istat.it</w:t>
                    </w:r>
                  </w:p>
                  <w:p w14:paraId="2127246A" w14:textId="77777777" w:rsidR="001A02BF" w:rsidRDefault="001A02BF" w:rsidP="004342C5">
                    <w:pPr>
                      <w:spacing w:after="120" w:line="180" w:lineRule="exact"/>
                      <w:rPr>
                        <w:rFonts w:ascii="Arial Narrow" w:hAnsi="Arial Narrow"/>
                        <w:b/>
                        <w:bCs/>
                        <w:sz w:val="18"/>
                        <w:szCs w:val="18"/>
                        <w:lang w:val="en-US"/>
                      </w:rPr>
                    </w:pPr>
                    <w:r w:rsidRPr="004342C5">
                      <w:rPr>
                        <w:rFonts w:ascii="Arial Narrow" w:hAnsi="Arial Narrow"/>
                        <w:b/>
                        <w:bCs/>
                        <w:sz w:val="18"/>
                        <w:szCs w:val="18"/>
                      </w:rPr>
                      <w:t>Ufficio Stampa</w:t>
                    </w:r>
                    <w:r w:rsidRPr="004342C5">
                      <w:rPr>
                        <w:rFonts w:ascii="Arial Narrow" w:hAnsi="Arial Narrow"/>
                        <w:b/>
                        <w:bCs/>
                        <w:sz w:val="18"/>
                        <w:szCs w:val="18"/>
                      </w:rPr>
                      <w:br/>
                    </w:r>
                    <w:r w:rsidRPr="004342C5">
                      <w:rPr>
                        <w:rFonts w:ascii="Arial Narrow" w:hAnsi="Arial Narrow"/>
                        <w:sz w:val="18"/>
                        <w:szCs w:val="18"/>
                      </w:rPr>
                      <w:t xml:space="preserve">tel. </w:t>
                    </w:r>
                    <w:r>
                      <w:rPr>
                        <w:rFonts w:ascii="Arial Narrow" w:hAnsi="Arial Narrow"/>
                        <w:sz w:val="18"/>
                        <w:szCs w:val="18"/>
                        <w:lang w:val="en-US"/>
                      </w:rPr>
                      <w:t>+39 06 4673.2243/4</w:t>
                    </w:r>
                  </w:p>
                  <w:p w14:paraId="75ACB12C" w14:textId="77777777" w:rsidR="001A02BF" w:rsidRDefault="001A02BF" w:rsidP="004342C5">
                    <w:pPr>
                      <w:spacing w:after="120" w:line="180" w:lineRule="exact"/>
                      <w:rPr>
                        <w:rFonts w:ascii="Arial Narrow" w:hAnsi="Arial Narrow"/>
                        <w:b/>
                        <w:bCs/>
                        <w:color w:val="7F7F7F"/>
                        <w:sz w:val="18"/>
                        <w:szCs w:val="18"/>
                        <w:lang w:val="en-US"/>
                      </w:rPr>
                    </w:pPr>
                    <w:r>
                      <w:rPr>
                        <w:rFonts w:ascii="Arial Narrow" w:hAnsi="Arial Narrow"/>
                        <w:b/>
                        <w:bCs/>
                        <w:color w:val="7F7F7F"/>
                        <w:sz w:val="18"/>
                        <w:szCs w:val="18"/>
                        <w:lang w:val="en-US"/>
                      </w:rPr>
                      <w:t>ufficiostampa@istat.it</w:t>
                    </w:r>
                  </w:p>
                  <w:p w14:paraId="7D15EDCD" w14:textId="77777777" w:rsidR="001A02BF" w:rsidRDefault="001A02BF" w:rsidP="004342C5">
                    <w:pPr>
                      <w:rPr>
                        <w:rFonts w:ascii="Arial Narrow" w:hAnsi="Arial Narrow"/>
                        <w:b/>
                        <w:bCs/>
                        <w:color w:val="7F7F7F"/>
                        <w:sz w:val="18"/>
                        <w:szCs w:val="18"/>
                        <w:lang w:val="en-US"/>
                      </w:rPr>
                    </w:pPr>
                  </w:p>
                </w:txbxContent>
              </v:textbox>
            </v:shape>
          </w:pict>
        </mc:Fallback>
      </mc:AlternateContent>
    </w:r>
    <w:r>
      <w:rPr>
        <w:noProof/>
      </w:rPr>
      <mc:AlternateContent>
        <mc:Choice Requires="wps">
          <w:drawing>
            <wp:anchor distT="4294967295" distB="4294967295" distL="114300" distR="114300" simplePos="0" relativeHeight="251664384" behindDoc="0" locked="0" layoutInCell="1" allowOverlap="1" wp14:anchorId="0A419EAF" wp14:editId="1D103BB8">
              <wp:simplePos x="0" y="0"/>
              <wp:positionH relativeFrom="column">
                <wp:posOffset>0</wp:posOffset>
              </wp:positionH>
              <wp:positionV relativeFrom="paragraph">
                <wp:posOffset>1082039</wp:posOffset>
              </wp:positionV>
              <wp:extent cx="6414770" cy="0"/>
              <wp:effectExtent l="0" t="0" r="24130" b="19050"/>
              <wp:wrapNone/>
              <wp:docPr id="37" name="Connettore diritto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4770" cy="0"/>
                      </a:xfrm>
                      <a:prstGeom prst="line">
                        <a:avLst/>
                      </a:prstGeom>
                      <a:noFill/>
                      <a:ln w="9525" cap="flat" cmpd="sng" algn="ctr">
                        <a:solidFill>
                          <a:sysClr val="window" lastClr="FFFFFF">
                            <a:lumMod val="50000"/>
                          </a:sysClr>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A59623B" id="Connettore diritto 37"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85.2pt" to="505.1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" strokecolor="#7f7f7f">
              <v:stroke joinstyle="miter"/>
              <o:lock v:ext="edit" shapetype="f"/>
            </v:line>
          </w:pict>
        </mc:Fallback>
      </mc:AlternateContent>
    </w:r>
  </w:p>
  <w:p w14:paraId="314B2889" w14:textId="428A5D81" w:rsidR="001A02BF" w:rsidRPr="004342C5" w:rsidRDefault="001A02BF" w:rsidP="004342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9DA63" w14:textId="77777777" w:rsidR="001A02BF" w:rsidRPr="009E5F03" w:rsidRDefault="001A02BF" w:rsidP="009E5F03">
    <w:pPr>
      <w:pStyle w:val="Intestazione"/>
    </w:pPr>
    <w:r>
      <w:rPr>
        <w:noProof/>
      </w:rPr>
      <mc:AlternateContent>
        <mc:Choice Requires="wps">
          <w:drawing>
            <wp:anchor distT="0" distB="0" distL="114300" distR="114300" simplePos="0" relativeHeight="251659264" behindDoc="0" locked="0" layoutInCell="1" allowOverlap="1" wp14:anchorId="587627AC" wp14:editId="47DCDAFC">
              <wp:simplePos x="0" y="0"/>
              <wp:positionH relativeFrom="column">
                <wp:posOffset>536575</wp:posOffset>
              </wp:positionH>
              <wp:positionV relativeFrom="paragraph">
                <wp:posOffset>60960</wp:posOffset>
              </wp:positionV>
              <wp:extent cx="1752600" cy="390525"/>
              <wp:effectExtent l="0" t="0" r="0" b="0"/>
              <wp:wrapNone/>
              <wp:docPr id="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90525"/>
                      </a:xfrm>
                      <a:prstGeom prst="rect">
                        <a:avLst/>
                      </a:prstGeom>
                      <a:solidFill>
                        <a:srgbClr val="FFFFFF"/>
                      </a:solidFill>
                      <a:ln w="9525">
                        <a:solidFill>
                          <a:srgbClr val="FFFFFF"/>
                        </a:solidFill>
                        <a:miter lim="800000"/>
                        <a:headEnd/>
                        <a:tailEnd/>
                      </a:ln>
                    </wps:spPr>
                    <wps:txbx>
                      <w:txbxContent>
                        <w:p w14:paraId="57DE39C9" w14:textId="77777777" w:rsidR="001A02BF" w:rsidRPr="000F5A7E" w:rsidRDefault="001A02BF" w:rsidP="00B72ADE">
                          <w:pPr>
                            <w:pStyle w:val="Intestazione"/>
                            <w:spacing w:line="200" w:lineRule="exact"/>
                            <w:rPr>
                              <w:rFonts w:ascii="Arial Narrow" w:hAnsi="Arial Narrow"/>
                              <w:b/>
                              <w:color w:val="808080"/>
                              <w:sz w:val="20"/>
                            </w:rPr>
                          </w:pPr>
                          <w:r w:rsidRPr="000F5A7E">
                            <w:rPr>
                              <w:rFonts w:ascii="Arial Narrow" w:hAnsi="Arial Narrow"/>
                              <w:b/>
                              <w:color w:val="808080"/>
                              <w:sz w:val="20"/>
                            </w:rPr>
                            <w:t>COMMERCIO ESTERO E PREZZI ALL’IMPORT</w:t>
                          </w:r>
                        </w:p>
                        <w:p w14:paraId="035BC28B" w14:textId="77777777" w:rsidR="001A02BF" w:rsidRPr="0017508C" w:rsidRDefault="001A02BF" w:rsidP="00B249D0">
                          <w:pPr>
                            <w:pStyle w:val="Intestazione"/>
                            <w:spacing w:line="200" w:lineRule="exact"/>
                            <w:rPr>
                              <w:rFonts w:ascii="Arial Narrow" w:hAnsi="Arial Narrow"/>
                              <w:b/>
                              <w:color w:val="999999"/>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87627AC" id="_x0000_t202" coordsize="21600,21600" o:spt="202" path="m,l,21600r21600,l21600,xe">
              <v:stroke joinstyle="miter"/>
              <v:path gradientshapeok="t" o:connecttype="rect"/>
            </v:shapetype>
            <v:shape id="_x0000_s1029" type="#_x0000_t202" style="position:absolute;margin-left:42.25pt;margin-top:4.8pt;width:138pt;height:30.7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" strokecolor="white">
              <v:textbox style="mso-fit-shape-to-text:t" inset="0,0,0,0">
                <w:txbxContent>
                  <w:p w14:paraId="57DE39C9" w14:textId="77777777" w:rsidR="001A02BF" w:rsidRPr="000F5A7E" w:rsidRDefault="001A02BF" w:rsidP="00B72ADE">
                    <w:pPr>
                      <w:pStyle w:val="Intestazione"/>
                      <w:spacing w:line="200" w:lineRule="exact"/>
                      <w:rPr>
                        <w:rFonts w:ascii="Arial Narrow" w:hAnsi="Arial Narrow"/>
                        <w:b/>
                        <w:color w:val="808080"/>
                        <w:sz w:val="20"/>
                      </w:rPr>
                    </w:pPr>
                    <w:r w:rsidRPr="000F5A7E">
                      <w:rPr>
                        <w:rFonts w:ascii="Arial Narrow" w:hAnsi="Arial Narrow"/>
                        <w:b/>
                        <w:color w:val="808080"/>
                        <w:sz w:val="20"/>
                      </w:rPr>
                      <w:t>COMMERCIO ESTERO E PREZZI ALL’IMPORT</w:t>
                    </w:r>
                  </w:p>
                  <w:p w14:paraId="035BC28B" w14:textId="77777777" w:rsidR="001A02BF" w:rsidRPr="0017508C" w:rsidRDefault="001A02BF" w:rsidP="00B249D0">
                    <w:pPr>
                      <w:pStyle w:val="Intestazione"/>
                      <w:spacing w:line="200" w:lineRule="exact"/>
                      <w:rPr>
                        <w:rFonts w:ascii="Arial Narrow" w:hAnsi="Arial Narrow"/>
                        <w:b/>
                        <w:color w:val="999999"/>
                      </w:rPr>
                    </w:pPr>
                  </w:p>
                </w:txbxContent>
              </v:textbox>
            </v:shape>
          </w:pict>
        </mc:Fallback>
      </mc:AlternateContent>
    </w:r>
    <w:r w:rsidRPr="00287543">
      <w:rPr>
        <w:noProof/>
      </w:rPr>
      <w:drawing>
        <wp:inline distT="0" distB="0" distL="0" distR="0" wp14:anchorId="7EC9C5CB" wp14:editId="1DB5EB31">
          <wp:extent cx="6477000" cy="590550"/>
          <wp:effectExtent l="0" t="0" r="0" b="0"/>
          <wp:docPr id="7" name="Immagine 7" descr="iconeComunicatiRosso-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coneComunicatiRosso-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5905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4C4D9" w14:textId="77777777" w:rsidR="001A02BF" w:rsidRPr="009E5F03" w:rsidRDefault="001A02BF" w:rsidP="009E5F03">
    <w:pPr>
      <w:pStyle w:val="Intestazione"/>
    </w:pPr>
    <w:r>
      <w:rPr>
        <w:noProof/>
      </w:rPr>
      <mc:AlternateContent>
        <mc:Choice Requires="wps">
          <w:drawing>
            <wp:anchor distT="0" distB="0" distL="114300" distR="114300" simplePos="0" relativeHeight="251660288" behindDoc="0" locked="0" layoutInCell="1" allowOverlap="1" wp14:anchorId="670C86BF" wp14:editId="669A4652">
              <wp:simplePos x="0" y="0"/>
              <wp:positionH relativeFrom="column">
                <wp:posOffset>536575</wp:posOffset>
              </wp:positionH>
              <wp:positionV relativeFrom="paragraph">
                <wp:posOffset>60960</wp:posOffset>
              </wp:positionV>
              <wp:extent cx="1752600" cy="263525"/>
              <wp:effectExtent l="0" t="0" r="0" b="3810"/>
              <wp:wrapNone/>
              <wp:docPr id="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63525"/>
                      </a:xfrm>
                      <a:prstGeom prst="rect">
                        <a:avLst/>
                      </a:prstGeom>
                      <a:solidFill>
                        <a:srgbClr val="FFFFFF"/>
                      </a:solidFill>
                      <a:ln w="9525">
                        <a:solidFill>
                          <a:srgbClr val="FFFFFF"/>
                        </a:solidFill>
                        <a:miter lim="800000"/>
                        <a:headEnd/>
                        <a:tailEnd/>
                      </a:ln>
                    </wps:spPr>
                    <wps:txbx>
                      <w:txbxContent>
                        <w:p w14:paraId="0F39A46F" w14:textId="77777777" w:rsidR="001A02BF" w:rsidRPr="00E74CD4" w:rsidRDefault="001A02BF" w:rsidP="00B249D0">
                          <w:pPr>
                            <w:pStyle w:val="Intestazione"/>
                            <w:spacing w:line="200" w:lineRule="exact"/>
                            <w:rPr>
                              <w:rFonts w:ascii="Arial Narrow" w:hAnsi="Arial Narrow"/>
                              <w:b/>
                              <w:color w:val="808080"/>
                              <w:sz w:val="20"/>
                              <w:szCs w:val="20"/>
                            </w:rPr>
                          </w:pPr>
                          <w:r w:rsidRPr="00E74CD4">
                            <w:rPr>
                              <w:rFonts w:ascii="Arial Narrow" w:hAnsi="Arial Narrow"/>
                              <w:b/>
                              <w:color w:val="808080"/>
                              <w:sz w:val="20"/>
                              <w:szCs w:val="20"/>
                            </w:rPr>
                            <w:t>COMMERCIO ESTERO E PREZZI ALL’IMPORT</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670C86BF" id="_x0000_t202" coordsize="21600,21600" o:spt="202" path="m,l,21600r21600,l21600,xe">
              <v:stroke joinstyle="miter"/>
              <v:path gradientshapeok="t" o:connecttype="rect"/>
            </v:shapetype>
            <v:shape id="_x0000_s1030" type="#_x0000_t202" style="position:absolute;margin-left:42.25pt;margin-top:4.8pt;width:138pt;height:2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" strokecolor="white">
              <v:textbox style="mso-fit-shape-to-text:t" inset="0,0,0,0">
                <w:txbxContent>
                  <w:p w14:paraId="0F39A46F" w14:textId="77777777" w:rsidR="001A02BF" w:rsidRPr="00E74CD4" w:rsidRDefault="001A02BF" w:rsidP="00B249D0">
                    <w:pPr>
                      <w:pStyle w:val="Intestazione"/>
                      <w:spacing w:line="200" w:lineRule="exact"/>
                      <w:rPr>
                        <w:rFonts w:ascii="Arial Narrow" w:hAnsi="Arial Narrow"/>
                        <w:b/>
                        <w:color w:val="808080"/>
                        <w:sz w:val="20"/>
                        <w:szCs w:val="20"/>
                      </w:rPr>
                    </w:pPr>
                    <w:r w:rsidRPr="00E74CD4">
                      <w:rPr>
                        <w:rFonts w:ascii="Arial Narrow" w:hAnsi="Arial Narrow"/>
                        <w:b/>
                        <w:color w:val="808080"/>
                        <w:sz w:val="20"/>
                        <w:szCs w:val="20"/>
                      </w:rPr>
                      <w:t>COMMERCIO ESTERO E PREZZI ALL’IMPORT</w:t>
                    </w:r>
                  </w:p>
                </w:txbxContent>
              </v:textbox>
            </v:shape>
          </w:pict>
        </mc:Fallback>
      </mc:AlternateContent>
    </w:r>
    <w:r>
      <w:rPr>
        <w:noProof/>
      </w:rPr>
      <w:drawing>
        <wp:inline distT="0" distB="0" distL="0" distR="0" wp14:anchorId="47889812" wp14:editId="5E3ED409">
          <wp:extent cx="6477000" cy="590550"/>
          <wp:effectExtent l="0" t="0" r="0" b="0"/>
          <wp:docPr id="21" name="Immagine 21" descr="iconeComunicati-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coneComunicati-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59055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CCA90" w14:textId="77777777" w:rsidR="001A02BF" w:rsidRPr="009E5F03" w:rsidRDefault="001A02BF" w:rsidP="009E5F03">
    <w:pPr>
      <w:pStyle w:val="Intestazione"/>
    </w:pPr>
    <w:r>
      <w:rPr>
        <w:noProof/>
      </w:rPr>
      <mc:AlternateContent>
        <mc:Choice Requires="wps">
          <w:drawing>
            <wp:anchor distT="0" distB="0" distL="114300" distR="114300" simplePos="0" relativeHeight="251655168" behindDoc="0" locked="0" layoutInCell="1" allowOverlap="1" wp14:anchorId="2B5953E2" wp14:editId="1CF3CD2F">
              <wp:simplePos x="0" y="0"/>
              <wp:positionH relativeFrom="column">
                <wp:posOffset>536575</wp:posOffset>
              </wp:positionH>
              <wp:positionV relativeFrom="paragraph">
                <wp:posOffset>60960</wp:posOffset>
              </wp:positionV>
              <wp:extent cx="1965325" cy="39052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325" cy="390525"/>
                      </a:xfrm>
                      <a:prstGeom prst="rect">
                        <a:avLst/>
                      </a:prstGeom>
                      <a:solidFill>
                        <a:srgbClr val="FFFFFF"/>
                      </a:solidFill>
                      <a:ln w="9525">
                        <a:solidFill>
                          <a:srgbClr val="FFFFFF"/>
                        </a:solidFill>
                        <a:miter lim="800000"/>
                        <a:headEnd/>
                        <a:tailEnd/>
                      </a:ln>
                    </wps:spPr>
                    <wps:txbx>
                      <w:txbxContent>
                        <w:p w14:paraId="300BD506" w14:textId="77777777" w:rsidR="001A02BF" w:rsidRPr="00E74CD4" w:rsidRDefault="001A02BF" w:rsidP="00B72ADE">
                          <w:pPr>
                            <w:pStyle w:val="Intestazione"/>
                            <w:spacing w:line="200" w:lineRule="exact"/>
                            <w:rPr>
                              <w:rFonts w:ascii="Arial Narrow" w:hAnsi="Arial Narrow"/>
                              <w:b/>
                              <w:color w:val="808080"/>
                              <w:sz w:val="20"/>
                            </w:rPr>
                          </w:pPr>
                          <w:r w:rsidRPr="00E74CD4">
                            <w:rPr>
                              <w:rFonts w:ascii="Arial Narrow" w:hAnsi="Arial Narrow"/>
                              <w:b/>
                              <w:color w:val="808080"/>
                              <w:sz w:val="20"/>
                            </w:rPr>
                            <w:t>COMMERCIO ESTERO E PREZZI ALL’IMPORT</w:t>
                          </w:r>
                        </w:p>
                        <w:p w14:paraId="50F805BE" w14:textId="77777777" w:rsidR="001A02BF" w:rsidRPr="00B81D29" w:rsidRDefault="001A02BF" w:rsidP="00B249D0">
                          <w:pPr>
                            <w:pStyle w:val="Intestazione"/>
                            <w:spacing w:line="200" w:lineRule="exact"/>
                            <w:rPr>
                              <w:rFonts w:ascii="Arial Narrow" w:hAnsi="Arial Narrow"/>
                              <w:b/>
                              <w:color w:val="808080"/>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B5953E2" id="_x0000_t202" coordsize="21600,21600" o:spt="202" path="m,l,21600r21600,l21600,xe">
              <v:stroke joinstyle="miter"/>
              <v:path gradientshapeok="t" o:connecttype="rect"/>
            </v:shapetype>
            <v:shape id="_x0000_s1031" type="#_x0000_t202" style="position:absolute;margin-left:42.25pt;margin-top:4.8pt;width:154.75pt;height:30.75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" strokecolor="white">
              <v:textbox style="mso-fit-shape-to-text:t" inset="0,0,0,0">
                <w:txbxContent>
                  <w:p w14:paraId="300BD506" w14:textId="77777777" w:rsidR="001A02BF" w:rsidRPr="00E74CD4" w:rsidRDefault="001A02BF" w:rsidP="00B72ADE">
                    <w:pPr>
                      <w:pStyle w:val="Intestazione"/>
                      <w:spacing w:line="200" w:lineRule="exact"/>
                      <w:rPr>
                        <w:rFonts w:ascii="Arial Narrow" w:hAnsi="Arial Narrow"/>
                        <w:b/>
                        <w:color w:val="808080"/>
                        <w:sz w:val="20"/>
                      </w:rPr>
                    </w:pPr>
                    <w:r w:rsidRPr="00E74CD4">
                      <w:rPr>
                        <w:rFonts w:ascii="Arial Narrow" w:hAnsi="Arial Narrow"/>
                        <w:b/>
                        <w:color w:val="808080"/>
                        <w:sz w:val="20"/>
                      </w:rPr>
                      <w:t>COMMERCIO ESTERO E PREZZI ALL’IMPORT</w:t>
                    </w:r>
                  </w:p>
                  <w:p w14:paraId="50F805BE" w14:textId="77777777" w:rsidR="001A02BF" w:rsidRPr="00B81D29" w:rsidRDefault="001A02BF" w:rsidP="00B249D0">
                    <w:pPr>
                      <w:pStyle w:val="Intestazione"/>
                      <w:spacing w:line="200" w:lineRule="exact"/>
                      <w:rPr>
                        <w:rFonts w:ascii="Arial Narrow" w:hAnsi="Arial Narrow"/>
                        <w:b/>
                        <w:color w:val="808080"/>
                      </w:rPr>
                    </w:pPr>
                  </w:p>
                </w:txbxContent>
              </v:textbox>
            </v:shape>
          </w:pict>
        </mc:Fallback>
      </mc:AlternateContent>
    </w:r>
    <w:r w:rsidRPr="00670D3C">
      <w:rPr>
        <w:noProof/>
      </w:rPr>
      <w:drawing>
        <wp:inline distT="0" distB="0" distL="0" distR="0" wp14:anchorId="501353DF" wp14:editId="10857D03">
          <wp:extent cx="6477000" cy="590550"/>
          <wp:effectExtent l="0" t="0" r="0" b="0"/>
          <wp:docPr id="22" name="Immagine 22" descr="iconeComunicatiRosso-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coneComunicatiRosso-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59055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C4C28" w14:textId="77777777" w:rsidR="001A02BF" w:rsidRPr="009E5F03" w:rsidRDefault="001A02BF" w:rsidP="009E5F03">
    <w:pPr>
      <w:pStyle w:val="Intestazione"/>
    </w:pPr>
    <w:r>
      <w:rPr>
        <w:noProof/>
      </w:rPr>
      <mc:AlternateContent>
        <mc:Choice Requires="wps">
          <w:drawing>
            <wp:anchor distT="0" distB="0" distL="114300" distR="114300" simplePos="0" relativeHeight="251667456" behindDoc="0" locked="0" layoutInCell="1" allowOverlap="1" wp14:anchorId="283D027B" wp14:editId="4794F03D">
              <wp:simplePos x="0" y="0"/>
              <wp:positionH relativeFrom="column">
                <wp:posOffset>536575</wp:posOffset>
              </wp:positionH>
              <wp:positionV relativeFrom="paragraph">
                <wp:posOffset>60960</wp:posOffset>
              </wp:positionV>
              <wp:extent cx="1965325" cy="390525"/>
              <wp:effectExtent l="0" t="0" r="0" b="0"/>
              <wp:wrapNone/>
              <wp:docPr id="1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325" cy="390525"/>
                      </a:xfrm>
                      <a:prstGeom prst="rect">
                        <a:avLst/>
                      </a:prstGeom>
                      <a:solidFill>
                        <a:srgbClr val="FFFFFF"/>
                      </a:solidFill>
                      <a:ln w="9525">
                        <a:solidFill>
                          <a:srgbClr val="FFFFFF"/>
                        </a:solidFill>
                        <a:miter lim="800000"/>
                        <a:headEnd/>
                        <a:tailEnd/>
                      </a:ln>
                    </wps:spPr>
                    <wps:txbx>
                      <w:txbxContent>
                        <w:p w14:paraId="0626CF6E" w14:textId="77777777" w:rsidR="001A02BF" w:rsidRPr="00E74CD4" w:rsidRDefault="001A02BF" w:rsidP="00B72ADE">
                          <w:pPr>
                            <w:pStyle w:val="Intestazione"/>
                            <w:spacing w:line="200" w:lineRule="exact"/>
                            <w:rPr>
                              <w:rFonts w:ascii="Arial Narrow" w:hAnsi="Arial Narrow"/>
                              <w:b/>
                              <w:color w:val="808080"/>
                              <w:sz w:val="20"/>
                            </w:rPr>
                          </w:pPr>
                          <w:r w:rsidRPr="00E74CD4">
                            <w:rPr>
                              <w:rFonts w:ascii="Arial Narrow" w:hAnsi="Arial Narrow"/>
                              <w:b/>
                              <w:color w:val="808080"/>
                              <w:sz w:val="20"/>
                            </w:rPr>
                            <w:t>COMMERCIO ESTERO E PREZZI ALL’IMPORT</w:t>
                          </w:r>
                        </w:p>
                        <w:p w14:paraId="19F054A7" w14:textId="77777777" w:rsidR="001A02BF" w:rsidRPr="00B81D29" w:rsidRDefault="001A02BF" w:rsidP="00B249D0">
                          <w:pPr>
                            <w:pStyle w:val="Intestazione"/>
                            <w:spacing w:line="200" w:lineRule="exact"/>
                            <w:rPr>
                              <w:rFonts w:ascii="Arial Narrow" w:hAnsi="Arial Narrow"/>
                              <w:b/>
                              <w:color w:val="808080"/>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83D027B" id="_x0000_t202" coordsize="21600,21600" o:spt="202" path="m,l,21600r21600,l21600,xe">
              <v:stroke joinstyle="miter"/>
              <v:path gradientshapeok="t" o:connecttype="rect"/>
            </v:shapetype>
            <v:shape id="_x0000_s1032" type="#_x0000_t202" style="position:absolute;margin-left:42.25pt;margin-top:4.8pt;width:154.75pt;height:30.7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" strokecolor="white">
              <v:textbox style="mso-fit-shape-to-text:t" inset="0,0,0,0">
                <w:txbxContent>
                  <w:p w14:paraId="0626CF6E" w14:textId="77777777" w:rsidR="0004409E" w:rsidRPr="00E74CD4" w:rsidRDefault="0004409E" w:rsidP="00B72ADE">
                    <w:pPr>
                      <w:pStyle w:val="Intestazione"/>
                      <w:spacing w:line="200" w:lineRule="exact"/>
                      <w:rPr>
                        <w:rFonts w:ascii="Arial Narrow" w:hAnsi="Arial Narrow"/>
                        <w:b/>
                        <w:color w:val="808080"/>
                        <w:sz w:val="20"/>
                      </w:rPr>
                    </w:pPr>
                    <w:r w:rsidRPr="00E74CD4">
                      <w:rPr>
                        <w:rFonts w:ascii="Arial Narrow" w:hAnsi="Arial Narrow"/>
                        <w:b/>
                        <w:color w:val="808080"/>
                        <w:sz w:val="20"/>
                      </w:rPr>
                      <w:t>COMMERCIO ESTERO E PREZZI ALL’IMPORT</w:t>
                    </w:r>
                  </w:p>
                  <w:p w14:paraId="19F054A7" w14:textId="77777777" w:rsidR="0004409E" w:rsidRPr="00B81D29" w:rsidRDefault="0004409E" w:rsidP="00B249D0">
                    <w:pPr>
                      <w:pStyle w:val="Intestazione"/>
                      <w:spacing w:line="200" w:lineRule="exact"/>
                      <w:rPr>
                        <w:rFonts w:ascii="Arial Narrow" w:hAnsi="Arial Narrow"/>
                        <w:b/>
                        <w:color w:val="808080"/>
                      </w:rPr>
                    </w:pPr>
                  </w:p>
                </w:txbxContent>
              </v:textbox>
            </v:shape>
          </w:pict>
        </mc:Fallback>
      </mc:AlternateContent>
    </w:r>
    <w:r w:rsidRPr="0052352C">
      <w:rPr>
        <w:noProof/>
      </w:rPr>
      <w:drawing>
        <wp:inline distT="0" distB="0" distL="0" distR="0" wp14:anchorId="37D13FE8" wp14:editId="718D88C3">
          <wp:extent cx="6477000" cy="590550"/>
          <wp:effectExtent l="0" t="0" r="0" b="0"/>
          <wp:docPr id="13" name="Immagine 13" descr="iconeComunicatiRoss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coneComunicatiRosso-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590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8.45pt;height:8.45pt" o:bullet="t">
        <v:imagedata r:id="rId1" o:title=""/>
      </v:shape>
    </w:pict>
  </w:numPicBullet>
  <w:numPicBullet w:numPicBulletId="1">
    <w:pict>
      <v:shape id="_x0000_i1031" type="#_x0000_t75" style="width:4.5pt;height:7.2pt" o:bullet="t">
        <v:imagedata r:id="rId2" o:title=""/>
      </v:shape>
    </w:pict>
  </w:numPicBullet>
  <w:abstractNum w:abstractNumId="0" w15:restartNumberingAfterBreak="0">
    <w:nsid w:val="FFFFFF1D"/>
    <w:multiLevelType w:val="multilevel"/>
    <w:tmpl w:val="F1A4DCE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22D62"/>
    <w:multiLevelType w:val="hybridMultilevel"/>
    <w:tmpl w:val="2EA4AA2A"/>
    <w:lvl w:ilvl="0" w:tplc="7FE041A6">
      <w:start w:val="1"/>
      <w:numFmt w:val="bullet"/>
      <w:lvlText w:val=""/>
      <w:lvlJc w:val="left"/>
      <w:pPr>
        <w:ind w:left="720" w:hanging="360"/>
      </w:pPr>
      <w:rPr>
        <w:rFonts w:ascii="Wingdings" w:hAnsi="Wingdings" w:hint="default"/>
        <w:b/>
        <w:i w:val="0"/>
        <w:color w:val="FF0000"/>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26E56C4"/>
    <w:multiLevelType w:val="hybridMultilevel"/>
    <w:tmpl w:val="AB00ACB0"/>
    <w:lvl w:ilvl="0" w:tplc="723CD9BA">
      <w:start w:val="1"/>
      <w:numFmt w:val="bullet"/>
      <w:lvlText w:val=""/>
      <w:lvlPicBulletId w:val="1"/>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3" w15:restartNumberingAfterBreak="0">
    <w:nsid w:val="03B30D2B"/>
    <w:multiLevelType w:val="hybridMultilevel"/>
    <w:tmpl w:val="5CEC454A"/>
    <w:lvl w:ilvl="0" w:tplc="785E333E">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3E056BD"/>
    <w:multiLevelType w:val="hybridMultilevel"/>
    <w:tmpl w:val="93188842"/>
    <w:lvl w:ilvl="0" w:tplc="04100017">
      <w:start w:val="1"/>
      <w:numFmt w:val="lowerLetter"/>
      <w:lvlText w:val="%1)"/>
      <w:lvlJc w:val="left"/>
      <w:pPr>
        <w:ind w:left="2517" w:hanging="360"/>
      </w:pPr>
    </w:lvl>
    <w:lvl w:ilvl="1" w:tplc="04100003" w:tentative="1">
      <w:start w:val="1"/>
      <w:numFmt w:val="bullet"/>
      <w:lvlText w:val="o"/>
      <w:lvlJc w:val="left"/>
      <w:pPr>
        <w:ind w:left="3237" w:hanging="360"/>
      </w:pPr>
      <w:rPr>
        <w:rFonts w:ascii="Courier New" w:hAnsi="Courier New" w:cs="Courier New" w:hint="default"/>
      </w:rPr>
    </w:lvl>
    <w:lvl w:ilvl="2" w:tplc="04100005" w:tentative="1">
      <w:start w:val="1"/>
      <w:numFmt w:val="bullet"/>
      <w:lvlText w:val=""/>
      <w:lvlJc w:val="left"/>
      <w:pPr>
        <w:ind w:left="3957" w:hanging="360"/>
      </w:pPr>
      <w:rPr>
        <w:rFonts w:ascii="Wingdings" w:hAnsi="Wingdings" w:hint="default"/>
      </w:rPr>
    </w:lvl>
    <w:lvl w:ilvl="3" w:tplc="04100001" w:tentative="1">
      <w:start w:val="1"/>
      <w:numFmt w:val="bullet"/>
      <w:lvlText w:val=""/>
      <w:lvlJc w:val="left"/>
      <w:pPr>
        <w:ind w:left="4677" w:hanging="360"/>
      </w:pPr>
      <w:rPr>
        <w:rFonts w:ascii="Symbol" w:hAnsi="Symbol" w:hint="default"/>
      </w:rPr>
    </w:lvl>
    <w:lvl w:ilvl="4" w:tplc="04100003" w:tentative="1">
      <w:start w:val="1"/>
      <w:numFmt w:val="bullet"/>
      <w:lvlText w:val="o"/>
      <w:lvlJc w:val="left"/>
      <w:pPr>
        <w:ind w:left="5397" w:hanging="360"/>
      </w:pPr>
      <w:rPr>
        <w:rFonts w:ascii="Courier New" w:hAnsi="Courier New" w:cs="Courier New" w:hint="default"/>
      </w:rPr>
    </w:lvl>
    <w:lvl w:ilvl="5" w:tplc="04100005" w:tentative="1">
      <w:start w:val="1"/>
      <w:numFmt w:val="bullet"/>
      <w:lvlText w:val=""/>
      <w:lvlJc w:val="left"/>
      <w:pPr>
        <w:ind w:left="6117" w:hanging="360"/>
      </w:pPr>
      <w:rPr>
        <w:rFonts w:ascii="Wingdings" w:hAnsi="Wingdings" w:hint="default"/>
      </w:rPr>
    </w:lvl>
    <w:lvl w:ilvl="6" w:tplc="04100001" w:tentative="1">
      <w:start w:val="1"/>
      <w:numFmt w:val="bullet"/>
      <w:lvlText w:val=""/>
      <w:lvlJc w:val="left"/>
      <w:pPr>
        <w:ind w:left="6837" w:hanging="360"/>
      </w:pPr>
      <w:rPr>
        <w:rFonts w:ascii="Symbol" w:hAnsi="Symbol" w:hint="default"/>
      </w:rPr>
    </w:lvl>
    <w:lvl w:ilvl="7" w:tplc="04100003" w:tentative="1">
      <w:start w:val="1"/>
      <w:numFmt w:val="bullet"/>
      <w:lvlText w:val="o"/>
      <w:lvlJc w:val="left"/>
      <w:pPr>
        <w:ind w:left="7557" w:hanging="360"/>
      </w:pPr>
      <w:rPr>
        <w:rFonts w:ascii="Courier New" w:hAnsi="Courier New" w:cs="Courier New" w:hint="default"/>
      </w:rPr>
    </w:lvl>
    <w:lvl w:ilvl="8" w:tplc="04100005" w:tentative="1">
      <w:start w:val="1"/>
      <w:numFmt w:val="bullet"/>
      <w:lvlText w:val=""/>
      <w:lvlJc w:val="left"/>
      <w:pPr>
        <w:ind w:left="8277" w:hanging="360"/>
      </w:pPr>
      <w:rPr>
        <w:rFonts w:ascii="Wingdings" w:hAnsi="Wingdings" w:hint="default"/>
      </w:rPr>
    </w:lvl>
  </w:abstractNum>
  <w:abstractNum w:abstractNumId="5" w15:restartNumberingAfterBreak="0">
    <w:nsid w:val="056C3596"/>
    <w:multiLevelType w:val="multilevel"/>
    <w:tmpl w:val="98E2AEF0"/>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59315D3"/>
    <w:multiLevelType w:val="hybridMultilevel"/>
    <w:tmpl w:val="EF400274"/>
    <w:lvl w:ilvl="0" w:tplc="8CAC103E">
      <w:start w:val="1"/>
      <w:numFmt w:val="bullet"/>
      <w:lvlText w:val=""/>
      <w:lvlPicBulletId w:val="1"/>
      <w:lvlJc w:val="left"/>
      <w:pPr>
        <w:tabs>
          <w:tab w:val="num" w:pos="720"/>
        </w:tabs>
        <w:ind w:left="720" w:hanging="360"/>
      </w:pPr>
      <w:rPr>
        <w:rFonts w:ascii="Symbol" w:hAnsi="Symbol" w:hint="default"/>
      </w:rPr>
    </w:lvl>
    <w:lvl w:ilvl="1" w:tplc="950A23AE" w:tentative="1">
      <w:start w:val="1"/>
      <w:numFmt w:val="bullet"/>
      <w:lvlText w:val=""/>
      <w:lvlJc w:val="left"/>
      <w:pPr>
        <w:tabs>
          <w:tab w:val="num" w:pos="1440"/>
        </w:tabs>
        <w:ind w:left="1440" w:hanging="360"/>
      </w:pPr>
      <w:rPr>
        <w:rFonts w:ascii="Symbol" w:hAnsi="Symbol" w:hint="default"/>
      </w:rPr>
    </w:lvl>
    <w:lvl w:ilvl="2" w:tplc="10E0DD76" w:tentative="1">
      <w:start w:val="1"/>
      <w:numFmt w:val="bullet"/>
      <w:lvlText w:val=""/>
      <w:lvlJc w:val="left"/>
      <w:pPr>
        <w:tabs>
          <w:tab w:val="num" w:pos="2160"/>
        </w:tabs>
        <w:ind w:left="2160" w:hanging="360"/>
      </w:pPr>
      <w:rPr>
        <w:rFonts w:ascii="Symbol" w:hAnsi="Symbol" w:hint="default"/>
      </w:rPr>
    </w:lvl>
    <w:lvl w:ilvl="3" w:tplc="A5229CBE" w:tentative="1">
      <w:start w:val="1"/>
      <w:numFmt w:val="bullet"/>
      <w:lvlText w:val=""/>
      <w:lvlJc w:val="left"/>
      <w:pPr>
        <w:tabs>
          <w:tab w:val="num" w:pos="2880"/>
        </w:tabs>
        <w:ind w:left="2880" w:hanging="360"/>
      </w:pPr>
      <w:rPr>
        <w:rFonts w:ascii="Symbol" w:hAnsi="Symbol" w:hint="default"/>
      </w:rPr>
    </w:lvl>
    <w:lvl w:ilvl="4" w:tplc="BD863054" w:tentative="1">
      <w:start w:val="1"/>
      <w:numFmt w:val="bullet"/>
      <w:lvlText w:val=""/>
      <w:lvlJc w:val="left"/>
      <w:pPr>
        <w:tabs>
          <w:tab w:val="num" w:pos="3600"/>
        </w:tabs>
        <w:ind w:left="3600" w:hanging="360"/>
      </w:pPr>
      <w:rPr>
        <w:rFonts w:ascii="Symbol" w:hAnsi="Symbol" w:hint="default"/>
      </w:rPr>
    </w:lvl>
    <w:lvl w:ilvl="5" w:tplc="6046C154" w:tentative="1">
      <w:start w:val="1"/>
      <w:numFmt w:val="bullet"/>
      <w:lvlText w:val=""/>
      <w:lvlJc w:val="left"/>
      <w:pPr>
        <w:tabs>
          <w:tab w:val="num" w:pos="4320"/>
        </w:tabs>
        <w:ind w:left="4320" w:hanging="360"/>
      </w:pPr>
      <w:rPr>
        <w:rFonts w:ascii="Symbol" w:hAnsi="Symbol" w:hint="default"/>
      </w:rPr>
    </w:lvl>
    <w:lvl w:ilvl="6" w:tplc="377ACC06" w:tentative="1">
      <w:start w:val="1"/>
      <w:numFmt w:val="bullet"/>
      <w:lvlText w:val=""/>
      <w:lvlJc w:val="left"/>
      <w:pPr>
        <w:tabs>
          <w:tab w:val="num" w:pos="5040"/>
        </w:tabs>
        <w:ind w:left="5040" w:hanging="360"/>
      </w:pPr>
      <w:rPr>
        <w:rFonts w:ascii="Symbol" w:hAnsi="Symbol" w:hint="default"/>
      </w:rPr>
    </w:lvl>
    <w:lvl w:ilvl="7" w:tplc="8D744430" w:tentative="1">
      <w:start w:val="1"/>
      <w:numFmt w:val="bullet"/>
      <w:lvlText w:val=""/>
      <w:lvlJc w:val="left"/>
      <w:pPr>
        <w:tabs>
          <w:tab w:val="num" w:pos="5760"/>
        </w:tabs>
        <w:ind w:left="5760" w:hanging="360"/>
      </w:pPr>
      <w:rPr>
        <w:rFonts w:ascii="Symbol" w:hAnsi="Symbol" w:hint="default"/>
      </w:rPr>
    </w:lvl>
    <w:lvl w:ilvl="8" w:tplc="49A80EFA"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083B7600"/>
    <w:multiLevelType w:val="hybridMultilevel"/>
    <w:tmpl w:val="857A09D8"/>
    <w:lvl w:ilvl="0" w:tplc="04100017">
      <w:start w:val="1"/>
      <w:numFmt w:val="lowerLetter"/>
      <w:lvlText w:val="%1)"/>
      <w:lvlJc w:val="left"/>
      <w:pPr>
        <w:ind w:left="2517" w:hanging="360"/>
      </w:pPr>
    </w:lvl>
    <w:lvl w:ilvl="1" w:tplc="04100003" w:tentative="1">
      <w:start w:val="1"/>
      <w:numFmt w:val="bullet"/>
      <w:lvlText w:val="o"/>
      <w:lvlJc w:val="left"/>
      <w:pPr>
        <w:ind w:left="3237" w:hanging="360"/>
      </w:pPr>
      <w:rPr>
        <w:rFonts w:ascii="Courier New" w:hAnsi="Courier New" w:cs="Courier New" w:hint="default"/>
      </w:rPr>
    </w:lvl>
    <w:lvl w:ilvl="2" w:tplc="04100005" w:tentative="1">
      <w:start w:val="1"/>
      <w:numFmt w:val="bullet"/>
      <w:lvlText w:val=""/>
      <w:lvlJc w:val="left"/>
      <w:pPr>
        <w:ind w:left="3957" w:hanging="360"/>
      </w:pPr>
      <w:rPr>
        <w:rFonts w:ascii="Wingdings" w:hAnsi="Wingdings" w:hint="default"/>
      </w:rPr>
    </w:lvl>
    <w:lvl w:ilvl="3" w:tplc="04100001" w:tentative="1">
      <w:start w:val="1"/>
      <w:numFmt w:val="bullet"/>
      <w:lvlText w:val=""/>
      <w:lvlJc w:val="left"/>
      <w:pPr>
        <w:ind w:left="4677" w:hanging="360"/>
      </w:pPr>
      <w:rPr>
        <w:rFonts w:ascii="Symbol" w:hAnsi="Symbol" w:hint="default"/>
      </w:rPr>
    </w:lvl>
    <w:lvl w:ilvl="4" w:tplc="04100003" w:tentative="1">
      <w:start w:val="1"/>
      <w:numFmt w:val="bullet"/>
      <w:lvlText w:val="o"/>
      <w:lvlJc w:val="left"/>
      <w:pPr>
        <w:ind w:left="5397" w:hanging="360"/>
      </w:pPr>
      <w:rPr>
        <w:rFonts w:ascii="Courier New" w:hAnsi="Courier New" w:cs="Courier New" w:hint="default"/>
      </w:rPr>
    </w:lvl>
    <w:lvl w:ilvl="5" w:tplc="04100005" w:tentative="1">
      <w:start w:val="1"/>
      <w:numFmt w:val="bullet"/>
      <w:lvlText w:val=""/>
      <w:lvlJc w:val="left"/>
      <w:pPr>
        <w:ind w:left="6117" w:hanging="360"/>
      </w:pPr>
      <w:rPr>
        <w:rFonts w:ascii="Wingdings" w:hAnsi="Wingdings" w:hint="default"/>
      </w:rPr>
    </w:lvl>
    <w:lvl w:ilvl="6" w:tplc="04100001" w:tentative="1">
      <w:start w:val="1"/>
      <w:numFmt w:val="bullet"/>
      <w:lvlText w:val=""/>
      <w:lvlJc w:val="left"/>
      <w:pPr>
        <w:ind w:left="6837" w:hanging="360"/>
      </w:pPr>
      <w:rPr>
        <w:rFonts w:ascii="Symbol" w:hAnsi="Symbol" w:hint="default"/>
      </w:rPr>
    </w:lvl>
    <w:lvl w:ilvl="7" w:tplc="04100003" w:tentative="1">
      <w:start w:val="1"/>
      <w:numFmt w:val="bullet"/>
      <w:lvlText w:val="o"/>
      <w:lvlJc w:val="left"/>
      <w:pPr>
        <w:ind w:left="7557" w:hanging="360"/>
      </w:pPr>
      <w:rPr>
        <w:rFonts w:ascii="Courier New" w:hAnsi="Courier New" w:cs="Courier New" w:hint="default"/>
      </w:rPr>
    </w:lvl>
    <w:lvl w:ilvl="8" w:tplc="04100005" w:tentative="1">
      <w:start w:val="1"/>
      <w:numFmt w:val="bullet"/>
      <w:lvlText w:val=""/>
      <w:lvlJc w:val="left"/>
      <w:pPr>
        <w:ind w:left="8277" w:hanging="360"/>
      </w:pPr>
      <w:rPr>
        <w:rFonts w:ascii="Wingdings" w:hAnsi="Wingdings" w:hint="default"/>
      </w:rPr>
    </w:lvl>
  </w:abstractNum>
  <w:abstractNum w:abstractNumId="8" w15:restartNumberingAfterBreak="0">
    <w:nsid w:val="08BF3BFF"/>
    <w:multiLevelType w:val="hybridMultilevel"/>
    <w:tmpl w:val="625CFFF6"/>
    <w:lvl w:ilvl="0" w:tplc="723CD9BA">
      <w:start w:val="1"/>
      <w:numFmt w:val="bullet"/>
      <w:lvlText w:val=""/>
      <w:lvlPicBulletId w:val="1"/>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9" w15:restartNumberingAfterBreak="0">
    <w:nsid w:val="09B04BFB"/>
    <w:multiLevelType w:val="hybridMultilevel"/>
    <w:tmpl w:val="41BE7B76"/>
    <w:lvl w:ilvl="0" w:tplc="C8782680">
      <w:start w:val="1"/>
      <w:numFmt w:val="bullet"/>
      <w:lvlText w:val=""/>
      <w:lvlJc w:val="left"/>
      <w:pPr>
        <w:ind w:left="360" w:hanging="360"/>
      </w:pPr>
      <w:rPr>
        <w:rFonts w:ascii="Wingdings" w:hAnsi="Wingdings" w:hint="default"/>
        <w:color w:val="E42618"/>
        <w:sz w:val="21"/>
        <w:szCs w:val="21"/>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09EC4AD0"/>
    <w:multiLevelType w:val="multilevel"/>
    <w:tmpl w:val="781664CC"/>
    <w:lvl w:ilvl="0">
      <w:start w:val="1"/>
      <w:numFmt w:val="lowerLetter"/>
      <w:lvlText w:val="(%1)"/>
      <w:lvlJc w:val="left"/>
      <w:pPr>
        <w:tabs>
          <w:tab w:val="num" w:pos="360"/>
        </w:tabs>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AB86367"/>
    <w:multiLevelType w:val="hybridMultilevel"/>
    <w:tmpl w:val="4FFCC8FE"/>
    <w:lvl w:ilvl="0" w:tplc="723CD9BA">
      <w:start w:val="1"/>
      <w:numFmt w:val="bullet"/>
      <w:lvlText w:val=""/>
      <w:lvlPicBulletId w:val="1"/>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12" w15:restartNumberingAfterBreak="0">
    <w:nsid w:val="0B643584"/>
    <w:multiLevelType w:val="hybridMultilevel"/>
    <w:tmpl w:val="51E2D8B6"/>
    <w:lvl w:ilvl="0" w:tplc="46243AC4">
      <w:start w:val="1"/>
      <w:numFmt w:val="lowerLetter"/>
      <w:lvlText w:val="%1)"/>
      <w:lvlJc w:val="left"/>
      <w:pPr>
        <w:ind w:left="2517" w:hanging="360"/>
      </w:pPr>
      <w:rPr>
        <w:rFonts w:ascii="Arial" w:eastAsia="Times New Roman" w:hAnsi="Arial" w:cs="Arial"/>
      </w:rPr>
    </w:lvl>
    <w:lvl w:ilvl="1" w:tplc="04100003" w:tentative="1">
      <w:start w:val="1"/>
      <w:numFmt w:val="bullet"/>
      <w:lvlText w:val="o"/>
      <w:lvlJc w:val="left"/>
      <w:pPr>
        <w:ind w:left="3237" w:hanging="360"/>
      </w:pPr>
      <w:rPr>
        <w:rFonts w:ascii="Courier New" w:hAnsi="Courier New" w:cs="Courier New" w:hint="default"/>
      </w:rPr>
    </w:lvl>
    <w:lvl w:ilvl="2" w:tplc="04100005" w:tentative="1">
      <w:start w:val="1"/>
      <w:numFmt w:val="bullet"/>
      <w:lvlText w:val=""/>
      <w:lvlJc w:val="left"/>
      <w:pPr>
        <w:ind w:left="3957" w:hanging="360"/>
      </w:pPr>
      <w:rPr>
        <w:rFonts w:ascii="Wingdings" w:hAnsi="Wingdings" w:hint="default"/>
      </w:rPr>
    </w:lvl>
    <w:lvl w:ilvl="3" w:tplc="04100001" w:tentative="1">
      <w:start w:val="1"/>
      <w:numFmt w:val="bullet"/>
      <w:lvlText w:val=""/>
      <w:lvlJc w:val="left"/>
      <w:pPr>
        <w:ind w:left="4677" w:hanging="360"/>
      </w:pPr>
      <w:rPr>
        <w:rFonts w:ascii="Symbol" w:hAnsi="Symbol" w:hint="default"/>
      </w:rPr>
    </w:lvl>
    <w:lvl w:ilvl="4" w:tplc="04100003" w:tentative="1">
      <w:start w:val="1"/>
      <w:numFmt w:val="bullet"/>
      <w:lvlText w:val="o"/>
      <w:lvlJc w:val="left"/>
      <w:pPr>
        <w:ind w:left="5397" w:hanging="360"/>
      </w:pPr>
      <w:rPr>
        <w:rFonts w:ascii="Courier New" w:hAnsi="Courier New" w:cs="Courier New" w:hint="default"/>
      </w:rPr>
    </w:lvl>
    <w:lvl w:ilvl="5" w:tplc="04100005" w:tentative="1">
      <w:start w:val="1"/>
      <w:numFmt w:val="bullet"/>
      <w:lvlText w:val=""/>
      <w:lvlJc w:val="left"/>
      <w:pPr>
        <w:ind w:left="6117" w:hanging="360"/>
      </w:pPr>
      <w:rPr>
        <w:rFonts w:ascii="Wingdings" w:hAnsi="Wingdings" w:hint="default"/>
      </w:rPr>
    </w:lvl>
    <w:lvl w:ilvl="6" w:tplc="04100001" w:tentative="1">
      <w:start w:val="1"/>
      <w:numFmt w:val="bullet"/>
      <w:lvlText w:val=""/>
      <w:lvlJc w:val="left"/>
      <w:pPr>
        <w:ind w:left="6837" w:hanging="360"/>
      </w:pPr>
      <w:rPr>
        <w:rFonts w:ascii="Symbol" w:hAnsi="Symbol" w:hint="default"/>
      </w:rPr>
    </w:lvl>
    <w:lvl w:ilvl="7" w:tplc="04100003" w:tentative="1">
      <w:start w:val="1"/>
      <w:numFmt w:val="bullet"/>
      <w:lvlText w:val="o"/>
      <w:lvlJc w:val="left"/>
      <w:pPr>
        <w:ind w:left="7557" w:hanging="360"/>
      </w:pPr>
      <w:rPr>
        <w:rFonts w:ascii="Courier New" w:hAnsi="Courier New" w:cs="Courier New" w:hint="default"/>
      </w:rPr>
    </w:lvl>
    <w:lvl w:ilvl="8" w:tplc="04100005" w:tentative="1">
      <w:start w:val="1"/>
      <w:numFmt w:val="bullet"/>
      <w:lvlText w:val=""/>
      <w:lvlJc w:val="left"/>
      <w:pPr>
        <w:ind w:left="8277" w:hanging="360"/>
      </w:pPr>
      <w:rPr>
        <w:rFonts w:ascii="Wingdings" w:hAnsi="Wingdings" w:hint="default"/>
      </w:rPr>
    </w:lvl>
  </w:abstractNum>
  <w:abstractNum w:abstractNumId="13" w15:restartNumberingAfterBreak="0">
    <w:nsid w:val="0CE739D6"/>
    <w:multiLevelType w:val="hybridMultilevel"/>
    <w:tmpl w:val="2C004114"/>
    <w:lvl w:ilvl="0" w:tplc="FFFFFFFF">
      <w:start w:val="1"/>
      <w:numFmt w:val="bullet"/>
      <w:lvlText w:val=""/>
      <w:lvlJc w:val="left"/>
      <w:pPr>
        <w:tabs>
          <w:tab w:val="num" w:pos="340"/>
        </w:tabs>
        <w:ind w:left="0" w:firstLine="0"/>
      </w:pPr>
      <w:rPr>
        <w:rFonts w:ascii="Wingdings" w:hAnsi="Wingdings" w:hint="default"/>
        <w:b w:val="0"/>
        <w:i w:val="0"/>
        <w:color w:val="FF0000"/>
        <w:spacing w:val="0"/>
        <w:sz w:val="24"/>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407BCC"/>
    <w:multiLevelType w:val="hybridMultilevel"/>
    <w:tmpl w:val="F20AF4D8"/>
    <w:lvl w:ilvl="0" w:tplc="5270E3B4">
      <w:start w:val="1"/>
      <w:numFmt w:val="lowerLetter"/>
      <w:lvlText w:val="(%1)"/>
      <w:lvlJc w:val="left"/>
      <w:pPr>
        <w:ind w:left="2174" w:hanging="360"/>
      </w:pPr>
      <w:rPr>
        <w:rFonts w:hint="default"/>
      </w:rPr>
    </w:lvl>
    <w:lvl w:ilvl="1" w:tplc="04100019" w:tentative="1">
      <w:start w:val="1"/>
      <w:numFmt w:val="lowerLetter"/>
      <w:lvlText w:val="%2."/>
      <w:lvlJc w:val="left"/>
      <w:pPr>
        <w:ind w:left="2894" w:hanging="360"/>
      </w:pPr>
    </w:lvl>
    <w:lvl w:ilvl="2" w:tplc="0410001B" w:tentative="1">
      <w:start w:val="1"/>
      <w:numFmt w:val="lowerRoman"/>
      <w:lvlText w:val="%3."/>
      <w:lvlJc w:val="right"/>
      <w:pPr>
        <w:ind w:left="3614" w:hanging="180"/>
      </w:pPr>
    </w:lvl>
    <w:lvl w:ilvl="3" w:tplc="0410000F" w:tentative="1">
      <w:start w:val="1"/>
      <w:numFmt w:val="decimal"/>
      <w:lvlText w:val="%4."/>
      <w:lvlJc w:val="left"/>
      <w:pPr>
        <w:ind w:left="4334" w:hanging="360"/>
      </w:pPr>
    </w:lvl>
    <w:lvl w:ilvl="4" w:tplc="04100019" w:tentative="1">
      <w:start w:val="1"/>
      <w:numFmt w:val="lowerLetter"/>
      <w:lvlText w:val="%5."/>
      <w:lvlJc w:val="left"/>
      <w:pPr>
        <w:ind w:left="5054" w:hanging="360"/>
      </w:pPr>
    </w:lvl>
    <w:lvl w:ilvl="5" w:tplc="0410001B" w:tentative="1">
      <w:start w:val="1"/>
      <w:numFmt w:val="lowerRoman"/>
      <w:lvlText w:val="%6."/>
      <w:lvlJc w:val="right"/>
      <w:pPr>
        <w:ind w:left="5774" w:hanging="180"/>
      </w:pPr>
    </w:lvl>
    <w:lvl w:ilvl="6" w:tplc="0410000F" w:tentative="1">
      <w:start w:val="1"/>
      <w:numFmt w:val="decimal"/>
      <w:lvlText w:val="%7."/>
      <w:lvlJc w:val="left"/>
      <w:pPr>
        <w:ind w:left="6494" w:hanging="360"/>
      </w:pPr>
    </w:lvl>
    <w:lvl w:ilvl="7" w:tplc="04100019" w:tentative="1">
      <w:start w:val="1"/>
      <w:numFmt w:val="lowerLetter"/>
      <w:lvlText w:val="%8."/>
      <w:lvlJc w:val="left"/>
      <w:pPr>
        <w:ind w:left="7214" w:hanging="360"/>
      </w:pPr>
    </w:lvl>
    <w:lvl w:ilvl="8" w:tplc="0410001B" w:tentative="1">
      <w:start w:val="1"/>
      <w:numFmt w:val="lowerRoman"/>
      <w:lvlText w:val="%9."/>
      <w:lvlJc w:val="right"/>
      <w:pPr>
        <w:ind w:left="7934" w:hanging="180"/>
      </w:pPr>
    </w:lvl>
  </w:abstractNum>
  <w:abstractNum w:abstractNumId="15" w15:restartNumberingAfterBreak="0">
    <w:nsid w:val="0E172E02"/>
    <w:multiLevelType w:val="hybridMultilevel"/>
    <w:tmpl w:val="98E2AEF0"/>
    <w:lvl w:ilvl="0" w:tplc="A8762A92">
      <w:start w:val="1"/>
      <w:numFmt w:val="bullet"/>
      <w:lvlText w:val=""/>
      <w:lvlPicBulletId w:val="0"/>
      <w:lvlJc w:val="left"/>
      <w:pPr>
        <w:tabs>
          <w:tab w:val="num" w:pos="720"/>
        </w:tabs>
        <w:ind w:left="720" w:hanging="360"/>
      </w:pPr>
      <w:rPr>
        <w:rFonts w:ascii="Symbol" w:hAnsi="Symbol" w:hint="default"/>
      </w:rPr>
    </w:lvl>
    <w:lvl w:ilvl="1" w:tplc="6D6EAF6E">
      <w:start w:val="1"/>
      <w:numFmt w:val="bullet"/>
      <w:lvlText w:val=""/>
      <w:lvlJc w:val="left"/>
      <w:pPr>
        <w:tabs>
          <w:tab w:val="num" w:pos="1440"/>
        </w:tabs>
        <w:ind w:left="1440" w:hanging="360"/>
      </w:pPr>
      <w:rPr>
        <w:rFonts w:ascii="Symbol" w:hAnsi="Symbol" w:hint="default"/>
      </w:rPr>
    </w:lvl>
    <w:lvl w:ilvl="2" w:tplc="7A64CB7E" w:tentative="1">
      <w:start w:val="1"/>
      <w:numFmt w:val="bullet"/>
      <w:lvlText w:val=""/>
      <w:lvlJc w:val="left"/>
      <w:pPr>
        <w:tabs>
          <w:tab w:val="num" w:pos="2160"/>
        </w:tabs>
        <w:ind w:left="2160" w:hanging="360"/>
      </w:pPr>
      <w:rPr>
        <w:rFonts w:ascii="Symbol" w:hAnsi="Symbol" w:hint="default"/>
      </w:rPr>
    </w:lvl>
    <w:lvl w:ilvl="3" w:tplc="19A2BEA6" w:tentative="1">
      <w:start w:val="1"/>
      <w:numFmt w:val="bullet"/>
      <w:lvlText w:val=""/>
      <w:lvlJc w:val="left"/>
      <w:pPr>
        <w:tabs>
          <w:tab w:val="num" w:pos="2880"/>
        </w:tabs>
        <w:ind w:left="2880" w:hanging="360"/>
      </w:pPr>
      <w:rPr>
        <w:rFonts w:ascii="Symbol" w:hAnsi="Symbol" w:hint="default"/>
      </w:rPr>
    </w:lvl>
    <w:lvl w:ilvl="4" w:tplc="7A906554" w:tentative="1">
      <w:start w:val="1"/>
      <w:numFmt w:val="bullet"/>
      <w:lvlText w:val=""/>
      <w:lvlJc w:val="left"/>
      <w:pPr>
        <w:tabs>
          <w:tab w:val="num" w:pos="3600"/>
        </w:tabs>
        <w:ind w:left="3600" w:hanging="360"/>
      </w:pPr>
      <w:rPr>
        <w:rFonts w:ascii="Symbol" w:hAnsi="Symbol" w:hint="default"/>
      </w:rPr>
    </w:lvl>
    <w:lvl w:ilvl="5" w:tplc="DF94CC1E" w:tentative="1">
      <w:start w:val="1"/>
      <w:numFmt w:val="bullet"/>
      <w:lvlText w:val=""/>
      <w:lvlJc w:val="left"/>
      <w:pPr>
        <w:tabs>
          <w:tab w:val="num" w:pos="4320"/>
        </w:tabs>
        <w:ind w:left="4320" w:hanging="360"/>
      </w:pPr>
      <w:rPr>
        <w:rFonts w:ascii="Symbol" w:hAnsi="Symbol" w:hint="default"/>
      </w:rPr>
    </w:lvl>
    <w:lvl w:ilvl="6" w:tplc="10AAB236" w:tentative="1">
      <w:start w:val="1"/>
      <w:numFmt w:val="bullet"/>
      <w:lvlText w:val=""/>
      <w:lvlJc w:val="left"/>
      <w:pPr>
        <w:tabs>
          <w:tab w:val="num" w:pos="5040"/>
        </w:tabs>
        <w:ind w:left="5040" w:hanging="360"/>
      </w:pPr>
      <w:rPr>
        <w:rFonts w:ascii="Symbol" w:hAnsi="Symbol" w:hint="default"/>
      </w:rPr>
    </w:lvl>
    <w:lvl w:ilvl="7" w:tplc="387E825A" w:tentative="1">
      <w:start w:val="1"/>
      <w:numFmt w:val="bullet"/>
      <w:lvlText w:val=""/>
      <w:lvlJc w:val="left"/>
      <w:pPr>
        <w:tabs>
          <w:tab w:val="num" w:pos="5760"/>
        </w:tabs>
        <w:ind w:left="5760" w:hanging="360"/>
      </w:pPr>
      <w:rPr>
        <w:rFonts w:ascii="Symbol" w:hAnsi="Symbol" w:hint="default"/>
      </w:rPr>
    </w:lvl>
    <w:lvl w:ilvl="8" w:tplc="4A643362"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1C24545E"/>
    <w:multiLevelType w:val="hybridMultilevel"/>
    <w:tmpl w:val="2BE66A3A"/>
    <w:lvl w:ilvl="0" w:tplc="6888BADE">
      <w:start w:val="1"/>
      <w:numFmt w:val="bullet"/>
      <w:lvlText w:val=""/>
      <w:lvlJc w:val="left"/>
      <w:pPr>
        <w:tabs>
          <w:tab w:val="num" w:pos="340"/>
        </w:tabs>
      </w:pPr>
      <w:rPr>
        <w:rFonts w:ascii="Webdings" w:hAnsi="Webdings" w:hint="default"/>
        <w:b w:val="0"/>
        <w:i w:val="0"/>
        <w:color w:val="E42618"/>
        <w:spacing w:val="0"/>
        <w:sz w:val="24"/>
        <w:szCs w:val="18"/>
      </w:rPr>
    </w:lvl>
    <w:lvl w:ilvl="1" w:tplc="E8FCC02E">
      <w:start w:val="1"/>
      <w:numFmt w:val="bullet"/>
      <w:lvlText w:val="o"/>
      <w:lvlJc w:val="left"/>
      <w:pPr>
        <w:tabs>
          <w:tab w:val="num" w:pos="1440"/>
        </w:tabs>
        <w:ind w:left="1440" w:hanging="360"/>
      </w:pPr>
      <w:rPr>
        <w:rFonts w:ascii="Courier New" w:hAnsi="Courier New"/>
      </w:rPr>
    </w:lvl>
    <w:lvl w:ilvl="2" w:tplc="57B2E412">
      <w:start w:val="1"/>
      <w:numFmt w:val="bullet"/>
      <w:lvlText w:val=""/>
      <w:lvlJc w:val="left"/>
      <w:pPr>
        <w:tabs>
          <w:tab w:val="num" w:pos="2160"/>
        </w:tabs>
        <w:ind w:left="2160" w:hanging="360"/>
      </w:pPr>
      <w:rPr>
        <w:rFonts w:ascii="Wingdings" w:hAnsi="Wingdings"/>
      </w:rPr>
    </w:lvl>
    <w:lvl w:ilvl="3" w:tplc="31BA2B30">
      <w:start w:val="1"/>
      <w:numFmt w:val="bullet"/>
      <w:lvlText w:val=""/>
      <w:lvlJc w:val="left"/>
      <w:pPr>
        <w:tabs>
          <w:tab w:val="num" w:pos="2880"/>
        </w:tabs>
        <w:ind w:left="2880" w:hanging="360"/>
      </w:pPr>
      <w:rPr>
        <w:rFonts w:ascii="Symbol" w:hAnsi="Symbol"/>
      </w:rPr>
    </w:lvl>
    <w:lvl w:ilvl="4" w:tplc="2C2276D6">
      <w:start w:val="1"/>
      <w:numFmt w:val="bullet"/>
      <w:lvlText w:val="o"/>
      <w:lvlJc w:val="left"/>
      <w:pPr>
        <w:tabs>
          <w:tab w:val="num" w:pos="3600"/>
        </w:tabs>
        <w:ind w:left="3600" w:hanging="360"/>
      </w:pPr>
      <w:rPr>
        <w:rFonts w:ascii="Courier New" w:hAnsi="Courier New"/>
      </w:rPr>
    </w:lvl>
    <w:lvl w:ilvl="5" w:tplc="85BACC6E">
      <w:start w:val="1"/>
      <w:numFmt w:val="bullet"/>
      <w:lvlText w:val=""/>
      <w:lvlJc w:val="left"/>
      <w:pPr>
        <w:tabs>
          <w:tab w:val="num" w:pos="4320"/>
        </w:tabs>
        <w:ind w:left="4320" w:hanging="360"/>
      </w:pPr>
      <w:rPr>
        <w:rFonts w:ascii="Wingdings" w:hAnsi="Wingdings"/>
      </w:rPr>
    </w:lvl>
    <w:lvl w:ilvl="6" w:tplc="1F3EF924">
      <w:start w:val="1"/>
      <w:numFmt w:val="bullet"/>
      <w:lvlText w:val=""/>
      <w:lvlJc w:val="left"/>
      <w:pPr>
        <w:tabs>
          <w:tab w:val="num" w:pos="5040"/>
        </w:tabs>
        <w:ind w:left="5040" w:hanging="360"/>
      </w:pPr>
      <w:rPr>
        <w:rFonts w:ascii="Symbol" w:hAnsi="Symbol"/>
      </w:rPr>
    </w:lvl>
    <w:lvl w:ilvl="7" w:tplc="6D82A608">
      <w:start w:val="1"/>
      <w:numFmt w:val="bullet"/>
      <w:lvlText w:val="o"/>
      <w:lvlJc w:val="left"/>
      <w:pPr>
        <w:tabs>
          <w:tab w:val="num" w:pos="5760"/>
        </w:tabs>
        <w:ind w:left="5760" w:hanging="360"/>
      </w:pPr>
      <w:rPr>
        <w:rFonts w:ascii="Courier New" w:hAnsi="Courier New"/>
      </w:rPr>
    </w:lvl>
    <w:lvl w:ilvl="8" w:tplc="11E84114">
      <w:start w:val="1"/>
      <w:numFmt w:val="bullet"/>
      <w:lvlText w:val=""/>
      <w:lvlJc w:val="left"/>
      <w:pPr>
        <w:tabs>
          <w:tab w:val="num" w:pos="6480"/>
        </w:tabs>
        <w:ind w:left="6480" w:hanging="360"/>
      </w:pPr>
      <w:rPr>
        <w:rFonts w:ascii="Wingdings" w:hAnsi="Wingdings"/>
      </w:rPr>
    </w:lvl>
  </w:abstractNum>
  <w:abstractNum w:abstractNumId="17" w15:restartNumberingAfterBreak="0">
    <w:nsid w:val="1C424650"/>
    <w:multiLevelType w:val="hybridMultilevel"/>
    <w:tmpl w:val="4FC00012"/>
    <w:lvl w:ilvl="0" w:tplc="086C8314">
      <w:start w:val="1"/>
      <w:numFmt w:val="bullet"/>
      <w:lvlText w:val=""/>
      <w:lvlJc w:val="left"/>
      <w:pPr>
        <w:tabs>
          <w:tab w:val="num" w:pos="340"/>
        </w:tabs>
        <w:ind w:left="0" w:firstLine="0"/>
      </w:pPr>
      <w:rPr>
        <w:rFonts w:ascii="Wingdings" w:hAnsi="Wingdings" w:hint="default"/>
        <w:b w:val="0"/>
        <w:i w:val="0"/>
        <w:color w:val="E42618"/>
        <w:spacing w:val="0"/>
        <w:sz w:val="26"/>
        <w:szCs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F343AE3"/>
    <w:multiLevelType w:val="hybridMultilevel"/>
    <w:tmpl w:val="6EC29A46"/>
    <w:lvl w:ilvl="0" w:tplc="DB7A5FB8">
      <w:start w:val="1"/>
      <w:numFmt w:val="lowerLetter"/>
      <w:lvlText w:val="%1)"/>
      <w:lvlJc w:val="left"/>
      <w:pPr>
        <w:ind w:left="2174" w:hanging="360"/>
      </w:pPr>
      <w:rPr>
        <w:rFonts w:hint="default"/>
      </w:rPr>
    </w:lvl>
    <w:lvl w:ilvl="1" w:tplc="04100019" w:tentative="1">
      <w:start w:val="1"/>
      <w:numFmt w:val="lowerLetter"/>
      <w:lvlText w:val="%2."/>
      <w:lvlJc w:val="left"/>
      <w:pPr>
        <w:ind w:left="2894" w:hanging="360"/>
      </w:pPr>
    </w:lvl>
    <w:lvl w:ilvl="2" w:tplc="0410001B" w:tentative="1">
      <w:start w:val="1"/>
      <w:numFmt w:val="lowerRoman"/>
      <w:lvlText w:val="%3."/>
      <w:lvlJc w:val="right"/>
      <w:pPr>
        <w:ind w:left="3614" w:hanging="180"/>
      </w:pPr>
    </w:lvl>
    <w:lvl w:ilvl="3" w:tplc="0410000F" w:tentative="1">
      <w:start w:val="1"/>
      <w:numFmt w:val="decimal"/>
      <w:lvlText w:val="%4."/>
      <w:lvlJc w:val="left"/>
      <w:pPr>
        <w:ind w:left="4334" w:hanging="360"/>
      </w:pPr>
    </w:lvl>
    <w:lvl w:ilvl="4" w:tplc="04100019" w:tentative="1">
      <w:start w:val="1"/>
      <w:numFmt w:val="lowerLetter"/>
      <w:lvlText w:val="%5."/>
      <w:lvlJc w:val="left"/>
      <w:pPr>
        <w:ind w:left="5054" w:hanging="360"/>
      </w:pPr>
    </w:lvl>
    <w:lvl w:ilvl="5" w:tplc="0410001B" w:tentative="1">
      <w:start w:val="1"/>
      <w:numFmt w:val="lowerRoman"/>
      <w:lvlText w:val="%6."/>
      <w:lvlJc w:val="right"/>
      <w:pPr>
        <w:ind w:left="5774" w:hanging="180"/>
      </w:pPr>
    </w:lvl>
    <w:lvl w:ilvl="6" w:tplc="0410000F" w:tentative="1">
      <w:start w:val="1"/>
      <w:numFmt w:val="decimal"/>
      <w:lvlText w:val="%7."/>
      <w:lvlJc w:val="left"/>
      <w:pPr>
        <w:ind w:left="6494" w:hanging="360"/>
      </w:pPr>
    </w:lvl>
    <w:lvl w:ilvl="7" w:tplc="04100019" w:tentative="1">
      <w:start w:val="1"/>
      <w:numFmt w:val="lowerLetter"/>
      <w:lvlText w:val="%8."/>
      <w:lvlJc w:val="left"/>
      <w:pPr>
        <w:ind w:left="7214" w:hanging="360"/>
      </w:pPr>
    </w:lvl>
    <w:lvl w:ilvl="8" w:tplc="0410001B" w:tentative="1">
      <w:start w:val="1"/>
      <w:numFmt w:val="lowerRoman"/>
      <w:lvlText w:val="%9."/>
      <w:lvlJc w:val="right"/>
      <w:pPr>
        <w:ind w:left="7934" w:hanging="180"/>
      </w:pPr>
    </w:lvl>
  </w:abstractNum>
  <w:abstractNum w:abstractNumId="19" w15:restartNumberingAfterBreak="0">
    <w:nsid w:val="21557202"/>
    <w:multiLevelType w:val="hybridMultilevel"/>
    <w:tmpl w:val="0A3276F0"/>
    <w:lvl w:ilvl="0" w:tplc="041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27D531E"/>
    <w:multiLevelType w:val="hybridMultilevel"/>
    <w:tmpl w:val="73003C7A"/>
    <w:lvl w:ilvl="0" w:tplc="7FE041A6">
      <w:start w:val="1"/>
      <w:numFmt w:val="bullet"/>
      <w:lvlText w:val=""/>
      <w:lvlJc w:val="left"/>
      <w:pPr>
        <w:ind w:left="2534" w:hanging="360"/>
      </w:pPr>
      <w:rPr>
        <w:rFonts w:ascii="Wingdings" w:hAnsi="Wingdings" w:hint="default"/>
        <w:b/>
        <w:i w:val="0"/>
        <w:color w:val="FF0000"/>
        <w:sz w:val="18"/>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21" w15:restartNumberingAfterBreak="0">
    <w:nsid w:val="29FC5E71"/>
    <w:multiLevelType w:val="multilevel"/>
    <w:tmpl w:val="98E2AEF0"/>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308A6599"/>
    <w:multiLevelType w:val="hybridMultilevel"/>
    <w:tmpl w:val="B76E8456"/>
    <w:lvl w:ilvl="0" w:tplc="2B42CDCC">
      <w:start w:val="1"/>
      <w:numFmt w:val="bullet"/>
      <w:lvlText w:val=""/>
      <w:lvlJc w:val="left"/>
      <w:pPr>
        <w:tabs>
          <w:tab w:val="num" w:pos="340"/>
        </w:tabs>
      </w:pPr>
      <w:rPr>
        <w:rFonts w:ascii="Wingdings" w:hAnsi="Wingdings" w:hint="default"/>
        <w:b w:val="0"/>
        <w:i w:val="0"/>
        <w:color w:val="FF0000"/>
        <w:spacing w:val="0"/>
        <w:sz w:val="26"/>
      </w:rPr>
    </w:lvl>
    <w:lvl w:ilvl="1" w:tplc="BEA8D876">
      <w:start w:val="1"/>
      <w:numFmt w:val="bullet"/>
      <w:lvlText w:val="o"/>
      <w:lvlJc w:val="left"/>
      <w:pPr>
        <w:tabs>
          <w:tab w:val="num" w:pos="1440"/>
        </w:tabs>
        <w:ind w:left="1440" w:hanging="360"/>
      </w:pPr>
      <w:rPr>
        <w:rFonts w:ascii="Courier New" w:hAnsi="Courier New" w:hint="default"/>
      </w:rPr>
    </w:lvl>
    <w:lvl w:ilvl="2" w:tplc="CA689E7A">
      <w:start w:val="1"/>
      <w:numFmt w:val="bullet"/>
      <w:lvlText w:val=""/>
      <w:lvlJc w:val="left"/>
      <w:pPr>
        <w:tabs>
          <w:tab w:val="num" w:pos="2160"/>
        </w:tabs>
        <w:ind w:left="2160" w:hanging="360"/>
      </w:pPr>
      <w:rPr>
        <w:rFonts w:ascii="Wingdings" w:hAnsi="Wingdings" w:hint="default"/>
      </w:rPr>
    </w:lvl>
    <w:lvl w:ilvl="3" w:tplc="1B16916C">
      <w:start w:val="1"/>
      <w:numFmt w:val="bullet"/>
      <w:lvlText w:val=""/>
      <w:lvlJc w:val="left"/>
      <w:pPr>
        <w:tabs>
          <w:tab w:val="num" w:pos="2880"/>
        </w:tabs>
        <w:ind w:left="2880" w:hanging="360"/>
      </w:pPr>
      <w:rPr>
        <w:rFonts w:ascii="Symbol" w:hAnsi="Symbol" w:hint="default"/>
      </w:rPr>
    </w:lvl>
    <w:lvl w:ilvl="4" w:tplc="8584BC78">
      <w:start w:val="1"/>
      <w:numFmt w:val="bullet"/>
      <w:lvlText w:val="o"/>
      <w:lvlJc w:val="left"/>
      <w:pPr>
        <w:tabs>
          <w:tab w:val="num" w:pos="3600"/>
        </w:tabs>
        <w:ind w:left="3600" w:hanging="360"/>
      </w:pPr>
      <w:rPr>
        <w:rFonts w:ascii="Courier New" w:hAnsi="Courier New" w:hint="default"/>
      </w:rPr>
    </w:lvl>
    <w:lvl w:ilvl="5" w:tplc="FE628432">
      <w:start w:val="1"/>
      <w:numFmt w:val="bullet"/>
      <w:lvlText w:val=""/>
      <w:lvlJc w:val="left"/>
      <w:pPr>
        <w:tabs>
          <w:tab w:val="num" w:pos="4320"/>
        </w:tabs>
        <w:ind w:left="4320" w:hanging="360"/>
      </w:pPr>
      <w:rPr>
        <w:rFonts w:ascii="Wingdings" w:hAnsi="Wingdings" w:hint="default"/>
      </w:rPr>
    </w:lvl>
    <w:lvl w:ilvl="6" w:tplc="DA4E5C98">
      <w:start w:val="1"/>
      <w:numFmt w:val="bullet"/>
      <w:lvlText w:val=""/>
      <w:lvlJc w:val="left"/>
      <w:pPr>
        <w:tabs>
          <w:tab w:val="num" w:pos="5040"/>
        </w:tabs>
        <w:ind w:left="5040" w:hanging="360"/>
      </w:pPr>
      <w:rPr>
        <w:rFonts w:ascii="Symbol" w:hAnsi="Symbol" w:hint="default"/>
      </w:rPr>
    </w:lvl>
    <w:lvl w:ilvl="7" w:tplc="CF50E1B2">
      <w:start w:val="1"/>
      <w:numFmt w:val="bullet"/>
      <w:lvlText w:val="o"/>
      <w:lvlJc w:val="left"/>
      <w:pPr>
        <w:tabs>
          <w:tab w:val="num" w:pos="5760"/>
        </w:tabs>
        <w:ind w:left="5760" w:hanging="360"/>
      </w:pPr>
      <w:rPr>
        <w:rFonts w:ascii="Courier New" w:hAnsi="Courier New" w:hint="default"/>
      </w:rPr>
    </w:lvl>
    <w:lvl w:ilvl="8" w:tplc="E9CCC43E">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2133F22"/>
    <w:multiLevelType w:val="hybridMultilevel"/>
    <w:tmpl w:val="07B4D620"/>
    <w:lvl w:ilvl="0" w:tplc="894A4710">
      <w:start w:val="1"/>
      <w:numFmt w:val="lowerLetter"/>
      <w:lvlText w:val="(%1)"/>
      <w:lvlJc w:val="left"/>
      <w:pPr>
        <w:tabs>
          <w:tab w:val="num" w:pos="2202"/>
        </w:tabs>
        <w:ind w:left="2202" w:hanging="360"/>
      </w:pPr>
      <w:rPr>
        <w:rFonts w:hint="default"/>
      </w:rPr>
    </w:lvl>
    <w:lvl w:ilvl="1" w:tplc="04100019" w:tentative="1">
      <w:start w:val="1"/>
      <w:numFmt w:val="lowerLetter"/>
      <w:lvlText w:val="%2."/>
      <w:lvlJc w:val="left"/>
      <w:pPr>
        <w:tabs>
          <w:tab w:val="num" w:pos="2922"/>
        </w:tabs>
        <w:ind w:left="2922" w:hanging="360"/>
      </w:pPr>
    </w:lvl>
    <w:lvl w:ilvl="2" w:tplc="0410001B" w:tentative="1">
      <w:start w:val="1"/>
      <w:numFmt w:val="lowerRoman"/>
      <w:lvlText w:val="%3."/>
      <w:lvlJc w:val="right"/>
      <w:pPr>
        <w:tabs>
          <w:tab w:val="num" w:pos="3642"/>
        </w:tabs>
        <w:ind w:left="3642" w:hanging="180"/>
      </w:pPr>
    </w:lvl>
    <w:lvl w:ilvl="3" w:tplc="0410000F" w:tentative="1">
      <w:start w:val="1"/>
      <w:numFmt w:val="decimal"/>
      <w:lvlText w:val="%4."/>
      <w:lvlJc w:val="left"/>
      <w:pPr>
        <w:tabs>
          <w:tab w:val="num" w:pos="4362"/>
        </w:tabs>
        <w:ind w:left="4362" w:hanging="360"/>
      </w:pPr>
    </w:lvl>
    <w:lvl w:ilvl="4" w:tplc="04100019" w:tentative="1">
      <w:start w:val="1"/>
      <w:numFmt w:val="lowerLetter"/>
      <w:lvlText w:val="%5."/>
      <w:lvlJc w:val="left"/>
      <w:pPr>
        <w:tabs>
          <w:tab w:val="num" w:pos="5082"/>
        </w:tabs>
        <w:ind w:left="5082" w:hanging="360"/>
      </w:pPr>
    </w:lvl>
    <w:lvl w:ilvl="5" w:tplc="0410001B" w:tentative="1">
      <w:start w:val="1"/>
      <w:numFmt w:val="lowerRoman"/>
      <w:lvlText w:val="%6."/>
      <w:lvlJc w:val="right"/>
      <w:pPr>
        <w:tabs>
          <w:tab w:val="num" w:pos="5802"/>
        </w:tabs>
        <w:ind w:left="5802" w:hanging="180"/>
      </w:pPr>
    </w:lvl>
    <w:lvl w:ilvl="6" w:tplc="0410000F" w:tentative="1">
      <w:start w:val="1"/>
      <w:numFmt w:val="decimal"/>
      <w:lvlText w:val="%7."/>
      <w:lvlJc w:val="left"/>
      <w:pPr>
        <w:tabs>
          <w:tab w:val="num" w:pos="6522"/>
        </w:tabs>
        <w:ind w:left="6522" w:hanging="360"/>
      </w:pPr>
    </w:lvl>
    <w:lvl w:ilvl="7" w:tplc="04100019" w:tentative="1">
      <w:start w:val="1"/>
      <w:numFmt w:val="lowerLetter"/>
      <w:lvlText w:val="%8."/>
      <w:lvlJc w:val="left"/>
      <w:pPr>
        <w:tabs>
          <w:tab w:val="num" w:pos="7242"/>
        </w:tabs>
        <w:ind w:left="7242" w:hanging="360"/>
      </w:pPr>
    </w:lvl>
    <w:lvl w:ilvl="8" w:tplc="0410001B" w:tentative="1">
      <w:start w:val="1"/>
      <w:numFmt w:val="lowerRoman"/>
      <w:lvlText w:val="%9."/>
      <w:lvlJc w:val="right"/>
      <w:pPr>
        <w:tabs>
          <w:tab w:val="num" w:pos="7962"/>
        </w:tabs>
        <w:ind w:left="7962" w:hanging="180"/>
      </w:pPr>
    </w:lvl>
  </w:abstractNum>
  <w:abstractNum w:abstractNumId="24" w15:restartNumberingAfterBreak="0">
    <w:nsid w:val="32534E50"/>
    <w:multiLevelType w:val="hybridMultilevel"/>
    <w:tmpl w:val="143823E6"/>
    <w:lvl w:ilvl="0" w:tplc="D72441C4">
      <w:start w:val="1"/>
      <w:numFmt w:val="bullet"/>
      <w:lvlText w:val=""/>
      <w:lvlJc w:val="left"/>
      <w:pPr>
        <w:tabs>
          <w:tab w:val="num" w:pos="720"/>
        </w:tabs>
        <w:ind w:left="720" w:hanging="360"/>
      </w:pPr>
      <w:rPr>
        <w:rFonts w:ascii="Symbol" w:hAnsi="Symbo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33D95BC4"/>
    <w:multiLevelType w:val="hybridMultilevel"/>
    <w:tmpl w:val="A086B6BA"/>
    <w:lvl w:ilvl="0" w:tplc="973C3CC0">
      <w:start w:val="1"/>
      <w:numFmt w:val="lowerLetter"/>
      <w:lvlText w:val="(%1)"/>
      <w:lvlJc w:val="left"/>
      <w:pPr>
        <w:ind w:left="420" w:hanging="360"/>
      </w:pPr>
      <w:rPr>
        <w:rFonts w:ascii="Arial Narrow" w:hAnsi="Arial Narrow" w:hint="default"/>
        <w:sz w:val="15"/>
        <w:szCs w:val="15"/>
      </w:rPr>
    </w:lvl>
    <w:lvl w:ilvl="1" w:tplc="04100019" w:tentative="1">
      <w:start w:val="1"/>
      <w:numFmt w:val="lowerLetter"/>
      <w:lvlText w:val="%2."/>
      <w:lvlJc w:val="left"/>
      <w:pPr>
        <w:ind w:left="1140" w:hanging="360"/>
      </w:pPr>
    </w:lvl>
    <w:lvl w:ilvl="2" w:tplc="0410001B" w:tentative="1">
      <w:start w:val="1"/>
      <w:numFmt w:val="lowerRoman"/>
      <w:lvlText w:val="%3."/>
      <w:lvlJc w:val="right"/>
      <w:pPr>
        <w:ind w:left="1860" w:hanging="180"/>
      </w:pPr>
    </w:lvl>
    <w:lvl w:ilvl="3" w:tplc="0410000F" w:tentative="1">
      <w:start w:val="1"/>
      <w:numFmt w:val="decimal"/>
      <w:lvlText w:val="%4."/>
      <w:lvlJc w:val="left"/>
      <w:pPr>
        <w:ind w:left="2580" w:hanging="360"/>
      </w:pPr>
    </w:lvl>
    <w:lvl w:ilvl="4" w:tplc="04100019" w:tentative="1">
      <w:start w:val="1"/>
      <w:numFmt w:val="lowerLetter"/>
      <w:lvlText w:val="%5."/>
      <w:lvlJc w:val="left"/>
      <w:pPr>
        <w:ind w:left="3300" w:hanging="360"/>
      </w:pPr>
    </w:lvl>
    <w:lvl w:ilvl="5" w:tplc="0410001B" w:tentative="1">
      <w:start w:val="1"/>
      <w:numFmt w:val="lowerRoman"/>
      <w:lvlText w:val="%6."/>
      <w:lvlJc w:val="right"/>
      <w:pPr>
        <w:ind w:left="4020" w:hanging="180"/>
      </w:pPr>
    </w:lvl>
    <w:lvl w:ilvl="6" w:tplc="0410000F" w:tentative="1">
      <w:start w:val="1"/>
      <w:numFmt w:val="decimal"/>
      <w:lvlText w:val="%7."/>
      <w:lvlJc w:val="left"/>
      <w:pPr>
        <w:ind w:left="4740" w:hanging="360"/>
      </w:pPr>
    </w:lvl>
    <w:lvl w:ilvl="7" w:tplc="04100019" w:tentative="1">
      <w:start w:val="1"/>
      <w:numFmt w:val="lowerLetter"/>
      <w:lvlText w:val="%8."/>
      <w:lvlJc w:val="left"/>
      <w:pPr>
        <w:ind w:left="5460" w:hanging="360"/>
      </w:pPr>
    </w:lvl>
    <w:lvl w:ilvl="8" w:tplc="0410001B" w:tentative="1">
      <w:start w:val="1"/>
      <w:numFmt w:val="lowerRoman"/>
      <w:lvlText w:val="%9."/>
      <w:lvlJc w:val="right"/>
      <w:pPr>
        <w:ind w:left="6180" w:hanging="180"/>
      </w:pPr>
    </w:lvl>
  </w:abstractNum>
  <w:abstractNum w:abstractNumId="26" w15:restartNumberingAfterBreak="0">
    <w:nsid w:val="34CC2B15"/>
    <w:multiLevelType w:val="hybridMultilevel"/>
    <w:tmpl w:val="968862AE"/>
    <w:lvl w:ilvl="0" w:tplc="723CD9BA">
      <w:start w:val="1"/>
      <w:numFmt w:val="bullet"/>
      <w:lvlText w:val=""/>
      <w:lvlPicBulletId w:val="1"/>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27" w15:restartNumberingAfterBreak="0">
    <w:nsid w:val="3B126581"/>
    <w:multiLevelType w:val="hybridMultilevel"/>
    <w:tmpl w:val="3EDCEA5C"/>
    <w:lvl w:ilvl="0" w:tplc="723CD9BA">
      <w:start w:val="1"/>
      <w:numFmt w:val="bullet"/>
      <w:lvlText w:val=""/>
      <w:lvlPicBulletId w:val="1"/>
      <w:lvlJc w:val="left"/>
      <w:pPr>
        <w:tabs>
          <w:tab w:val="num" w:pos="720"/>
        </w:tabs>
        <w:ind w:left="720" w:hanging="360"/>
      </w:pPr>
      <w:rPr>
        <w:rFonts w:ascii="Symbol" w:hAnsi="Symbol" w:hint="default"/>
      </w:rPr>
    </w:lvl>
    <w:lvl w:ilvl="1" w:tplc="F08261B2" w:tentative="1">
      <w:start w:val="1"/>
      <w:numFmt w:val="bullet"/>
      <w:lvlText w:val=""/>
      <w:lvlJc w:val="left"/>
      <w:pPr>
        <w:tabs>
          <w:tab w:val="num" w:pos="1440"/>
        </w:tabs>
        <w:ind w:left="1440" w:hanging="360"/>
      </w:pPr>
      <w:rPr>
        <w:rFonts w:ascii="Symbol" w:hAnsi="Symbol" w:hint="default"/>
      </w:rPr>
    </w:lvl>
    <w:lvl w:ilvl="2" w:tplc="6414E90C" w:tentative="1">
      <w:start w:val="1"/>
      <w:numFmt w:val="bullet"/>
      <w:lvlText w:val=""/>
      <w:lvlJc w:val="left"/>
      <w:pPr>
        <w:tabs>
          <w:tab w:val="num" w:pos="2160"/>
        </w:tabs>
        <w:ind w:left="2160" w:hanging="360"/>
      </w:pPr>
      <w:rPr>
        <w:rFonts w:ascii="Symbol" w:hAnsi="Symbol" w:hint="default"/>
      </w:rPr>
    </w:lvl>
    <w:lvl w:ilvl="3" w:tplc="35F41C48" w:tentative="1">
      <w:start w:val="1"/>
      <w:numFmt w:val="bullet"/>
      <w:lvlText w:val=""/>
      <w:lvlJc w:val="left"/>
      <w:pPr>
        <w:tabs>
          <w:tab w:val="num" w:pos="2880"/>
        </w:tabs>
        <w:ind w:left="2880" w:hanging="360"/>
      </w:pPr>
      <w:rPr>
        <w:rFonts w:ascii="Symbol" w:hAnsi="Symbol" w:hint="default"/>
      </w:rPr>
    </w:lvl>
    <w:lvl w:ilvl="4" w:tplc="76DC5C08" w:tentative="1">
      <w:start w:val="1"/>
      <w:numFmt w:val="bullet"/>
      <w:lvlText w:val=""/>
      <w:lvlJc w:val="left"/>
      <w:pPr>
        <w:tabs>
          <w:tab w:val="num" w:pos="3600"/>
        </w:tabs>
        <w:ind w:left="3600" w:hanging="360"/>
      </w:pPr>
      <w:rPr>
        <w:rFonts w:ascii="Symbol" w:hAnsi="Symbol" w:hint="default"/>
      </w:rPr>
    </w:lvl>
    <w:lvl w:ilvl="5" w:tplc="078CC066" w:tentative="1">
      <w:start w:val="1"/>
      <w:numFmt w:val="bullet"/>
      <w:lvlText w:val=""/>
      <w:lvlJc w:val="left"/>
      <w:pPr>
        <w:tabs>
          <w:tab w:val="num" w:pos="4320"/>
        </w:tabs>
        <w:ind w:left="4320" w:hanging="360"/>
      </w:pPr>
      <w:rPr>
        <w:rFonts w:ascii="Symbol" w:hAnsi="Symbol" w:hint="default"/>
      </w:rPr>
    </w:lvl>
    <w:lvl w:ilvl="6" w:tplc="993C39C0" w:tentative="1">
      <w:start w:val="1"/>
      <w:numFmt w:val="bullet"/>
      <w:lvlText w:val=""/>
      <w:lvlJc w:val="left"/>
      <w:pPr>
        <w:tabs>
          <w:tab w:val="num" w:pos="5040"/>
        </w:tabs>
        <w:ind w:left="5040" w:hanging="360"/>
      </w:pPr>
      <w:rPr>
        <w:rFonts w:ascii="Symbol" w:hAnsi="Symbol" w:hint="default"/>
      </w:rPr>
    </w:lvl>
    <w:lvl w:ilvl="7" w:tplc="0EB0D25C" w:tentative="1">
      <w:start w:val="1"/>
      <w:numFmt w:val="bullet"/>
      <w:lvlText w:val=""/>
      <w:lvlJc w:val="left"/>
      <w:pPr>
        <w:tabs>
          <w:tab w:val="num" w:pos="5760"/>
        </w:tabs>
        <w:ind w:left="5760" w:hanging="360"/>
      </w:pPr>
      <w:rPr>
        <w:rFonts w:ascii="Symbol" w:hAnsi="Symbol" w:hint="default"/>
      </w:rPr>
    </w:lvl>
    <w:lvl w:ilvl="8" w:tplc="B874B23E"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3F8F0948"/>
    <w:multiLevelType w:val="multilevel"/>
    <w:tmpl w:val="98E2AEF0"/>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403F6CFD"/>
    <w:multiLevelType w:val="hybridMultilevel"/>
    <w:tmpl w:val="DB5CFE1A"/>
    <w:lvl w:ilvl="0" w:tplc="A8762A92">
      <w:start w:val="1"/>
      <w:numFmt w:val="bullet"/>
      <w:lvlText w:val=""/>
      <w:lvlPicBulletId w:val="0"/>
      <w:lvlJc w:val="left"/>
      <w:pPr>
        <w:ind w:left="360"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0" w15:restartNumberingAfterBreak="0">
    <w:nsid w:val="46526AED"/>
    <w:multiLevelType w:val="hybridMultilevel"/>
    <w:tmpl w:val="F10A9D34"/>
    <w:lvl w:ilvl="0" w:tplc="680C282C">
      <w:start w:val="1"/>
      <w:numFmt w:val="bullet"/>
      <w:lvlText w:val="n"/>
      <w:lvlJc w:val="left"/>
      <w:pPr>
        <w:tabs>
          <w:tab w:val="num" w:pos="360"/>
        </w:tabs>
        <w:ind w:left="360" w:hanging="360"/>
      </w:pPr>
      <w:rPr>
        <w:rFonts w:ascii="Wingdings" w:hAnsi="Wingdings" w:hint="default"/>
        <w:color w:val="E42618"/>
        <w:sz w:val="24"/>
        <w:szCs w:val="24"/>
      </w:rPr>
    </w:lvl>
    <w:lvl w:ilvl="1" w:tplc="E7AC5A20">
      <w:start w:val="1"/>
      <w:numFmt w:val="bullet"/>
      <w:lvlText w:val=""/>
      <w:lvlJc w:val="left"/>
      <w:pPr>
        <w:tabs>
          <w:tab w:val="num" w:pos="1440"/>
        </w:tabs>
        <w:ind w:left="1440" w:hanging="360"/>
      </w:pPr>
      <w:rPr>
        <w:rFonts w:ascii="Symbol" w:hAnsi="Symbol"/>
      </w:rPr>
    </w:lvl>
    <w:lvl w:ilvl="2" w:tplc="050AAA86">
      <w:start w:val="1"/>
      <w:numFmt w:val="bullet"/>
      <w:lvlText w:val=""/>
      <w:lvlJc w:val="left"/>
      <w:pPr>
        <w:tabs>
          <w:tab w:val="num" w:pos="2160"/>
        </w:tabs>
        <w:ind w:left="2160" w:hanging="360"/>
      </w:pPr>
      <w:rPr>
        <w:rFonts w:ascii="Symbol" w:hAnsi="Symbol"/>
      </w:rPr>
    </w:lvl>
    <w:lvl w:ilvl="3" w:tplc="8B3E2E4E">
      <w:start w:val="1"/>
      <w:numFmt w:val="bullet"/>
      <w:lvlText w:val=""/>
      <w:lvlJc w:val="left"/>
      <w:pPr>
        <w:tabs>
          <w:tab w:val="num" w:pos="2880"/>
        </w:tabs>
        <w:ind w:left="2880" w:hanging="360"/>
      </w:pPr>
      <w:rPr>
        <w:rFonts w:ascii="Symbol" w:hAnsi="Symbol"/>
      </w:rPr>
    </w:lvl>
    <w:lvl w:ilvl="4" w:tplc="D36450B0">
      <w:start w:val="1"/>
      <w:numFmt w:val="bullet"/>
      <w:lvlText w:val=""/>
      <w:lvlJc w:val="left"/>
      <w:pPr>
        <w:tabs>
          <w:tab w:val="num" w:pos="3600"/>
        </w:tabs>
        <w:ind w:left="3600" w:hanging="360"/>
      </w:pPr>
      <w:rPr>
        <w:rFonts w:ascii="Symbol" w:hAnsi="Symbol"/>
      </w:rPr>
    </w:lvl>
    <w:lvl w:ilvl="5" w:tplc="EB62B692">
      <w:start w:val="1"/>
      <w:numFmt w:val="bullet"/>
      <w:lvlText w:val=""/>
      <w:lvlJc w:val="left"/>
      <w:pPr>
        <w:tabs>
          <w:tab w:val="num" w:pos="4320"/>
        </w:tabs>
        <w:ind w:left="4320" w:hanging="360"/>
      </w:pPr>
      <w:rPr>
        <w:rFonts w:ascii="Symbol" w:hAnsi="Symbol"/>
      </w:rPr>
    </w:lvl>
    <w:lvl w:ilvl="6" w:tplc="A796B456">
      <w:start w:val="1"/>
      <w:numFmt w:val="bullet"/>
      <w:lvlText w:val=""/>
      <w:lvlJc w:val="left"/>
      <w:pPr>
        <w:tabs>
          <w:tab w:val="num" w:pos="5040"/>
        </w:tabs>
        <w:ind w:left="5040" w:hanging="360"/>
      </w:pPr>
      <w:rPr>
        <w:rFonts w:ascii="Symbol" w:hAnsi="Symbol"/>
      </w:rPr>
    </w:lvl>
    <w:lvl w:ilvl="7" w:tplc="F144444C">
      <w:start w:val="1"/>
      <w:numFmt w:val="bullet"/>
      <w:lvlText w:val=""/>
      <w:lvlJc w:val="left"/>
      <w:pPr>
        <w:tabs>
          <w:tab w:val="num" w:pos="5760"/>
        </w:tabs>
        <w:ind w:left="5760" w:hanging="360"/>
      </w:pPr>
      <w:rPr>
        <w:rFonts w:ascii="Symbol" w:hAnsi="Symbol"/>
      </w:rPr>
    </w:lvl>
    <w:lvl w:ilvl="8" w:tplc="AC58295C">
      <w:start w:val="1"/>
      <w:numFmt w:val="bullet"/>
      <w:lvlText w:val=""/>
      <w:lvlJc w:val="left"/>
      <w:pPr>
        <w:tabs>
          <w:tab w:val="num" w:pos="6480"/>
        </w:tabs>
        <w:ind w:left="6480" w:hanging="360"/>
      </w:pPr>
      <w:rPr>
        <w:rFonts w:ascii="Symbol" w:hAnsi="Symbol"/>
      </w:rPr>
    </w:lvl>
  </w:abstractNum>
  <w:abstractNum w:abstractNumId="31" w15:restartNumberingAfterBreak="0">
    <w:nsid w:val="4B7641BD"/>
    <w:multiLevelType w:val="hybridMultilevel"/>
    <w:tmpl w:val="6ADE222C"/>
    <w:lvl w:ilvl="0" w:tplc="723CD9BA">
      <w:start w:val="1"/>
      <w:numFmt w:val="bullet"/>
      <w:lvlText w:val=""/>
      <w:lvlPicBulletId w:val="1"/>
      <w:lvlJc w:val="left"/>
      <w:pPr>
        <w:ind w:left="2563" w:hanging="360"/>
      </w:pPr>
      <w:rPr>
        <w:rFonts w:ascii="Symbol" w:hAnsi="Symbol" w:hint="default"/>
      </w:rPr>
    </w:lvl>
    <w:lvl w:ilvl="1" w:tplc="08090003" w:tentative="1">
      <w:start w:val="1"/>
      <w:numFmt w:val="bullet"/>
      <w:lvlText w:val="o"/>
      <w:lvlJc w:val="left"/>
      <w:pPr>
        <w:ind w:left="3283" w:hanging="360"/>
      </w:pPr>
      <w:rPr>
        <w:rFonts w:ascii="Courier New" w:hAnsi="Courier New" w:cs="Courier New" w:hint="default"/>
      </w:rPr>
    </w:lvl>
    <w:lvl w:ilvl="2" w:tplc="08090005" w:tentative="1">
      <w:start w:val="1"/>
      <w:numFmt w:val="bullet"/>
      <w:lvlText w:val=""/>
      <w:lvlJc w:val="left"/>
      <w:pPr>
        <w:ind w:left="4003" w:hanging="360"/>
      </w:pPr>
      <w:rPr>
        <w:rFonts w:ascii="Wingdings" w:hAnsi="Wingdings" w:hint="default"/>
      </w:rPr>
    </w:lvl>
    <w:lvl w:ilvl="3" w:tplc="08090001" w:tentative="1">
      <w:start w:val="1"/>
      <w:numFmt w:val="bullet"/>
      <w:lvlText w:val=""/>
      <w:lvlJc w:val="left"/>
      <w:pPr>
        <w:ind w:left="4723" w:hanging="360"/>
      </w:pPr>
      <w:rPr>
        <w:rFonts w:ascii="Symbol" w:hAnsi="Symbol" w:hint="default"/>
      </w:rPr>
    </w:lvl>
    <w:lvl w:ilvl="4" w:tplc="08090003" w:tentative="1">
      <w:start w:val="1"/>
      <w:numFmt w:val="bullet"/>
      <w:lvlText w:val="o"/>
      <w:lvlJc w:val="left"/>
      <w:pPr>
        <w:ind w:left="5443" w:hanging="360"/>
      </w:pPr>
      <w:rPr>
        <w:rFonts w:ascii="Courier New" w:hAnsi="Courier New" w:cs="Courier New" w:hint="default"/>
      </w:rPr>
    </w:lvl>
    <w:lvl w:ilvl="5" w:tplc="08090005" w:tentative="1">
      <w:start w:val="1"/>
      <w:numFmt w:val="bullet"/>
      <w:lvlText w:val=""/>
      <w:lvlJc w:val="left"/>
      <w:pPr>
        <w:ind w:left="6163" w:hanging="360"/>
      </w:pPr>
      <w:rPr>
        <w:rFonts w:ascii="Wingdings" w:hAnsi="Wingdings" w:hint="default"/>
      </w:rPr>
    </w:lvl>
    <w:lvl w:ilvl="6" w:tplc="08090001" w:tentative="1">
      <w:start w:val="1"/>
      <w:numFmt w:val="bullet"/>
      <w:lvlText w:val=""/>
      <w:lvlJc w:val="left"/>
      <w:pPr>
        <w:ind w:left="6883" w:hanging="360"/>
      </w:pPr>
      <w:rPr>
        <w:rFonts w:ascii="Symbol" w:hAnsi="Symbol" w:hint="default"/>
      </w:rPr>
    </w:lvl>
    <w:lvl w:ilvl="7" w:tplc="08090003" w:tentative="1">
      <w:start w:val="1"/>
      <w:numFmt w:val="bullet"/>
      <w:lvlText w:val="o"/>
      <w:lvlJc w:val="left"/>
      <w:pPr>
        <w:ind w:left="7603" w:hanging="360"/>
      </w:pPr>
      <w:rPr>
        <w:rFonts w:ascii="Courier New" w:hAnsi="Courier New" w:cs="Courier New" w:hint="default"/>
      </w:rPr>
    </w:lvl>
    <w:lvl w:ilvl="8" w:tplc="08090005" w:tentative="1">
      <w:start w:val="1"/>
      <w:numFmt w:val="bullet"/>
      <w:lvlText w:val=""/>
      <w:lvlJc w:val="left"/>
      <w:pPr>
        <w:ind w:left="8323" w:hanging="360"/>
      </w:pPr>
      <w:rPr>
        <w:rFonts w:ascii="Wingdings" w:hAnsi="Wingdings" w:hint="default"/>
      </w:rPr>
    </w:lvl>
  </w:abstractNum>
  <w:abstractNum w:abstractNumId="32" w15:restartNumberingAfterBreak="0">
    <w:nsid w:val="52F30A1F"/>
    <w:multiLevelType w:val="hybridMultilevel"/>
    <w:tmpl w:val="02607124"/>
    <w:lvl w:ilvl="0" w:tplc="04090001">
      <w:start w:val="1"/>
      <w:numFmt w:val="bullet"/>
      <w:lvlText w:val=""/>
      <w:lvlJc w:val="left"/>
      <w:pPr>
        <w:ind w:left="2534" w:hanging="360"/>
      </w:pPr>
      <w:rPr>
        <w:rFonts w:ascii="Symbol" w:hAnsi="Symbol" w:hint="default"/>
      </w:rPr>
    </w:lvl>
    <w:lvl w:ilvl="1" w:tplc="04090003" w:tentative="1">
      <w:start w:val="1"/>
      <w:numFmt w:val="bullet"/>
      <w:lvlText w:val="o"/>
      <w:lvlJc w:val="left"/>
      <w:pPr>
        <w:ind w:left="3254" w:hanging="360"/>
      </w:pPr>
      <w:rPr>
        <w:rFonts w:ascii="Courier New" w:hAnsi="Courier New" w:cs="Courier New" w:hint="default"/>
      </w:rPr>
    </w:lvl>
    <w:lvl w:ilvl="2" w:tplc="04090005" w:tentative="1">
      <w:start w:val="1"/>
      <w:numFmt w:val="bullet"/>
      <w:lvlText w:val=""/>
      <w:lvlJc w:val="left"/>
      <w:pPr>
        <w:ind w:left="3974" w:hanging="360"/>
      </w:pPr>
      <w:rPr>
        <w:rFonts w:ascii="Wingdings" w:hAnsi="Wingdings" w:hint="default"/>
      </w:rPr>
    </w:lvl>
    <w:lvl w:ilvl="3" w:tplc="04090001" w:tentative="1">
      <w:start w:val="1"/>
      <w:numFmt w:val="bullet"/>
      <w:lvlText w:val=""/>
      <w:lvlJc w:val="left"/>
      <w:pPr>
        <w:ind w:left="4694" w:hanging="360"/>
      </w:pPr>
      <w:rPr>
        <w:rFonts w:ascii="Symbol" w:hAnsi="Symbol" w:hint="default"/>
      </w:rPr>
    </w:lvl>
    <w:lvl w:ilvl="4" w:tplc="04090003" w:tentative="1">
      <w:start w:val="1"/>
      <w:numFmt w:val="bullet"/>
      <w:lvlText w:val="o"/>
      <w:lvlJc w:val="left"/>
      <w:pPr>
        <w:ind w:left="5414" w:hanging="360"/>
      </w:pPr>
      <w:rPr>
        <w:rFonts w:ascii="Courier New" w:hAnsi="Courier New" w:cs="Courier New" w:hint="default"/>
      </w:rPr>
    </w:lvl>
    <w:lvl w:ilvl="5" w:tplc="04090005" w:tentative="1">
      <w:start w:val="1"/>
      <w:numFmt w:val="bullet"/>
      <w:lvlText w:val=""/>
      <w:lvlJc w:val="left"/>
      <w:pPr>
        <w:ind w:left="6134" w:hanging="360"/>
      </w:pPr>
      <w:rPr>
        <w:rFonts w:ascii="Wingdings" w:hAnsi="Wingdings" w:hint="default"/>
      </w:rPr>
    </w:lvl>
    <w:lvl w:ilvl="6" w:tplc="04090001" w:tentative="1">
      <w:start w:val="1"/>
      <w:numFmt w:val="bullet"/>
      <w:lvlText w:val=""/>
      <w:lvlJc w:val="left"/>
      <w:pPr>
        <w:ind w:left="6854" w:hanging="360"/>
      </w:pPr>
      <w:rPr>
        <w:rFonts w:ascii="Symbol" w:hAnsi="Symbol" w:hint="default"/>
      </w:rPr>
    </w:lvl>
    <w:lvl w:ilvl="7" w:tplc="04090003" w:tentative="1">
      <w:start w:val="1"/>
      <w:numFmt w:val="bullet"/>
      <w:lvlText w:val="o"/>
      <w:lvlJc w:val="left"/>
      <w:pPr>
        <w:ind w:left="7574" w:hanging="360"/>
      </w:pPr>
      <w:rPr>
        <w:rFonts w:ascii="Courier New" w:hAnsi="Courier New" w:cs="Courier New" w:hint="default"/>
      </w:rPr>
    </w:lvl>
    <w:lvl w:ilvl="8" w:tplc="04090005" w:tentative="1">
      <w:start w:val="1"/>
      <w:numFmt w:val="bullet"/>
      <w:lvlText w:val=""/>
      <w:lvlJc w:val="left"/>
      <w:pPr>
        <w:ind w:left="8294" w:hanging="360"/>
      </w:pPr>
      <w:rPr>
        <w:rFonts w:ascii="Wingdings" w:hAnsi="Wingdings" w:hint="default"/>
      </w:rPr>
    </w:lvl>
  </w:abstractNum>
  <w:abstractNum w:abstractNumId="33" w15:restartNumberingAfterBreak="0">
    <w:nsid w:val="549A678C"/>
    <w:multiLevelType w:val="hybridMultilevel"/>
    <w:tmpl w:val="7EFE57B6"/>
    <w:lvl w:ilvl="0" w:tplc="7ED098F6">
      <w:start w:val="1"/>
      <w:numFmt w:val="lowerLetter"/>
      <w:lvlText w:val="%1)"/>
      <w:lvlJc w:val="left"/>
      <w:pPr>
        <w:ind w:left="2517"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620E061A"/>
    <w:multiLevelType w:val="multilevel"/>
    <w:tmpl w:val="A14EDF6A"/>
    <w:lvl w:ilvl="0">
      <w:start w:val="1"/>
      <w:numFmt w:val="lowerLetter"/>
      <w:lvlText w:val="(%1)"/>
      <w:lvlJc w:val="left"/>
      <w:pPr>
        <w:tabs>
          <w:tab w:val="num" w:pos="1980"/>
        </w:tabs>
        <w:ind w:left="19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6D53A64"/>
    <w:multiLevelType w:val="hybridMultilevel"/>
    <w:tmpl w:val="E73EDCB6"/>
    <w:lvl w:ilvl="0" w:tplc="723CD9BA">
      <w:start w:val="1"/>
      <w:numFmt w:val="bullet"/>
      <w:lvlText w:val=""/>
      <w:lvlPicBulletId w:val="1"/>
      <w:lvlJc w:val="left"/>
      <w:pPr>
        <w:tabs>
          <w:tab w:val="num" w:pos="720"/>
        </w:tabs>
        <w:ind w:left="720" w:hanging="360"/>
      </w:pPr>
      <w:rPr>
        <w:rFonts w:ascii="Symbol" w:hAnsi="Symbol" w:hint="default"/>
      </w:rPr>
    </w:lvl>
    <w:lvl w:ilvl="1" w:tplc="58A4F34A" w:tentative="1">
      <w:start w:val="1"/>
      <w:numFmt w:val="bullet"/>
      <w:lvlText w:val=""/>
      <w:lvlJc w:val="left"/>
      <w:pPr>
        <w:tabs>
          <w:tab w:val="num" w:pos="1440"/>
        </w:tabs>
        <w:ind w:left="1440" w:hanging="360"/>
      </w:pPr>
      <w:rPr>
        <w:rFonts w:ascii="Symbol" w:hAnsi="Symbol" w:hint="default"/>
      </w:rPr>
    </w:lvl>
    <w:lvl w:ilvl="2" w:tplc="10282158" w:tentative="1">
      <w:start w:val="1"/>
      <w:numFmt w:val="bullet"/>
      <w:lvlText w:val=""/>
      <w:lvlJc w:val="left"/>
      <w:pPr>
        <w:tabs>
          <w:tab w:val="num" w:pos="2160"/>
        </w:tabs>
        <w:ind w:left="2160" w:hanging="360"/>
      </w:pPr>
      <w:rPr>
        <w:rFonts w:ascii="Symbol" w:hAnsi="Symbol" w:hint="default"/>
      </w:rPr>
    </w:lvl>
    <w:lvl w:ilvl="3" w:tplc="9C6C8776" w:tentative="1">
      <w:start w:val="1"/>
      <w:numFmt w:val="bullet"/>
      <w:lvlText w:val=""/>
      <w:lvlJc w:val="left"/>
      <w:pPr>
        <w:tabs>
          <w:tab w:val="num" w:pos="2880"/>
        </w:tabs>
        <w:ind w:left="2880" w:hanging="360"/>
      </w:pPr>
      <w:rPr>
        <w:rFonts w:ascii="Symbol" w:hAnsi="Symbol" w:hint="default"/>
      </w:rPr>
    </w:lvl>
    <w:lvl w:ilvl="4" w:tplc="539C2334" w:tentative="1">
      <w:start w:val="1"/>
      <w:numFmt w:val="bullet"/>
      <w:lvlText w:val=""/>
      <w:lvlJc w:val="left"/>
      <w:pPr>
        <w:tabs>
          <w:tab w:val="num" w:pos="3600"/>
        </w:tabs>
        <w:ind w:left="3600" w:hanging="360"/>
      </w:pPr>
      <w:rPr>
        <w:rFonts w:ascii="Symbol" w:hAnsi="Symbol" w:hint="default"/>
      </w:rPr>
    </w:lvl>
    <w:lvl w:ilvl="5" w:tplc="E6ECA502" w:tentative="1">
      <w:start w:val="1"/>
      <w:numFmt w:val="bullet"/>
      <w:lvlText w:val=""/>
      <w:lvlJc w:val="left"/>
      <w:pPr>
        <w:tabs>
          <w:tab w:val="num" w:pos="4320"/>
        </w:tabs>
        <w:ind w:left="4320" w:hanging="360"/>
      </w:pPr>
      <w:rPr>
        <w:rFonts w:ascii="Symbol" w:hAnsi="Symbol" w:hint="default"/>
      </w:rPr>
    </w:lvl>
    <w:lvl w:ilvl="6" w:tplc="BF40799E" w:tentative="1">
      <w:start w:val="1"/>
      <w:numFmt w:val="bullet"/>
      <w:lvlText w:val=""/>
      <w:lvlJc w:val="left"/>
      <w:pPr>
        <w:tabs>
          <w:tab w:val="num" w:pos="5040"/>
        </w:tabs>
        <w:ind w:left="5040" w:hanging="360"/>
      </w:pPr>
      <w:rPr>
        <w:rFonts w:ascii="Symbol" w:hAnsi="Symbol" w:hint="default"/>
      </w:rPr>
    </w:lvl>
    <w:lvl w:ilvl="7" w:tplc="3502FF1A" w:tentative="1">
      <w:start w:val="1"/>
      <w:numFmt w:val="bullet"/>
      <w:lvlText w:val=""/>
      <w:lvlJc w:val="left"/>
      <w:pPr>
        <w:tabs>
          <w:tab w:val="num" w:pos="5760"/>
        </w:tabs>
        <w:ind w:left="5760" w:hanging="360"/>
      </w:pPr>
      <w:rPr>
        <w:rFonts w:ascii="Symbol" w:hAnsi="Symbol" w:hint="default"/>
      </w:rPr>
    </w:lvl>
    <w:lvl w:ilvl="8" w:tplc="3312820E"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71F92649"/>
    <w:multiLevelType w:val="hybridMultilevel"/>
    <w:tmpl w:val="1644907C"/>
    <w:lvl w:ilvl="0" w:tplc="0410000B">
      <w:start w:val="1"/>
      <w:numFmt w:val="bullet"/>
      <w:lvlText w:val=""/>
      <w:lvlJc w:val="left"/>
      <w:pPr>
        <w:ind w:left="644" w:hanging="360"/>
      </w:pPr>
      <w:rPr>
        <w:rFonts w:ascii="Wingdings" w:hAnsi="Wingdings"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37" w15:restartNumberingAfterBreak="0">
    <w:nsid w:val="72F1680C"/>
    <w:multiLevelType w:val="hybridMultilevel"/>
    <w:tmpl w:val="D9427482"/>
    <w:lvl w:ilvl="0" w:tplc="723CD9BA">
      <w:start w:val="1"/>
      <w:numFmt w:val="bullet"/>
      <w:lvlText w:val=""/>
      <w:lvlPicBulletId w:val="1"/>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num w:numId="1">
    <w:abstractNumId w:val="15"/>
  </w:num>
  <w:num w:numId="2">
    <w:abstractNumId w:val="27"/>
  </w:num>
  <w:num w:numId="3">
    <w:abstractNumId w:val="31"/>
  </w:num>
  <w:num w:numId="4">
    <w:abstractNumId w:val="6"/>
  </w:num>
  <w:num w:numId="5">
    <w:abstractNumId w:val="20"/>
  </w:num>
  <w:num w:numId="6">
    <w:abstractNumId w:val="5"/>
  </w:num>
  <w:num w:numId="7">
    <w:abstractNumId w:val="0"/>
  </w:num>
  <w:num w:numId="8">
    <w:abstractNumId w:val="21"/>
  </w:num>
  <w:num w:numId="9">
    <w:abstractNumId w:val="28"/>
  </w:num>
  <w:num w:numId="10">
    <w:abstractNumId w:val="11"/>
  </w:num>
  <w:num w:numId="11">
    <w:abstractNumId w:val="26"/>
  </w:num>
  <w:num w:numId="12">
    <w:abstractNumId w:val="2"/>
  </w:num>
  <w:num w:numId="13">
    <w:abstractNumId w:val="35"/>
  </w:num>
  <w:num w:numId="14">
    <w:abstractNumId w:val="8"/>
  </w:num>
  <w:num w:numId="15">
    <w:abstractNumId w:val="37"/>
  </w:num>
  <w:num w:numId="16">
    <w:abstractNumId w:val="13"/>
  </w:num>
  <w:num w:numId="17">
    <w:abstractNumId w:val="24"/>
  </w:num>
  <w:num w:numId="18">
    <w:abstractNumId w:val="1"/>
  </w:num>
  <w:num w:numId="19">
    <w:abstractNumId w:val="17"/>
  </w:num>
  <w:num w:numId="20">
    <w:abstractNumId w:val="30"/>
  </w:num>
  <w:num w:numId="21">
    <w:abstractNumId w:val="9"/>
  </w:num>
  <w:num w:numId="22">
    <w:abstractNumId w:val="29"/>
  </w:num>
  <w:num w:numId="23">
    <w:abstractNumId w:val="34"/>
  </w:num>
  <w:num w:numId="24">
    <w:abstractNumId w:val="23"/>
  </w:num>
  <w:num w:numId="25">
    <w:abstractNumId w:val="10"/>
  </w:num>
  <w:num w:numId="2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22"/>
  </w:num>
  <w:num w:numId="29">
    <w:abstractNumId w:val="14"/>
  </w:num>
  <w:num w:numId="30">
    <w:abstractNumId w:val="12"/>
  </w:num>
  <w:num w:numId="31">
    <w:abstractNumId w:val="4"/>
  </w:num>
  <w:num w:numId="32">
    <w:abstractNumId w:val="36"/>
  </w:num>
  <w:num w:numId="33">
    <w:abstractNumId w:val="7"/>
  </w:num>
  <w:num w:numId="34">
    <w:abstractNumId w:val="32"/>
  </w:num>
  <w:num w:numId="35">
    <w:abstractNumId w:val="16"/>
  </w:num>
  <w:num w:numId="36">
    <w:abstractNumId w:val="19"/>
  </w:num>
  <w:num w:numId="37">
    <w:abstractNumId w:val="3"/>
  </w:num>
  <w:num w:numId="38">
    <w:abstractNumId w:val="25"/>
  </w:num>
  <w:num w:numId="39">
    <w:abstractNumId w:val="3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embedSystemFonts/>
  <w:bordersDoNotSurroundHeader/>
  <w:bordersDoNotSurroundFooter/>
  <w:hideSpellingErrors/>
  <w:hideGrammaticalErrors/>
  <w:activeWritingStyle w:appName="MSWord" w:lang="it-IT" w:vendorID="64" w:dllVersion="6" w:nlCheck="1" w:checkStyle="0"/>
  <w:activeWritingStyle w:appName="MSWord" w:lang="en-GB" w:vendorID="64" w:dllVersion="6" w:nlCheck="1" w:checkStyle="0"/>
  <w:activeWritingStyle w:appName="MSWord" w:lang="en-US" w:vendorID="64" w:dllVersion="6" w:nlCheck="1" w:checkStyle="0"/>
  <w:activeWritingStyle w:appName="MSWord" w:lang="it-IT" w:vendorID="64" w:dllVersion="0" w:nlCheck="1" w:checkStyle="0"/>
  <w:activeWritingStyle w:appName="MSWord" w:lang="en-US" w:vendorID="64" w:dllVersion="0" w:nlCheck="1" w:checkStyle="0"/>
  <w:activeWritingStyle w:appName="MSWord" w:lang="en-GB" w:vendorID="64" w:dllVersion="0" w:nlCheck="1" w:checkStyle="0"/>
  <w:activeWritingStyle w:appName="MSWord" w:lang="it-IT"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0"/>
  <w:activeWritingStyle w:appName="MSWord" w:lang="en-US" w:vendorID="64" w:dllVersion="131078" w:nlCheck="1" w:checkStyle="0"/>
  <w:activeWritingStyle w:appName="MSWord" w:lang="it-IT"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24"/>
  <w:hyphenationZone w:val="283"/>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49" style="mso-position-horizontal:center;mso-width-percent:400;mso-height-percent:200;mso-width-relative:margin;mso-height-relative:margin" fillcolor="white">
      <v:fill color="white"/>
      <v:textbox style="mso-fit-shape-to-text: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C7E"/>
    <w:rsid w:val="0000001C"/>
    <w:rsid w:val="000000E6"/>
    <w:rsid w:val="00000148"/>
    <w:rsid w:val="00000728"/>
    <w:rsid w:val="000008B7"/>
    <w:rsid w:val="00000A07"/>
    <w:rsid w:val="00000B94"/>
    <w:rsid w:val="00001548"/>
    <w:rsid w:val="000015D1"/>
    <w:rsid w:val="00001605"/>
    <w:rsid w:val="00001C85"/>
    <w:rsid w:val="000020B7"/>
    <w:rsid w:val="0000242C"/>
    <w:rsid w:val="000026DF"/>
    <w:rsid w:val="00002F2D"/>
    <w:rsid w:val="000034C8"/>
    <w:rsid w:val="00003834"/>
    <w:rsid w:val="000039B0"/>
    <w:rsid w:val="00003AAA"/>
    <w:rsid w:val="00003AB5"/>
    <w:rsid w:val="00003AD9"/>
    <w:rsid w:val="00003F46"/>
    <w:rsid w:val="00003F7B"/>
    <w:rsid w:val="000041BD"/>
    <w:rsid w:val="000043D5"/>
    <w:rsid w:val="00004794"/>
    <w:rsid w:val="000049DD"/>
    <w:rsid w:val="00004CF5"/>
    <w:rsid w:val="00004DDD"/>
    <w:rsid w:val="00004DF3"/>
    <w:rsid w:val="00004E38"/>
    <w:rsid w:val="0000500C"/>
    <w:rsid w:val="000054F2"/>
    <w:rsid w:val="00005A6B"/>
    <w:rsid w:val="00006709"/>
    <w:rsid w:val="0000683C"/>
    <w:rsid w:val="000068CA"/>
    <w:rsid w:val="00006A17"/>
    <w:rsid w:val="00006DB7"/>
    <w:rsid w:val="00006E53"/>
    <w:rsid w:val="00007042"/>
    <w:rsid w:val="0000740E"/>
    <w:rsid w:val="000077FA"/>
    <w:rsid w:val="00007876"/>
    <w:rsid w:val="00010006"/>
    <w:rsid w:val="00010041"/>
    <w:rsid w:val="000101B6"/>
    <w:rsid w:val="0001021B"/>
    <w:rsid w:val="000102D5"/>
    <w:rsid w:val="00010573"/>
    <w:rsid w:val="0001089C"/>
    <w:rsid w:val="000108ED"/>
    <w:rsid w:val="00010957"/>
    <w:rsid w:val="0001097F"/>
    <w:rsid w:val="000109E3"/>
    <w:rsid w:val="00010A46"/>
    <w:rsid w:val="00010B15"/>
    <w:rsid w:val="00010B3C"/>
    <w:rsid w:val="00010B8D"/>
    <w:rsid w:val="00010C7B"/>
    <w:rsid w:val="00010D06"/>
    <w:rsid w:val="00011270"/>
    <w:rsid w:val="000113F8"/>
    <w:rsid w:val="00011473"/>
    <w:rsid w:val="00011610"/>
    <w:rsid w:val="0001181A"/>
    <w:rsid w:val="000119A0"/>
    <w:rsid w:val="00011A51"/>
    <w:rsid w:val="00011DC6"/>
    <w:rsid w:val="00011EAF"/>
    <w:rsid w:val="00011F76"/>
    <w:rsid w:val="00012364"/>
    <w:rsid w:val="0001244E"/>
    <w:rsid w:val="00012499"/>
    <w:rsid w:val="0001283C"/>
    <w:rsid w:val="0001287A"/>
    <w:rsid w:val="00012A11"/>
    <w:rsid w:val="00012FD3"/>
    <w:rsid w:val="0001319C"/>
    <w:rsid w:val="000134A3"/>
    <w:rsid w:val="0001357A"/>
    <w:rsid w:val="000135AB"/>
    <w:rsid w:val="00013751"/>
    <w:rsid w:val="00013995"/>
    <w:rsid w:val="00013A1E"/>
    <w:rsid w:val="00013F41"/>
    <w:rsid w:val="00014269"/>
    <w:rsid w:val="000142DC"/>
    <w:rsid w:val="000143E3"/>
    <w:rsid w:val="000146B3"/>
    <w:rsid w:val="00014863"/>
    <w:rsid w:val="00014927"/>
    <w:rsid w:val="0001494F"/>
    <w:rsid w:val="000152B4"/>
    <w:rsid w:val="00015517"/>
    <w:rsid w:val="0001561A"/>
    <w:rsid w:val="00015D22"/>
    <w:rsid w:val="00015DAF"/>
    <w:rsid w:val="00015EAD"/>
    <w:rsid w:val="00016024"/>
    <w:rsid w:val="0001638E"/>
    <w:rsid w:val="000167F5"/>
    <w:rsid w:val="00016974"/>
    <w:rsid w:val="00016B13"/>
    <w:rsid w:val="00016C00"/>
    <w:rsid w:val="00016C6A"/>
    <w:rsid w:val="00017353"/>
    <w:rsid w:val="0001745D"/>
    <w:rsid w:val="00017951"/>
    <w:rsid w:val="000204CC"/>
    <w:rsid w:val="000204D8"/>
    <w:rsid w:val="000205CA"/>
    <w:rsid w:val="0002065A"/>
    <w:rsid w:val="000208F9"/>
    <w:rsid w:val="000211AD"/>
    <w:rsid w:val="000213E2"/>
    <w:rsid w:val="00021652"/>
    <w:rsid w:val="0002181D"/>
    <w:rsid w:val="00021B34"/>
    <w:rsid w:val="00022197"/>
    <w:rsid w:val="00022763"/>
    <w:rsid w:val="000228CB"/>
    <w:rsid w:val="000233BC"/>
    <w:rsid w:val="000235E9"/>
    <w:rsid w:val="000235FB"/>
    <w:rsid w:val="00023D90"/>
    <w:rsid w:val="00024050"/>
    <w:rsid w:val="000241B7"/>
    <w:rsid w:val="00024BDA"/>
    <w:rsid w:val="00024DBE"/>
    <w:rsid w:val="000250BC"/>
    <w:rsid w:val="0002515C"/>
    <w:rsid w:val="0002519B"/>
    <w:rsid w:val="00025294"/>
    <w:rsid w:val="000253FD"/>
    <w:rsid w:val="000254AC"/>
    <w:rsid w:val="0002574E"/>
    <w:rsid w:val="000257C6"/>
    <w:rsid w:val="00025822"/>
    <w:rsid w:val="00025AA7"/>
    <w:rsid w:val="00025C48"/>
    <w:rsid w:val="00026495"/>
    <w:rsid w:val="000266A7"/>
    <w:rsid w:val="000271F4"/>
    <w:rsid w:val="00027F95"/>
    <w:rsid w:val="00027FBC"/>
    <w:rsid w:val="000305B0"/>
    <w:rsid w:val="00030AB8"/>
    <w:rsid w:val="00030BEE"/>
    <w:rsid w:val="00030C3A"/>
    <w:rsid w:val="00030D02"/>
    <w:rsid w:val="00030DD9"/>
    <w:rsid w:val="0003114F"/>
    <w:rsid w:val="00031258"/>
    <w:rsid w:val="00031311"/>
    <w:rsid w:val="000317E1"/>
    <w:rsid w:val="00031864"/>
    <w:rsid w:val="00031934"/>
    <w:rsid w:val="00031C2E"/>
    <w:rsid w:val="00031E4E"/>
    <w:rsid w:val="000320B7"/>
    <w:rsid w:val="00032111"/>
    <w:rsid w:val="0003236F"/>
    <w:rsid w:val="00032A4E"/>
    <w:rsid w:val="00032BB1"/>
    <w:rsid w:val="00033432"/>
    <w:rsid w:val="00033801"/>
    <w:rsid w:val="0003391B"/>
    <w:rsid w:val="000344D7"/>
    <w:rsid w:val="00034CCB"/>
    <w:rsid w:val="00034D9C"/>
    <w:rsid w:val="00034E73"/>
    <w:rsid w:val="00034F28"/>
    <w:rsid w:val="0003502D"/>
    <w:rsid w:val="000350E3"/>
    <w:rsid w:val="00035164"/>
    <w:rsid w:val="0003517C"/>
    <w:rsid w:val="000352CC"/>
    <w:rsid w:val="00035555"/>
    <w:rsid w:val="00035837"/>
    <w:rsid w:val="0003608C"/>
    <w:rsid w:val="0003629C"/>
    <w:rsid w:val="000363D3"/>
    <w:rsid w:val="000366BA"/>
    <w:rsid w:val="0003704B"/>
    <w:rsid w:val="00037BBD"/>
    <w:rsid w:val="00037F26"/>
    <w:rsid w:val="0004002D"/>
    <w:rsid w:val="00040033"/>
    <w:rsid w:val="000402DE"/>
    <w:rsid w:val="00040619"/>
    <w:rsid w:val="000408F2"/>
    <w:rsid w:val="00041081"/>
    <w:rsid w:val="000410DD"/>
    <w:rsid w:val="00041445"/>
    <w:rsid w:val="000418D6"/>
    <w:rsid w:val="00041D3A"/>
    <w:rsid w:val="00041D56"/>
    <w:rsid w:val="00041DD2"/>
    <w:rsid w:val="00041DDD"/>
    <w:rsid w:val="00041DEF"/>
    <w:rsid w:val="0004257E"/>
    <w:rsid w:val="000425DB"/>
    <w:rsid w:val="00042B16"/>
    <w:rsid w:val="00042D21"/>
    <w:rsid w:val="00042E71"/>
    <w:rsid w:val="00042F77"/>
    <w:rsid w:val="000433C2"/>
    <w:rsid w:val="0004346C"/>
    <w:rsid w:val="000437DE"/>
    <w:rsid w:val="00043C45"/>
    <w:rsid w:val="00043C67"/>
    <w:rsid w:val="00043F9E"/>
    <w:rsid w:val="0004409E"/>
    <w:rsid w:val="000445F5"/>
    <w:rsid w:val="0004471F"/>
    <w:rsid w:val="00044806"/>
    <w:rsid w:val="00044845"/>
    <w:rsid w:val="0004496E"/>
    <w:rsid w:val="00044B3D"/>
    <w:rsid w:val="00044BA2"/>
    <w:rsid w:val="00044D3A"/>
    <w:rsid w:val="0004504F"/>
    <w:rsid w:val="000450EF"/>
    <w:rsid w:val="000452A7"/>
    <w:rsid w:val="000455A6"/>
    <w:rsid w:val="00045656"/>
    <w:rsid w:val="000456DB"/>
    <w:rsid w:val="000457A7"/>
    <w:rsid w:val="00045BC9"/>
    <w:rsid w:val="000462ED"/>
    <w:rsid w:val="00046401"/>
    <w:rsid w:val="00046645"/>
    <w:rsid w:val="00046668"/>
    <w:rsid w:val="00046881"/>
    <w:rsid w:val="00046950"/>
    <w:rsid w:val="00046AF5"/>
    <w:rsid w:val="000474A3"/>
    <w:rsid w:val="000474EA"/>
    <w:rsid w:val="000478E6"/>
    <w:rsid w:val="0004797F"/>
    <w:rsid w:val="000479D4"/>
    <w:rsid w:val="00047CCE"/>
    <w:rsid w:val="00047E42"/>
    <w:rsid w:val="00047EA6"/>
    <w:rsid w:val="00050117"/>
    <w:rsid w:val="00050441"/>
    <w:rsid w:val="00050489"/>
    <w:rsid w:val="00050496"/>
    <w:rsid w:val="000506A1"/>
    <w:rsid w:val="000508D1"/>
    <w:rsid w:val="00050B87"/>
    <w:rsid w:val="00051081"/>
    <w:rsid w:val="000512D1"/>
    <w:rsid w:val="0005132D"/>
    <w:rsid w:val="0005182E"/>
    <w:rsid w:val="00051CCA"/>
    <w:rsid w:val="00051D92"/>
    <w:rsid w:val="00051E6A"/>
    <w:rsid w:val="00051FC2"/>
    <w:rsid w:val="000525CE"/>
    <w:rsid w:val="00052A04"/>
    <w:rsid w:val="00052D6F"/>
    <w:rsid w:val="0005317F"/>
    <w:rsid w:val="00053471"/>
    <w:rsid w:val="000537BB"/>
    <w:rsid w:val="00053850"/>
    <w:rsid w:val="000538A1"/>
    <w:rsid w:val="000541C7"/>
    <w:rsid w:val="00054645"/>
    <w:rsid w:val="00054A4F"/>
    <w:rsid w:val="00054ACA"/>
    <w:rsid w:val="00054B66"/>
    <w:rsid w:val="00054E68"/>
    <w:rsid w:val="0005548B"/>
    <w:rsid w:val="0005548D"/>
    <w:rsid w:val="000557ED"/>
    <w:rsid w:val="00055990"/>
    <w:rsid w:val="00055CB6"/>
    <w:rsid w:val="00055E26"/>
    <w:rsid w:val="00056137"/>
    <w:rsid w:val="00056138"/>
    <w:rsid w:val="000565A3"/>
    <w:rsid w:val="00056612"/>
    <w:rsid w:val="00056635"/>
    <w:rsid w:val="000567BC"/>
    <w:rsid w:val="000569E0"/>
    <w:rsid w:val="00056DA9"/>
    <w:rsid w:val="00056EEF"/>
    <w:rsid w:val="00057588"/>
    <w:rsid w:val="00057640"/>
    <w:rsid w:val="000578A2"/>
    <w:rsid w:val="00057CB1"/>
    <w:rsid w:val="00060045"/>
    <w:rsid w:val="00060073"/>
    <w:rsid w:val="00060194"/>
    <w:rsid w:val="0006043F"/>
    <w:rsid w:val="0006068C"/>
    <w:rsid w:val="00060769"/>
    <w:rsid w:val="000607A6"/>
    <w:rsid w:val="00061253"/>
    <w:rsid w:val="00061378"/>
    <w:rsid w:val="0006148E"/>
    <w:rsid w:val="00061580"/>
    <w:rsid w:val="000617F3"/>
    <w:rsid w:val="000617FF"/>
    <w:rsid w:val="00061BEA"/>
    <w:rsid w:val="00061DC7"/>
    <w:rsid w:val="00061E48"/>
    <w:rsid w:val="00061E67"/>
    <w:rsid w:val="00061EE4"/>
    <w:rsid w:val="000620FB"/>
    <w:rsid w:val="000621DF"/>
    <w:rsid w:val="00062354"/>
    <w:rsid w:val="00062437"/>
    <w:rsid w:val="000626C4"/>
    <w:rsid w:val="00062926"/>
    <w:rsid w:val="000629AB"/>
    <w:rsid w:val="00062C7C"/>
    <w:rsid w:val="00062E45"/>
    <w:rsid w:val="00063308"/>
    <w:rsid w:val="000635F7"/>
    <w:rsid w:val="00063D28"/>
    <w:rsid w:val="000641F8"/>
    <w:rsid w:val="000643F7"/>
    <w:rsid w:val="00064404"/>
    <w:rsid w:val="000646B8"/>
    <w:rsid w:val="00064936"/>
    <w:rsid w:val="00064E2A"/>
    <w:rsid w:val="00065001"/>
    <w:rsid w:val="000651DE"/>
    <w:rsid w:val="00065319"/>
    <w:rsid w:val="0006537C"/>
    <w:rsid w:val="000653E1"/>
    <w:rsid w:val="00065467"/>
    <w:rsid w:val="00065496"/>
    <w:rsid w:val="000657E2"/>
    <w:rsid w:val="00065B83"/>
    <w:rsid w:val="000662FB"/>
    <w:rsid w:val="0006665B"/>
    <w:rsid w:val="0006690F"/>
    <w:rsid w:val="00067292"/>
    <w:rsid w:val="00067430"/>
    <w:rsid w:val="000674B5"/>
    <w:rsid w:val="0006757F"/>
    <w:rsid w:val="00067AB5"/>
    <w:rsid w:val="00067F81"/>
    <w:rsid w:val="00070718"/>
    <w:rsid w:val="0007076D"/>
    <w:rsid w:val="000708D3"/>
    <w:rsid w:val="00070B2A"/>
    <w:rsid w:val="00070E18"/>
    <w:rsid w:val="00070F2A"/>
    <w:rsid w:val="00071DBD"/>
    <w:rsid w:val="00071EFA"/>
    <w:rsid w:val="000720F5"/>
    <w:rsid w:val="000720F8"/>
    <w:rsid w:val="00072142"/>
    <w:rsid w:val="00072711"/>
    <w:rsid w:val="00072728"/>
    <w:rsid w:val="000727B5"/>
    <w:rsid w:val="00072B3F"/>
    <w:rsid w:val="00072BE2"/>
    <w:rsid w:val="00072C03"/>
    <w:rsid w:val="00072DD4"/>
    <w:rsid w:val="00073223"/>
    <w:rsid w:val="000732DF"/>
    <w:rsid w:val="000732FD"/>
    <w:rsid w:val="0007358E"/>
    <w:rsid w:val="00073792"/>
    <w:rsid w:val="00073872"/>
    <w:rsid w:val="00073A89"/>
    <w:rsid w:val="00073CEC"/>
    <w:rsid w:val="00073D34"/>
    <w:rsid w:val="00073F42"/>
    <w:rsid w:val="00073FA9"/>
    <w:rsid w:val="00074665"/>
    <w:rsid w:val="000746D5"/>
    <w:rsid w:val="00074709"/>
    <w:rsid w:val="000749B9"/>
    <w:rsid w:val="00074D11"/>
    <w:rsid w:val="00074DA1"/>
    <w:rsid w:val="000754FC"/>
    <w:rsid w:val="000755F9"/>
    <w:rsid w:val="000756DF"/>
    <w:rsid w:val="00075941"/>
    <w:rsid w:val="00075CC6"/>
    <w:rsid w:val="00075E7A"/>
    <w:rsid w:val="0007633F"/>
    <w:rsid w:val="000764A2"/>
    <w:rsid w:val="0007650D"/>
    <w:rsid w:val="000765B6"/>
    <w:rsid w:val="00076C27"/>
    <w:rsid w:val="00076D5D"/>
    <w:rsid w:val="00076DE8"/>
    <w:rsid w:val="0007706A"/>
    <w:rsid w:val="00077534"/>
    <w:rsid w:val="0007754A"/>
    <w:rsid w:val="00077592"/>
    <w:rsid w:val="0007778B"/>
    <w:rsid w:val="000778A2"/>
    <w:rsid w:val="00077E7D"/>
    <w:rsid w:val="00080263"/>
    <w:rsid w:val="000803AD"/>
    <w:rsid w:val="000806D4"/>
    <w:rsid w:val="00080736"/>
    <w:rsid w:val="00080844"/>
    <w:rsid w:val="000808E3"/>
    <w:rsid w:val="00080B60"/>
    <w:rsid w:val="00080F62"/>
    <w:rsid w:val="000811D8"/>
    <w:rsid w:val="000817F5"/>
    <w:rsid w:val="000818DD"/>
    <w:rsid w:val="000819D4"/>
    <w:rsid w:val="000828E6"/>
    <w:rsid w:val="000829B6"/>
    <w:rsid w:val="000829D1"/>
    <w:rsid w:val="00082A62"/>
    <w:rsid w:val="00082D10"/>
    <w:rsid w:val="00082E1E"/>
    <w:rsid w:val="00083173"/>
    <w:rsid w:val="00083421"/>
    <w:rsid w:val="00083429"/>
    <w:rsid w:val="00083FA8"/>
    <w:rsid w:val="00083FE3"/>
    <w:rsid w:val="0008411D"/>
    <w:rsid w:val="00084387"/>
    <w:rsid w:val="00084761"/>
    <w:rsid w:val="000849DF"/>
    <w:rsid w:val="00084AF6"/>
    <w:rsid w:val="00084E02"/>
    <w:rsid w:val="00084EA2"/>
    <w:rsid w:val="00084EE6"/>
    <w:rsid w:val="00084F63"/>
    <w:rsid w:val="0008506C"/>
    <w:rsid w:val="0008524E"/>
    <w:rsid w:val="0008527C"/>
    <w:rsid w:val="0008545A"/>
    <w:rsid w:val="00085AC2"/>
    <w:rsid w:val="00085AFD"/>
    <w:rsid w:val="00085BC7"/>
    <w:rsid w:val="00085C22"/>
    <w:rsid w:val="00085C51"/>
    <w:rsid w:val="00085D7F"/>
    <w:rsid w:val="00085E26"/>
    <w:rsid w:val="0008600B"/>
    <w:rsid w:val="0008600F"/>
    <w:rsid w:val="00086154"/>
    <w:rsid w:val="000868F5"/>
    <w:rsid w:val="00086C43"/>
    <w:rsid w:val="00086C83"/>
    <w:rsid w:val="000873CD"/>
    <w:rsid w:val="000873E7"/>
    <w:rsid w:val="000876D8"/>
    <w:rsid w:val="000876FA"/>
    <w:rsid w:val="00087774"/>
    <w:rsid w:val="00087BB3"/>
    <w:rsid w:val="00087C9E"/>
    <w:rsid w:val="0009016A"/>
    <w:rsid w:val="000901BC"/>
    <w:rsid w:val="000909B9"/>
    <w:rsid w:val="00090A07"/>
    <w:rsid w:val="00090B9F"/>
    <w:rsid w:val="00090D41"/>
    <w:rsid w:val="00090DE6"/>
    <w:rsid w:val="00090F1B"/>
    <w:rsid w:val="0009127D"/>
    <w:rsid w:val="00091382"/>
    <w:rsid w:val="000917F4"/>
    <w:rsid w:val="00091AA3"/>
    <w:rsid w:val="00091AFB"/>
    <w:rsid w:val="00091D57"/>
    <w:rsid w:val="00092358"/>
    <w:rsid w:val="00092391"/>
    <w:rsid w:val="000924A8"/>
    <w:rsid w:val="000924D4"/>
    <w:rsid w:val="00092C29"/>
    <w:rsid w:val="00093042"/>
    <w:rsid w:val="00093540"/>
    <w:rsid w:val="00093DB0"/>
    <w:rsid w:val="0009434D"/>
    <w:rsid w:val="00094463"/>
    <w:rsid w:val="00094B3C"/>
    <w:rsid w:val="00094CB4"/>
    <w:rsid w:val="000951A2"/>
    <w:rsid w:val="00095213"/>
    <w:rsid w:val="00095528"/>
    <w:rsid w:val="00095538"/>
    <w:rsid w:val="00095ABF"/>
    <w:rsid w:val="00096313"/>
    <w:rsid w:val="00096371"/>
    <w:rsid w:val="000964A7"/>
    <w:rsid w:val="0009657B"/>
    <w:rsid w:val="00096954"/>
    <w:rsid w:val="00096C13"/>
    <w:rsid w:val="00096DB8"/>
    <w:rsid w:val="0009700D"/>
    <w:rsid w:val="00097014"/>
    <w:rsid w:val="0009723F"/>
    <w:rsid w:val="000972EF"/>
    <w:rsid w:val="000977C6"/>
    <w:rsid w:val="00097C94"/>
    <w:rsid w:val="000A085E"/>
    <w:rsid w:val="000A0936"/>
    <w:rsid w:val="000A09E7"/>
    <w:rsid w:val="000A0AC7"/>
    <w:rsid w:val="000A0D56"/>
    <w:rsid w:val="000A0D76"/>
    <w:rsid w:val="000A0DC1"/>
    <w:rsid w:val="000A0F77"/>
    <w:rsid w:val="000A1070"/>
    <w:rsid w:val="000A10AB"/>
    <w:rsid w:val="000A123E"/>
    <w:rsid w:val="000A1285"/>
    <w:rsid w:val="000A169F"/>
    <w:rsid w:val="000A1D68"/>
    <w:rsid w:val="000A2640"/>
    <w:rsid w:val="000A27BB"/>
    <w:rsid w:val="000A29A5"/>
    <w:rsid w:val="000A2EB6"/>
    <w:rsid w:val="000A2EFD"/>
    <w:rsid w:val="000A32BD"/>
    <w:rsid w:val="000A353C"/>
    <w:rsid w:val="000A3E31"/>
    <w:rsid w:val="000A3EBA"/>
    <w:rsid w:val="000A4087"/>
    <w:rsid w:val="000A40C6"/>
    <w:rsid w:val="000A40FD"/>
    <w:rsid w:val="000A4124"/>
    <w:rsid w:val="000A4139"/>
    <w:rsid w:val="000A4871"/>
    <w:rsid w:val="000A4E9A"/>
    <w:rsid w:val="000A510B"/>
    <w:rsid w:val="000A5314"/>
    <w:rsid w:val="000A539F"/>
    <w:rsid w:val="000A5A83"/>
    <w:rsid w:val="000A5D8F"/>
    <w:rsid w:val="000A5D99"/>
    <w:rsid w:val="000A6163"/>
    <w:rsid w:val="000A630E"/>
    <w:rsid w:val="000A63AD"/>
    <w:rsid w:val="000A6591"/>
    <w:rsid w:val="000A677A"/>
    <w:rsid w:val="000A69D2"/>
    <w:rsid w:val="000A77D6"/>
    <w:rsid w:val="000A78EC"/>
    <w:rsid w:val="000A7B77"/>
    <w:rsid w:val="000A7C4C"/>
    <w:rsid w:val="000A7CF9"/>
    <w:rsid w:val="000A7D15"/>
    <w:rsid w:val="000A7D4B"/>
    <w:rsid w:val="000A7F51"/>
    <w:rsid w:val="000B01FA"/>
    <w:rsid w:val="000B022B"/>
    <w:rsid w:val="000B02ED"/>
    <w:rsid w:val="000B06A7"/>
    <w:rsid w:val="000B0DCE"/>
    <w:rsid w:val="000B14E7"/>
    <w:rsid w:val="000B1BA4"/>
    <w:rsid w:val="000B1F20"/>
    <w:rsid w:val="000B1F2B"/>
    <w:rsid w:val="000B20D4"/>
    <w:rsid w:val="000B2213"/>
    <w:rsid w:val="000B233D"/>
    <w:rsid w:val="000B27E0"/>
    <w:rsid w:val="000B2A82"/>
    <w:rsid w:val="000B2AAC"/>
    <w:rsid w:val="000B2B3C"/>
    <w:rsid w:val="000B2CD6"/>
    <w:rsid w:val="000B2FC3"/>
    <w:rsid w:val="000B32C5"/>
    <w:rsid w:val="000B32E4"/>
    <w:rsid w:val="000B3304"/>
    <w:rsid w:val="000B3667"/>
    <w:rsid w:val="000B38EA"/>
    <w:rsid w:val="000B3C3F"/>
    <w:rsid w:val="000B3D51"/>
    <w:rsid w:val="000B3EAD"/>
    <w:rsid w:val="000B3F89"/>
    <w:rsid w:val="000B4C82"/>
    <w:rsid w:val="000B51E7"/>
    <w:rsid w:val="000B53F2"/>
    <w:rsid w:val="000B56C0"/>
    <w:rsid w:val="000B57DB"/>
    <w:rsid w:val="000B5A90"/>
    <w:rsid w:val="000B5B83"/>
    <w:rsid w:val="000B5DC1"/>
    <w:rsid w:val="000B5F3D"/>
    <w:rsid w:val="000B5FA3"/>
    <w:rsid w:val="000B60D2"/>
    <w:rsid w:val="000B6575"/>
    <w:rsid w:val="000B6801"/>
    <w:rsid w:val="000B6A87"/>
    <w:rsid w:val="000B6B12"/>
    <w:rsid w:val="000B6C6C"/>
    <w:rsid w:val="000B6CD3"/>
    <w:rsid w:val="000B6D0F"/>
    <w:rsid w:val="000B6E6D"/>
    <w:rsid w:val="000B72E0"/>
    <w:rsid w:val="000B7600"/>
    <w:rsid w:val="000B7664"/>
    <w:rsid w:val="000B7680"/>
    <w:rsid w:val="000B7989"/>
    <w:rsid w:val="000B7AE5"/>
    <w:rsid w:val="000B7E0D"/>
    <w:rsid w:val="000C01F6"/>
    <w:rsid w:val="000C0226"/>
    <w:rsid w:val="000C023A"/>
    <w:rsid w:val="000C0726"/>
    <w:rsid w:val="000C076E"/>
    <w:rsid w:val="000C099C"/>
    <w:rsid w:val="000C0F55"/>
    <w:rsid w:val="000C1097"/>
    <w:rsid w:val="000C139B"/>
    <w:rsid w:val="000C140B"/>
    <w:rsid w:val="000C15E3"/>
    <w:rsid w:val="000C1C3E"/>
    <w:rsid w:val="000C233C"/>
    <w:rsid w:val="000C24DA"/>
    <w:rsid w:val="000C25D8"/>
    <w:rsid w:val="000C267B"/>
    <w:rsid w:val="000C2980"/>
    <w:rsid w:val="000C2FB7"/>
    <w:rsid w:val="000C30CB"/>
    <w:rsid w:val="000C35FB"/>
    <w:rsid w:val="000C3630"/>
    <w:rsid w:val="000C3830"/>
    <w:rsid w:val="000C399A"/>
    <w:rsid w:val="000C39B4"/>
    <w:rsid w:val="000C3AD0"/>
    <w:rsid w:val="000C3DA5"/>
    <w:rsid w:val="000C42ED"/>
    <w:rsid w:val="000C4457"/>
    <w:rsid w:val="000C4589"/>
    <w:rsid w:val="000C4689"/>
    <w:rsid w:val="000C4738"/>
    <w:rsid w:val="000C4968"/>
    <w:rsid w:val="000C4CC0"/>
    <w:rsid w:val="000C4D5C"/>
    <w:rsid w:val="000C5202"/>
    <w:rsid w:val="000C53F5"/>
    <w:rsid w:val="000C5564"/>
    <w:rsid w:val="000C55DB"/>
    <w:rsid w:val="000C5602"/>
    <w:rsid w:val="000C584E"/>
    <w:rsid w:val="000C59C4"/>
    <w:rsid w:val="000C5B36"/>
    <w:rsid w:val="000C5D65"/>
    <w:rsid w:val="000C627A"/>
    <w:rsid w:val="000C6F05"/>
    <w:rsid w:val="000C71C5"/>
    <w:rsid w:val="000C727A"/>
    <w:rsid w:val="000C730E"/>
    <w:rsid w:val="000C7450"/>
    <w:rsid w:val="000C7697"/>
    <w:rsid w:val="000C76DA"/>
    <w:rsid w:val="000C789E"/>
    <w:rsid w:val="000C79D0"/>
    <w:rsid w:val="000C7ABE"/>
    <w:rsid w:val="000C7B4C"/>
    <w:rsid w:val="000C7D70"/>
    <w:rsid w:val="000C7EF4"/>
    <w:rsid w:val="000D0459"/>
    <w:rsid w:val="000D072A"/>
    <w:rsid w:val="000D09C3"/>
    <w:rsid w:val="000D0B34"/>
    <w:rsid w:val="000D0EC2"/>
    <w:rsid w:val="000D0F51"/>
    <w:rsid w:val="000D1221"/>
    <w:rsid w:val="000D17A9"/>
    <w:rsid w:val="000D1B06"/>
    <w:rsid w:val="000D1D83"/>
    <w:rsid w:val="000D1E54"/>
    <w:rsid w:val="000D215B"/>
    <w:rsid w:val="000D24E2"/>
    <w:rsid w:val="000D2BA7"/>
    <w:rsid w:val="000D3585"/>
    <w:rsid w:val="000D3A7C"/>
    <w:rsid w:val="000D3CAE"/>
    <w:rsid w:val="000D42CA"/>
    <w:rsid w:val="000D4498"/>
    <w:rsid w:val="000D4568"/>
    <w:rsid w:val="000D4A0C"/>
    <w:rsid w:val="000D4EE8"/>
    <w:rsid w:val="000D4FE9"/>
    <w:rsid w:val="000D5383"/>
    <w:rsid w:val="000D53B8"/>
    <w:rsid w:val="000D5624"/>
    <w:rsid w:val="000D5955"/>
    <w:rsid w:val="000D68E4"/>
    <w:rsid w:val="000D70CE"/>
    <w:rsid w:val="000D70FA"/>
    <w:rsid w:val="000D7279"/>
    <w:rsid w:val="000D74A4"/>
    <w:rsid w:val="000D7679"/>
    <w:rsid w:val="000D7CD3"/>
    <w:rsid w:val="000E0C8A"/>
    <w:rsid w:val="000E0D71"/>
    <w:rsid w:val="000E0DD4"/>
    <w:rsid w:val="000E0F62"/>
    <w:rsid w:val="000E0FC9"/>
    <w:rsid w:val="000E1054"/>
    <w:rsid w:val="000E1158"/>
    <w:rsid w:val="000E13B0"/>
    <w:rsid w:val="000E1473"/>
    <w:rsid w:val="000E162A"/>
    <w:rsid w:val="000E177D"/>
    <w:rsid w:val="000E19F0"/>
    <w:rsid w:val="000E1E6F"/>
    <w:rsid w:val="000E2098"/>
    <w:rsid w:val="000E21B1"/>
    <w:rsid w:val="000E22B3"/>
    <w:rsid w:val="000E237E"/>
    <w:rsid w:val="000E23BF"/>
    <w:rsid w:val="000E23EF"/>
    <w:rsid w:val="000E2664"/>
    <w:rsid w:val="000E2903"/>
    <w:rsid w:val="000E2BE0"/>
    <w:rsid w:val="000E2C2B"/>
    <w:rsid w:val="000E2E1B"/>
    <w:rsid w:val="000E327D"/>
    <w:rsid w:val="000E32BE"/>
    <w:rsid w:val="000E32CD"/>
    <w:rsid w:val="000E3463"/>
    <w:rsid w:val="000E3464"/>
    <w:rsid w:val="000E3886"/>
    <w:rsid w:val="000E3CFC"/>
    <w:rsid w:val="000E404D"/>
    <w:rsid w:val="000E40CB"/>
    <w:rsid w:val="000E420F"/>
    <w:rsid w:val="000E42F6"/>
    <w:rsid w:val="000E44A9"/>
    <w:rsid w:val="000E4A6D"/>
    <w:rsid w:val="000E4D8F"/>
    <w:rsid w:val="000E5429"/>
    <w:rsid w:val="000E5B28"/>
    <w:rsid w:val="000E5D0D"/>
    <w:rsid w:val="000E62CE"/>
    <w:rsid w:val="000E63BC"/>
    <w:rsid w:val="000E649F"/>
    <w:rsid w:val="000E66DF"/>
    <w:rsid w:val="000E6AF8"/>
    <w:rsid w:val="000E6B08"/>
    <w:rsid w:val="000E70A5"/>
    <w:rsid w:val="000E70F6"/>
    <w:rsid w:val="000E7523"/>
    <w:rsid w:val="000E77B0"/>
    <w:rsid w:val="000E78BC"/>
    <w:rsid w:val="000E7960"/>
    <w:rsid w:val="000E7F42"/>
    <w:rsid w:val="000F01EE"/>
    <w:rsid w:val="000F034B"/>
    <w:rsid w:val="000F039B"/>
    <w:rsid w:val="000F0528"/>
    <w:rsid w:val="000F06DE"/>
    <w:rsid w:val="000F0888"/>
    <w:rsid w:val="000F0DEA"/>
    <w:rsid w:val="000F0DFE"/>
    <w:rsid w:val="000F0E8F"/>
    <w:rsid w:val="000F1394"/>
    <w:rsid w:val="000F1519"/>
    <w:rsid w:val="000F18A3"/>
    <w:rsid w:val="000F19CA"/>
    <w:rsid w:val="000F1A51"/>
    <w:rsid w:val="000F1CEF"/>
    <w:rsid w:val="000F25EE"/>
    <w:rsid w:val="000F269A"/>
    <w:rsid w:val="000F26C0"/>
    <w:rsid w:val="000F2852"/>
    <w:rsid w:val="000F2873"/>
    <w:rsid w:val="000F2BE7"/>
    <w:rsid w:val="000F2CE4"/>
    <w:rsid w:val="000F2DD7"/>
    <w:rsid w:val="000F2FB2"/>
    <w:rsid w:val="000F32AC"/>
    <w:rsid w:val="000F3597"/>
    <w:rsid w:val="000F370D"/>
    <w:rsid w:val="000F376F"/>
    <w:rsid w:val="000F37E4"/>
    <w:rsid w:val="000F3856"/>
    <w:rsid w:val="000F3E1E"/>
    <w:rsid w:val="000F3E50"/>
    <w:rsid w:val="000F41E0"/>
    <w:rsid w:val="000F43CA"/>
    <w:rsid w:val="000F4698"/>
    <w:rsid w:val="000F48B5"/>
    <w:rsid w:val="000F4AF1"/>
    <w:rsid w:val="000F4D00"/>
    <w:rsid w:val="000F4E41"/>
    <w:rsid w:val="000F4FE7"/>
    <w:rsid w:val="000F5554"/>
    <w:rsid w:val="000F57C2"/>
    <w:rsid w:val="000F5A7E"/>
    <w:rsid w:val="000F5D44"/>
    <w:rsid w:val="000F5E41"/>
    <w:rsid w:val="000F5E6F"/>
    <w:rsid w:val="000F5EC4"/>
    <w:rsid w:val="000F60AC"/>
    <w:rsid w:val="000F6152"/>
    <w:rsid w:val="000F6161"/>
    <w:rsid w:val="000F63EF"/>
    <w:rsid w:val="000F6442"/>
    <w:rsid w:val="000F68EC"/>
    <w:rsid w:val="000F75A1"/>
    <w:rsid w:val="000F763F"/>
    <w:rsid w:val="000F7AD5"/>
    <w:rsid w:val="000F7CB4"/>
    <w:rsid w:val="000F7F64"/>
    <w:rsid w:val="000F7FAE"/>
    <w:rsid w:val="00100058"/>
    <w:rsid w:val="00100268"/>
    <w:rsid w:val="00100472"/>
    <w:rsid w:val="001008F0"/>
    <w:rsid w:val="001009C1"/>
    <w:rsid w:val="00100B0C"/>
    <w:rsid w:val="00101A55"/>
    <w:rsid w:val="00101B88"/>
    <w:rsid w:val="00101EC8"/>
    <w:rsid w:val="00101F21"/>
    <w:rsid w:val="0010203F"/>
    <w:rsid w:val="0010243C"/>
    <w:rsid w:val="00102509"/>
    <w:rsid w:val="00102B37"/>
    <w:rsid w:val="00102E12"/>
    <w:rsid w:val="001030AE"/>
    <w:rsid w:val="0010327A"/>
    <w:rsid w:val="001032AD"/>
    <w:rsid w:val="00103356"/>
    <w:rsid w:val="00103433"/>
    <w:rsid w:val="001035FC"/>
    <w:rsid w:val="0010374F"/>
    <w:rsid w:val="0010385A"/>
    <w:rsid w:val="00103A48"/>
    <w:rsid w:val="0010401A"/>
    <w:rsid w:val="00104132"/>
    <w:rsid w:val="00104168"/>
    <w:rsid w:val="00104365"/>
    <w:rsid w:val="001045C8"/>
    <w:rsid w:val="00104992"/>
    <w:rsid w:val="00104E68"/>
    <w:rsid w:val="00104EC6"/>
    <w:rsid w:val="00104EE9"/>
    <w:rsid w:val="00105326"/>
    <w:rsid w:val="001054A5"/>
    <w:rsid w:val="00105774"/>
    <w:rsid w:val="00105B08"/>
    <w:rsid w:val="0010607E"/>
    <w:rsid w:val="001062CA"/>
    <w:rsid w:val="0010642A"/>
    <w:rsid w:val="0010687A"/>
    <w:rsid w:val="00106AA3"/>
    <w:rsid w:val="001070B0"/>
    <w:rsid w:val="00107126"/>
    <w:rsid w:val="001075A8"/>
    <w:rsid w:val="001079C3"/>
    <w:rsid w:val="00107B24"/>
    <w:rsid w:val="00110342"/>
    <w:rsid w:val="00110856"/>
    <w:rsid w:val="00111160"/>
    <w:rsid w:val="001112CB"/>
    <w:rsid w:val="00111347"/>
    <w:rsid w:val="001113CA"/>
    <w:rsid w:val="001115C7"/>
    <w:rsid w:val="00111823"/>
    <w:rsid w:val="00111D39"/>
    <w:rsid w:val="00111D49"/>
    <w:rsid w:val="00111E5D"/>
    <w:rsid w:val="00111EC4"/>
    <w:rsid w:val="001120AE"/>
    <w:rsid w:val="001124E6"/>
    <w:rsid w:val="001127A0"/>
    <w:rsid w:val="001128FF"/>
    <w:rsid w:val="00112A83"/>
    <w:rsid w:val="00112D15"/>
    <w:rsid w:val="00112EAD"/>
    <w:rsid w:val="00112FD6"/>
    <w:rsid w:val="00113224"/>
    <w:rsid w:val="00113274"/>
    <w:rsid w:val="0011349E"/>
    <w:rsid w:val="00113A3A"/>
    <w:rsid w:val="00113BDB"/>
    <w:rsid w:val="00113CDF"/>
    <w:rsid w:val="00113DC8"/>
    <w:rsid w:val="00113E20"/>
    <w:rsid w:val="00113E61"/>
    <w:rsid w:val="00113F0D"/>
    <w:rsid w:val="00114045"/>
    <w:rsid w:val="001143AE"/>
    <w:rsid w:val="001143D0"/>
    <w:rsid w:val="001144D0"/>
    <w:rsid w:val="0011455D"/>
    <w:rsid w:val="001146BF"/>
    <w:rsid w:val="00114704"/>
    <w:rsid w:val="001148C3"/>
    <w:rsid w:val="00114F41"/>
    <w:rsid w:val="0011506B"/>
    <w:rsid w:val="0011508E"/>
    <w:rsid w:val="0011562D"/>
    <w:rsid w:val="00115651"/>
    <w:rsid w:val="001156D5"/>
    <w:rsid w:val="00115AB8"/>
    <w:rsid w:val="00115FBE"/>
    <w:rsid w:val="001169B6"/>
    <w:rsid w:val="00116AB6"/>
    <w:rsid w:val="00116DD5"/>
    <w:rsid w:val="00117309"/>
    <w:rsid w:val="00117AF1"/>
    <w:rsid w:val="00117B03"/>
    <w:rsid w:val="00117BB0"/>
    <w:rsid w:val="00117CBF"/>
    <w:rsid w:val="0012007E"/>
    <w:rsid w:val="0012011D"/>
    <w:rsid w:val="00120457"/>
    <w:rsid w:val="00120D62"/>
    <w:rsid w:val="00120D7F"/>
    <w:rsid w:val="00120F89"/>
    <w:rsid w:val="00121090"/>
    <w:rsid w:val="00121177"/>
    <w:rsid w:val="001211E8"/>
    <w:rsid w:val="00121299"/>
    <w:rsid w:val="001213F2"/>
    <w:rsid w:val="001216FA"/>
    <w:rsid w:val="00121DFD"/>
    <w:rsid w:val="00121F1E"/>
    <w:rsid w:val="00122786"/>
    <w:rsid w:val="001228C0"/>
    <w:rsid w:val="00122912"/>
    <w:rsid w:val="00122976"/>
    <w:rsid w:val="00122ECC"/>
    <w:rsid w:val="00123742"/>
    <w:rsid w:val="0012380F"/>
    <w:rsid w:val="00123A77"/>
    <w:rsid w:val="00123C76"/>
    <w:rsid w:val="0012468A"/>
    <w:rsid w:val="001248B9"/>
    <w:rsid w:val="00124943"/>
    <w:rsid w:val="001249B2"/>
    <w:rsid w:val="00124A96"/>
    <w:rsid w:val="00124D62"/>
    <w:rsid w:val="0012503F"/>
    <w:rsid w:val="00125420"/>
    <w:rsid w:val="001254C6"/>
    <w:rsid w:val="00125651"/>
    <w:rsid w:val="00125958"/>
    <w:rsid w:val="00125AC1"/>
    <w:rsid w:val="00125C51"/>
    <w:rsid w:val="00125D56"/>
    <w:rsid w:val="00125FC1"/>
    <w:rsid w:val="001261E2"/>
    <w:rsid w:val="00126235"/>
    <w:rsid w:val="0012664B"/>
    <w:rsid w:val="001267F9"/>
    <w:rsid w:val="00126876"/>
    <w:rsid w:val="00126F68"/>
    <w:rsid w:val="00126F98"/>
    <w:rsid w:val="00127273"/>
    <w:rsid w:val="001273DA"/>
    <w:rsid w:val="00127CCE"/>
    <w:rsid w:val="00127DBA"/>
    <w:rsid w:val="001304C0"/>
    <w:rsid w:val="0013060B"/>
    <w:rsid w:val="001306A7"/>
    <w:rsid w:val="00131084"/>
    <w:rsid w:val="0013108B"/>
    <w:rsid w:val="0013114E"/>
    <w:rsid w:val="001315D4"/>
    <w:rsid w:val="001315EA"/>
    <w:rsid w:val="0013171C"/>
    <w:rsid w:val="001319AE"/>
    <w:rsid w:val="00131E75"/>
    <w:rsid w:val="00132098"/>
    <w:rsid w:val="00132391"/>
    <w:rsid w:val="0013239A"/>
    <w:rsid w:val="00132472"/>
    <w:rsid w:val="001324FE"/>
    <w:rsid w:val="00132674"/>
    <w:rsid w:val="00132A09"/>
    <w:rsid w:val="00132D0E"/>
    <w:rsid w:val="00132DBF"/>
    <w:rsid w:val="00132E23"/>
    <w:rsid w:val="00132F27"/>
    <w:rsid w:val="001334D9"/>
    <w:rsid w:val="001335FA"/>
    <w:rsid w:val="00133862"/>
    <w:rsid w:val="0013399B"/>
    <w:rsid w:val="00133D17"/>
    <w:rsid w:val="00134308"/>
    <w:rsid w:val="0013455F"/>
    <w:rsid w:val="00134704"/>
    <w:rsid w:val="001348C2"/>
    <w:rsid w:val="00135140"/>
    <w:rsid w:val="00135207"/>
    <w:rsid w:val="00135418"/>
    <w:rsid w:val="001358CD"/>
    <w:rsid w:val="00135D93"/>
    <w:rsid w:val="00135EC9"/>
    <w:rsid w:val="001360C7"/>
    <w:rsid w:val="00136843"/>
    <w:rsid w:val="00136895"/>
    <w:rsid w:val="00136EF3"/>
    <w:rsid w:val="001371D2"/>
    <w:rsid w:val="00137464"/>
    <w:rsid w:val="001376AE"/>
    <w:rsid w:val="00137940"/>
    <w:rsid w:val="00137B50"/>
    <w:rsid w:val="00137F30"/>
    <w:rsid w:val="00137FEB"/>
    <w:rsid w:val="0014041C"/>
    <w:rsid w:val="00141831"/>
    <w:rsid w:val="001418F8"/>
    <w:rsid w:val="001419EF"/>
    <w:rsid w:val="00141A22"/>
    <w:rsid w:val="00141A37"/>
    <w:rsid w:val="00141B4A"/>
    <w:rsid w:val="00141C42"/>
    <w:rsid w:val="00141F60"/>
    <w:rsid w:val="001421E4"/>
    <w:rsid w:val="00142813"/>
    <w:rsid w:val="00142C78"/>
    <w:rsid w:val="00142EF1"/>
    <w:rsid w:val="00142F44"/>
    <w:rsid w:val="00142F8B"/>
    <w:rsid w:val="00143151"/>
    <w:rsid w:val="001431DB"/>
    <w:rsid w:val="001433D4"/>
    <w:rsid w:val="00143799"/>
    <w:rsid w:val="00143A1B"/>
    <w:rsid w:val="00143A49"/>
    <w:rsid w:val="00143C18"/>
    <w:rsid w:val="00143EB8"/>
    <w:rsid w:val="001440DD"/>
    <w:rsid w:val="001446B2"/>
    <w:rsid w:val="00144813"/>
    <w:rsid w:val="00144ADB"/>
    <w:rsid w:val="00144DF8"/>
    <w:rsid w:val="0014539F"/>
    <w:rsid w:val="00145468"/>
    <w:rsid w:val="00145A1D"/>
    <w:rsid w:val="00146099"/>
    <w:rsid w:val="00146396"/>
    <w:rsid w:val="001463B3"/>
    <w:rsid w:val="00146D9F"/>
    <w:rsid w:val="00146F6C"/>
    <w:rsid w:val="00147253"/>
    <w:rsid w:val="00147422"/>
    <w:rsid w:val="0014748A"/>
    <w:rsid w:val="00147559"/>
    <w:rsid w:val="001478BA"/>
    <w:rsid w:val="00147CB5"/>
    <w:rsid w:val="00147CF6"/>
    <w:rsid w:val="001509A4"/>
    <w:rsid w:val="001511A4"/>
    <w:rsid w:val="00151214"/>
    <w:rsid w:val="0015128D"/>
    <w:rsid w:val="00151343"/>
    <w:rsid w:val="001514E2"/>
    <w:rsid w:val="001516DB"/>
    <w:rsid w:val="00151BB3"/>
    <w:rsid w:val="0015208C"/>
    <w:rsid w:val="001523C9"/>
    <w:rsid w:val="001524CE"/>
    <w:rsid w:val="00152751"/>
    <w:rsid w:val="00152E56"/>
    <w:rsid w:val="00153176"/>
    <w:rsid w:val="001531DE"/>
    <w:rsid w:val="00153299"/>
    <w:rsid w:val="001532E5"/>
    <w:rsid w:val="001536EB"/>
    <w:rsid w:val="001538D3"/>
    <w:rsid w:val="0015390C"/>
    <w:rsid w:val="00153A3C"/>
    <w:rsid w:val="00153DCC"/>
    <w:rsid w:val="00153E1C"/>
    <w:rsid w:val="001546D3"/>
    <w:rsid w:val="00154733"/>
    <w:rsid w:val="001547AB"/>
    <w:rsid w:val="00154850"/>
    <w:rsid w:val="0015485C"/>
    <w:rsid w:val="00154B63"/>
    <w:rsid w:val="00154CB3"/>
    <w:rsid w:val="00154E23"/>
    <w:rsid w:val="00155117"/>
    <w:rsid w:val="001555D0"/>
    <w:rsid w:val="001559AA"/>
    <w:rsid w:val="00155EC4"/>
    <w:rsid w:val="0015634E"/>
    <w:rsid w:val="0015639F"/>
    <w:rsid w:val="001564C3"/>
    <w:rsid w:val="00156C7D"/>
    <w:rsid w:val="00156D13"/>
    <w:rsid w:val="001570B0"/>
    <w:rsid w:val="00157260"/>
    <w:rsid w:val="001575B4"/>
    <w:rsid w:val="001575D8"/>
    <w:rsid w:val="00157664"/>
    <w:rsid w:val="00157E6E"/>
    <w:rsid w:val="001600DF"/>
    <w:rsid w:val="00160180"/>
    <w:rsid w:val="0016038B"/>
    <w:rsid w:val="00160503"/>
    <w:rsid w:val="00160627"/>
    <w:rsid w:val="001606AA"/>
    <w:rsid w:val="00160985"/>
    <w:rsid w:val="00160B79"/>
    <w:rsid w:val="00161148"/>
    <w:rsid w:val="001611C8"/>
    <w:rsid w:val="00161230"/>
    <w:rsid w:val="00161280"/>
    <w:rsid w:val="00161444"/>
    <w:rsid w:val="0016149C"/>
    <w:rsid w:val="001614D8"/>
    <w:rsid w:val="0016192A"/>
    <w:rsid w:val="0016195F"/>
    <w:rsid w:val="00161A69"/>
    <w:rsid w:val="00161A6B"/>
    <w:rsid w:val="00161AEE"/>
    <w:rsid w:val="00161BFF"/>
    <w:rsid w:val="00161D72"/>
    <w:rsid w:val="00162056"/>
    <w:rsid w:val="001622D3"/>
    <w:rsid w:val="001622ED"/>
    <w:rsid w:val="00162C0B"/>
    <w:rsid w:val="00162F8F"/>
    <w:rsid w:val="0016306C"/>
    <w:rsid w:val="0016323D"/>
    <w:rsid w:val="001632FB"/>
    <w:rsid w:val="0016343C"/>
    <w:rsid w:val="00163477"/>
    <w:rsid w:val="00163540"/>
    <w:rsid w:val="00163E5A"/>
    <w:rsid w:val="00164204"/>
    <w:rsid w:val="00164402"/>
    <w:rsid w:val="001645B6"/>
    <w:rsid w:val="00164720"/>
    <w:rsid w:val="00164938"/>
    <w:rsid w:val="00164B50"/>
    <w:rsid w:val="00164DAA"/>
    <w:rsid w:val="00165041"/>
    <w:rsid w:val="0016523C"/>
    <w:rsid w:val="001657D2"/>
    <w:rsid w:val="001657F8"/>
    <w:rsid w:val="00165947"/>
    <w:rsid w:val="00165C17"/>
    <w:rsid w:val="00165C76"/>
    <w:rsid w:val="00165E0A"/>
    <w:rsid w:val="001661D3"/>
    <w:rsid w:val="00166288"/>
    <w:rsid w:val="00166316"/>
    <w:rsid w:val="00166319"/>
    <w:rsid w:val="001664CA"/>
    <w:rsid w:val="0016655B"/>
    <w:rsid w:val="00166759"/>
    <w:rsid w:val="001667BA"/>
    <w:rsid w:val="00166956"/>
    <w:rsid w:val="001669F6"/>
    <w:rsid w:val="001671CF"/>
    <w:rsid w:val="00167305"/>
    <w:rsid w:val="001674B4"/>
    <w:rsid w:val="00167687"/>
    <w:rsid w:val="00167757"/>
    <w:rsid w:val="00167891"/>
    <w:rsid w:val="00167A99"/>
    <w:rsid w:val="00167C39"/>
    <w:rsid w:val="00167FAA"/>
    <w:rsid w:val="00167FBE"/>
    <w:rsid w:val="00167FDD"/>
    <w:rsid w:val="001703A0"/>
    <w:rsid w:val="00170967"/>
    <w:rsid w:val="00170991"/>
    <w:rsid w:val="001709E7"/>
    <w:rsid w:val="00170A4B"/>
    <w:rsid w:val="00170D6A"/>
    <w:rsid w:val="00170E15"/>
    <w:rsid w:val="00170E70"/>
    <w:rsid w:val="00170F0C"/>
    <w:rsid w:val="0017188E"/>
    <w:rsid w:val="00171F12"/>
    <w:rsid w:val="00172E48"/>
    <w:rsid w:val="00173151"/>
    <w:rsid w:val="0017316E"/>
    <w:rsid w:val="00173439"/>
    <w:rsid w:val="00173944"/>
    <w:rsid w:val="00174622"/>
    <w:rsid w:val="001747FB"/>
    <w:rsid w:val="00174879"/>
    <w:rsid w:val="0017489B"/>
    <w:rsid w:val="00174B36"/>
    <w:rsid w:val="00174D35"/>
    <w:rsid w:val="00174DDB"/>
    <w:rsid w:val="0017508C"/>
    <w:rsid w:val="00175120"/>
    <w:rsid w:val="001751D9"/>
    <w:rsid w:val="00175364"/>
    <w:rsid w:val="00175897"/>
    <w:rsid w:val="00175B59"/>
    <w:rsid w:val="00175DBA"/>
    <w:rsid w:val="00175FBA"/>
    <w:rsid w:val="0017600F"/>
    <w:rsid w:val="00176295"/>
    <w:rsid w:val="00176CF4"/>
    <w:rsid w:val="00176E46"/>
    <w:rsid w:val="00176F23"/>
    <w:rsid w:val="00176FA2"/>
    <w:rsid w:val="001770F1"/>
    <w:rsid w:val="001772A7"/>
    <w:rsid w:val="0017738A"/>
    <w:rsid w:val="0017799F"/>
    <w:rsid w:val="0018016F"/>
    <w:rsid w:val="001801A0"/>
    <w:rsid w:val="00180464"/>
    <w:rsid w:val="00180A46"/>
    <w:rsid w:val="00180B4B"/>
    <w:rsid w:val="00180BAF"/>
    <w:rsid w:val="00180C96"/>
    <w:rsid w:val="00180F58"/>
    <w:rsid w:val="00181180"/>
    <w:rsid w:val="00181281"/>
    <w:rsid w:val="00181340"/>
    <w:rsid w:val="00181353"/>
    <w:rsid w:val="00181555"/>
    <w:rsid w:val="001818AE"/>
    <w:rsid w:val="00181A1C"/>
    <w:rsid w:val="00182103"/>
    <w:rsid w:val="00182179"/>
    <w:rsid w:val="001822CF"/>
    <w:rsid w:val="001823B9"/>
    <w:rsid w:val="001828BF"/>
    <w:rsid w:val="00182997"/>
    <w:rsid w:val="00182A18"/>
    <w:rsid w:val="00182B9D"/>
    <w:rsid w:val="00182F7C"/>
    <w:rsid w:val="001832AE"/>
    <w:rsid w:val="001834C2"/>
    <w:rsid w:val="001836BE"/>
    <w:rsid w:val="0018384A"/>
    <w:rsid w:val="00183A63"/>
    <w:rsid w:val="00183ACA"/>
    <w:rsid w:val="00184065"/>
    <w:rsid w:val="00184632"/>
    <w:rsid w:val="00184694"/>
    <w:rsid w:val="00184D24"/>
    <w:rsid w:val="00185048"/>
    <w:rsid w:val="001857BC"/>
    <w:rsid w:val="00185B90"/>
    <w:rsid w:val="00185DEC"/>
    <w:rsid w:val="00185DFF"/>
    <w:rsid w:val="00185E3F"/>
    <w:rsid w:val="00185F1A"/>
    <w:rsid w:val="00185FCF"/>
    <w:rsid w:val="00186029"/>
    <w:rsid w:val="00186A54"/>
    <w:rsid w:val="00186CB1"/>
    <w:rsid w:val="0018714C"/>
    <w:rsid w:val="001871F1"/>
    <w:rsid w:val="00187799"/>
    <w:rsid w:val="00187ED5"/>
    <w:rsid w:val="00190077"/>
    <w:rsid w:val="00190333"/>
    <w:rsid w:val="001904EF"/>
    <w:rsid w:val="001906DB"/>
    <w:rsid w:val="0019079B"/>
    <w:rsid w:val="00190D9D"/>
    <w:rsid w:val="001910F4"/>
    <w:rsid w:val="00191237"/>
    <w:rsid w:val="001914C0"/>
    <w:rsid w:val="0019150C"/>
    <w:rsid w:val="00191515"/>
    <w:rsid w:val="0019163F"/>
    <w:rsid w:val="001919AA"/>
    <w:rsid w:val="00191B28"/>
    <w:rsid w:val="00191D63"/>
    <w:rsid w:val="00191F98"/>
    <w:rsid w:val="00192227"/>
    <w:rsid w:val="00192293"/>
    <w:rsid w:val="001927F0"/>
    <w:rsid w:val="00192880"/>
    <w:rsid w:val="00192C9C"/>
    <w:rsid w:val="00192E96"/>
    <w:rsid w:val="00192F98"/>
    <w:rsid w:val="00193A14"/>
    <w:rsid w:val="00193A4B"/>
    <w:rsid w:val="00193CF7"/>
    <w:rsid w:val="00193D54"/>
    <w:rsid w:val="00193F94"/>
    <w:rsid w:val="00194279"/>
    <w:rsid w:val="00194384"/>
    <w:rsid w:val="00194DAF"/>
    <w:rsid w:val="0019511A"/>
    <w:rsid w:val="0019536B"/>
    <w:rsid w:val="00195459"/>
    <w:rsid w:val="001954B1"/>
    <w:rsid w:val="00195940"/>
    <w:rsid w:val="001959E9"/>
    <w:rsid w:val="00195C16"/>
    <w:rsid w:val="00196479"/>
    <w:rsid w:val="00196515"/>
    <w:rsid w:val="001966A2"/>
    <w:rsid w:val="001967B2"/>
    <w:rsid w:val="00196C94"/>
    <w:rsid w:val="00196D70"/>
    <w:rsid w:val="00196DE0"/>
    <w:rsid w:val="0019709D"/>
    <w:rsid w:val="001971CB"/>
    <w:rsid w:val="001971DE"/>
    <w:rsid w:val="0019720C"/>
    <w:rsid w:val="0019728F"/>
    <w:rsid w:val="001972CA"/>
    <w:rsid w:val="0019772C"/>
    <w:rsid w:val="001977AD"/>
    <w:rsid w:val="00197AD3"/>
    <w:rsid w:val="00197B08"/>
    <w:rsid w:val="001A02BF"/>
    <w:rsid w:val="001A047F"/>
    <w:rsid w:val="001A0668"/>
    <w:rsid w:val="001A0BBB"/>
    <w:rsid w:val="001A0D3B"/>
    <w:rsid w:val="001A0DDA"/>
    <w:rsid w:val="001A11E5"/>
    <w:rsid w:val="001A13B6"/>
    <w:rsid w:val="001A14D5"/>
    <w:rsid w:val="001A19E6"/>
    <w:rsid w:val="001A20C6"/>
    <w:rsid w:val="001A21CD"/>
    <w:rsid w:val="001A22C1"/>
    <w:rsid w:val="001A2616"/>
    <w:rsid w:val="001A28FB"/>
    <w:rsid w:val="001A2902"/>
    <w:rsid w:val="001A291E"/>
    <w:rsid w:val="001A2B66"/>
    <w:rsid w:val="001A30F6"/>
    <w:rsid w:val="001A34D7"/>
    <w:rsid w:val="001A3A0A"/>
    <w:rsid w:val="001A3ADB"/>
    <w:rsid w:val="001A3BCF"/>
    <w:rsid w:val="001A3D26"/>
    <w:rsid w:val="001A3EFA"/>
    <w:rsid w:val="001A3F3F"/>
    <w:rsid w:val="001A41BF"/>
    <w:rsid w:val="001A424B"/>
    <w:rsid w:val="001A4D76"/>
    <w:rsid w:val="001A50F8"/>
    <w:rsid w:val="001A5199"/>
    <w:rsid w:val="001A51B6"/>
    <w:rsid w:val="001A54BF"/>
    <w:rsid w:val="001A55A4"/>
    <w:rsid w:val="001A57C1"/>
    <w:rsid w:val="001A5AFA"/>
    <w:rsid w:val="001A609A"/>
    <w:rsid w:val="001A78C8"/>
    <w:rsid w:val="001A7AAD"/>
    <w:rsid w:val="001A7D5A"/>
    <w:rsid w:val="001A7EAD"/>
    <w:rsid w:val="001B000F"/>
    <w:rsid w:val="001B01CB"/>
    <w:rsid w:val="001B01D9"/>
    <w:rsid w:val="001B0702"/>
    <w:rsid w:val="001B07B9"/>
    <w:rsid w:val="001B0ADE"/>
    <w:rsid w:val="001B10B4"/>
    <w:rsid w:val="001B1426"/>
    <w:rsid w:val="001B15BA"/>
    <w:rsid w:val="001B1A43"/>
    <w:rsid w:val="001B20F5"/>
    <w:rsid w:val="001B2305"/>
    <w:rsid w:val="001B28C7"/>
    <w:rsid w:val="001B2A8B"/>
    <w:rsid w:val="001B2B8F"/>
    <w:rsid w:val="001B2BF1"/>
    <w:rsid w:val="001B3221"/>
    <w:rsid w:val="001B3415"/>
    <w:rsid w:val="001B34BB"/>
    <w:rsid w:val="001B3775"/>
    <w:rsid w:val="001B38A3"/>
    <w:rsid w:val="001B3AD8"/>
    <w:rsid w:val="001B4143"/>
    <w:rsid w:val="001B434B"/>
    <w:rsid w:val="001B4695"/>
    <w:rsid w:val="001B47C2"/>
    <w:rsid w:val="001B4EA0"/>
    <w:rsid w:val="001B52C9"/>
    <w:rsid w:val="001B5337"/>
    <w:rsid w:val="001B5342"/>
    <w:rsid w:val="001B53B1"/>
    <w:rsid w:val="001B53BC"/>
    <w:rsid w:val="001B57BC"/>
    <w:rsid w:val="001B599E"/>
    <w:rsid w:val="001B5A78"/>
    <w:rsid w:val="001B5CAF"/>
    <w:rsid w:val="001B5DA8"/>
    <w:rsid w:val="001B6B0B"/>
    <w:rsid w:val="001B6C59"/>
    <w:rsid w:val="001B72FD"/>
    <w:rsid w:val="001B752E"/>
    <w:rsid w:val="001B7735"/>
    <w:rsid w:val="001B7B68"/>
    <w:rsid w:val="001C0172"/>
    <w:rsid w:val="001C061E"/>
    <w:rsid w:val="001C0AA2"/>
    <w:rsid w:val="001C0BB3"/>
    <w:rsid w:val="001C0C12"/>
    <w:rsid w:val="001C0F2E"/>
    <w:rsid w:val="001C0F4B"/>
    <w:rsid w:val="001C0FBC"/>
    <w:rsid w:val="001C129F"/>
    <w:rsid w:val="001C13AD"/>
    <w:rsid w:val="001C190B"/>
    <w:rsid w:val="001C1BCC"/>
    <w:rsid w:val="001C1F72"/>
    <w:rsid w:val="001C218A"/>
    <w:rsid w:val="001C2213"/>
    <w:rsid w:val="001C26AF"/>
    <w:rsid w:val="001C29AF"/>
    <w:rsid w:val="001C2C8A"/>
    <w:rsid w:val="001C2E71"/>
    <w:rsid w:val="001C2F22"/>
    <w:rsid w:val="001C3CD9"/>
    <w:rsid w:val="001C41AB"/>
    <w:rsid w:val="001C44B6"/>
    <w:rsid w:val="001C4DF7"/>
    <w:rsid w:val="001C506B"/>
    <w:rsid w:val="001C51E1"/>
    <w:rsid w:val="001C5236"/>
    <w:rsid w:val="001C58B2"/>
    <w:rsid w:val="001C59A7"/>
    <w:rsid w:val="001C5F64"/>
    <w:rsid w:val="001C6181"/>
    <w:rsid w:val="001C6347"/>
    <w:rsid w:val="001C6ACC"/>
    <w:rsid w:val="001C6B2C"/>
    <w:rsid w:val="001C736C"/>
    <w:rsid w:val="001C749C"/>
    <w:rsid w:val="001C78BB"/>
    <w:rsid w:val="001D03F2"/>
    <w:rsid w:val="001D053B"/>
    <w:rsid w:val="001D07C1"/>
    <w:rsid w:val="001D09ED"/>
    <w:rsid w:val="001D0D4A"/>
    <w:rsid w:val="001D0DC3"/>
    <w:rsid w:val="001D1045"/>
    <w:rsid w:val="001D2416"/>
    <w:rsid w:val="001D2592"/>
    <w:rsid w:val="001D2606"/>
    <w:rsid w:val="001D26FF"/>
    <w:rsid w:val="001D2B1F"/>
    <w:rsid w:val="001D2C5F"/>
    <w:rsid w:val="001D2EDE"/>
    <w:rsid w:val="001D2F90"/>
    <w:rsid w:val="001D2FB6"/>
    <w:rsid w:val="001D3010"/>
    <w:rsid w:val="001D3155"/>
    <w:rsid w:val="001D3456"/>
    <w:rsid w:val="001D34EF"/>
    <w:rsid w:val="001D3505"/>
    <w:rsid w:val="001D35C0"/>
    <w:rsid w:val="001D39BA"/>
    <w:rsid w:val="001D3A08"/>
    <w:rsid w:val="001D4279"/>
    <w:rsid w:val="001D42D4"/>
    <w:rsid w:val="001D447C"/>
    <w:rsid w:val="001D4555"/>
    <w:rsid w:val="001D4709"/>
    <w:rsid w:val="001D48D8"/>
    <w:rsid w:val="001D4A08"/>
    <w:rsid w:val="001D4AD4"/>
    <w:rsid w:val="001D4BF0"/>
    <w:rsid w:val="001D4CAA"/>
    <w:rsid w:val="001D4CDE"/>
    <w:rsid w:val="001D4E3C"/>
    <w:rsid w:val="001D4FB9"/>
    <w:rsid w:val="001D5006"/>
    <w:rsid w:val="001D55C6"/>
    <w:rsid w:val="001D58AB"/>
    <w:rsid w:val="001D5E51"/>
    <w:rsid w:val="001D6B45"/>
    <w:rsid w:val="001D744B"/>
    <w:rsid w:val="001D7569"/>
    <w:rsid w:val="001D7807"/>
    <w:rsid w:val="001D794C"/>
    <w:rsid w:val="001D7CAD"/>
    <w:rsid w:val="001E059D"/>
    <w:rsid w:val="001E079A"/>
    <w:rsid w:val="001E081F"/>
    <w:rsid w:val="001E08DA"/>
    <w:rsid w:val="001E0CC3"/>
    <w:rsid w:val="001E0EDB"/>
    <w:rsid w:val="001E15E8"/>
    <w:rsid w:val="001E1B40"/>
    <w:rsid w:val="001E1DF0"/>
    <w:rsid w:val="001E22BC"/>
    <w:rsid w:val="001E2459"/>
    <w:rsid w:val="001E24EA"/>
    <w:rsid w:val="001E2B29"/>
    <w:rsid w:val="001E2EC4"/>
    <w:rsid w:val="001E2F57"/>
    <w:rsid w:val="001E3688"/>
    <w:rsid w:val="001E3BFC"/>
    <w:rsid w:val="001E3D9F"/>
    <w:rsid w:val="001E46D9"/>
    <w:rsid w:val="001E4755"/>
    <w:rsid w:val="001E4769"/>
    <w:rsid w:val="001E4804"/>
    <w:rsid w:val="001E4DD5"/>
    <w:rsid w:val="001E4F73"/>
    <w:rsid w:val="001E50FE"/>
    <w:rsid w:val="001E51F7"/>
    <w:rsid w:val="001E52C1"/>
    <w:rsid w:val="001E531B"/>
    <w:rsid w:val="001E54C0"/>
    <w:rsid w:val="001E551F"/>
    <w:rsid w:val="001E5A1D"/>
    <w:rsid w:val="001E5D07"/>
    <w:rsid w:val="001E5DAC"/>
    <w:rsid w:val="001E5ECB"/>
    <w:rsid w:val="001E6089"/>
    <w:rsid w:val="001E67C4"/>
    <w:rsid w:val="001E70D2"/>
    <w:rsid w:val="001E711C"/>
    <w:rsid w:val="001E722D"/>
    <w:rsid w:val="001E7354"/>
    <w:rsid w:val="001E74DB"/>
    <w:rsid w:val="001E7779"/>
    <w:rsid w:val="001E779F"/>
    <w:rsid w:val="001E77DD"/>
    <w:rsid w:val="001E79F6"/>
    <w:rsid w:val="001E7BE6"/>
    <w:rsid w:val="001F0235"/>
    <w:rsid w:val="001F0698"/>
    <w:rsid w:val="001F0A5F"/>
    <w:rsid w:val="001F0E8E"/>
    <w:rsid w:val="001F1597"/>
    <w:rsid w:val="001F1ABF"/>
    <w:rsid w:val="001F1DAA"/>
    <w:rsid w:val="001F1EA6"/>
    <w:rsid w:val="001F1F05"/>
    <w:rsid w:val="001F21DC"/>
    <w:rsid w:val="001F21EC"/>
    <w:rsid w:val="001F2819"/>
    <w:rsid w:val="001F3366"/>
    <w:rsid w:val="001F352E"/>
    <w:rsid w:val="001F38BF"/>
    <w:rsid w:val="001F38D3"/>
    <w:rsid w:val="001F3938"/>
    <w:rsid w:val="001F3958"/>
    <w:rsid w:val="001F3C81"/>
    <w:rsid w:val="001F3E90"/>
    <w:rsid w:val="001F3EF9"/>
    <w:rsid w:val="001F4595"/>
    <w:rsid w:val="001F4642"/>
    <w:rsid w:val="001F4743"/>
    <w:rsid w:val="001F53EF"/>
    <w:rsid w:val="001F5726"/>
    <w:rsid w:val="001F573B"/>
    <w:rsid w:val="001F5C37"/>
    <w:rsid w:val="001F5EA0"/>
    <w:rsid w:val="001F60A2"/>
    <w:rsid w:val="001F62FE"/>
    <w:rsid w:val="001F6302"/>
    <w:rsid w:val="001F64D7"/>
    <w:rsid w:val="001F66D3"/>
    <w:rsid w:val="001F6803"/>
    <w:rsid w:val="001F6C4F"/>
    <w:rsid w:val="001F7077"/>
    <w:rsid w:val="001F70B7"/>
    <w:rsid w:val="001F7282"/>
    <w:rsid w:val="001F76C7"/>
    <w:rsid w:val="001F780C"/>
    <w:rsid w:val="001F7CF5"/>
    <w:rsid w:val="001F7D1B"/>
    <w:rsid w:val="001F7DF9"/>
    <w:rsid w:val="002000D5"/>
    <w:rsid w:val="002000EB"/>
    <w:rsid w:val="002005A8"/>
    <w:rsid w:val="002005F7"/>
    <w:rsid w:val="0020091F"/>
    <w:rsid w:val="00200A45"/>
    <w:rsid w:val="00200C03"/>
    <w:rsid w:val="00200EAC"/>
    <w:rsid w:val="0020169C"/>
    <w:rsid w:val="0020174D"/>
    <w:rsid w:val="00201B43"/>
    <w:rsid w:val="00201D00"/>
    <w:rsid w:val="00201D2E"/>
    <w:rsid w:val="002021CD"/>
    <w:rsid w:val="002023EE"/>
    <w:rsid w:val="002027C7"/>
    <w:rsid w:val="00202B77"/>
    <w:rsid w:val="00202FBE"/>
    <w:rsid w:val="002034BA"/>
    <w:rsid w:val="0020368C"/>
    <w:rsid w:val="002039D7"/>
    <w:rsid w:val="00203B8B"/>
    <w:rsid w:val="00203C61"/>
    <w:rsid w:val="002044A4"/>
    <w:rsid w:val="0020473B"/>
    <w:rsid w:val="00204871"/>
    <w:rsid w:val="00204C24"/>
    <w:rsid w:val="00204C57"/>
    <w:rsid w:val="00204C6A"/>
    <w:rsid w:val="002056AA"/>
    <w:rsid w:val="002057AA"/>
    <w:rsid w:val="00205C4E"/>
    <w:rsid w:val="00205C76"/>
    <w:rsid w:val="002066AC"/>
    <w:rsid w:val="002066DE"/>
    <w:rsid w:val="002068C9"/>
    <w:rsid w:val="00206A18"/>
    <w:rsid w:val="00206B94"/>
    <w:rsid w:val="00206BBF"/>
    <w:rsid w:val="00206E6F"/>
    <w:rsid w:val="00207188"/>
    <w:rsid w:val="002073C2"/>
    <w:rsid w:val="0020766F"/>
    <w:rsid w:val="00207BBC"/>
    <w:rsid w:val="00207C1A"/>
    <w:rsid w:val="00207DA8"/>
    <w:rsid w:val="00207EF4"/>
    <w:rsid w:val="0021014C"/>
    <w:rsid w:val="00210301"/>
    <w:rsid w:val="00210662"/>
    <w:rsid w:val="00210DD3"/>
    <w:rsid w:val="00210F10"/>
    <w:rsid w:val="00211045"/>
    <w:rsid w:val="00211212"/>
    <w:rsid w:val="002113A9"/>
    <w:rsid w:val="00211448"/>
    <w:rsid w:val="002115AB"/>
    <w:rsid w:val="0021161A"/>
    <w:rsid w:val="00211886"/>
    <w:rsid w:val="00211E2E"/>
    <w:rsid w:val="00211EC0"/>
    <w:rsid w:val="00211EF1"/>
    <w:rsid w:val="00212443"/>
    <w:rsid w:val="00212661"/>
    <w:rsid w:val="00212E5D"/>
    <w:rsid w:val="0021357B"/>
    <w:rsid w:val="00213BB5"/>
    <w:rsid w:val="002142A5"/>
    <w:rsid w:val="0021442F"/>
    <w:rsid w:val="00214777"/>
    <w:rsid w:val="00214A66"/>
    <w:rsid w:val="00214B5D"/>
    <w:rsid w:val="00214D0C"/>
    <w:rsid w:val="00214DFD"/>
    <w:rsid w:val="002152D5"/>
    <w:rsid w:val="00215554"/>
    <w:rsid w:val="0021563A"/>
    <w:rsid w:val="00215733"/>
    <w:rsid w:val="0021595C"/>
    <w:rsid w:val="00215FC4"/>
    <w:rsid w:val="002161F6"/>
    <w:rsid w:val="0021649E"/>
    <w:rsid w:val="002165F4"/>
    <w:rsid w:val="00216B43"/>
    <w:rsid w:val="00217777"/>
    <w:rsid w:val="00217C10"/>
    <w:rsid w:val="00217F9A"/>
    <w:rsid w:val="002200A5"/>
    <w:rsid w:val="00220978"/>
    <w:rsid w:val="00220D58"/>
    <w:rsid w:val="002210D5"/>
    <w:rsid w:val="00221867"/>
    <w:rsid w:val="00221BAA"/>
    <w:rsid w:val="00221EF9"/>
    <w:rsid w:val="00222251"/>
    <w:rsid w:val="002222B9"/>
    <w:rsid w:val="0022256F"/>
    <w:rsid w:val="002227FF"/>
    <w:rsid w:val="0022293C"/>
    <w:rsid w:val="00222B53"/>
    <w:rsid w:val="00223166"/>
    <w:rsid w:val="00223A96"/>
    <w:rsid w:val="00223EEC"/>
    <w:rsid w:val="002243CC"/>
    <w:rsid w:val="002244A4"/>
    <w:rsid w:val="002244F6"/>
    <w:rsid w:val="002244FD"/>
    <w:rsid w:val="0022476B"/>
    <w:rsid w:val="002248A7"/>
    <w:rsid w:val="00224A5E"/>
    <w:rsid w:val="00224BE7"/>
    <w:rsid w:val="00224DC1"/>
    <w:rsid w:val="00224E8B"/>
    <w:rsid w:val="00225129"/>
    <w:rsid w:val="0022532F"/>
    <w:rsid w:val="0022535F"/>
    <w:rsid w:val="0022556A"/>
    <w:rsid w:val="002258B8"/>
    <w:rsid w:val="00225979"/>
    <w:rsid w:val="00225B5B"/>
    <w:rsid w:val="00225C8E"/>
    <w:rsid w:val="002262D0"/>
    <w:rsid w:val="00226403"/>
    <w:rsid w:val="00226461"/>
    <w:rsid w:val="00226679"/>
    <w:rsid w:val="00226782"/>
    <w:rsid w:val="00226932"/>
    <w:rsid w:val="00226EB9"/>
    <w:rsid w:val="002272AB"/>
    <w:rsid w:val="002274CB"/>
    <w:rsid w:val="00227555"/>
    <w:rsid w:val="002277F5"/>
    <w:rsid w:val="00227B3D"/>
    <w:rsid w:val="002300AE"/>
    <w:rsid w:val="00230515"/>
    <w:rsid w:val="0023087D"/>
    <w:rsid w:val="00230ABF"/>
    <w:rsid w:val="00230B28"/>
    <w:rsid w:val="00230E55"/>
    <w:rsid w:val="00230F62"/>
    <w:rsid w:val="002311C5"/>
    <w:rsid w:val="002311F1"/>
    <w:rsid w:val="002312ED"/>
    <w:rsid w:val="002317F6"/>
    <w:rsid w:val="0023184A"/>
    <w:rsid w:val="00231891"/>
    <w:rsid w:val="00231899"/>
    <w:rsid w:val="00232082"/>
    <w:rsid w:val="002320ED"/>
    <w:rsid w:val="00232443"/>
    <w:rsid w:val="00232684"/>
    <w:rsid w:val="002328F7"/>
    <w:rsid w:val="00232AB9"/>
    <w:rsid w:val="00232CBC"/>
    <w:rsid w:val="00233142"/>
    <w:rsid w:val="00233167"/>
    <w:rsid w:val="0023361F"/>
    <w:rsid w:val="002336B8"/>
    <w:rsid w:val="002338C4"/>
    <w:rsid w:val="00233B11"/>
    <w:rsid w:val="00233B58"/>
    <w:rsid w:val="00233C5C"/>
    <w:rsid w:val="002344A7"/>
    <w:rsid w:val="002346FD"/>
    <w:rsid w:val="00234B37"/>
    <w:rsid w:val="00234D9F"/>
    <w:rsid w:val="00234F0F"/>
    <w:rsid w:val="00235417"/>
    <w:rsid w:val="00235535"/>
    <w:rsid w:val="0023575A"/>
    <w:rsid w:val="00235A66"/>
    <w:rsid w:val="00235AA6"/>
    <w:rsid w:val="00235EFE"/>
    <w:rsid w:val="0023612D"/>
    <w:rsid w:val="0023622A"/>
    <w:rsid w:val="002363B1"/>
    <w:rsid w:val="002366EE"/>
    <w:rsid w:val="00236734"/>
    <w:rsid w:val="002367E7"/>
    <w:rsid w:val="0023687E"/>
    <w:rsid w:val="0023707F"/>
    <w:rsid w:val="00237263"/>
    <w:rsid w:val="00237837"/>
    <w:rsid w:val="00237909"/>
    <w:rsid w:val="00240008"/>
    <w:rsid w:val="00240394"/>
    <w:rsid w:val="00240C21"/>
    <w:rsid w:val="002410A5"/>
    <w:rsid w:val="00241295"/>
    <w:rsid w:val="00241566"/>
    <w:rsid w:val="002417D6"/>
    <w:rsid w:val="002417F9"/>
    <w:rsid w:val="00241BE0"/>
    <w:rsid w:val="0024212F"/>
    <w:rsid w:val="00242210"/>
    <w:rsid w:val="00242456"/>
    <w:rsid w:val="002429F4"/>
    <w:rsid w:val="00242CF9"/>
    <w:rsid w:val="00242E35"/>
    <w:rsid w:val="00243133"/>
    <w:rsid w:val="0024336A"/>
    <w:rsid w:val="00243604"/>
    <w:rsid w:val="00243660"/>
    <w:rsid w:val="00243992"/>
    <w:rsid w:val="00243A79"/>
    <w:rsid w:val="00243B1E"/>
    <w:rsid w:val="00243B6A"/>
    <w:rsid w:val="00243CF9"/>
    <w:rsid w:val="00243D71"/>
    <w:rsid w:val="00243EB0"/>
    <w:rsid w:val="00244133"/>
    <w:rsid w:val="00244169"/>
    <w:rsid w:val="00244198"/>
    <w:rsid w:val="002443A9"/>
    <w:rsid w:val="00244441"/>
    <w:rsid w:val="002447BE"/>
    <w:rsid w:val="0024489D"/>
    <w:rsid w:val="00244C69"/>
    <w:rsid w:val="002450DB"/>
    <w:rsid w:val="0024513A"/>
    <w:rsid w:val="0024526D"/>
    <w:rsid w:val="002452F4"/>
    <w:rsid w:val="002455DB"/>
    <w:rsid w:val="00245D91"/>
    <w:rsid w:val="00245E94"/>
    <w:rsid w:val="00245ECC"/>
    <w:rsid w:val="00246367"/>
    <w:rsid w:val="0024683F"/>
    <w:rsid w:val="00246CF4"/>
    <w:rsid w:val="002471C5"/>
    <w:rsid w:val="002473BB"/>
    <w:rsid w:val="0024768D"/>
    <w:rsid w:val="00247B54"/>
    <w:rsid w:val="00247D0F"/>
    <w:rsid w:val="00250052"/>
    <w:rsid w:val="002500FB"/>
    <w:rsid w:val="0025034A"/>
    <w:rsid w:val="00250697"/>
    <w:rsid w:val="00250829"/>
    <w:rsid w:val="00250BDF"/>
    <w:rsid w:val="0025136E"/>
    <w:rsid w:val="002513EA"/>
    <w:rsid w:val="00251428"/>
    <w:rsid w:val="0025163C"/>
    <w:rsid w:val="002516EC"/>
    <w:rsid w:val="00251722"/>
    <w:rsid w:val="00251B16"/>
    <w:rsid w:val="00251D0B"/>
    <w:rsid w:val="002523C9"/>
    <w:rsid w:val="0025254B"/>
    <w:rsid w:val="00252584"/>
    <w:rsid w:val="00252594"/>
    <w:rsid w:val="00252BBA"/>
    <w:rsid w:val="00252F1D"/>
    <w:rsid w:val="002532EB"/>
    <w:rsid w:val="002534FD"/>
    <w:rsid w:val="002538A9"/>
    <w:rsid w:val="002538CC"/>
    <w:rsid w:val="00253BC4"/>
    <w:rsid w:val="00253E7F"/>
    <w:rsid w:val="002546FF"/>
    <w:rsid w:val="00254781"/>
    <w:rsid w:val="002548A2"/>
    <w:rsid w:val="002548DD"/>
    <w:rsid w:val="00254C07"/>
    <w:rsid w:val="002550C2"/>
    <w:rsid w:val="00255B18"/>
    <w:rsid w:val="00255B2E"/>
    <w:rsid w:val="0025622B"/>
    <w:rsid w:val="0025636A"/>
    <w:rsid w:val="00256443"/>
    <w:rsid w:val="002564F9"/>
    <w:rsid w:val="00256A69"/>
    <w:rsid w:val="00256AA0"/>
    <w:rsid w:val="00256C8A"/>
    <w:rsid w:val="00256E1E"/>
    <w:rsid w:val="002570B1"/>
    <w:rsid w:val="00257380"/>
    <w:rsid w:val="0025771E"/>
    <w:rsid w:val="00257DC4"/>
    <w:rsid w:val="00257EA6"/>
    <w:rsid w:val="00257F9D"/>
    <w:rsid w:val="0026018C"/>
    <w:rsid w:val="00260508"/>
    <w:rsid w:val="00260841"/>
    <w:rsid w:val="00260A10"/>
    <w:rsid w:val="00260A19"/>
    <w:rsid w:val="00260B0F"/>
    <w:rsid w:val="00260C44"/>
    <w:rsid w:val="00260CD6"/>
    <w:rsid w:val="00261067"/>
    <w:rsid w:val="002610AB"/>
    <w:rsid w:val="002612CB"/>
    <w:rsid w:val="0026158D"/>
    <w:rsid w:val="00261836"/>
    <w:rsid w:val="00261967"/>
    <w:rsid w:val="0026196A"/>
    <w:rsid w:val="002619F6"/>
    <w:rsid w:val="00261DB4"/>
    <w:rsid w:val="00262092"/>
    <w:rsid w:val="002621B0"/>
    <w:rsid w:val="0026234A"/>
    <w:rsid w:val="0026239E"/>
    <w:rsid w:val="0026240F"/>
    <w:rsid w:val="002625ED"/>
    <w:rsid w:val="00262636"/>
    <w:rsid w:val="00262690"/>
    <w:rsid w:val="00262C3B"/>
    <w:rsid w:val="00263374"/>
    <w:rsid w:val="002639B6"/>
    <w:rsid w:val="00263B9E"/>
    <w:rsid w:val="0026417C"/>
    <w:rsid w:val="002641E5"/>
    <w:rsid w:val="00264262"/>
    <w:rsid w:val="002643AD"/>
    <w:rsid w:val="002645E0"/>
    <w:rsid w:val="002646BC"/>
    <w:rsid w:val="002646D6"/>
    <w:rsid w:val="00264C3C"/>
    <w:rsid w:val="00264D1C"/>
    <w:rsid w:val="00264EF6"/>
    <w:rsid w:val="00264FD3"/>
    <w:rsid w:val="002651C4"/>
    <w:rsid w:val="002652E2"/>
    <w:rsid w:val="0026533A"/>
    <w:rsid w:val="00265594"/>
    <w:rsid w:val="002655A1"/>
    <w:rsid w:val="002656E7"/>
    <w:rsid w:val="00265A7E"/>
    <w:rsid w:val="00265D49"/>
    <w:rsid w:val="00265E8B"/>
    <w:rsid w:val="0026602E"/>
    <w:rsid w:val="002660E7"/>
    <w:rsid w:val="002662C0"/>
    <w:rsid w:val="00266427"/>
    <w:rsid w:val="002668FD"/>
    <w:rsid w:val="0026698A"/>
    <w:rsid w:val="00266999"/>
    <w:rsid w:val="002669DF"/>
    <w:rsid w:val="00266A37"/>
    <w:rsid w:val="00266A4E"/>
    <w:rsid w:val="00266C19"/>
    <w:rsid w:val="00266C25"/>
    <w:rsid w:val="00266C71"/>
    <w:rsid w:val="0026788C"/>
    <w:rsid w:val="002703EE"/>
    <w:rsid w:val="00270486"/>
    <w:rsid w:val="00270922"/>
    <w:rsid w:val="00270AB8"/>
    <w:rsid w:val="00270B75"/>
    <w:rsid w:val="00270BA6"/>
    <w:rsid w:val="00270E82"/>
    <w:rsid w:val="00271495"/>
    <w:rsid w:val="002719F7"/>
    <w:rsid w:val="00271BB0"/>
    <w:rsid w:val="00271F9E"/>
    <w:rsid w:val="00272239"/>
    <w:rsid w:val="0027241B"/>
    <w:rsid w:val="002724D9"/>
    <w:rsid w:val="0027254B"/>
    <w:rsid w:val="0027257D"/>
    <w:rsid w:val="0027278D"/>
    <w:rsid w:val="002727F1"/>
    <w:rsid w:val="0027284A"/>
    <w:rsid w:val="0027289D"/>
    <w:rsid w:val="002733D4"/>
    <w:rsid w:val="0027349E"/>
    <w:rsid w:val="00273798"/>
    <w:rsid w:val="0027381D"/>
    <w:rsid w:val="0027386A"/>
    <w:rsid w:val="00273960"/>
    <w:rsid w:val="00273D39"/>
    <w:rsid w:val="002743FA"/>
    <w:rsid w:val="00274620"/>
    <w:rsid w:val="00274738"/>
    <w:rsid w:val="0027489C"/>
    <w:rsid w:val="00274BBB"/>
    <w:rsid w:val="00274CF9"/>
    <w:rsid w:val="0027566E"/>
    <w:rsid w:val="002756DD"/>
    <w:rsid w:val="00275729"/>
    <w:rsid w:val="00275A35"/>
    <w:rsid w:val="00275D3C"/>
    <w:rsid w:val="00275D68"/>
    <w:rsid w:val="00276171"/>
    <w:rsid w:val="00276900"/>
    <w:rsid w:val="00276C62"/>
    <w:rsid w:val="00276DA5"/>
    <w:rsid w:val="00276F21"/>
    <w:rsid w:val="0027710B"/>
    <w:rsid w:val="0027752A"/>
    <w:rsid w:val="002775B4"/>
    <w:rsid w:val="00277A13"/>
    <w:rsid w:val="00277C1C"/>
    <w:rsid w:val="00277CCE"/>
    <w:rsid w:val="00277D4A"/>
    <w:rsid w:val="00277E37"/>
    <w:rsid w:val="00277E82"/>
    <w:rsid w:val="00280061"/>
    <w:rsid w:val="0028035C"/>
    <w:rsid w:val="00280377"/>
    <w:rsid w:val="002804AC"/>
    <w:rsid w:val="002804EB"/>
    <w:rsid w:val="00280DF7"/>
    <w:rsid w:val="00280DFA"/>
    <w:rsid w:val="00281059"/>
    <w:rsid w:val="002812BC"/>
    <w:rsid w:val="00281554"/>
    <w:rsid w:val="00281A05"/>
    <w:rsid w:val="00281C4A"/>
    <w:rsid w:val="00282236"/>
    <w:rsid w:val="0028242F"/>
    <w:rsid w:val="002828FD"/>
    <w:rsid w:val="00282B90"/>
    <w:rsid w:val="00282F5A"/>
    <w:rsid w:val="00283A8A"/>
    <w:rsid w:val="00283AE9"/>
    <w:rsid w:val="00283CFC"/>
    <w:rsid w:val="00283E15"/>
    <w:rsid w:val="00283F8C"/>
    <w:rsid w:val="002840A3"/>
    <w:rsid w:val="002843F0"/>
    <w:rsid w:val="00284988"/>
    <w:rsid w:val="00284AB7"/>
    <w:rsid w:val="00284D53"/>
    <w:rsid w:val="00284F38"/>
    <w:rsid w:val="002850B0"/>
    <w:rsid w:val="002850DB"/>
    <w:rsid w:val="002859B9"/>
    <w:rsid w:val="00285BFF"/>
    <w:rsid w:val="00285C5D"/>
    <w:rsid w:val="00285D73"/>
    <w:rsid w:val="00285F5C"/>
    <w:rsid w:val="002862AB"/>
    <w:rsid w:val="002862DE"/>
    <w:rsid w:val="002863A8"/>
    <w:rsid w:val="002865B7"/>
    <w:rsid w:val="002865EA"/>
    <w:rsid w:val="002868AA"/>
    <w:rsid w:val="00286B7C"/>
    <w:rsid w:val="00286C49"/>
    <w:rsid w:val="00286CE5"/>
    <w:rsid w:val="00286CFA"/>
    <w:rsid w:val="00286D69"/>
    <w:rsid w:val="00286F5A"/>
    <w:rsid w:val="002871C8"/>
    <w:rsid w:val="00287290"/>
    <w:rsid w:val="00287543"/>
    <w:rsid w:val="002875CB"/>
    <w:rsid w:val="0028777D"/>
    <w:rsid w:val="00287B33"/>
    <w:rsid w:val="002900F6"/>
    <w:rsid w:val="00290211"/>
    <w:rsid w:val="00290CF7"/>
    <w:rsid w:val="00290DD8"/>
    <w:rsid w:val="002910C5"/>
    <w:rsid w:val="002915CF"/>
    <w:rsid w:val="002915D7"/>
    <w:rsid w:val="002915EA"/>
    <w:rsid w:val="0029194F"/>
    <w:rsid w:val="00291D10"/>
    <w:rsid w:val="00291E21"/>
    <w:rsid w:val="00291E77"/>
    <w:rsid w:val="0029200F"/>
    <w:rsid w:val="002920FE"/>
    <w:rsid w:val="00292686"/>
    <w:rsid w:val="00292729"/>
    <w:rsid w:val="00292C6D"/>
    <w:rsid w:val="00292E42"/>
    <w:rsid w:val="00292EB6"/>
    <w:rsid w:val="002930F0"/>
    <w:rsid w:val="0029317C"/>
    <w:rsid w:val="00293972"/>
    <w:rsid w:val="002939A1"/>
    <w:rsid w:val="00293E11"/>
    <w:rsid w:val="00294271"/>
    <w:rsid w:val="0029428F"/>
    <w:rsid w:val="002943C8"/>
    <w:rsid w:val="002943D6"/>
    <w:rsid w:val="002946D7"/>
    <w:rsid w:val="00294B12"/>
    <w:rsid w:val="00294CC4"/>
    <w:rsid w:val="00294DB4"/>
    <w:rsid w:val="00294E55"/>
    <w:rsid w:val="00294E58"/>
    <w:rsid w:val="002950D8"/>
    <w:rsid w:val="00295425"/>
    <w:rsid w:val="002957D8"/>
    <w:rsid w:val="00295FAD"/>
    <w:rsid w:val="002965FA"/>
    <w:rsid w:val="0029661E"/>
    <w:rsid w:val="00296AA9"/>
    <w:rsid w:val="00296BFD"/>
    <w:rsid w:val="00296C8E"/>
    <w:rsid w:val="00296CA0"/>
    <w:rsid w:val="00296E94"/>
    <w:rsid w:val="0029700A"/>
    <w:rsid w:val="00297049"/>
    <w:rsid w:val="00297394"/>
    <w:rsid w:val="00297619"/>
    <w:rsid w:val="00297699"/>
    <w:rsid w:val="00297761"/>
    <w:rsid w:val="002978BE"/>
    <w:rsid w:val="00297947"/>
    <w:rsid w:val="00297C04"/>
    <w:rsid w:val="00297E84"/>
    <w:rsid w:val="002A0347"/>
    <w:rsid w:val="002A03DC"/>
    <w:rsid w:val="002A0843"/>
    <w:rsid w:val="002A0A1D"/>
    <w:rsid w:val="002A0B81"/>
    <w:rsid w:val="002A10BF"/>
    <w:rsid w:val="002A12C9"/>
    <w:rsid w:val="002A153A"/>
    <w:rsid w:val="002A1652"/>
    <w:rsid w:val="002A22B8"/>
    <w:rsid w:val="002A2528"/>
    <w:rsid w:val="002A2A2D"/>
    <w:rsid w:val="002A34BD"/>
    <w:rsid w:val="002A373D"/>
    <w:rsid w:val="002A3DE5"/>
    <w:rsid w:val="002A3E42"/>
    <w:rsid w:val="002A3E83"/>
    <w:rsid w:val="002A3ED7"/>
    <w:rsid w:val="002A3EE0"/>
    <w:rsid w:val="002A3FE5"/>
    <w:rsid w:val="002A44A4"/>
    <w:rsid w:val="002A4657"/>
    <w:rsid w:val="002A4670"/>
    <w:rsid w:val="002A47AF"/>
    <w:rsid w:val="002A484E"/>
    <w:rsid w:val="002A48FF"/>
    <w:rsid w:val="002A49A1"/>
    <w:rsid w:val="002A4BAE"/>
    <w:rsid w:val="002A50F1"/>
    <w:rsid w:val="002A5DF7"/>
    <w:rsid w:val="002A61A8"/>
    <w:rsid w:val="002A629A"/>
    <w:rsid w:val="002A670F"/>
    <w:rsid w:val="002A6EF8"/>
    <w:rsid w:val="002A76E0"/>
    <w:rsid w:val="002A78AC"/>
    <w:rsid w:val="002A7B14"/>
    <w:rsid w:val="002A7D91"/>
    <w:rsid w:val="002A7EC9"/>
    <w:rsid w:val="002B0249"/>
    <w:rsid w:val="002B03F7"/>
    <w:rsid w:val="002B0481"/>
    <w:rsid w:val="002B089E"/>
    <w:rsid w:val="002B0CB4"/>
    <w:rsid w:val="002B0E38"/>
    <w:rsid w:val="002B0FC9"/>
    <w:rsid w:val="002B113A"/>
    <w:rsid w:val="002B130B"/>
    <w:rsid w:val="002B13A6"/>
    <w:rsid w:val="002B141C"/>
    <w:rsid w:val="002B1735"/>
    <w:rsid w:val="002B1812"/>
    <w:rsid w:val="002B1B4B"/>
    <w:rsid w:val="002B1B53"/>
    <w:rsid w:val="002B1B82"/>
    <w:rsid w:val="002B1F2C"/>
    <w:rsid w:val="002B1FD9"/>
    <w:rsid w:val="002B24A5"/>
    <w:rsid w:val="002B25FB"/>
    <w:rsid w:val="002B2A7B"/>
    <w:rsid w:val="002B3064"/>
    <w:rsid w:val="002B323E"/>
    <w:rsid w:val="002B3294"/>
    <w:rsid w:val="002B3352"/>
    <w:rsid w:val="002B3371"/>
    <w:rsid w:val="002B34FF"/>
    <w:rsid w:val="002B3890"/>
    <w:rsid w:val="002B3A6B"/>
    <w:rsid w:val="002B3BA3"/>
    <w:rsid w:val="002B3C30"/>
    <w:rsid w:val="002B3D63"/>
    <w:rsid w:val="002B3EB9"/>
    <w:rsid w:val="002B42A0"/>
    <w:rsid w:val="002B42C8"/>
    <w:rsid w:val="002B487A"/>
    <w:rsid w:val="002B4B86"/>
    <w:rsid w:val="002B4EA8"/>
    <w:rsid w:val="002B575D"/>
    <w:rsid w:val="002B596F"/>
    <w:rsid w:val="002B5A11"/>
    <w:rsid w:val="002B5B1A"/>
    <w:rsid w:val="002B5BCB"/>
    <w:rsid w:val="002B5D15"/>
    <w:rsid w:val="002B5D56"/>
    <w:rsid w:val="002B5EAA"/>
    <w:rsid w:val="002B633E"/>
    <w:rsid w:val="002B645E"/>
    <w:rsid w:val="002B6831"/>
    <w:rsid w:val="002B692F"/>
    <w:rsid w:val="002B6F8C"/>
    <w:rsid w:val="002B706E"/>
    <w:rsid w:val="002B73B6"/>
    <w:rsid w:val="002B745C"/>
    <w:rsid w:val="002B7529"/>
    <w:rsid w:val="002B75CB"/>
    <w:rsid w:val="002B76A5"/>
    <w:rsid w:val="002B7983"/>
    <w:rsid w:val="002C0080"/>
    <w:rsid w:val="002C0147"/>
    <w:rsid w:val="002C032B"/>
    <w:rsid w:val="002C03CE"/>
    <w:rsid w:val="002C04B2"/>
    <w:rsid w:val="002C0E2C"/>
    <w:rsid w:val="002C0ECE"/>
    <w:rsid w:val="002C112A"/>
    <w:rsid w:val="002C13AE"/>
    <w:rsid w:val="002C1564"/>
    <w:rsid w:val="002C17A3"/>
    <w:rsid w:val="002C1BD4"/>
    <w:rsid w:val="002C1C92"/>
    <w:rsid w:val="002C1FF9"/>
    <w:rsid w:val="002C2097"/>
    <w:rsid w:val="002C269B"/>
    <w:rsid w:val="002C2756"/>
    <w:rsid w:val="002C28FB"/>
    <w:rsid w:val="002C29DD"/>
    <w:rsid w:val="002C2BAC"/>
    <w:rsid w:val="002C2EEC"/>
    <w:rsid w:val="002C2FD9"/>
    <w:rsid w:val="002C3122"/>
    <w:rsid w:val="002C362C"/>
    <w:rsid w:val="002C3714"/>
    <w:rsid w:val="002C3A95"/>
    <w:rsid w:val="002C3E89"/>
    <w:rsid w:val="002C421F"/>
    <w:rsid w:val="002C44A8"/>
    <w:rsid w:val="002C489F"/>
    <w:rsid w:val="002C4BCB"/>
    <w:rsid w:val="002C4EEE"/>
    <w:rsid w:val="002C4F15"/>
    <w:rsid w:val="002C4F8C"/>
    <w:rsid w:val="002C500F"/>
    <w:rsid w:val="002C63C4"/>
    <w:rsid w:val="002C64C2"/>
    <w:rsid w:val="002C667B"/>
    <w:rsid w:val="002C6AB6"/>
    <w:rsid w:val="002C6C39"/>
    <w:rsid w:val="002C702C"/>
    <w:rsid w:val="002C7275"/>
    <w:rsid w:val="002C77D8"/>
    <w:rsid w:val="002C7905"/>
    <w:rsid w:val="002C7A4F"/>
    <w:rsid w:val="002C7D73"/>
    <w:rsid w:val="002C7E45"/>
    <w:rsid w:val="002D0179"/>
    <w:rsid w:val="002D0197"/>
    <w:rsid w:val="002D0339"/>
    <w:rsid w:val="002D07EA"/>
    <w:rsid w:val="002D08F7"/>
    <w:rsid w:val="002D0DC9"/>
    <w:rsid w:val="002D14C1"/>
    <w:rsid w:val="002D19C2"/>
    <w:rsid w:val="002D1E8F"/>
    <w:rsid w:val="002D206A"/>
    <w:rsid w:val="002D209B"/>
    <w:rsid w:val="002D24AF"/>
    <w:rsid w:val="002D2D74"/>
    <w:rsid w:val="002D2FA6"/>
    <w:rsid w:val="002D3487"/>
    <w:rsid w:val="002D3666"/>
    <w:rsid w:val="002D377F"/>
    <w:rsid w:val="002D37B7"/>
    <w:rsid w:val="002D3AE9"/>
    <w:rsid w:val="002D3D34"/>
    <w:rsid w:val="002D40B9"/>
    <w:rsid w:val="002D44D5"/>
    <w:rsid w:val="002D45C1"/>
    <w:rsid w:val="002D45DD"/>
    <w:rsid w:val="002D465E"/>
    <w:rsid w:val="002D56AD"/>
    <w:rsid w:val="002D583E"/>
    <w:rsid w:val="002D60F0"/>
    <w:rsid w:val="002D6341"/>
    <w:rsid w:val="002D66F4"/>
    <w:rsid w:val="002D6B88"/>
    <w:rsid w:val="002D719A"/>
    <w:rsid w:val="002D72B4"/>
    <w:rsid w:val="002D7C26"/>
    <w:rsid w:val="002E039D"/>
    <w:rsid w:val="002E0647"/>
    <w:rsid w:val="002E071A"/>
    <w:rsid w:val="002E09D6"/>
    <w:rsid w:val="002E0A17"/>
    <w:rsid w:val="002E0BFA"/>
    <w:rsid w:val="002E0E0F"/>
    <w:rsid w:val="002E1638"/>
    <w:rsid w:val="002E167C"/>
    <w:rsid w:val="002E18AC"/>
    <w:rsid w:val="002E1E79"/>
    <w:rsid w:val="002E223A"/>
    <w:rsid w:val="002E27E0"/>
    <w:rsid w:val="002E2D2B"/>
    <w:rsid w:val="002E35E0"/>
    <w:rsid w:val="002E35E8"/>
    <w:rsid w:val="002E3DCA"/>
    <w:rsid w:val="002E4450"/>
    <w:rsid w:val="002E4604"/>
    <w:rsid w:val="002E478E"/>
    <w:rsid w:val="002E4DA4"/>
    <w:rsid w:val="002E4EF4"/>
    <w:rsid w:val="002E525F"/>
    <w:rsid w:val="002E52A5"/>
    <w:rsid w:val="002E54A7"/>
    <w:rsid w:val="002E5E0C"/>
    <w:rsid w:val="002E60B7"/>
    <w:rsid w:val="002E62E9"/>
    <w:rsid w:val="002E6345"/>
    <w:rsid w:val="002E6375"/>
    <w:rsid w:val="002E6590"/>
    <w:rsid w:val="002E663C"/>
    <w:rsid w:val="002E6B6F"/>
    <w:rsid w:val="002E6D9D"/>
    <w:rsid w:val="002E6F10"/>
    <w:rsid w:val="002E70D8"/>
    <w:rsid w:val="002E71EE"/>
    <w:rsid w:val="002E72A9"/>
    <w:rsid w:val="002E7D00"/>
    <w:rsid w:val="002F0225"/>
    <w:rsid w:val="002F03F0"/>
    <w:rsid w:val="002F0EBD"/>
    <w:rsid w:val="002F0F72"/>
    <w:rsid w:val="002F119D"/>
    <w:rsid w:val="002F1260"/>
    <w:rsid w:val="002F12FC"/>
    <w:rsid w:val="002F14CD"/>
    <w:rsid w:val="002F15AD"/>
    <w:rsid w:val="002F1774"/>
    <w:rsid w:val="002F17CD"/>
    <w:rsid w:val="002F19C1"/>
    <w:rsid w:val="002F1EC3"/>
    <w:rsid w:val="002F1F01"/>
    <w:rsid w:val="002F204E"/>
    <w:rsid w:val="002F20D7"/>
    <w:rsid w:val="002F2129"/>
    <w:rsid w:val="002F2215"/>
    <w:rsid w:val="002F245A"/>
    <w:rsid w:val="002F2678"/>
    <w:rsid w:val="002F27B8"/>
    <w:rsid w:val="002F2916"/>
    <w:rsid w:val="002F2CD0"/>
    <w:rsid w:val="002F2D41"/>
    <w:rsid w:val="002F2DB7"/>
    <w:rsid w:val="002F3222"/>
    <w:rsid w:val="002F34EB"/>
    <w:rsid w:val="002F37DE"/>
    <w:rsid w:val="002F3B21"/>
    <w:rsid w:val="002F3B64"/>
    <w:rsid w:val="002F3DA7"/>
    <w:rsid w:val="002F4141"/>
    <w:rsid w:val="002F4710"/>
    <w:rsid w:val="002F48E0"/>
    <w:rsid w:val="002F498C"/>
    <w:rsid w:val="002F50BF"/>
    <w:rsid w:val="002F51B1"/>
    <w:rsid w:val="002F53DF"/>
    <w:rsid w:val="002F576D"/>
    <w:rsid w:val="002F57F2"/>
    <w:rsid w:val="002F5CD6"/>
    <w:rsid w:val="002F5D43"/>
    <w:rsid w:val="002F5DE5"/>
    <w:rsid w:val="002F5E1F"/>
    <w:rsid w:val="002F62AC"/>
    <w:rsid w:val="002F6355"/>
    <w:rsid w:val="002F6395"/>
    <w:rsid w:val="002F67F1"/>
    <w:rsid w:val="002F68A4"/>
    <w:rsid w:val="002F7122"/>
    <w:rsid w:val="002F72FC"/>
    <w:rsid w:val="002F7538"/>
    <w:rsid w:val="002F75C8"/>
    <w:rsid w:val="002F7D08"/>
    <w:rsid w:val="002F7D8B"/>
    <w:rsid w:val="002F7ED7"/>
    <w:rsid w:val="0030020B"/>
    <w:rsid w:val="0030043E"/>
    <w:rsid w:val="00300706"/>
    <w:rsid w:val="0030088A"/>
    <w:rsid w:val="0030190B"/>
    <w:rsid w:val="00301A87"/>
    <w:rsid w:val="00301DD8"/>
    <w:rsid w:val="00301E6E"/>
    <w:rsid w:val="0030234B"/>
    <w:rsid w:val="003026B2"/>
    <w:rsid w:val="00302920"/>
    <w:rsid w:val="00302A3F"/>
    <w:rsid w:val="00302FF0"/>
    <w:rsid w:val="00303223"/>
    <w:rsid w:val="00303350"/>
    <w:rsid w:val="00303393"/>
    <w:rsid w:val="00303585"/>
    <w:rsid w:val="003037E8"/>
    <w:rsid w:val="00303AD6"/>
    <w:rsid w:val="00303B74"/>
    <w:rsid w:val="00303D6C"/>
    <w:rsid w:val="00304690"/>
    <w:rsid w:val="003048AB"/>
    <w:rsid w:val="00304ACC"/>
    <w:rsid w:val="00304B6B"/>
    <w:rsid w:val="00304B86"/>
    <w:rsid w:val="00304EC3"/>
    <w:rsid w:val="003051F6"/>
    <w:rsid w:val="0030522F"/>
    <w:rsid w:val="003055A0"/>
    <w:rsid w:val="003056FE"/>
    <w:rsid w:val="00305772"/>
    <w:rsid w:val="003057A5"/>
    <w:rsid w:val="00305834"/>
    <w:rsid w:val="0030595E"/>
    <w:rsid w:val="00305B1A"/>
    <w:rsid w:val="00305F64"/>
    <w:rsid w:val="0030644E"/>
    <w:rsid w:val="003065A1"/>
    <w:rsid w:val="00306CEE"/>
    <w:rsid w:val="00306EE6"/>
    <w:rsid w:val="00307292"/>
    <w:rsid w:val="0030729E"/>
    <w:rsid w:val="003075F3"/>
    <w:rsid w:val="00307B6D"/>
    <w:rsid w:val="00307D3C"/>
    <w:rsid w:val="00307EA9"/>
    <w:rsid w:val="00307F9B"/>
    <w:rsid w:val="00310271"/>
    <w:rsid w:val="003104E1"/>
    <w:rsid w:val="003106A2"/>
    <w:rsid w:val="0031082C"/>
    <w:rsid w:val="0031090A"/>
    <w:rsid w:val="00310C18"/>
    <w:rsid w:val="00310D0E"/>
    <w:rsid w:val="00311741"/>
    <w:rsid w:val="003118F8"/>
    <w:rsid w:val="00311FF1"/>
    <w:rsid w:val="003122C6"/>
    <w:rsid w:val="00312636"/>
    <w:rsid w:val="0031271D"/>
    <w:rsid w:val="00312A54"/>
    <w:rsid w:val="00312BD8"/>
    <w:rsid w:val="00312F3A"/>
    <w:rsid w:val="00313640"/>
    <w:rsid w:val="003137B8"/>
    <w:rsid w:val="003138A5"/>
    <w:rsid w:val="00313A64"/>
    <w:rsid w:val="00313B75"/>
    <w:rsid w:val="00313CAA"/>
    <w:rsid w:val="00313E32"/>
    <w:rsid w:val="00313E74"/>
    <w:rsid w:val="00313E95"/>
    <w:rsid w:val="00314383"/>
    <w:rsid w:val="003143E5"/>
    <w:rsid w:val="0031492A"/>
    <w:rsid w:val="00314DE9"/>
    <w:rsid w:val="00314E9E"/>
    <w:rsid w:val="003155AC"/>
    <w:rsid w:val="00315C41"/>
    <w:rsid w:val="00315EBD"/>
    <w:rsid w:val="00316068"/>
    <w:rsid w:val="003161BB"/>
    <w:rsid w:val="00316818"/>
    <w:rsid w:val="00316C26"/>
    <w:rsid w:val="0031766A"/>
    <w:rsid w:val="003179CC"/>
    <w:rsid w:val="00317F2C"/>
    <w:rsid w:val="00320129"/>
    <w:rsid w:val="00320150"/>
    <w:rsid w:val="003201D6"/>
    <w:rsid w:val="00320550"/>
    <w:rsid w:val="0032072B"/>
    <w:rsid w:val="003207B6"/>
    <w:rsid w:val="00320DF2"/>
    <w:rsid w:val="00321E0F"/>
    <w:rsid w:val="00321E1C"/>
    <w:rsid w:val="003227AE"/>
    <w:rsid w:val="00322877"/>
    <w:rsid w:val="00322CF8"/>
    <w:rsid w:val="00322E45"/>
    <w:rsid w:val="003230EF"/>
    <w:rsid w:val="0032311C"/>
    <w:rsid w:val="00323185"/>
    <w:rsid w:val="003231D1"/>
    <w:rsid w:val="0032353D"/>
    <w:rsid w:val="00323903"/>
    <w:rsid w:val="0032400C"/>
    <w:rsid w:val="00324153"/>
    <w:rsid w:val="003241B5"/>
    <w:rsid w:val="00324289"/>
    <w:rsid w:val="00324396"/>
    <w:rsid w:val="00324B8F"/>
    <w:rsid w:val="00324DEB"/>
    <w:rsid w:val="00325667"/>
    <w:rsid w:val="003261B1"/>
    <w:rsid w:val="00326311"/>
    <w:rsid w:val="003266E3"/>
    <w:rsid w:val="003267AB"/>
    <w:rsid w:val="00326A33"/>
    <w:rsid w:val="00326ED5"/>
    <w:rsid w:val="0032779B"/>
    <w:rsid w:val="003277C6"/>
    <w:rsid w:val="0032797F"/>
    <w:rsid w:val="003279B1"/>
    <w:rsid w:val="00327A93"/>
    <w:rsid w:val="00327CA3"/>
    <w:rsid w:val="00330CD1"/>
    <w:rsid w:val="00330E78"/>
    <w:rsid w:val="00330F96"/>
    <w:rsid w:val="00331402"/>
    <w:rsid w:val="003314E4"/>
    <w:rsid w:val="00331564"/>
    <w:rsid w:val="00331C83"/>
    <w:rsid w:val="00331F43"/>
    <w:rsid w:val="00332085"/>
    <w:rsid w:val="00332258"/>
    <w:rsid w:val="003322D5"/>
    <w:rsid w:val="0033240F"/>
    <w:rsid w:val="00332651"/>
    <w:rsid w:val="0033282D"/>
    <w:rsid w:val="00332A28"/>
    <w:rsid w:val="00332C71"/>
    <w:rsid w:val="00332E1C"/>
    <w:rsid w:val="00332FE7"/>
    <w:rsid w:val="003330AE"/>
    <w:rsid w:val="0033326F"/>
    <w:rsid w:val="00334216"/>
    <w:rsid w:val="00334694"/>
    <w:rsid w:val="00334FEC"/>
    <w:rsid w:val="00334FFB"/>
    <w:rsid w:val="00335234"/>
    <w:rsid w:val="00335424"/>
    <w:rsid w:val="003355DC"/>
    <w:rsid w:val="003357A5"/>
    <w:rsid w:val="003358AC"/>
    <w:rsid w:val="0033590A"/>
    <w:rsid w:val="00335A67"/>
    <w:rsid w:val="00335ACF"/>
    <w:rsid w:val="00335C69"/>
    <w:rsid w:val="00335DFC"/>
    <w:rsid w:val="003362C7"/>
    <w:rsid w:val="00336743"/>
    <w:rsid w:val="003369E9"/>
    <w:rsid w:val="00336AF8"/>
    <w:rsid w:val="00336D82"/>
    <w:rsid w:val="00336E00"/>
    <w:rsid w:val="00336FCE"/>
    <w:rsid w:val="00340100"/>
    <w:rsid w:val="0034014F"/>
    <w:rsid w:val="00340212"/>
    <w:rsid w:val="00340640"/>
    <w:rsid w:val="00340943"/>
    <w:rsid w:val="00340A08"/>
    <w:rsid w:val="00340D6C"/>
    <w:rsid w:val="00340F93"/>
    <w:rsid w:val="00340F98"/>
    <w:rsid w:val="00341201"/>
    <w:rsid w:val="0034151E"/>
    <w:rsid w:val="00341652"/>
    <w:rsid w:val="003416F3"/>
    <w:rsid w:val="003417A1"/>
    <w:rsid w:val="00341C4E"/>
    <w:rsid w:val="00341F7B"/>
    <w:rsid w:val="0034221D"/>
    <w:rsid w:val="00342284"/>
    <w:rsid w:val="00342417"/>
    <w:rsid w:val="003428A8"/>
    <w:rsid w:val="0034294A"/>
    <w:rsid w:val="00342971"/>
    <w:rsid w:val="00342A71"/>
    <w:rsid w:val="00342BC2"/>
    <w:rsid w:val="00342CDD"/>
    <w:rsid w:val="00342F43"/>
    <w:rsid w:val="003433E1"/>
    <w:rsid w:val="0034376F"/>
    <w:rsid w:val="0034379A"/>
    <w:rsid w:val="00343A06"/>
    <w:rsid w:val="00343C4C"/>
    <w:rsid w:val="003444EA"/>
    <w:rsid w:val="00344816"/>
    <w:rsid w:val="00344820"/>
    <w:rsid w:val="00344BB7"/>
    <w:rsid w:val="00345096"/>
    <w:rsid w:val="003456ED"/>
    <w:rsid w:val="00345DA7"/>
    <w:rsid w:val="00345E28"/>
    <w:rsid w:val="00345F3F"/>
    <w:rsid w:val="00346061"/>
    <w:rsid w:val="003466C2"/>
    <w:rsid w:val="00346AE9"/>
    <w:rsid w:val="00346CD9"/>
    <w:rsid w:val="00346FC5"/>
    <w:rsid w:val="0034755D"/>
    <w:rsid w:val="0034781D"/>
    <w:rsid w:val="00347A7B"/>
    <w:rsid w:val="00347C78"/>
    <w:rsid w:val="00350336"/>
    <w:rsid w:val="0035069C"/>
    <w:rsid w:val="003506A3"/>
    <w:rsid w:val="0035073E"/>
    <w:rsid w:val="003508F5"/>
    <w:rsid w:val="00350AA8"/>
    <w:rsid w:val="00350ED6"/>
    <w:rsid w:val="00351508"/>
    <w:rsid w:val="00351659"/>
    <w:rsid w:val="003516AB"/>
    <w:rsid w:val="00351756"/>
    <w:rsid w:val="00351791"/>
    <w:rsid w:val="00352059"/>
    <w:rsid w:val="003520F2"/>
    <w:rsid w:val="00352478"/>
    <w:rsid w:val="003525F3"/>
    <w:rsid w:val="00352844"/>
    <w:rsid w:val="00352B30"/>
    <w:rsid w:val="00352DD2"/>
    <w:rsid w:val="00352F42"/>
    <w:rsid w:val="00353066"/>
    <w:rsid w:val="003530D0"/>
    <w:rsid w:val="003534F2"/>
    <w:rsid w:val="00353955"/>
    <w:rsid w:val="00353A33"/>
    <w:rsid w:val="00353B9E"/>
    <w:rsid w:val="00353F86"/>
    <w:rsid w:val="00354081"/>
    <w:rsid w:val="00354271"/>
    <w:rsid w:val="00354501"/>
    <w:rsid w:val="003546A4"/>
    <w:rsid w:val="003547A7"/>
    <w:rsid w:val="00354EA0"/>
    <w:rsid w:val="003552DE"/>
    <w:rsid w:val="003552EC"/>
    <w:rsid w:val="00355346"/>
    <w:rsid w:val="0035597C"/>
    <w:rsid w:val="00355B7C"/>
    <w:rsid w:val="00356327"/>
    <w:rsid w:val="00356459"/>
    <w:rsid w:val="00357042"/>
    <w:rsid w:val="0035733C"/>
    <w:rsid w:val="00357450"/>
    <w:rsid w:val="003574CB"/>
    <w:rsid w:val="00357726"/>
    <w:rsid w:val="00357DB0"/>
    <w:rsid w:val="0036024D"/>
    <w:rsid w:val="003602E7"/>
    <w:rsid w:val="00360878"/>
    <w:rsid w:val="00360ADD"/>
    <w:rsid w:val="00360CF8"/>
    <w:rsid w:val="00361074"/>
    <w:rsid w:val="003611DC"/>
    <w:rsid w:val="00361487"/>
    <w:rsid w:val="003617E9"/>
    <w:rsid w:val="003618BA"/>
    <w:rsid w:val="00361AD2"/>
    <w:rsid w:val="00362655"/>
    <w:rsid w:val="00362B31"/>
    <w:rsid w:val="00362D34"/>
    <w:rsid w:val="00362ED6"/>
    <w:rsid w:val="00363320"/>
    <w:rsid w:val="00363362"/>
    <w:rsid w:val="0036364D"/>
    <w:rsid w:val="00363751"/>
    <w:rsid w:val="00363892"/>
    <w:rsid w:val="00363BA9"/>
    <w:rsid w:val="00363C34"/>
    <w:rsid w:val="00363C4E"/>
    <w:rsid w:val="00363F79"/>
    <w:rsid w:val="003642CF"/>
    <w:rsid w:val="003643A6"/>
    <w:rsid w:val="003645AF"/>
    <w:rsid w:val="003646B0"/>
    <w:rsid w:val="00364B65"/>
    <w:rsid w:val="00364C67"/>
    <w:rsid w:val="003655D7"/>
    <w:rsid w:val="003656F1"/>
    <w:rsid w:val="003658FF"/>
    <w:rsid w:val="0036595E"/>
    <w:rsid w:val="003662D4"/>
    <w:rsid w:val="00366483"/>
    <w:rsid w:val="003664C9"/>
    <w:rsid w:val="0036650E"/>
    <w:rsid w:val="0036682B"/>
    <w:rsid w:val="003668BF"/>
    <w:rsid w:val="0036699E"/>
    <w:rsid w:val="00366C9B"/>
    <w:rsid w:val="00366D2A"/>
    <w:rsid w:val="00366D35"/>
    <w:rsid w:val="003672B7"/>
    <w:rsid w:val="00367842"/>
    <w:rsid w:val="00367843"/>
    <w:rsid w:val="00367F22"/>
    <w:rsid w:val="003705A2"/>
    <w:rsid w:val="003706BB"/>
    <w:rsid w:val="00370778"/>
    <w:rsid w:val="00370DCA"/>
    <w:rsid w:val="0037158A"/>
    <w:rsid w:val="003715A2"/>
    <w:rsid w:val="00371ABC"/>
    <w:rsid w:val="0037211E"/>
    <w:rsid w:val="00372319"/>
    <w:rsid w:val="00372368"/>
    <w:rsid w:val="00372586"/>
    <w:rsid w:val="003725DB"/>
    <w:rsid w:val="00372DEF"/>
    <w:rsid w:val="0037347F"/>
    <w:rsid w:val="00373511"/>
    <w:rsid w:val="003735B2"/>
    <w:rsid w:val="003739FC"/>
    <w:rsid w:val="00373C22"/>
    <w:rsid w:val="00373C52"/>
    <w:rsid w:val="00373ED7"/>
    <w:rsid w:val="003742E8"/>
    <w:rsid w:val="003749B0"/>
    <w:rsid w:val="00374C56"/>
    <w:rsid w:val="003752B5"/>
    <w:rsid w:val="0037537D"/>
    <w:rsid w:val="00375811"/>
    <w:rsid w:val="00375BF6"/>
    <w:rsid w:val="00375E18"/>
    <w:rsid w:val="0037600D"/>
    <w:rsid w:val="003760B4"/>
    <w:rsid w:val="0037631A"/>
    <w:rsid w:val="0037686F"/>
    <w:rsid w:val="00376A03"/>
    <w:rsid w:val="00376C06"/>
    <w:rsid w:val="00376CE6"/>
    <w:rsid w:val="00377031"/>
    <w:rsid w:val="0037737E"/>
    <w:rsid w:val="00377691"/>
    <w:rsid w:val="003779B7"/>
    <w:rsid w:val="00377ACB"/>
    <w:rsid w:val="00377BBF"/>
    <w:rsid w:val="00377D23"/>
    <w:rsid w:val="0038003F"/>
    <w:rsid w:val="0038018E"/>
    <w:rsid w:val="00380240"/>
    <w:rsid w:val="00380298"/>
    <w:rsid w:val="00380666"/>
    <w:rsid w:val="00380684"/>
    <w:rsid w:val="00380FB8"/>
    <w:rsid w:val="003812C2"/>
    <w:rsid w:val="0038131C"/>
    <w:rsid w:val="00381419"/>
    <w:rsid w:val="0038149D"/>
    <w:rsid w:val="00381751"/>
    <w:rsid w:val="003818C4"/>
    <w:rsid w:val="00381B5C"/>
    <w:rsid w:val="00381C1B"/>
    <w:rsid w:val="00381C48"/>
    <w:rsid w:val="00381DE4"/>
    <w:rsid w:val="0038218E"/>
    <w:rsid w:val="003825B1"/>
    <w:rsid w:val="0038287A"/>
    <w:rsid w:val="00382C4F"/>
    <w:rsid w:val="00382D37"/>
    <w:rsid w:val="00382DFD"/>
    <w:rsid w:val="003830F2"/>
    <w:rsid w:val="003831BB"/>
    <w:rsid w:val="00383286"/>
    <w:rsid w:val="00383416"/>
    <w:rsid w:val="0038342A"/>
    <w:rsid w:val="0038386C"/>
    <w:rsid w:val="00383AEB"/>
    <w:rsid w:val="0038448A"/>
    <w:rsid w:val="003846D9"/>
    <w:rsid w:val="003847F8"/>
    <w:rsid w:val="00384DCF"/>
    <w:rsid w:val="003851B1"/>
    <w:rsid w:val="0038537B"/>
    <w:rsid w:val="0038543F"/>
    <w:rsid w:val="003855EC"/>
    <w:rsid w:val="0038587C"/>
    <w:rsid w:val="003858E3"/>
    <w:rsid w:val="003859A7"/>
    <w:rsid w:val="00385B90"/>
    <w:rsid w:val="003860BA"/>
    <w:rsid w:val="003865BC"/>
    <w:rsid w:val="00386705"/>
    <w:rsid w:val="00386BE2"/>
    <w:rsid w:val="00386BF7"/>
    <w:rsid w:val="00386C51"/>
    <w:rsid w:val="00386EB7"/>
    <w:rsid w:val="00386FD7"/>
    <w:rsid w:val="003870C7"/>
    <w:rsid w:val="003871E9"/>
    <w:rsid w:val="00387279"/>
    <w:rsid w:val="003873EC"/>
    <w:rsid w:val="0038751B"/>
    <w:rsid w:val="0038758C"/>
    <w:rsid w:val="0038769F"/>
    <w:rsid w:val="003877FA"/>
    <w:rsid w:val="00387954"/>
    <w:rsid w:val="00387B14"/>
    <w:rsid w:val="00387F54"/>
    <w:rsid w:val="0039050A"/>
    <w:rsid w:val="00390AC4"/>
    <w:rsid w:val="00390BBB"/>
    <w:rsid w:val="00390D82"/>
    <w:rsid w:val="00390DCA"/>
    <w:rsid w:val="00391051"/>
    <w:rsid w:val="00391722"/>
    <w:rsid w:val="003918C2"/>
    <w:rsid w:val="00391ADB"/>
    <w:rsid w:val="00391F7C"/>
    <w:rsid w:val="003923C9"/>
    <w:rsid w:val="0039298D"/>
    <w:rsid w:val="003929B9"/>
    <w:rsid w:val="0039302C"/>
    <w:rsid w:val="003930E4"/>
    <w:rsid w:val="003932BB"/>
    <w:rsid w:val="00393835"/>
    <w:rsid w:val="0039389D"/>
    <w:rsid w:val="00393B51"/>
    <w:rsid w:val="00393D4D"/>
    <w:rsid w:val="0039447D"/>
    <w:rsid w:val="0039486E"/>
    <w:rsid w:val="00394F9A"/>
    <w:rsid w:val="00395136"/>
    <w:rsid w:val="003951DA"/>
    <w:rsid w:val="003953BC"/>
    <w:rsid w:val="003953F6"/>
    <w:rsid w:val="0039581F"/>
    <w:rsid w:val="00395BF7"/>
    <w:rsid w:val="00395D05"/>
    <w:rsid w:val="00395D07"/>
    <w:rsid w:val="00395D70"/>
    <w:rsid w:val="0039625A"/>
    <w:rsid w:val="00396664"/>
    <w:rsid w:val="00396DE8"/>
    <w:rsid w:val="00396E03"/>
    <w:rsid w:val="00397213"/>
    <w:rsid w:val="003974F3"/>
    <w:rsid w:val="003977A3"/>
    <w:rsid w:val="00397B3F"/>
    <w:rsid w:val="00397D59"/>
    <w:rsid w:val="00397E52"/>
    <w:rsid w:val="00397FAC"/>
    <w:rsid w:val="003A02E4"/>
    <w:rsid w:val="003A050D"/>
    <w:rsid w:val="003A0852"/>
    <w:rsid w:val="003A0B9D"/>
    <w:rsid w:val="003A0C00"/>
    <w:rsid w:val="003A0E36"/>
    <w:rsid w:val="003A1006"/>
    <w:rsid w:val="003A117A"/>
    <w:rsid w:val="003A13A2"/>
    <w:rsid w:val="003A1761"/>
    <w:rsid w:val="003A1781"/>
    <w:rsid w:val="003A1870"/>
    <w:rsid w:val="003A1A49"/>
    <w:rsid w:val="003A2171"/>
    <w:rsid w:val="003A2214"/>
    <w:rsid w:val="003A2282"/>
    <w:rsid w:val="003A2290"/>
    <w:rsid w:val="003A2350"/>
    <w:rsid w:val="003A265D"/>
    <w:rsid w:val="003A33FB"/>
    <w:rsid w:val="003A36FC"/>
    <w:rsid w:val="003A3841"/>
    <w:rsid w:val="003A3DF1"/>
    <w:rsid w:val="003A3F86"/>
    <w:rsid w:val="003A3FE5"/>
    <w:rsid w:val="003A49A1"/>
    <w:rsid w:val="003A49F1"/>
    <w:rsid w:val="003A518A"/>
    <w:rsid w:val="003A577F"/>
    <w:rsid w:val="003A5977"/>
    <w:rsid w:val="003A5B17"/>
    <w:rsid w:val="003A5F33"/>
    <w:rsid w:val="003A5FD3"/>
    <w:rsid w:val="003A6105"/>
    <w:rsid w:val="003A61A8"/>
    <w:rsid w:val="003A6494"/>
    <w:rsid w:val="003A6CD3"/>
    <w:rsid w:val="003A7DC3"/>
    <w:rsid w:val="003A7FE6"/>
    <w:rsid w:val="003B030F"/>
    <w:rsid w:val="003B0761"/>
    <w:rsid w:val="003B076F"/>
    <w:rsid w:val="003B0AB5"/>
    <w:rsid w:val="003B0C3B"/>
    <w:rsid w:val="003B0E7D"/>
    <w:rsid w:val="003B1525"/>
    <w:rsid w:val="003B184B"/>
    <w:rsid w:val="003B1CD3"/>
    <w:rsid w:val="003B1D7D"/>
    <w:rsid w:val="003B1EF7"/>
    <w:rsid w:val="003B220C"/>
    <w:rsid w:val="003B2492"/>
    <w:rsid w:val="003B2805"/>
    <w:rsid w:val="003B2C01"/>
    <w:rsid w:val="003B2C22"/>
    <w:rsid w:val="003B2C2C"/>
    <w:rsid w:val="003B2CB9"/>
    <w:rsid w:val="003B2F20"/>
    <w:rsid w:val="003B2F26"/>
    <w:rsid w:val="003B3529"/>
    <w:rsid w:val="003B384A"/>
    <w:rsid w:val="003B3A3F"/>
    <w:rsid w:val="003B3E08"/>
    <w:rsid w:val="003B40B4"/>
    <w:rsid w:val="003B413A"/>
    <w:rsid w:val="003B428D"/>
    <w:rsid w:val="003B4338"/>
    <w:rsid w:val="003B451E"/>
    <w:rsid w:val="003B4529"/>
    <w:rsid w:val="003B4643"/>
    <w:rsid w:val="003B46B1"/>
    <w:rsid w:val="003B4B61"/>
    <w:rsid w:val="003B4C8E"/>
    <w:rsid w:val="003B53D3"/>
    <w:rsid w:val="003B545E"/>
    <w:rsid w:val="003B54AA"/>
    <w:rsid w:val="003B561B"/>
    <w:rsid w:val="003B573B"/>
    <w:rsid w:val="003B574D"/>
    <w:rsid w:val="003B5971"/>
    <w:rsid w:val="003B5B18"/>
    <w:rsid w:val="003B5E91"/>
    <w:rsid w:val="003B5F5D"/>
    <w:rsid w:val="003B5FFA"/>
    <w:rsid w:val="003B635A"/>
    <w:rsid w:val="003B64EB"/>
    <w:rsid w:val="003B65BB"/>
    <w:rsid w:val="003B6BED"/>
    <w:rsid w:val="003B6C70"/>
    <w:rsid w:val="003B6EA9"/>
    <w:rsid w:val="003B6FCF"/>
    <w:rsid w:val="003B7026"/>
    <w:rsid w:val="003B70A3"/>
    <w:rsid w:val="003B76C8"/>
    <w:rsid w:val="003B7844"/>
    <w:rsid w:val="003B7859"/>
    <w:rsid w:val="003B7C67"/>
    <w:rsid w:val="003B7D50"/>
    <w:rsid w:val="003B7DDB"/>
    <w:rsid w:val="003B7E52"/>
    <w:rsid w:val="003B7E9F"/>
    <w:rsid w:val="003C017E"/>
    <w:rsid w:val="003C06C4"/>
    <w:rsid w:val="003C09F5"/>
    <w:rsid w:val="003C101C"/>
    <w:rsid w:val="003C11C5"/>
    <w:rsid w:val="003C1208"/>
    <w:rsid w:val="003C1441"/>
    <w:rsid w:val="003C14F9"/>
    <w:rsid w:val="003C1B9D"/>
    <w:rsid w:val="003C1BBD"/>
    <w:rsid w:val="003C2370"/>
    <w:rsid w:val="003C23B9"/>
    <w:rsid w:val="003C2520"/>
    <w:rsid w:val="003C25CD"/>
    <w:rsid w:val="003C292B"/>
    <w:rsid w:val="003C2DCA"/>
    <w:rsid w:val="003C3836"/>
    <w:rsid w:val="003C3B3F"/>
    <w:rsid w:val="003C42CD"/>
    <w:rsid w:val="003C44CC"/>
    <w:rsid w:val="003C4600"/>
    <w:rsid w:val="003C47CE"/>
    <w:rsid w:val="003C48A9"/>
    <w:rsid w:val="003C48AB"/>
    <w:rsid w:val="003C4A98"/>
    <w:rsid w:val="003C4BDA"/>
    <w:rsid w:val="003C4DED"/>
    <w:rsid w:val="003C4E2D"/>
    <w:rsid w:val="003C4EEE"/>
    <w:rsid w:val="003C547D"/>
    <w:rsid w:val="003C56AF"/>
    <w:rsid w:val="003C57FE"/>
    <w:rsid w:val="003C5803"/>
    <w:rsid w:val="003C69E7"/>
    <w:rsid w:val="003C6B1B"/>
    <w:rsid w:val="003C6D66"/>
    <w:rsid w:val="003C741B"/>
    <w:rsid w:val="003C7722"/>
    <w:rsid w:val="003C7D1B"/>
    <w:rsid w:val="003D0918"/>
    <w:rsid w:val="003D097D"/>
    <w:rsid w:val="003D1233"/>
    <w:rsid w:val="003D1432"/>
    <w:rsid w:val="003D17D8"/>
    <w:rsid w:val="003D1848"/>
    <w:rsid w:val="003D1C2B"/>
    <w:rsid w:val="003D21BE"/>
    <w:rsid w:val="003D22C2"/>
    <w:rsid w:val="003D2311"/>
    <w:rsid w:val="003D25ED"/>
    <w:rsid w:val="003D2A7F"/>
    <w:rsid w:val="003D2CD5"/>
    <w:rsid w:val="003D2D9F"/>
    <w:rsid w:val="003D30AC"/>
    <w:rsid w:val="003D33F5"/>
    <w:rsid w:val="003D364B"/>
    <w:rsid w:val="003D3945"/>
    <w:rsid w:val="003D3F63"/>
    <w:rsid w:val="003D434D"/>
    <w:rsid w:val="003D4770"/>
    <w:rsid w:val="003D4993"/>
    <w:rsid w:val="003D4BFD"/>
    <w:rsid w:val="003D4FFD"/>
    <w:rsid w:val="003D52BE"/>
    <w:rsid w:val="003D52C2"/>
    <w:rsid w:val="003D560D"/>
    <w:rsid w:val="003D5AA5"/>
    <w:rsid w:val="003D615C"/>
    <w:rsid w:val="003D634A"/>
    <w:rsid w:val="003D64AC"/>
    <w:rsid w:val="003D6539"/>
    <w:rsid w:val="003D65F6"/>
    <w:rsid w:val="003D6953"/>
    <w:rsid w:val="003D6A3A"/>
    <w:rsid w:val="003D6ABA"/>
    <w:rsid w:val="003D6C84"/>
    <w:rsid w:val="003D6F1B"/>
    <w:rsid w:val="003D6F97"/>
    <w:rsid w:val="003D7233"/>
    <w:rsid w:val="003D77A5"/>
    <w:rsid w:val="003D78BB"/>
    <w:rsid w:val="003D7AD3"/>
    <w:rsid w:val="003E05F3"/>
    <w:rsid w:val="003E06FC"/>
    <w:rsid w:val="003E14E7"/>
    <w:rsid w:val="003E1514"/>
    <w:rsid w:val="003E16A5"/>
    <w:rsid w:val="003E17A7"/>
    <w:rsid w:val="003E17C2"/>
    <w:rsid w:val="003E18FD"/>
    <w:rsid w:val="003E1BDD"/>
    <w:rsid w:val="003E2081"/>
    <w:rsid w:val="003E2087"/>
    <w:rsid w:val="003E22BD"/>
    <w:rsid w:val="003E2BD1"/>
    <w:rsid w:val="003E3529"/>
    <w:rsid w:val="003E399B"/>
    <w:rsid w:val="003E3B7C"/>
    <w:rsid w:val="003E3B8B"/>
    <w:rsid w:val="003E40B3"/>
    <w:rsid w:val="003E42DF"/>
    <w:rsid w:val="003E457C"/>
    <w:rsid w:val="003E477B"/>
    <w:rsid w:val="003E4A69"/>
    <w:rsid w:val="003E50B6"/>
    <w:rsid w:val="003E5238"/>
    <w:rsid w:val="003E5560"/>
    <w:rsid w:val="003E5695"/>
    <w:rsid w:val="003E584F"/>
    <w:rsid w:val="003E5B51"/>
    <w:rsid w:val="003E5D2A"/>
    <w:rsid w:val="003E5D7F"/>
    <w:rsid w:val="003E5E29"/>
    <w:rsid w:val="003E6098"/>
    <w:rsid w:val="003E6167"/>
    <w:rsid w:val="003E6417"/>
    <w:rsid w:val="003E6717"/>
    <w:rsid w:val="003E675A"/>
    <w:rsid w:val="003E689E"/>
    <w:rsid w:val="003E6E80"/>
    <w:rsid w:val="003E7764"/>
    <w:rsid w:val="003E7F5A"/>
    <w:rsid w:val="003F0B3C"/>
    <w:rsid w:val="003F0C5A"/>
    <w:rsid w:val="003F0D44"/>
    <w:rsid w:val="003F12A2"/>
    <w:rsid w:val="003F14CC"/>
    <w:rsid w:val="003F1748"/>
    <w:rsid w:val="003F1B38"/>
    <w:rsid w:val="003F1DD9"/>
    <w:rsid w:val="003F223B"/>
    <w:rsid w:val="003F22A7"/>
    <w:rsid w:val="003F22EA"/>
    <w:rsid w:val="003F25E0"/>
    <w:rsid w:val="003F2A8E"/>
    <w:rsid w:val="003F2DC8"/>
    <w:rsid w:val="003F361C"/>
    <w:rsid w:val="003F3AEF"/>
    <w:rsid w:val="003F3C01"/>
    <w:rsid w:val="003F3CEC"/>
    <w:rsid w:val="003F3D11"/>
    <w:rsid w:val="003F3D77"/>
    <w:rsid w:val="003F3F99"/>
    <w:rsid w:val="003F4863"/>
    <w:rsid w:val="003F4893"/>
    <w:rsid w:val="003F49EB"/>
    <w:rsid w:val="003F4E7B"/>
    <w:rsid w:val="003F5231"/>
    <w:rsid w:val="003F53A1"/>
    <w:rsid w:val="003F53E7"/>
    <w:rsid w:val="003F5639"/>
    <w:rsid w:val="003F56A8"/>
    <w:rsid w:val="003F5E6C"/>
    <w:rsid w:val="003F601F"/>
    <w:rsid w:val="003F614A"/>
    <w:rsid w:val="003F617A"/>
    <w:rsid w:val="003F620B"/>
    <w:rsid w:val="003F6302"/>
    <w:rsid w:val="003F63A9"/>
    <w:rsid w:val="003F63EC"/>
    <w:rsid w:val="003F6511"/>
    <w:rsid w:val="003F682F"/>
    <w:rsid w:val="003F6ACA"/>
    <w:rsid w:val="003F6B5B"/>
    <w:rsid w:val="003F6BDC"/>
    <w:rsid w:val="003F6CD8"/>
    <w:rsid w:val="003F6D10"/>
    <w:rsid w:val="003F6D4B"/>
    <w:rsid w:val="003F734A"/>
    <w:rsid w:val="003F7809"/>
    <w:rsid w:val="003F7DC6"/>
    <w:rsid w:val="004003B9"/>
    <w:rsid w:val="00400764"/>
    <w:rsid w:val="00400936"/>
    <w:rsid w:val="00400939"/>
    <w:rsid w:val="00400BDB"/>
    <w:rsid w:val="00400C57"/>
    <w:rsid w:val="00400E9B"/>
    <w:rsid w:val="00400F9C"/>
    <w:rsid w:val="00401217"/>
    <w:rsid w:val="004012D2"/>
    <w:rsid w:val="00401933"/>
    <w:rsid w:val="00401A73"/>
    <w:rsid w:val="00401D27"/>
    <w:rsid w:val="00401ED6"/>
    <w:rsid w:val="00402141"/>
    <w:rsid w:val="00402420"/>
    <w:rsid w:val="004025BF"/>
    <w:rsid w:val="004027F2"/>
    <w:rsid w:val="00402935"/>
    <w:rsid w:val="00402936"/>
    <w:rsid w:val="00402C58"/>
    <w:rsid w:val="00403189"/>
    <w:rsid w:val="0040329B"/>
    <w:rsid w:val="004032AB"/>
    <w:rsid w:val="0040359C"/>
    <w:rsid w:val="004035CE"/>
    <w:rsid w:val="00403738"/>
    <w:rsid w:val="00403783"/>
    <w:rsid w:val="00403CC8"/>
    <w:rsid w:val="00403CE2"/>
    <w:rsid w:val="004048C7"/>
    <w:rsid w:val="00404B2C"/>
    <w:rsid w:val="00404BA0"/>
    <w:rsid w:val="00404D59"/>
    <w:rsid w:val="0040523B"/>
    <w:rsid w:val="004057E0"/>
    <w:rsid w:val="00405905"/>
    <w:rsid w:val="00405963"/>
    <w:rsid w:val="00405A4B"/>
    <w:rsid w:val="00405D4C"/>
    <w:rsid w:val="004065D7"/>
    <w:rsid w:val="0040672B"/>
    <w:rsid w:val="004069A7"/>
    <w:rsid w:val="00406A92"/>
    <w:rsid w:val="00406BFA"/>
    <w:rsid w:val="00406CA5"/>
    <w:rsid w:val="00406E02"/>
    <w:rsid w:val="00406F16"/>
    <w:rsid w:val="00406F3B"/>
    <w:rsid w:val="00406F3C"/>
    <w:rsid w:val="00407435"/>
    <w:rsid w:val="004077BD"/>
    <w:rsid w:val="00407978"/>
    <w:rsid w:val="00407D29"/>
    <w:rsid w:val="00407EDC"/>
    <w:rsid w:val="004106ED"/>
    <w:rsid w:val="00410931"/>
    <w:rsid w:val="00410977"/>
    <w:rsid w:val="00410B07"/>
    <w:rsid w:val="00410BEC"/>
    <w:rsid w:val="0041103D"/>
    <w:rsid w:val="0041201D"/>
    <w:rsid w:val="004120EB"/>
    <w:rsid w:val="00412449"/>
    <w:rsid w:val="004124B7"/>
    <w:rsid w:val="00412A58"/>
    <w:rsid w:val="00412A73"/>
    <w:rsid w:val="004132A8"/>
    <w:rsid w:val="00413355"/>
    <w:rsid w:val="004133BF"/>
    <w:rsid w:val="004134A7"/>
    <w:rsid w:val="004135B3"/>
    <w:rsid w:val="00414009"/>
    <w:rsid w:val="004158A8"/>
    <w:rsid w:val="00415C52"/>
    <w:rsid w:val="00415DE2"/>
    <w:rsid w:val="0041602E"/>
    <w:rsid w:val="0041615B"/>
    <w:rsid w:val="004166D8"/>
    <w:rsid w:val="00416739"/>
    <w:rsid w:val="0041679A"/>
    <w:rsid w:val="00416911"/>
    <w:rsid w:val="004169B9"/>
    <w:rsid w:val="00416A32"/>
    <w:rsid w:val="00416A9D"/>
    <w:rsid w:val="00417504"/>
    <w:rsid w:val="004175B6"/>
    <w:rsid w:val="00417714"/>
    <w:rsid w:val="004177D7"/>
    <w:rsid w:val="004179B1"/>
    <w:rsid w:val="00417BB4"/>
    <w:rsid w:val="00417C33"/>
    <w:rsid w:val="00417CC4"/>
    <w:rsid w:val="00417D16"/>
    <w:rsid w:val="00417E1D"/>
    <w:rsid w:val="00417ECD"/>
    <w:rsid w:val="0042033F"/>
    <w:rsid w:val="00420545"/>
    <w:rsid w:val="00420620"/>
    <w:rsid w:val="004206CC"/>
    <w:rsid w:val="00420946"/>
    <w:rsid w:val="00420AA9"/>
    <w:rsid w:val="00420CB5"/>
    <w:rsid w:val="00420F56"/>
    <w:rsid w:val="00420F97"/>
    <w:rsid w:val="00421232"/>
    <w:rsid w:val="004212F8"/>
    <w:rsid w:val="00421615"/>
    <w:rsid w:val="00421675"/>
    <w:rsid w:val="00421A7F"/>
    <w:rsid w:val="00421D67"/>
    <w:rsid w:val="00421DCE"/>
    <w:rsid w:val="00421ED1"/>
    <w:rsid w:val="00422146"/>
    <w:rsid w:val="00422204"/>
    <w:rsid w:val="0042262B"/>
    <w:rsid w:val="00422630"/>
    <w:rsid w:val="004229CF"/>
    <w:rsid w:val="00422ED6"/>
    <w:rsid w:val="00422EED"/>
    <w:rsid w:val="00423484"/>
    <w:rsid w:val="004236AB"/>
    <w:rsid w:val="00423811"/>
    <w:rsid w:val="004239FF"/>
    <w:rsid w:val="00423A39"/>
    <w:rsid w:val="00423C08"/>
    <w:rsid w:val="004243F9"/>
    <w:rsid w:val="004244D4"/>
    <w:rsid w:val="00424636"/>
    <w:rsid w:val="00424647"/>
    <w:rsid w:val="00425437"/>
    <w:rsid w:val="00425724"/>
    <w:rsid w:val="004257D5"/>
    <w:rsid w:val="00425AC0"/>
    <w:rsid w:val="00425AED"/>
    <w:rsid w:val="00425B02"/>
    <w:rsid w:val="00425BD6"/>
    <w:rsid w:val="00425DA0"/>
    <w:rsid w:val="00425E97"/>
    <w:rsid w:val="0042609B"/>
    <w:rsid w:val="00426210"/>
    <w:rsid w:val="00426293"/>
    <w:rsid w:val="004267C2"/>
    <w:rsid w:val="00426B1C"/>
    <w:rsid w:val="00426B82"/>
    <w:rsid w:val="00426E6B"/>
    <w:rsid w:val="00426F10"/>
    <w:rsid w:val="0042730F"/>
    <w:rsid w:val="004279EA"/>
    <w:rsid w:val="00427B02"/>
    <w:rsid w:val="00427ED8"/>
    <w:rsid w:val="00427FF2"/>
    <w:rsid w:val="00430300"/>
    <w:rsid w:val="00430489"/>
    <w:rsid w:val="00430931"/>
    <w:rsid w:val="004309C8"/>
    <w:rsid w:val="00430B6C"/>
    <w:rsid w:val="00430B7F"/>
    <w:rsid w:val="00430EA4"/>
    <w:rsid w:val="00430F36"/>
    <w:rsid w:val="00431596"/>
    <w:rsid w:val="00431975"/>
    <w:rsid w:val="00431E54"/>
    <w:rsid w:val="00431E9A"/>
    <w:rsid w:val="004320E6"/>
    <w:rsid w:val="004323D0"/>
    <w:rsid w:val="00432528"/>
    <w:rsid w:val="00432932"/>
    <w:rsid w:val="00432A85"/>
    <w:rsid w:val="00432A8E"/>
    <w:rsid w:val="00432B6E"/>
    <w:rsid w:val="00432E67"/>
    <w:rsid w:val="00432E68"/>
    <w:rsid w:val="00433863"/>
    <w:rsid w:val="00433B94"/>
    <w:rsid w:val="00434015"/>
    <w:rsid w:val="004342C5"/>
    <w:rsid w:val="00434325"/>
    <w:rsid w:val="0043456C"/>
    <w:rsid w:val="004348C5"/>
    <w:rsid w:val="00434932"/>
    <w:rsid w:val="004349F7"/>
    <w:rsid w:val="00434A21"/>
    <w:rsid w:val="00434CE4"/>
    <w:rsid w:val="00434D0D"/>
    <w:rsid w:val="004350BA"/>
    <w:rsid w:val="00435802"/>
    <w:rsid w:val="004358FA"/>
    <w:rsid w:val="00435A1B"/>
    <w:rsid w:val="00435D51"/>
    <w:rsid w:val="00435E9A"/>
    <w:rsid w:val="00436758"/>
    <w:rsid w:val="00436860"/>
    <w:rsid w:val="00436BBA"/>
    <w:rsid w:val="00436D25"/>
    <w:rsid w:val="00437253"/>
    <w:rsid w:val="004375A1"/>
    <w:rsid w:val="004375D1"/>
    <w:rsid w:val="004379D2"/>
    <w:rsid w:val="004404A2"/>
    <w:rsid w:val="0044098D"/>
    <w:rsid w:val="00440A2D"/>
    <w:rsid w:val="00440C89"/>
    <w:rsid w:val="00440F98"/>
    <w:rsid w:val="004416A0"/>
    <w:rsid w:val="00441AF8"/>
    <w:rsid w:val="00441B06"/>
    <w:rsid w:val="004423DE"/>
    <w:rsid w:val="004424F6"/>
    <w:rsid w:val="004426FE"/>
    <w:rsid w:val="004429EF"/>
    <w:rsid w:val="00442A1A"/>
    <w:rsid w:val="00442C1F"/>
    <w:rsid w:val="00442DCC"/>
    <w:rsid w:val="00443806"/>
    <w:rsid w:val="00443AE4"/>
    <w:rsid w:val="00443AEA"/>
    <w:rsid w:val="0044408A"/>
    <w:rsid w:val="0044429F"/>
    <w:rsid w:val="00444495"/>
    <w:rsid w:val="00444508"/>
    <w:rsid w:val="00444509"/>
    <w:rsid w:val="00444DBA"/>
    <w:rsid w:val="00445096"/>
    <w:rsid w:val="0044536C"/>
    <w:rsid w:val="00445B5C"/>
    <w:rsid w:val="00445DEB"/>
    <w:rsid w:val="00445FBF"/>
    <w:rsid w:val="0044605D"/>
    <w:rsid w:val="004461DD"/>
    <w:rsid w:val="00446341"/>
    <w:rsid w:val="0044666B"/>
    <w:rsid w:val="004467B6"/>
    <w:rsid w:val="0044694C"/>
    <w:rsid w:val="00446A13"/>
    <w:rsid w:val="00446AD8"/>
    <w:rsid w:val="00446DD3"/>
    <w:rsid w:val="004474D4"/>
    <w:rsid w:val="00447576"/>
    <w:rsid w:val="00447A29"/>
    <w:rsid w:val="00447EA3"/>
    <w:rsid w:val="00450A3E"/>
    <w:rsid w:val="00450DD9"/>
    <w:rsid w:val="00450FD5"/>
    <w:rsid w:val="00451137"/>
    <w:rsid w:val="0045113B"/>
    <w:rsid w:val="0045113E"/>
    <w:rsid w:val="004513FE"/>
    <w:rsid w:val="004514A2"/>
    <w:rsid w:val="00451D14"/>
    <w:rsid w:val="00451FAA"/>
    <w:rsid w:val="00452D69"/>
    <w:rsid w:val="00452E3B"/>
    <w:rsid w:val="00452E5E"/>
    <w:rsid w:val="00452F7A"/>
    <w:rsid w:val="00453222"/>
    <w:rsid w:val="004535F3"/>
    <w:rsid w:val="00453AA8"/>
    <w:rsid w:val="00453F23"/>
    <w:rsid w:val="004541FD"/>
    <w:rsid w:val="00454311"/>
    <w:rsid w:val="004544EF"/>
    <w:rsid w:val="0045489F"/>
    <w:rsid w:val="00454A7B"/>
    <w:rsid w:val="00454AF8"/>
    <w:rsid w:val="00454BC1"/>
    <w:rsid w:val="00454C5D"/>
    <w:rsid w:val="00454D1F"/>
    <w:rsid w:val="00454F83"/>
    <w:rsid w:val="00455414"/>
    <w:rsid w:val="0045558E"/>
    <w:rsid w:val="0045580C"/>
    <w:rsid w:val="004559EF"/>
    <w:rsid w:val="00455A1A"/>
    <w:rsid w:val="00455B62"/>
    <w:rsid w:val="00455EA4"/>
    <w:rsid w:val="004565F8"/>
    <w:rsid w:val="004567AC"/>
    <w:rsid w:val="00456900"/>
    <w:rsid w:val="00456A29"/>
    <w:rsid w:val="004570C4"/>
    <w:rsid w:val="00457534"/>
    <w:rsid w:val="00457730"/>
    <w:rsid w:val="0045799C"/>
    <w:rsid w:val="00457A73"/>
    <w:rsid w:val="00457ACC"/>
    <w:rsid w:val="004600F6"/>
    <w:rsid w:val="00460457"/>
    <w:rsid w:val="00460B08"/>
    <w:rsid w:val="00460CE5"/>
    <w:rsid w:val="00460D19"/>
    <w:rsid w:val="00460F8C"/>
    <w:rsid w:val="00461421"/>
    <w:rsid w:val="004617BA"/>
    <w:rsid w:val="00461920"/>
    <w:rsid w:val="00461E39"/>
    <w:rsid w:val="00461F7F"/>
    <w:rsid w:val="00461FA6"/>
    <w:rsid w:val="0046221A"/>
    <w:rsid w:val="0046283C"/>
    <w:rsid w:val="004628B2"/>
    <w:rsid w:val="0046299E"/>
    <w:rsid w:val="00462B13"/>
    <w:rsid w:val="00462C08"/>
    <w:rsid w:val="00462F69"/>
    <w:rsid w:val="00463017"/>
    <w:rsid w:val="004630A9"/>
    <w:rsid w:val="004638F8"/>
    <w:rsid w:val="004639FB"/>
    <w:rsid w:val="00463A4F"/>
    <w:rsid w:val="00464124"/>
    <w:rsid w:val="004643BC"/>
    <w:rsid w:val="0046482D"/>
    <w:rsid w:val="00464EF5"/>
    <w:rsid w:val="00464F80"/>
    <w:rsid w:val="00464FF5"/>
    <w:rsid w:val="00464FFD"/>
    <w:rsid w:val="004651F3"/>
    <w:rsid w:val="004656C0"/>
    <w:rsid w:val="00465E44"/>
    <w:rsid w:val="00465E50"/>
    <w:rsid w:val="00465FDA"/>
    <w:rsid w:val="00466218"/>
    <w:rsid w:val="004664D0"/>
    <w:rsid w:val="00466BDF"/>
    <w:rsid w:val="00467305"/>
    <w:rsid w:val="004676F6"/>
    <w:rsid w:val="00467A80"/>
    <w:rsid w:val="00467E05"/>
    <w:rsid w:val="0047006B"/>
    <w:rsid w:val="0047052B"/>
    <w:rsid w:val="0047052C"/>
    <w:rsid w:val="00470611"/>
    <w:rsid w:val="0047080E"/>
    <w:rsid w:val="00470865"/>
    <w:rsid w:val="00470876"/>
    <w:rsid w:val="00470A44"/>
    <w:rsid w:val="00470B42"/>
    <w:rsid w:val="00470B67"/>
    <w:rsid w:val="00470E31"/>
    <w:rsid w:val="00470EB6"/>
    <w:rsid w:val="0047136E"/>
    <w:rsid w:val="004713E7"/>
    <w:rsid w:val="00471561"/>
    <w:rsid w:val="00471613"/>
    <w:rsid w:val="004719C9"/>
    <w:rsid w:val="00471A4D"/>
    <w:rsid w:val="00471AB2"/>
    <w:rsid w:val="00471E45"/>
    <w:rsid w:val="00471E6F"/>
    <w:rsid w:val="00472254"/>
    <w:rsid w:val="004723FC"/>
    <w:rsid w:val="0047242E"/>
    <w:rsid w:val="004725CA"/>
    <w:rsid w:val="004727E6"/>
    <w:rsid w:val="00472862"/>
    <w:rsid w:val="00472E10"/>
    <w:rsid w:val="00472E8B"/>
    <w:rsid w:val="004730F6"/>
    <w:rsid w:val="00473249"/>
    <w:rsid w:val="004732E0"/>
    <w:rsid w:val="004736F1"/>
    <w:rsid w:val="00473874"/>
    <w:rsid w:val="00474027"/>
    <w:rsid w:val="004742D9"/>
    <w:rsid w:val="00474822"/>
    <w:rsid w:val="004748AB"/>
    <w:rsid w:val="004748D5"/>
    <w:rsid w:val="00474A02"/>
    <w:rsid w:val="00474AF7"/>
    <w:rsid w:val="00474D30"/>
    <w:rsid w:val="00474E36"/>
    <w:rsid w:val="00474E52"/>
    <w:rsid w:val="004754ED"/>
    <w:rsid w:val="004756C6"/>
    <w:rsid w:val="00475715"/>
    <w:rsid w:val="00475B31"/>
    <w:rsid w:val="00475CE1"/>
    <w:rsid w:val="00476048"/>
    <w:rsid w:val="00476080"/>
    <w:rsid w:val="004760B5"/>
    <w:rsid w:val="0047614F"/>
    <w:rsid w:val="00476711"/>
    <w:rsid w:val="004768BA"/>
    <w:rsid w:val="00476AEB"/>
    <w:rsid w:val="00476BDE"/>
    <w:rsid w:val="00476C2A"/>
    <w:rsid w:val="00476E97"/>
    <w:rsid w:val="00477657"/>
    <w:rsid w:val="00477A5B"/>
    <w:rsid w:val="00480B2A"/>
    <w:rsid w:val="00480D93"/>
    <w:rsid w:val="00480DE1"/>
    <w:rsid w:val="00480FF9"/>
    <w:rsid w:val="004810CF"/>
    <w:rsid w:val="004812B0"/>
    <w:rsid w:val="00481340"/>
    <w:rsid w:val="004814B3"/>
    <w:rsid w:val="004815C2"/>
    <w:rsid w:val="004818A1"/>
    <w:rsid w:val="004818D5"/>
    <w:rsid w:val="00481F78"/>
    <w:rsid w:val="00482465"/>
    <w:rsid w:val="004826CF"/>
    <w:rsid w:val="004828B2"/>
    <w:rsid w:val="004828ED"/>
    <w:rsid w:val="00482C3D"/>
    <w:rsid w:val="00482DD6"/>
    <w:rsid w:val="00482DFE"/>
    <w:rsid w:val="00482FFB"/>
    <w:rsid w:val="004830AA"/>
    <w:rsid w:val="004835A5"/>
    <w:rsid w:val="00483737"/>
    <w:rsid w:val="00483858"/>
    <w:rsid w:val="00483AF3"/>
    <w:rsid w:val="00483E9E"/>
    <w:rsid w:val="00484066"/>
    <w:rsid w:val="0048428E"/>
    <w:rsid w:val="00484A4E"/>
    <w:rsid w:val="00484A6A"/>
    <w:rsid w:val="00484ABB"/>
    <w:rsid w:val="00484DF8"/>
    <w:rsid w:val="00484F00"/>
    <w:rsid w:val="004850A6"/>
    <w:rsid w:val="00485453"/>
    <w:rsid w:val="0048546D"/>
    <w:rsid w:val="004859C1"/>
    <w:rsid w:val="00485A12"/>
    <w:rsid w:val="00485C0A"/>
    <w:rsid w:val="00485C19"/>
    <w:rsid w:val="00485CF8"/>
    <w:rsid w:val="0048614A"/>
    <w:rsid w:val="00486649"/>
    <w:rsid w:val="004867B9"/>
    <w:rsid w:val="00486B32"/>
    <w:rsid w:val="00486F36"/>
    <w:rsid w:val="004871AC"/>
    <w:rsid w:val="004871D6"/>
    <w:rsid w:val="00487EDC"/>
    <w:rsid w:val="004903B1"/>
    <w:rsid w:val="00490A4A"/>
    <w:rsid w:val="00490BD2"/>
    <w:rsid w:val="00491400"/>
    <w:rsid w:val="0049192C"/>
    <w:rsid w:val="00491BE4"/>
    <w:rsid w:val="00491D4B"/>
    <w:rsid w:val="00491F82"/>
    <w:rsid w:val="00492044"/>
    <w:rsid w:val="0049220C"/>
    <w:rsid w:val="00492783"/>
    <w:rsid w:val="0049283C"/>
    <w:rsid w:val="00492FB0"/>
    <w:rsid w:val="00493157"/>
    <w:rsid w:val="00493428"/>
    <w:rsid w:val="00493451"/>
    <w:rsid w:val="0049365E"/>
    <w:rsid w:val="004939E0"/>
    <w:rsid w:val="00493A19"/>
    <w:rsid w:val="00493C5A"/>
    <w:rsid w:val="00493D0C"/>
    <w:rsid w:val="00493D86"/>
    <w:rsid w:val="00493FBF"/>
    <w:rsid w:val="004942B5"/>
    <w:rsid w:val="0049470F"/>
    <w:rsid w:val="00494DAD"/>
    <w:rsid w:val="00495060"/>
    <w:rsid w:val="004950C9"/>
    <w:rsid w:val="00495493"/>
    <w:rsid w:val="0049579F"/>
    <w:rsid w:val="004959DC"/>
    <w:rsid w:val="00495A78"/>
    <w:rsid w:val="00495FFC"/>
    <w:rsid w:val="0049618F"/>
    <w:rsid w:val="0049623F"/>
    <w:rsid w:val="004964F6"/>
    <w:rsid w:val="0049652D"/>
    <w:rsid w:val="004967C5"/>
    <w:rsid w:val="00496D53"/>
    <w:rsid w:val="004973CB"/>
    <w:rsid w:val="004975D3"/>
    <w:rsid w:val="004A0BDF"/>
    <w:rsid w:val="004A0E1D"/>
    <w:rsid w:val="004A13A5"/>
    <w:rsid w:val="004A16A1"/>
    <w:rsid w:val="004A16BC"/>
    <w:rsid w:val="004A1E2A"/>
    <w:rsid w:val="004A2072"/>
    <w:rsid w:val="004A211E"/>
    <w:rsid w:val="004A294B"/>
    <w:rsid w:val="004A2E90"/>
    <w:rsid w:val="004A3338"/>
    <w:rsid w:val="004A382E"/>
    <w:rsid w:val="004A3B43"/>
    <w:rsid w:val="004A4236"/>
    <w:rsid w:val="004A446A"/>
    <w:rsid w:val="004A47C4"/>
    <w:rsid w:val="004A49DA"/>
    <w:rsid w:val="004A4AD2"/>
    <w:rsid w:val="004A5238"/>
    <w:rsid w:val="004A52D6"/>
    <w:rsid w:val="004A5940"/>
    <w:rsid w:val="004A5C6D"/>
    <w:rsid w:val="004A627E"/>
    <w:rsid w:val="004A6374"/>
    <w:rsid w:val="004A6626"/>
    <w:rsid w:val="004A6663"/>
    <w:rsid w:val="004A6853"/>
    <w:rsid w:val="004A68A5"/>
    <w:rsid w:val="004A69E2"/>
    <w:rsid w:val="004A6D0F"/>
    <w:rsid w:val="004A6FC8"/>
    <w:rsid w:val="004A753E"/>
    <w:rsid w:val="004A764F"/>
    <w:rsid w:val="004A78DA"/>
    <w:rsid w:val="004A7B47"/>
    <w:rsid w:val="004A7B8D"/>
    <w:rsid w:val="004B022E"/>
    <w:rsid w:val="004B02F9"/>
    <w:rsid w:val="004B062D"/>
    <w:rsid w:val="004B06FF"/>
    <w:rsid w:val="004B07B8"/>
    <w:rsid w:val="004B07E8"/>
    <w:rsid w:val="004B09BF"/>
    <w:rsid w:val="004B0CFF"/>
    <w:rsid w:val="004B0EA3"/>
    <w:rsid w:val="004B111F"/>
    <w:rsid w:val="004B1640"/>
    <w:rsid w:val="004B1AB5"/>
    <w:rsid w:val="004B1E23"/>
    <w:rsid w:val="004B2CA3"/>
    <w:rsid w:val="004B3513"/>
    <w:rsid w:val="004B35E9"/>
    <w:rsid w:val="004B36DA"/>
    <w:rsid w:val="004B371A"/>
    <w:rsid w:val="004B3A98"/>
    <w:rsid w:val="004B3BF8"/>
    <w:rsid w:val="004B3C8C"/>
    <w:rsid w:val="004B4635"/>
    <w:rsid w:val="004B4978"/>
    <w:rsid w:val="004B49EC"/>
    <w:rsid w:val="004B4CBB"/>
    <w:rsid w:val="004B5039"/>
    <w:rsid w:val="004B561B"/>
    <w:rsid w:val="004B56FB"/>
    <w:rsid w:val="004B5A8F"/>
    <w:rsid w:val="004B5FB2"/>
    <w:rsid w:val="004B5FCF"/>
    <w:rsid w:val="004B60B9"/>
    <w:rsid w:val="004B6153"/>
    <w:rsid w:val="004B6418"/>
    <w:rsid w:val="004B6F69"/>
    <w:rsid w:val="004B6FB0"/>
    <w:rsid w:val="004B72C1"/>
    <w:rsid w:val="004B7989"/>
    <w:rsid w:val="004B7AED"/>
    <w:rsid w:val="004B7DCA"/>
    <w:rsid w:val="004B7EA2"/>
    <w:rsid w:val="004C0362"/>
    <w:rsid w:val="004C0458"/>
    <w:rsid w:val="004C0BCE"/>
    <w:rsid w:val="004C0C66"/>
    <w:rsid w:val="004C0D32"/>
    <w:rsid w:val="004C0D51"/>
    <w:rsid w:val="004C0F9B"/>
    <w:rsid w:val="004C120F"/>
    <w:rsid w:val="004C1282"/>
    <w:rsid w:val="004C13AD"/>
    <w:rsid w:val="004C1A08"/>
    <w:rsid w:val="004C1AC5"/>
    <w:rsid w:val="004C1B74"/>
    <w:rsid w:val="004C1E20"/>
    <w:rsid w:val="004C1E26"/>
    <w:rsid w:val="004C1F2B"/>
    <w:rsid w:val="004C204F"/>
    <w:rsid w:val="004C2078"/>
    <w:rsid w:val="004C229A"/>
    <w:rsid w:val="004C23A0"/>
    <w:rsid w:val="004C2741"/>
    <w:rsid w:val="004C28FA"/>
    <w:rsid w:val="004C2C14"/>
    <w:rsid w:val="004C30CB"/>
    <w:rsid w:val="004C3215"/>
    <w:rsid w:val="004C359C"/>
    <w:rsid w:val="004C359F"/>
    <w:rsid w:val="004C3D63"/>
    <w:rsid w:val="004C3F05"/>
    <w:rsid w:val="004C412C"/>
    <w:rsid w:val="004C42BF"/>
    <w:rsid w:val="004C4446"/>
    <w:rsid w:val="004C4C21"/>
    <w:rsid w:val="004C50EA"/>
    <w:rsid w:val="004C525C"/>
    <w:rsid w:val="004C5631"/>
    <w:rsid w:val="004C5984"/>
    <w:rsid w:val="004C61A1"/>
    <w:rsid w:val="004C6254"/>
    <w:rsid w:val="004C6290"/>
    <w:rsid w:val="004C66C7"/>
    <w:rsid w:val="004C6F2C"/>
    <w:rsid w:val="004C71AB"/>
    <w:rsid w:val="004C7541"/>
    <w:rsid w:val="004C75F5"/>
    <w:rsid w:val="004C77EE"/>
    <w:rsid w:val="004C7973"/>
    <w:rsid w:val="004C7ABD"/>
    <w:rsid w:val="004C7FB0"/>
    <w:rsid w:val="004D084F"/>
    <w:rsid w:val="004D0A7F"/>
    <w:rsid w:val="004D1173"/>
    <w:rsid w:val="004D11BC"/>
    <w:rsid w:val="004D11E2"/>
    <w:rsid w:val="004D1777"/>
    <w:rsid w:val="004D1AF0"/>
    <w:rsid w:val="004D1ED3"/>
    <w:rsid w:val="004D1F46"/>
    <w:rsid w:val="004D21F5"/>
    <w:rsid w:val="004D22C1"/>
    <w:rsid w:val="004D2648"/>
    <w:rsid w:val="004D273F"/>
    <w:rsid w:val="004D2796"/>
    <w:rsid w:val="004D291C"/>
    <w:rsid w:val="004D33E7"/>
    <w:rsid w:val="004D34CA"/>
    <w:rsid w:val="004D3724"/>
    <w:rsid w:val="004D3F5B"/>
    <w:rsid w:val="004D4106"/>
    <w:rsid w:val="004D44D5"/>
    <w:rsid w:val="004D4529"/>
    <w:rsid w:val="004D4755"/>
    <w:rsid w:val="004D487E"/>
    <w:rsid w:val="004D49E9"/>
    <w:rsid w:val="004D4ACB"/>
    <w:rsid w:val="004D54C6"/>
    <w:rsid w:val="004D55F2"/>
    <w:rsid w:val="004D5867"/>
    <w:rsid w:val="004D587F"/>
    <w:rsid w:val="004D5BB2"/>
    <w:rsid w:val="004D5D1A"/>
    <w:rsid w:val="004D5D79"/>
    <w:rsid w:val="004D5E96"/>
    <w:rsid w:val="004D600D"/>
    <w:rsid w:val="004D6A6F"/>
    <w:rsid w:val="004D6AEA"/>
    <w:rsid w:val="004D745E"/>
    <w:rsid w:val="004D766D"/>
    <w:rsid w:val="004D79B1"/>
    <w:rsid w:val="004D7AEA"/>
    <w:rsid w:val="004D7D67"/>
    <w:rsid w:val="004E0290"/>
    <w:rsid w:val="004E0357"/>
    <w:rsid w:val="004E04BF"/>
    <w:rsid w:val="004E0770"/>
    <w:rsid w:val="004E0995"/>
    <w:rsid w:val="004E0A8C"/>
    <w:rsid w:val="004E0EA4"/>
    <w:rsid w:val="004E111C"/>
    <w:rsid w:val="004E1451"/>
    <w:rsid w:val="004E1867"/>
    <w:rsid w:val="004E18AB"/>
    <w:rsid w:val="004E1E5A"/>
    <w:rsid w:val="004E1F74"/>
    <w:rsid w:val="004E1FA3"/>
    <w:rsid w:val="004E24A1"/>
    <w:rsid w:val="004E276C"/>
    <w:rsid w:val="004E27A6"/>
    <w:rsid w:val="004E28F0"/>
    <w:rsid w:val="004E3690"/>
    <w:rsid w:val="004E3C60"/>
    <w:rsid w:val="004E427E"/>
    <w:rsid w:val="004E4484"/>
    <w:rsid w:val="004E4512"/>
    <w:rsid w:val="004E4626"/>
    <w:rsid w:val="004E464D"/>
    <w:rsid w:val="004E46F6"/>
    <w:rsid w:val="004E4733"/>
    <w:rsid w:val="004E4797"/>
    <w:rsid w:val="004E494A"/>
    <w:rsid w:val="004E49C7"/>
    <w:rsid w:val="004E50E3"/>
    <w:rsid w:val="004E5438"/>
    <w:rsid w:val="004E5B05"/>
    <w:rsid w:val="004E5B47"/>
    <w:rsid w:val="004E5BE2"/>
    <w:rsid w:val="004E5DBD"/>
    <w:rsid w:val="004E5FE2"/>
    <w:rsid w:val="004E61B1"/>
    <w:rsid w:val="004E6686"/>
    <w:rsid w:val="004E6C70"/>
    <w:rsid w:val="004E71BF"/>
    <w:rsid w:val="004E7563"/>
    <w:rsid w:val="004E7996"/>
    <w:rsid w:val="004E7A1D"/>
    <w:rsid w:val="004E7DDD"/>
    <w:rsid w:val="004E7E80"/>
    <w:rsid w:val="004E7ED1"/>
    <w:rsid w:val="004F0195"/>
    <w:rsid w:val="004F023A"/>
    <w:rsid w:val="004F0402"/>
    <w:rsid w:val="004F0475"/>
    <w:rsid w:val="004F0EA3"/>
    <w:rsid w:val="004F0F5F"/>
    <w:rsid w:val="004F1036"/>
    <w:rsid w:val="004F13FA"/>
    <w:rsid w:val="004F1721"/>
    <w:rsid w:val="004F1952"/>
    <w:rsid w:val="004F1B8E"/>
    <w:rsid w:val="004F1E23"/>
    <w:rsid w:val="004F2160"/>
    <w:rsid w:val="004F2293"/>
    <w:rsid w:val="004F236E"/>
    <w:rsid w:val="004F275E"/>
    <w:rsid w:val="004F296C"/>
    <w:rsid w:val="004F2EEE"/>
    <w:rsid w:val="004F3958"/>
    <w:rsid w:val="004F44BE"/>
    <w:rsid w:val="004F44F5"/>
    <w:rsid w:val="004F4635"/>
    <w:rsid w:val="004F466B"/>
    <w:rsid w:val="004F47B9"/>
    <w:rsid w:val="004F48D3"/>
    <w:rsid w:val="004F4C5B"/>
    <w:rsid w:val="004F52EC"/>
    <w:rsid w:val="004F53E9"/>
    <w:rsid w:val="004F5506"/>
    <w:rsid w:val="004F5B9D"/>
    <w:rsid w:val="004F5DFE"/>
    <w:rsid w:val="004F5F3C"/>
    <w:rsid w:val="004F61B7"/>
    <w:rsid w:val="004F6307"/>
    <w:rsid w:val="004F6C1F"/>
    <w:rsid w:val="004F6CCC"/>
    <w:rsid w:val="004F6D60"/>
    <w:rsid w:val="004F6E58"/>
    <w:rsid w:val="004F6FE6"/>
    <w:rsid w:val="004F7063"/>
    <w:rsid w:val="004F7698"/>
    <w:rsid w:val="004F7981"/>
    <w:rsid w:val="004F7AF8"/>
    <w:rsid w:val="004F7E2E"/>
    <w:rsid w:val="0050006D"/>
    <w:rsid w:val="00500159"/>
    <w:rsid w:val="00500993"/>
    <w:rsid w:val="005009E7"/>
    <w:rsid w:val="00500A9D"/>
    <w:rsid w:val="00500AED"/>
    <w:rsid w:val="00500BCA"/>
    <w:rsid w:val="00500CF0"/>
    <w:rsid w:val="00501278"/>
    <w:rsid w:val="00501559"/>
    <w:rsid w:val="005016C2"/>
    <w:rsid w:val="005017AA"/>
    <w:rsid w:val="00501900"/>
    <w:rsid w:val="005019C1"/>
    <w:rsid w:val="005019CE"/>
    <w:rsid w:val="00501A5B"/>
    <w:rsid w:val="00501C42"/>
    <w:rsid w:val="00501E02"/>
    <w:rsid w:val="00501FAE"/>
    <w:rsid w:val="00502520"/>
    <w:rsid w:val="005029EA"/>
    <w:rsid w:val="00502B83"/>
    <w:rsid w:val="00502B94"/>
    <w:rsid w:val="00502C39"/>
    <w:rsid w:val="0050352B"/>
    <w:rsid w:val="005044FD"/>
    <w:rsid w:val="005047FD"/>
    <w:rsid w:val="00504CBF"/>
    <w:rsid w:val="00504D52"/>
    <w:rsid w:val="00504E66"/>
    <w:rsid w:val="005052E6"/>
    <w:rsid w:val="005054CE"/>
    <w:rsid w:val="00505513"/>
    <w:rsid w:val="005055AD"/>
    <w:rsid w:val="005055E7"/>
    <w:rsid w:val="00505A02"/>
    <w:rsid w:val="00505A25"/>
    <w:rsid w:val="00505ADA"/>
    <w:rsid w:val="00505B4F"/>
    <w:rsid w:val="00505C93"/>
    <w:rsid w:val="00506072"/>
    <w:rsid w:val="00506382"/>
    <w:rsid w:val="005069A4"/>
    <w:rsid w:val="00506C0D"/>
    <w:rsid w:val="00506C79"/>
    <w:rsid w:val="00507015"/>
    <w:rsid w:val="005071B5"/>
    <w:rsid w:val="00507492"/>
    <w:rsid w:val="0050766C"/>
    <w:rsid w:val="005078A9"/>
    <w:rsid w:val="005078D2"/>
    <w:rsid w:val="00507B2F"/>
    <w:rsid w:val="00507D67"/>
    <w:rsid w:val="00507E53"/>
    <w:rsid w:val="00507FE0"/>
    <w:rsid w:val="005100B9"/>
    <w:rsid w:val="005104E5"/>
    <w:rsid w:val="00510628"/>
    <w:rsid w:val="00510C33"/>
    <w:rsid w:val="00510E9E"/>
    <w:rsid w:val="005114B4"/>
    <w:rsid w:val="005115E1"/>
    <w:rsid w:val="00511695"/>
    <w:rsid w:val="00511D35"/>
    <w:rsid w:val="00511D69"/>
    <w:rsid w:val="00512064"/>
    <w:rsid w:val="0051206F"/>
    <w:rsid w:val="0051213E"/>
    <w:rsid w:val="00512229"/>
    <w:rsid w:val="00512939"/>
    <w:rsid w:val="00512C1C"/>
    <w:rsid w:val="00512C7E"/>
    <w:rsid w:val="00512CAF"/>
    <w:rsid w:val="00512E73"/>
    <w:rsid w:val="005130D9"/>
    <w:rsid w:val="00513189"/>
    <w:rsid w:val="00513274"/>
    <w:rsid w:val="00513535"/>
    <w:rsid w:val="00513571"/>
    <w:rsid w:val="00513577"/>
    <w:rsid w:val="0051411A"/>
    <w:rsid w:val="005141D8"/>
    <w:rsid w:val="005144CB"/>
    <w:rsid w:val="005147EC"/>
    <w:rsid w:val="00514DE6"/>
    <w:rsid w:val="005157CB"/>
    <w:rsid w:val="00515AA5"/>
    <w:rsid w:val="00515FDC"/>
    <w:rsid w:val="005160A7"/>
    <w:rsid w:val="00516615"/>
    <w:rsid w:val="00516959"/>
    <w:rsid w:val="005169FE"/>
    <w:rsid w:val="00516EEC"/>
    <w:rsid w:val="00517372"/>
    <w:rsid w:val="005177D9"/>
    <w:rsid w:val="005200D1"/>
    <w:rsid w:val="005203BD"/>
    <w:rsid w:val="00520551"/>
    <w:rsid w:val="005206AD"/>
    <w:rsid w:val="005207C3"/>
    <w:rsid w:val="00520D81"/>
    <w:rsid w:val="00520EA3"/>
    <w:rsid w:val="00521000"/>
    <w:rsid w:val="00521384"/>
    <w:rsid w:val="00521472"/>
    <w:rsid w:val="00521AA6"/>
    <w:rsid w:val="00521C29"/>
    <w:rsid w:val="0052214D"/>
    <w:rsid w:val="005226FB"/>
    <w:rsid w:val="00522A6E"/>
    <w:rsid w:val="00522C59"/>
    <w:rsid w:val="00522E13"/>
    <w:rsid w:val="0052319B"/>
    <w:rsid w:val="005234E8"/>
    <w:rsid w:val="005235A4"/>
    <w:rsid w:val="0052375D"/>
    <w:rsid w:val="0052427A"/>
    <w:rsid w:val="005243CA"/>
    <w:rsid w:val="0052472C"/>
    <w:rsid w:val="00524751"/>
    <w:rsid w:val="00524881"/>
    <w:rsid w:val="00524EF6"/>
    <w:rsid w:val="0052550B"/>
    <w:rsid w:val="00525F9A"/>
    <w:rsid w:val="00525FC3"/>
    <w:rsid w:val="00526219"/>
    <w:rsid w:val="00526407"/>
    <w:rsid w:val="0052642A"/>
    <w:rsid w:val="005264A6"/>
    <w:rsid w:val="005266AC"/>
    <w:rsid w:val="005267FF"/>
    <w:rsid w:val="00526ACD"/>
    <w:rsid w:val="00526DCA"/>
    <w:rsid w:val="00527709"/>
    <w:rsid w:val="00527A51"/>
    <w:rsid w:val="00527A76"/>
    <w:rsid w:val="00527D95"/>
    <w:rsid w:val="00530159"/>
    <w:rsid w:val="005301CF"/>
    <w:rsid w:val="0053040B"/>
    <w:rsid w:val="0053046D"/>
    <w:rsid w:val="0053049D"/>
    <w:rsid w:val="0053075E"/>
    <w:rsid w:val="005309D5"/>
    <w:rsid w:val="00530E63"/>
    <w:rsid w:val="00530F11"/>
    <w:rsid w:val="00531036"/>
    <w:rsid w:val="0053181C"/>
    <w:rsid w:val="00531B2A"/>
    <w:rsid w:val="00531E86"/>
    <w:rsid w:val="00531E8E"/>
    <w:rsid w:val="00531EE1"/>
    <w:rsid w:val="0053248E"/>
    <w:rsid w:val="0053256F"/>
    <w:rsid w:val="00532982"/>
    <w:rsid w:val="00532C0D"/>
    <w:rsid w:val="00532DE3"/>
    <w:rsid w:val="0053314D"/>
    <w:rsid w:val="00533494"/>
    <w:rsid w:val="005335A3"/>
    <w:rsid w:val="005337BB"/>
    <w:rsid w:val="005339F1"/>
    <w:rsid w:val="00533F2D"/>
    <w:rsid w:val="00533F71"/>
    <w:rsid w:val="00533FC9"/>
    <w:rsid w:val="0053425B"/>
    <w:rsid w:val="00534409"/>
    <w:rsid w:val="005346DF"/>
    <w:rsid w:val="00534755"/>
    <w:rsid w:val="005347E5"/>
    <w:rsid w:val="00534B54"/>
    <w:rsid w:val="00534C88"/>
    <w:rsid w:val="0053524F"/>
    <w:rsid w:val="0053543D"/>
    <w:rsid w:val="005359C9"/>
    <w:rsid w:val="00535A7E"/>
    <w:rsid w:val="00535C5F"/>
    <w:rsid w:val="00535D75"/>
    <w:rsid w:val="00535D87"/>
    <w:rsid w:val="00536101"/>
    <w:rsid w:val="00536135"/>
    <w:rsid w:val="005362EC"/>
    <w:rsid w:val="00536602"/>
    <w:rsid w:val="00536812"/>
    <w:rsid w:val="00536978"/>
    <w:rsid w:val="00537009"/>
    <w:rsid w:val="005370CE"/>
    <w:rsid w:val="0053731C"/>
    <w:rsid w:val="0053731D"/>
    <w:rsid w:val="00537340"/>
    <w:rsid w:val="00537574"/>
    <w:rsid w:val="005376BD"/>
    <w:rsid w:val="00537993"/>
    <w:rsid w:val="00537B6E"/>
    <w:rsid w:val="00537BEB"/>
    <w:rsid w:val="00537FAB"/>
    <w:rsid w:val="00540326"/>
    <w:rsid w:val="0054037E"/>
    <w:rsid w:val="00540397"/>
    <w:rsid w:val="005408C2"/>
    <w:rsid w:val="00540B14"/>
    <w:rsid w:val="00541120"/>
    <w:rsid w:val="0054190B"/>
    <w:rsid w:val="00541995"/>
    <w:rsid w:val="00541C8C"/>
    <w:rsid w:val="00541EE6"/>
    <w:rsid w:val="00542A12"/>
    <w:rsid w:val="00542C96"/>
    <w:rsid w:val="00542D7D"/>
    <w:rsid w:val="00543162"/>
    <w:rsid w:val="00543451"/>
    <w:rsid w:val="00543577"/>
    <w:rsid w:val="005436DD"/>
    <w:rsid w:val="00543A13"/>
    <w:rsid w:val="00543A24"/>
    <w:rsid w:val="00543A6E"/>
    <w:rsid w:val="00543CFF"/>
    <w:rsid w:val="00543ED7"/>
    <w:rsid w:val="005445B1"/>
    <w:rsid w:val="005445FE"/>
    <w:rsid w:val="0054464D"/>
    <w:rsid w:val="0054476C"/>
    <w:rsid w:val="00544853"/>
    <w:rsid w:val="00544C51"/>
    <w:rsid w:val="005453D3"/>
    <w:rsid w:val="0054553E"/>
    <w:rsid w:val="005455AE"/>
    <w:rsid w:val="00545DA7"/>
    <w:rsid w:val="00545FB1"/>
    <w:rsid w:val="00546070"/>
    <w:rsid w:val="005460F4"/>
    <w:rsid w:val="005462CD"/>
    <w:rsid w:val="00546304"/>
    <w:rsid w:val="00546656"/>
    <w:rsid w:val="005466E7"/>
    <w:rsid w:val="005468A8"/>
    <w:rsid w:val="00546BF4"/>
    <w:rsid w:val="00546C96"/>
    <w:rsid w:val="00546D8B"/>
    <w:rsid w:val="00547374"/>
    <w:rsid w:val="00547429"/>
    <w:rsid w:val="00547486"/>
    <w:rsid w:val="00547531"/>
    <w:rsid w:val="00547629"/>
    <w:rsid w:val="0054762D"/>
    <w:rsid w:val="00547660"/>
    <w:rsid w:val="0054790A"/>
    <w:rsid w:val="00547BE3"/>
    <w:rsid w:val="00547CA8"/>
    <w:rsid w:val="00547CC6"/>
    <w:rsid w:val="00547D44"/>
    <w:rsid w:val="00547E66"/>
    <w:rsid w:val="00550236"/>
    <w:rsid w:val="0055059F"/>
    <w:rsid w:val="0055072E"/>
    <w:rsid w:val="00550F05"/>
    <w:rsid w:val="0055144F"/>
    <w:rsid w:val="005514CC"/>
    <w:rsid w:val="005518A0"/>
    <w:rsid w:val="00551954"/>
    <w:rsid w:val="00551AAC"/>
    <w:rsid w:val="0055270E"/>
    <w:rsid w:val="00552B50"/>
    <w:rsid w:val="00552FB7"/>
    <w:rsid w:val="005531E1"/>
    <w:rsid w:val="00553781"/>
    <w:rsid w:val="005539F0"/>
    <w:rsid w:val="00553C86"/>
    <w:rsid w:val="00553F6E"/>
    <w:rsid w:val="00553F99"/>
    <w:rsid w:val="005540C9"/>
    <w:rsid w:val="00554496"/>
    <w:rsid w:val="005544F8"/>
    <w:rsid w:val="00554C9E"/>
    <w:rsid w:val="00554F10"/>
    <w:rsid w:val="005556C6"/>
    <w:rsid w:val="00555747"/>
    <w:rsid w:val="00555853"/>
    <w:rsid w:val="005559F5"/>
    <w:rsid w:val="00555BF9"/>
    <w:rsid w:val="00555C1D"/>
    <w:rsid w:val="00555EF9"/>
    <w:rsid w:val="0055610F"/>
    <w:rsid w:val="005561B1"/>
    <w:rsid w:val="00556490"/>
    <w:rsid w:val="00556628"/>
    <w:rsid w:val="00556C0B"/>
    <w:rsid w:val="00556E69"/>
    <w:rsid w:val="0055730B"/>
    <w:rsid w:val="005574A0"/>
    <w:rsid w:val="00557931"/>
    <w:rsid w:val="00557C08"/>
    <w:rsid w:val="00557C0C"/>
    <w:rsid w:val="00557CC0"/>
    <w:rsid w:val="00557CC8"/>
    <w:rsid w:val="00557F53"/>
    <w:rsid w:val="005601CC"/>
    <w:rsid w:val="005607E7"/>
    <w:rsid w:val="00560863"/>
    <w:rsid w:val="00560CE7"/>
    <w:rsid w:val="00560D34"/>
    <w:rsid w:val="00561417"/>
    <w:rsid w:val="005614DB"/>
    <w:rsid w:val="00562072"/>
    <w:rsid w:val="0056237B"/>
    <w:rsid w:val="00563071"/>
    <w:rsid w:val="0056309F"/>
    <w:rsid w:val="00563139"/>
    <w:rsid w:val="00563272"/>
    <w:rsid w:val="00563469"/>
    <w:rsid w:val="00563557"/>
    <w:rsid w:val="005637CE"/>
    <w:rsid w:val="005639EE"/>
    <w:rsid w:val="00563A79"/>
    <w:rsid w:val="00563C1C"/>
    <w:rsid w:val="00563D5A"/>
    <w:rsid w:val="00563D88"/>
    <w:rsid w:val="00563FDC"/>
    <w:rsid w:val="005645C7"/>
    <w:rsid w:val="0056464C"/>
    <w:rsid w:val="005648AC"/>
    <w:rsid w:val="00564E6B"/>
    <w:rsid w:val="00565339"/>
    <w:rsid w:val="005654C9"/>
    <w:rsid w:val="0056555F"/>
    <w:rsid w:val="00565ACF"/>
    <w:rsid w:val="00565CA7"/>
    <w:rsid w:val="00565EE7"/>
    <w:rsid w:val="005661E3"/>
    <w:rsid w:val="0056632A"/>
    <w:rsid w:val="00566573"/>
    <w:rsid w:val="00566A50"/>
    <w:rsid w:val="00566DFE"/>
    <w:rsid w:val="005675A6"/>
    <w:rsid w:val="005675C6"/>
    <w:rsid w:val="0056782D"/>
    <w:rsid w:val="005679BA"/>
    <w:rsid w:val="00567E6E"/>
    <w:rsid w:val="00567F2B"/>
    <w:rsid w:val="00570020"/>
    <w:rsid w:val="005701C2"/>
    <w:rsid w:val="00570318"/>
    <w:rsid w:val="005704F0"/>
    <w:rsid w:val="00570C7E"/>
    <w:rsid w:val="00570D80"/>
    <w:rsid w:val="0057105E"/>
    <w:rsid w:val="00571122"/>
    <w:rsid w:val="00571242"/>
    <w:rsid w:val="0057162B"/>
    <w:rsid w:val="005716D4"/>
    <w:rsid w:val="00571D96"/>
    <w:rsid w:val="00571DBF"/>
    <w:rsid w:val="00571F42"/>
    <w:rsid w:val="005722C7"/>
    <w:rsid w:val="00572550"/>
    <w:rsid w:val="0057292F"/>
    <w:rsid w:val="00572A47"/>
    <w:rsid w:val="00572D62"/>
    <w:rsid w:val="00572D8B"/>
    <w:rsid w:val="00572E69"/>
    <w:rsid w:val="00572EA3"/>
    <w:rsid w:val="00573016"/>
    <w:rsid w:val="0057323D"/>
    <w:rsid w:val="00573475"/>
    <w:rsid w:val="00573B61"/>
    <w:rsid w:val="00573BAC"/>
    <w:rsid w:val="00573E5F"/>
    <w:rsid w:val="00573EA9"/>
    <w:rsid w:val="00573F4E"/>
    <w:rsid w:val="00573F76"/>
    <w:rsid w:val="00574441"/>
    <w:rsid w:val="0057454F"/>
    <w:rsid w:val="00574636"/>
    <w:rsid w:val="00574AB0"/>
    <w:rsid w:val="00574C3C"/>
    <w:rsid w:val="00574C85"/>
    <w:rsid w:val="00575711"/>
    <w:rsid w:val="005757A4"/>
    <w:rsid w:val="00575956"/>
    <w:rsid w:val="00575AF1"/>
    <w:rsid w:val="00575FA3"/>
    <w:rsid w:val="0057611D"/>
    <w:rsid w:val="00576354"/>
    <w:rsid w:val="00576826"/>
    <w:rsid w:val="00576895"/>
    <w:rsid w:val="00576910"/>
    <w:rsid w:val="00576A7D"/>
    <w:rsid w:val="005771E7"/>
    <w:rsid w:val="005774D1"/>
    <w:rsid w:val="00577659"/>
    <w:rsid w:val="005779B1"/>
    <w:rsid w:val="00577B7D"/>
    <w:rsid w:val="005800AF"/>
    <w:rsid w:val="005801FE"/>
    <w:rsid w:val="00580656"/>
    <w:rsid w:val="00580E0C"/>
    <w:rsid w:val="00581010"/>
    <w:rsid w:val="005811FA"/>
    <w:rsid w:val="00581337"/>
    <w:rsid w:val="005816B9"/>
    <w:rsid w:val="005816BC"/>
    <w:rsid w:val="00581858"/>
    <w:rsid w:val="0058195D"/>
    <w:rsid w:val="00581D38"/>
    <w:rsid w:val="00581DB5"/>
    <w:rsid w:val="00581F34"/>
    <w:rsid w:val="0058203B"/>
    <w:rsid w:val="00582346"/>
    <w:rsid w:val="00582646"/>
    <w:rsid w:val="00582764"/>
    <w:rsid w:val="00582769"/>
    <w:rsid w:val="00582805"/>
    <w:rsid w:val="005830D0"/>
    <w:rsid w:val="00583169"/>
    <w:rsid w:val="00583190"/>
    <w:rsid w:val="0058320D"/>
    <w:rsid w:val="0058349D"/>
    <w:rsid w:val="005838F8"/>
    <w:rsid w:val="00583C20"/>
    <w:rsid w:val="00583DA9"/>
    <w:rsid w:val="00583EED"/>
    <w:rsid w:val="00584391"/>
    <w:rsid w:val="00584585"/>
    <w:rsid w:val="00584DDE"/>
    <w:rsid w:val="0058509F"/>
    <w:rsid w:val="005853DA"/>
    <w:rsid w:val="0058555F"/>
    <w:rsid w:val="0058559D"/>
    <w:rsid w:val="00585B3C"/>
    <w:rsid w:val="00585E65"/>
    <w:rsid w:val="00585FB4"/>
    <w:rsid w:val="005864CF"/>
    <w:rsid w:val="00586C8D"/>
    <w:rsid w:val="00586ED6"/>
    <w:rsid w:val="0058705F"/>
    <w:rsid w:val="00587264"/>
    <w:rsid w:val="0058796B"/>
    <w:rsid w:val="00587A4F"/>
    <w:rsid w:val="00587AB0"/>
    <w:rsid w:val="00587BB0"/>
    <w:rsid w:val="00587CCF"/>
    <w:rsid w:val="0059033A"/>
    <w:rsid w:val="0059059B"/>
    <w:rsid w:val="005905D1"/>
    <w:rsid w:val="005905E0"/>
    <w:rsid w:val="005908DD"/>
    <w:rsid w:val="00590D57"/>
    <w:rsid w:val="00590E9F"/>
    <w:rsid w:val="00591818"/>
    <w:rsid w:val="005919C0"/>
    <w:rsid w:val="00591F6E"/>
    <w:rsid w:val="00591F9B"/>
    <w:rsid w:val="00592110"/>
    <w:rsid w:val="00592224"/>
    <w:rsid w:val="005923EC"/>
    <w:rsid w:val="00592801"/>
    <w:rsid w:val="00592CBA"/>
    <w:rsid w:val="005931A3"/>
    <w:rsid w:val="005933C1"/>
    <w:rsid w:val="00593731"/>
    <w:rsid w:val="00593AFE"/>
    <w:rsid w:val="00593C33"/>
    <w:rsid w:val="00593F10"/>
    <w:rsid w:val="005942FC"/>
    <w:rsid w:val="0059435E"/>
    <w:rsid w:val="005948D3"/>
    <w:rsid w:val="00594AA5"/>
    <w:rsid w:val="00594B0B"/>
    <w:rsid w:val="00594BBC"/>
    <w:rsid w:val="00595312"/>
    <w:rsid w:val="005957BD"/>
    <w:rsid w:val="0059589C"/>
    <w:rsid w:val="00595A23"/>
    <w:rsid w:val="00595EC9"/>
    <w:rsid w:val="00596364"/>
    <w:rsid w:val="00596464"/>
    <w:rsid w:val="005969AA"/>
    <w:rsid w:val="00596E06"/>
    <w:rsid w:val="00597045"/>
    <w:rsid w:val="005974A1"/>
    <w:rsid w:val="00597D1D"/>
    <w:rsid w:val="00597D4C"/>
    <w:rsid w:val="00597F7B"/>
    <w:rsid w:val="005A0025"/>
    <w:rsid w:val="005A023F"/>
    <w:rsid w:val="005A08EA"/>
    <w:rsid w:val="005A0B88"/>
    <w:rsid w:val="005A0E39"/>
    <w:rsid w:val="005A0F92"/>
    <w:rsid w:val="005A10C9"/>
    <w:rsid w:val="005A11ED"/>
    <w:rsid w:val="005A1375"/>
    <w:rsid w:val="005A1483"/>
    <w:rsid w:val="005A14B6"/>
    <w:rsid w:val="005A15F0"/>
    <w:rsid w:val="005A178E"/>
    <w:rsid w:val="005A1C99"/>
    <w:rsid w:val="005A1DFE"/>
    <w:rsid w:val="005A2CBF"/>
    <w:rsid w:val="005A3318"/>
    <w:rsid w:val="005A3340"/>
    <w:rsid w:val="005A36A9"/>
    <w:rsid w:val="005A3A7B"/>
    <w:rsid w:val="005A3C94"/>
    <w:rsid w:val="005A3F31"/>
    <w:rsid w:val="005A41B6"/>
    <w:rsid w:val="005A4647"/>
    <w:rsid w:val="005A4D17"/>
    <w:rsid w:val="005A537B"/>
    <w:rsid w:val="005A5553"/>
    <w:rsid w:val="005A5701"/>
    <w:rsid w:val="005A5759"/>
    <w:rsid w:val="005A5C9A"/>
    <w:rsid w:val="005A5E3B"/>
    <w:rsid w:val="005A60A0"/>
    <w:rsid w:val="005A6164"/>
    <w:rsid w:val="005A6943"/>
    <w:rsid w:val="005A6A4A"/>
    <w:rsid w:val="005A6F96"/>
    <w:rsid w:val="005A73AC"/>
    <w:rsid w:val="005A74BA"/>
    <w:rsid w:val="005A7610"/>
    <w:rsid w:val="005A766C"/>
    <w:rsid w:val="005A7678"/>
    <w:rsid w:val="005A77E4"/>
    <w:rsid w:val="005A7BFA"/>
    <w:rsid w:val="005A7C24"/>
    <w:rsid w:val="005A7FD1"/>
    <w:rsid w:val="005B0144"/>
    <w:rsid w:val="005B0508"/>
    <w:rsid w:val="005B0566"/>
    <w:rsid w:val="005B057D"/>
    <w:rsid w:val="005B07BD"/>
    <w:rsid w:val="005B09DA"/>
    <w:rsid w:val="005B0B69"/>
    <w:rsid w:val="005B110A"/>
    <w:rsid w:val="005B1B06"/>
    <w:rsid w:val="005B1B68"/>
    <w:rsid w:val="005B1E57"/>
    <w:rsid w:val="005B1EEB"/>
    <w:rsid w:val="005B2129"/>
    <w:rsid w:val="005B25A9"/>
    <w:rsid w:val="005B26D6"/>
    <w:rsid w:val="005B2968"/>
    <w:rsid w:val="005B2990"/>
    <w:rsid w:val="005B2DE4"/>
    <w:rsid w:val="005B3189"/>
    <w:rsid w:val="005B31E3"/>
    <w:rsid w:val="005B3FDB"/>
    <w:rsid w:val="005B4008"/>
    <w:rsid w:val="005B42EB"/>
    <w:rsid w:val="005B4515"/>
    <w:rsid w:val="005B469C"/>
    <w:rsid w:val="005B488A"/>
    <w:rsid w:val="005B48CD"/>
    <w:rsid w:val="005B4932"/>
    <w:rsid w:val="005B4B35"/>
    <w:rsid w:val="005B4EE2"/>
    <w:rsid w:val="005B5222"/>
    <w:rsid w:val="005B548A"/>
    <w:rsid w:val="005B5731"/>
    <w:rsid w:val="005B5A68"/>
    <w:rsid w:val="005B5E13"/>
    <w:rsid w:val="005B62D5"/>
    <w:rsid w:val="005B6849"/>
    <w:rsid w:val="005B6C06"/>
    <w:rsid w:val="005B6D99"/>
    <w:rsid w:val="005B70EE"/>
    <w:rsid w:val="005B71F5"/>
    <w:rsid w:val="005B7489"/>
    <w:rsid w:val="005B79E3"/>
    <w:rsid w:val="005B7DBB"/>
    <w:rsid w:val="005C0409"/>
    <w:rsid w:val="005C0587"/>
    <w:rsid w:val="005C07A8"/>
    <w:rsid w:val="005C0E0C"/>
    <w:rsid w:val="005C1126"/>
    <w:rsid w:val="005C112F"/>
    <w:rsid w:val="005C193F"/>
    <w:rsid w:val="005C1C27"/>
    <w:rsid w:val="005C1FA8"/>
    <w:rsid w:val="005C1FB8"/>
    <w:rsid w:val="005C2014"/>
    <w:rsid w:val="005C2749"/>
    <w:rsid w:val="005C2955"/>
    <w:rsid w:val="005C2A35"/>
    <w:rsid w:val="005C2CC3"/>
    <w:rsid w:val="005C2D2B"/>
    <w:rsid w:val="005C312A"/>
    <w:rsid w:val="005C3378"/>
    <w:rsid w:val="005C343A"/>
    <w:rsid w:val="005C3863"/>
    <w:rsid w:val="005C396B"/>
    <w:rsid w:val="005C3F34"/>
    <w:rsid w:val="005C3FDB"/>
    <w:rsid w:val="005C46FB"/>
    <w:rsid w:val="005C4C09"/>
    <w:rsid w:val="005C4C98"/>
    <w:rsid w:val="005C506B"/>
    <w:rsid w:val="005C53BC"/>
    <w:rsid w:val="005C54E7"/>
    <w:rsid w:val="005C54E9"/>
    <w:rsid w:val="005C55C4"/>
    <w:rsid w:val="005C55E1"/>
    <w:rsid w:val="005C5751"/>
    <w:rsid w:val="005C5BD1"/>
    <w:rsid w:val="005C5C12"/>
    <w:rsid w:val="005C5F25"/>
    <w:rsid w:val="005C5F2C"/>
    <w:rsid w:val="005C5F5D"/>
    <w:rsid w:val="005C60B1"/>
    <w:rsid w:val="005C621D"/>
    <w:rsid w:val="005C656B"/>
    <w:rsid w:val="005C68D8"/>
    <w:rsid w:val="005C6CCD"/>
    <w:rsid w:val="005C6DAD"/>
    <w:rsid w:val="005C6F64"/>
    <w:rsid w:val="005C71BC"/>
    <w:rsid w:val="005C71FC"/>
    <w:rsid w:val="005C72B4"/>
    <w:rsid w:val="005C734F"/>
    <w:rsid w:val="005C75E1"/>
    <w:rsid w:val="005C7C1A"/>
    <w:rsid w:val="005D060F"/>
    <w:rsid w:val="005D06C7"/>
    <w:rsid w:val="005D0910"/>
    <w:rsid w:val="005D0970"/>
    <w:rsid w:val="005D1014"/>
    <w:rsid w:val="005D1077"/>
    <w:rsid w:val="005D1145"/>
    <w:rsid w:val="005D11EF"/>
    <w:rsid w:val="005D1252"/>
    <w:rsid w:val="005D1313"/>
    <w:rsid w:val="005D132E"/>
    <w:rsid w:val="005D1A79"/>
    <w:rsid w:val="005D1A98"/>
    <w:rsid w:val="005D1B7A"/>
    <w:rsid w:val="005D1B84"/>
    <w:rsid w:val="005D2232"/>
    <w:rsid w:val="005D2496"/>
    <w:rsid w:val="005D2525"/>
    <w:rsid w:val="005D26B6"/>
    <w:rsid w:val="005D2A4D"/>
    <w:rsid w:val="005D2E8F"/>
    <w:rsid w:val="005D30AD"/>
    <w:rsid w:val="005D3301"/>
    <w:rsid w:val="005D36E2"/>
    <w:rsid w:val="005D3FD1"/>
    <w:rsid w:val="005D4053"/>
    <w:rsid w:val="005D4188"/>
    <w:rsid w:val="005D4478"/>
    <w:rsid w:val="005D44D5"/>
    <w:rsid w:val="005D4893"/>
    <w:rsid w:val="005D48D7"/>
    <w:rsid w:val="005D4A5A"/>
    <w:rsid w:val="005D4BBE"/>
    <w:rsid w:val="005D4DDA"/>
    <w:rsid w:val="005D4F94"/>
    <w:rsid w:val="005D5731"/>
    <w:rsid w:val="005D57C0"/>
    <w:rsid w:val="005D5828"/>
    <w:rsid w:val="005D5957"/>
    <w:rsid w:val="005D5B3C"/>
    <w:rsid w:val="005D5BCF"/>
    <w:rsid w:val="005D5F98"/>
    <w:rsid w:val="005D6409"/>
    <w:rsid w:val="005D64E1"/>
    <w:rsid w:val="005D64F4"/>
    <w:rsid w:val="005D688F"/>
    <w:rsid w:val="005D689C"/>
    <w:rsid w:val="005D6BBA"/>
    <w:rsid w:val="005D7056"/>
    <w:rsid w:val="005D712C"/>
    <w:rsid w:val="005D71F3"/>
    <w:rsid w:val="005D73B5"/>
    <w:rsid w:val="005D7644"/>
    <w:rsid w:val="005D7646"/>
    <w:rsid w:val="005D7699"/>
    <w:rsid w:val="005D7BC9"/>
    <w:rsid w:val="005D7C11"/>
    <w:rsid w:val="005D7DB8"/>
    <w:rsid w:val="005E005F"/>
    <w:rsid w:val="005E02E4"/>
    <w:rsid w:val="005E0350"/>
    <w:rsid w:val="005E06D1"/>
    <w:rsid w:val="005E148F"/>
    <w:rsid w:val="005E15F6"/>
    <w:rsid w:val="005E16DE"/>
    <w:rsid w:val="005E19AD"/>
    <w:rsid w:val="005E19AF"/>
    <w:rsid w:val="005E1D39"/>
    <w:rsid w:val="005E1F66"/>
    <w:rsid w:val="005E2261"/>
    <w:rsid w:val="005E230A"/>
    <w:rsid w:val="005E2863"/>
    <w:rsid w:val="005E2D34"/>
    <w:rsid w:val="005E2DD5"/>
    <w:rsid w:val="005E30AB"/>
    <w:rsid w:val="005E3537"/>
    <w:rsid w:val="005E355F"/>
    <w:rsid w:val="005E36E1"/>
    <w:rsid w:val="005E371D"/>
    <w:rsid w:val="005E3787"/>
    <w:rsid w:val="005E3C5A"/>
    <w:rsid w:val="005E45FC"/>
    <w:rsid w:val="005E46BE"/>
    <w:rsid w:val="005E4857"/>
    <w:rsid w:val="005E493E"/>
    <w:rsid w:val="005E4A7D"/>
    <w:rsid w:val="005E4A8B"/>
    <w:rsid w:val="005E4B5F"/>
    <w:rsid w:val="005E4E17"/>
    <w:rsid w:val="005E4E56"/>
    <w:rsid w:val="005E51E7"/>
    <w:rsid w:val="005E5399"/>
    <w:rsid w:val="005E5BC9"/>
    <w:rsid w:val="005E601A"/>
    <w:rsid w:val="005E6635"/>
    <w:rsid w:val="005E675A"/>
    <w:rsid w:val="005E6DA2"/>
    <w:rsid w:val="005E6EBB"/>
    <w:rsid w:val="005E71EB"/>
    <w:rsid w:val="005E7A42"/>
    <w:rsid w:val="005E7DD7"/>
    <w:rsid w:val="005F0188"/>
    <w:rsid w:val="005F0759"/>
    <w:rsid w:val="005F095B"/>
    <w:rsid w:val="005F098F"/>
    <w:rsid w:val="005F0A50"/>
    <w:rsid w:val="005F0CCF"/>
    <w:rsid w:val="005F0EE9"/>
    <w:rsid w:val="005F106A"/>
    <w:rsid w:val="005F108C"/>
    <w:rsid w:val="005F1784"/>
    <w:rsid w:val="005F1862"/>
    <w:rsid w:val="005F191C"/>
    <w:rsid w:val="005F1A18"/>
    <w:rsid w:val="005F1ADE"/>
    <w:rsid w:val="005F1EA5"/>
    <w:rsid w:val="005F24DF"/>
    <w:rsid w:val="005F24EB"/>
    <w:rsid w:val="005F2942"/>
    <w:rsid w:val="005F29EE"/>
    <w:rsid w:val="005F2BB0"/>
    <w:rsid w:val="005F30A7"/>
    <w:rsid w:val="005F35D0"/>
    <w:rsid w:val="005F36FB"/>
    <w:rsid w:val="005F3F16"/>
    <w:rsid w:val="005F4065"/>
    <w:rsid w:val="005F4825"/>
    <w:rsid w:val="005F4885"/>
    <w:rsid w:val="005F4AA8"/>
    <w:rsid w:val="005F4C1D"/>
    <w:rsid w:val="005F4E22"/>
    <w:rsid w:val="005F4E3A"/>
    <w:rsid w:val="005F508E"/>
    <w:rsid w:val="005F51CE"/>
    <w:rsid w:val="005F5450"/>
    <w:rsid w:val="005F5559"/>
    <w:rsid w:val="005F57E6"/>
    <w:rsid w:val="005F5915"/>
    <w:rsid w:val="005F59C3"/>
    <w:rsid w:val="005F59EC"/>
    <w:rsid w:val="005F5D0B"/>
    <w:rsid w:val="005F5E88"/>
    <w:rsid w:val="005F5EA8"/>
    <w:rsid w:val="005F62C8"/>
    <w:rsid w:val="005F690F"/>
    <w:rsid w:val="005F6B06"/>
    <w:rsid w:val="005F6DC4"/>
    <w:rsid w:val="005F7279"/>
    <w:rsid w:val="005F730E"/>
    <w:rsid w:val="005F7821"/>
    <w:rsid w:val="005F7A00"/>
    <w:rsid w:val="005F7C4B"/>
    <w:rsid w:val="005F7CCD"/>
    <w:rsid w:val="006000E4"/>
    <w:rsid w:val="0060014F"/>
    <w:rsid w:val="006001D0"/>
    <w:rsid w:val="00600291"/>
    <w:rsid w:val="00600636"/>
    <w:rsid w:val="00600895"/>
    <w:rsid w:val="00600913"/>
    <w:rsid w:val="00600959"/>
    <w:rsid w:val="00600AC7"/>
    <w:rsid w:val="00600CDA"/>
    <w:rsid w:val="00600D05"/>
    <w:rsid w:val="00600D91"/>
    <w:rsid w:val="00601018"/>
    <w:rsid w:val="006014B9"/>
    <w:rsid w:val="00601954"/>
    <w:rsid w:val="00601BD6"/>
    <w:rsid w:val="00601C56"/>
    <w:rsid w:val="00601CD4"/>
    <w:rsid w:val="00601E0F"/>
    <w:rsid w:val="006022CC"/>
    <w:rsid w:val="0060265A"/>
    <w:rsid w:val="00602A02"/>
    <w:rsid w:val="00602BAC"/>
    <w:rsid w:val="00602C3C"/>
    <w:rsid w:val="0060337D"/>
    <w:rsid w:val="006033D1"/>
    <w:rsid w:val="0060350B"/>
    <w:rsid w:val="0060367A"/>
    <w:rsid w:val="00603728"/>
    <w:rsid w:val="006038A7"/>
    <w:rsid w:val="006039A3"/>
    <w:rsid w:val="00603C58"/>
    <w:rsid w:val="00603C72"/>
    <w:rsid w:val="00603C8A"/>
    <w:rsid w:val="00603CEC"/>
    <w:rsid w:val="00604488"/>
    <w:rsid w:val="0060458B"/>
    <w:rsid w:val="0060485B"/>
    <w:rsid w:val="0060494A"/>
    <w:rsid w:val="00604A07"/>
    <w:rsid w:val="00604AE2"/>
    <w:rsid w:val="00604B99"/>
    <w:rsid w:val="00604C2B"/>
    <w:rsid w:val="00605103"/>
    <w:rsid w:val="00605831"/>
    <w:rsid w:val="006060DB"/>
    <w:rsid w:val="00606366"/>
    <w:rsid w:val="0060684F"/>
    <w:rsid w:val="00606892"/>
    <w:rsid w:val="00606941"/>
    <w:rsid w:val="00607015"/>
    <w:rsid w:val="00607291"/>
    <w:rsid w:val="006073FC"/>
    <w:rsid w:val="0060788F"/>
    <w:rsid w:val="00607A72"/>
    <w:rsid w:val="00607B4B"/>
    <w:rsid w:val="00607B86"/>
    <w:rsid w:val="00607EFD"/>
    <w:rsid w:val="006101F0"/>
    <w:rsid w:val="0061043C"/>
    <w:rsid w:val="006106BD"/>
    <w:rsid w:val="0061099F"/>
    <w:rsid w:val="00610B4E"/>
    <w:rsid w:val="00610C0E"/>
    <w:rsid w:val="00610C29"/>
    <w:rsid w:val="00610D3C"/>
    <w:rsid w:val="006115EB"/>
    <w:rsid w:val="00611909"/>
    <w:rsid w:val="00611920"/>
    <w:rsid w:val="00611D83"/>
    <w:rsid w:val="00611FCD"/>
    <w:rsid w:val="00612BC0"/>
    <w:rsid w:val="00612C6B"/>
    <w:rsid w:val="00613211"/>
    <w:rsid w:val="006133E6"/>
    <w:rsid w:val="006137C7"/>
    <w:rsid w:val="00613926"/>
    <w:rsid w:val="00613E8C"/>
    <w:rsid w:val="00614442"/>
    <w:rsid w:val="0061454D"/>
    <w:rsid w:val="00614782"/>
    <w:rsid w:val="00614ABD"/>
    <w:rsid w:val="00614BDC"/>
    <w:rsid w:val="00614C23"/>
    <w:rsid w:val="00614CAA"/>
    <w:rsid w:val="00614E13"/>
    <w:rsid w:val="00615390"/>
    <w:rsid w:val="0061551E"/>
    <w:rsid w:val="00616178"/>
    <w:rsid w:val="0061640F"/>
    <w:rsid w:val="006166A7"/>
    <w:rsid w:val="006166D3"/>
    <w:rsid w:val="006169B4"/>
    <w:rsid w:val="00617022"/>
    <w:rsid w:val="00617183"/>
    <w:rsid w:val="0061731F"/>
    <w:rsid w:val="00617366"/>
    <w:rsid w:val="006174DB"/>
    <w:rsid w:val="00617671"/>
    <w:rsid w:val="00617726"/>
    <w:rsid w:val="006177F6"/>
    <w:rsid w:val="00617A2A"/>
    <w:rsid w:val="00617CE5"/>
    <w:rsid w:val="00617EFF"/>
    <w:rsid w:val="00620233"/>
    <w:rsid w:val="006202FD"/>
    <w:rsid w:val="006203BA"/>
    <w:rsid w:val="00620899"/>
    <w:rsid w:val="00620BE8"/>
    <w:rsid w:val="00620E26"/>
    <w:rsid w:val="00620E54"/>
    <w:rsid w:val="00620EE5"/>
    <w:rsid w:val="00621257"/>
    <w:rsid w:val="0062130B"/>
    <w:rsid w:val="0062160C"/>
    <w:rsid w:val="006217A7"/>
    <w:rsid w:val="00621835"/>
    <w:rsid w:val="006218A7"/>
    <w:rsid w:val="00621C3A"/>
    <w:rsid w:val="00622700"/>
    <w:rsid w:val="00622D1B"/>
    <w:rsid w:val="00622ED6"/>
    <w:rsid w:val="006234BD"/>
    <w:rsid w:val="00623584"/>
    <w:rsid w:val="00623676"/>
    <w:rsid w:val="00623B19"/>
    <w:rsid w:val="00623D6B"/>
    <w:rsid w:val="00623E20"/>
    <w:rsid w:val="006246D7"/>
    <w:rsid w:val="00624B0B"/>
    <w:rsid w:val="00624BEC"/>
    <w:rsid w:val="00624DFE"/>
    <w:rsid w:val="00624E09"/>
    <w:rsid w:val="00625144"/>
    <w:rsid w:val="00625608"/>
    <w:rsid w:val="00625693"/>
    <w:rsid w:val="0062588E"/>
    <w:rsid w:val="00625B62"/>
    <w:rsid w:val="00625CD3"/>
    <w:rsid w:val="00626001"/>
    <w:rsid w:val="0062644B"/>
    <w:rsid w:val="0062698B"/>
    <w:rsid w:val="00626B95"/>
    <w:rsid w:val="00626C53"/>
    <w:rsid w:val="00626CC5"/>
    <w:rsid w:val="006272BF"/>
    <w:rsid w:val="00627403"/>
    <w:rsid w:val="00627662"/>
    <w:rsid w:val="00627936"/>
    <w:rsid w:val="00627DCC"/>
    <w:rsid w:val="00627F0A"/>
    <w:rsid w:val="00630122"/>
    <w:rsid w:val="00630129"/>
    <w:rsid w:val="00630242"/>
    <w:rsid w:val="00630289"/>
    <w:rsid w:val="006305B6"/>
    <w:rsid w:val="00630ABA"/>
    <w:rsid w:val="006312AC"/>
    <w:rsid w:val="006316EC"/>
    <w:rsid w:val="006318DC"/>
    <w:rsid w:val="00631F9F"/>
    <w:rsid w:val="00632187"/>
    <w:rsid w:val="006321A3"/>
    <w:rsid w:val="00632261"/>
    <w:rsid w:val="006325F8"/>
    <w:rsid w:val="00632785"/>
    <w:rsid w:val="00633101"/>
    <w:rsid w:val="0063317A"/>
    <w:rsid w:val="00633302"/>
    <w:rsid w:val="0063331B"/>
    <w:rsid w:val="00633463"/>
    <w:rsid w:val="00633C81"/>
    <w:rsid w:val="006344FA"/>
    <w:rsid w:val="00634765"/>
    <w:rsid w:val="00634A85"/>
    <w:rsid w:val="00634D42"/>
    <w:rsid w:val="006353F1"/>
    <w:rsid w:val="0063556B"/>
    <w:rsid w:val="0063590C"/>
    <w:rsid w:val="00635ACA"/>
    <w:rsid w:val="00635B21"/>
    <w:rsid w:val="00635C6A"/>
    <w:rsid w:val="00635E3F"/>
    <w:rsid w:val="00636140"/>
    <w:rsid w:val="0063658E"/>
    <w:rsid w:val="00636802"/>
    <w:rsid w:val="0063691E"/>
    <w:rsid w:val="00636B8B"/>
    <w:rsid w:val="00636BAF"/>
    <w:rsid w:val="00636D7F"/>
    <w:rsid w:val="006377B6"/>
    <w:rsid w:val="006379AD"/>
    <w:rsid w:val="00637D45"/>
    <w:rsid w:val="00637FAC"/>
    <w:rsid w:val="006404E3"/>
    <w:rsid w:val="00640DAB"/>
    <w:rsid w:val="0064106B"/>
    <w:rsid w:val="006417B1"/>
    <w:rsid w:val="00641FBB"/>
    <w:rsid w:val="00642219"/>
    <w:rsid w:val="00642256"/>
    <w:rsid w:val="006423FD"/>
    <w:rsid w:val="00642D0C"/>
    <w:rsid w:val="00642DF1"/>
    <w:rsid w:val="006430A2"/>
    <w:rsid w:val="00643520"/>
    <w:rsid w:val="00643D43"/>
    <w:rsid w:val="006443FC"/>
    <w:rsid w:val="006446F6"/>
    <w:rsid w:val="006448AE"/>
    <w:rsid w:val="006448B6"/>
    <w:rsid w:val="00644CE0"/>
    <w:rsid w:val="00644E81"/>
    <w:rsid w:val="00644F5A"/>
    <w:rsid w:val="00645811"/>
    <w:rsid w:val="006458F4"/>
    <w:rsid w:val="00646836"/>
    <w:rsid w:val="00646914"/>
    <w:rsid w:val="00646DF3"/>
    <w:rsid w:val="00646FBB"/>
    <w:rsid w:val="006472BD"/>
    <w:rsid w:val="00647448"/>
    <w:rsid w:val="00647558"/>
    <w:rsid w:val="0064782C"/>
    <w:rsid w:val="00647DF2"/>
    <w:rsid w:val="00647ED2"/>
    <w:rsid w:val="0065006D"/>
    <w:rsid w:val="0065044A"/>
    <w:rsid w:val="00650A10"/>
    <w:rsid w:val="00650AE3"/>
    <w:rsid w:val="00650CB5"/>
    <w:rsid w:val="00651564"/>
    <w:rsid w:val="0065175B"/>
    <w:rsid w:val="00651773"/>
    <w:rsid w:val="006519D5"/>
    <w:rsid w:val="00651D79"/>
    <w:rsid w:val="00652056"/>
    <w:rsid w:val="00652520"/>
    <w:rsid w:val="006527BB"/>
    <w:rsid w:val="00652B29"/>
    <w:rsid w:val="00652C6C"/>
    <w:rsid w:val="006536B1"/>
    <w:rsid w:val="00653718"/>
    <w:rsid w:val="00653BA1"/>
    <w:rsid w:val="00653F80"/>
    <w:rsid w:val="00653FA3"/>
    <w:rsid w:val="00653FF2"/>
    <w:rsid w:val="00654083"/>
    <w:rsid w:val="006540C3"/>
    <w:rsid w:val="00654534"/>
    <w:rsid w:val="0065453A"/>
    <w:rsid w:val="00654954"/>
    <w:rsid w:val="00654AA3"/>
    <w:rsid w:val="00654B25"/>
    <w:rsid w:val="00654BC4"/>
    <w:rsid w:val="00654E13"/>
    <w:rsid w:val="00654EE1"/>
    <w:rsid w:val="006552BA"/>
    <w:rsid w:val="00655370"/>
    <w:rsid w:val="006556B5"/>
    <w:rsid w:val="00655C54"/>
    <w:rsid w:val="00655CA1"/>
    <w:rsid w:val="00655CE8"/>
    <w:rsid w:val="00655E22"/>
    <w:rsid w:val="00655E93"/>
    <w:rsid w:val="00655F70"/>
    <w:rsid w:val="0065632D"/>
    <w:rsid w:val="006563EC"/>
    <w:rsid w:val="00656714"/>
    <w:rsid w:val="0065696F"/>
    <w:rsid w:val="006569B7"/>
    <w:rsid w:val="006570B9"/>
    <w:rsid w:val="006571B6"/>
    <w:rsid w:val="0065764C"/>
    <w:rsid w:val="0065780E"/>
    <w:rsid w:val="0065794F"/>
    <w:rsid w:val="00660477"/>
    <w:rsid w:val="0066087F"/>
    <w:rsid w:val="006608F9"/>
    <w:rsid w:val="00660BD3"/>
    <w:rsid w:val="00661005"/>
    <w:rsid w:val="006612EB"/>
    <w:rsid w:val="0066164E"/>
    <w:rsid w:val="00661663"/>
    <w:rsid w:val="0066198F"/>
    <w:rsid w:val="006619D1"/>
    <w:rsid w:val="00661D5B"/>
    <w:rsid w:val="00661FBD"/>
    <w:rsid w:val="0066241F"/>
    <w:rsid w:val="006629BE"/>
    <w:rsid w:val="00662CB0"/>
    <w:rsid w:val="00662CEB"/>
    <w:rsid w:val="006630CF"/>
    <w:rsid w:val="0066334A"/>
    <w:rsid w:val="006634A5"/>
    <w:rsid w:val="00663612"/>
    <w:rsid w:val="00663C65"/>
    <w:rsid w:val="00663FB4"/>
    <w:rsid w:val="00664035"/>
    <w:rsid w:val="00664229"/>
    <w:rsid w:val="00664A6E"/>
    <w:rsid w:val="00664D05"/>
    <w:rsid w:val="00664F1A"/>
    <w:rsid w:val="006652E6"/>
    <w:rsid w:val="006653E3"/>
    <w:rsid w:val="006655F5"/>
    <w:rsid w:val="00665662"/>
    <w:rsid w:val="00665995"/>
    <w:rsid w:val="00665A05"/>
    <w:rsid w:val="00665EDD"/>
    <w:rsid w:val="0066612C"/>
    <w:rsid w:val="0066621A"/>
    <w:rsid w:val="00666490"/>
    <w:rsid w:val="00666576"/>
    <w:rsid w:val="0066677D"/>
    <w:rsid w:val="006668E9"/>
    <w:rsid w:val="00666974"/>
    <w:rsid w:val="00666D84"/>
    <w:rsid w:val="00666D8F"/>
    <w:rsid w:val="00666DAA"/>
    <w:rsid w:val="006670F1"/>
    <w:rsid w:val="006672AD"/>
    <w:rsid w:val="00667485"/>
    <w:rsid w:val="006675E5"/>
    <w:rsid w:val="00667837"/>
    <w:rsid w:val="00667AEF"/>
    <w:rsid w:val="00667B96"/>
    <w:rsid w:val="00667CC3"/>
    <w:rsid w:val="00667D0E"/>
    <w:rsid w:val="00667E02"/>
    <w:rsid w:val="00670338"/>
    <w:rsid w:val="00670787"/>
    <w:rsid w:val="00670B97"/>
    <w:rsid w:val="00670CFF"/>
    <w:rsid w:val="006710B7"/>
    <w:rsid w:val="006710F8"/>
    <w:rsid w:val="00671281"/>
    <w:rsid w:val="0067157A"/>
    <w:rsid w:val="00671A8E"/>
    <w:rsid w:val="00671B79"/>
    <w:rsid w:val="00671B8A"/>
    <w:rsid w:val="0067206D"/>
    <w:rsid w:val="006722B8"/>
    <w:rsid w:val="00672397"/>
    <w:rsid w:val="00672975"/>
    <w:rsid w:val="00672B02"/>
    <w:rsid w:val="00673203"/>
    <w:rsid w:val="00673AA4"/>
    <w:rsid w:val="00673B4E"/>
    <w:rsid w:val="00673C33"/>
    <w:rsid w:val="00673E27"/>
    <w:rsid w:val="00673EDA"/>
    <w:rsid w:val="00674272"/>
    <w:rsid w:val="006744F2"/>
    <w:rsid w:val="006746DD"/>
    <w:rsid w:val="006748BB"/>
    <w:rsid w:val="00674A7F"/>
    <w:rsid w:val="00674C13"/>
    <w:rsid w:val="00674C87"/>
    <w:rsid w:val="00674E3E"/>
    <w:rsid w:val="006750E1"/>
    <w:rsid w:val="006756C6"/>
    <w:rsid w:val="00675852"/>
    <w:rsid w:val="00675943"/>
    <w:rsid w:val="00675A6F"/>
    <w:rsid w:val="00676067"/>
    <w:rsid w:val="00676A30"/>
    <w:rsid w:val="00676ACF"/>
    <w:rsid w:val="00676B77"/>
    <w:rsid w:val="00676E00"/>
    <w:rsid w:val="00676F19"/>
    <w:rsid w:val="006770AC"/>
    <w:rsid w:val="00677365"/>
    <w:rsid w:val="00677B9D"/>
    <w:rsid w:val="00677E0B"/>
    <w:rsid w:val="00680252"/>
    <w:rsid w:val="00680393"/>
    <w:rsid w:val="00680918"/>
    <w:rsid w:val="00680FBC"/>
    <w:rsid w:val="00681185"/>
    <w:rsid w:val="00681794"/>
    <w:rsid w:val="006817BA"/>
    <w:rsid w:val="00681971"/>
    <w:rsid w:val="006819D4"/>
    <w:rsid w:val="00681CD5"/>
    <w:rsid w:val="00681DFE"/>
    <w:rsid w:val="00681EF8"/>
    <w:rsid w:val="00681F10"/>
    <w:rsid w:val="00682035"/>
    <w:rsid w:val="006821EA"/>
    <w:rsid w:val="0068227A"/>
    <w:rsid w:val="006830A3"/>
    <w:rsid w:val="00683452"/>
    <w:rsid w:val="00683482"/>
    <w:rsid w:val="006836FC"/>
    <w:rsid w:val="00683793"/>
    <w:rsid w:val="00683AF3"/>
    <w:rsid w:val="0068400B"/>
    <w:rsid w:val="0068411F"/>
    <w:rsid w:val="006842A8"/>
    <w:rsid w:val="00684318"/>
    <w:rsid w:val="0068437D"/>
    <w:rsid w:val="006849BB"/>
    <w:rsid w:val="00684A0F"/>
    <w:rsid w:val="00684FBF"/>
    <w:rsid w:val="006851DD"/>
    <w:rsid w:val="00685288"/>
    <w:rsid w:val="00685858"/>
    <w:rsid w:val="00685950"/>
    <w:rsid w:val="00685BF8"/>
    <w:rsid w:val="00685CC7"/>
    <w:rsid w:val="0068616E"/>
    <w:rsid w:val="006862A6"/>
    <w:rsid w:val="0068651E"/>
    <w:rsid w:val="00686A19"/>
    <w:rsid w:val="006871B1"/>
    <w:rsid w:val="00687942"/>
    <w:rsid w:val="00687C22"/>
    <w:rsid w:val="00687C3D"/>
    <w:rsid w:val="00690105"/>
    <w:rsid w:val="0069022B"/>
    <w:rsid w:val="00690365"/>
    <w:rsid w:val="00690755"/>
    <w:rsid w:val="00690829"/>
    <w:rsid w:val="00690DF3"/>
    <w:rsid w:val="006912B3"/>
    <w:rsid w:val="006914D2"/>
    <w:rsid w:val="00691523"/>
    <w:rsid w:val="00691A16"/>
    <w:rsid w:val="00691B02"/>
    <w:rsid w:val="00691C36"/>
    <w:rsid w:val="00691D58"/>
    <w:rsid w:val="00691D7A"/>
    <w:rsid w:val="00691F2D"/>
    <w:rsid w:val="00692183"/>
    <w:rsid w:val="006926CA"/>
    <w:rsid w:val="0069278C"/>
    <w:rsid w:val="00692F07"/>
    <w:rsid w:val="00693314"/>
    <w:rsid w:val="00693594"/>
    <w:rsid w:val="00693982"/>
    <w:rsid w:val="006939EC"/>
    <w:rsid w:val="00693C50"/>
    <w:rsid w:val="00693D04"/>
    <w:rsid w:val="00693E33"/>
    <w:rsid w:val="00693E86"/>
    <w:rsid w:val="0069402A"/>
    <w:rsid w:val="00694386"/>
    <w:rsid w:val="0069458F"/>
    <w:rsid w:val="00694804"/>
    <w:rsid w:val="00694EC6"/>
    <w:rsid w:val="00694F8F"/>
    <w:rsid w:val="0069517B"/>
    <w:rsid w:val="00695181"/>
    <w:rsid w:val="00695937"/>
    <w:rsid w:val="0069597C"/>
    <w:rsid w:val="00695994"/>
    <w:rsid w:val="00695D95"/>
    <w:rsid w:val="006960B9"/>
    <w:rsid w:val="00696258"/>
    <w:rsid w:val="00696326"/>
    <w:rsid w:val="00696736"/>
    <w:rsid w:val="006970D5"/>
    <w:rsid w:val="00697118"/>
    <w:rsid w:val="0069739D"/>
    <w:rsid w:val="0069768B"/>
    <w:rsid w:val="0069772F"/>
    <w:rsid w:val="00697CDE"/>
    <w:rsid w:val="006A0293"/>
    <w:rsid w:val="006A0560"/>
    <w:rsid w:val="006A06C6"/>
    <w:rsid w:val="006A08C1"/>
    <w:rsid w:val="006A0BE2"/>
    <w:rsid w:val="006A0D51"/>
    <w:rsid w:val="006A0DCB"/>
    <w:rsid w:val="006A1186"/>
    <w:rsid w:val="006A1E83"/>
    <w:rsid w:val="006A1EE1"/>
    <w:rsid w:val="006A1F2C"/>
    <w:rsid w:val="006A1F71"/>
    <w:rsid w:val="006A2159"/>
    <w:rsid w:val="006A249B"/>
    <w:rsid w:val="006A2C28"/>
    <w:rsid w:val="006A2DE9"/>
    <w:rsid w:val="006A354E"/>
    <w:rsid w:val="006A3795"/>
    <w:rsid w:val="006A3897"/>
    <w:rsid w:val="006A38F6"/>
    <w:rsid w:val="006A4211"/>
    <w:rsid w:val="006A4561"/>
    <w:rsid w:val="006A4AE2"/>
    <w:rsid w:val="006A4D8A"/>
    <w:rsid w:val="006A4D99"/>
    <w:rsid w:val="006A4F99"/>
    <w:rsid w:val="006A5014"/>
    <w:rsid w:val="006A50C8"/>
    <w:rsid w:val="006A5265"/>
    <w:rsid w:val="006A569A"/>
    <w:rsid w:val="006A5EE5"/>
    <w:rsid w:val="006A625E"/>
    <w:rsid w:val="006A64A9"/>
    <w:rsid w:val="006A661F"/>
    <w:rsid w:val="006A6AF9"/>
    <w:rsid w:val="006A6B52"/>
    <w:rsid w:val="006A7218"/>
    <w:rsid w:val="006A724B"/>
    <w:rsid w:val="006A7AD0"/>
    <w:rsid w:val="006A7B33"/>
    <w:rsid w:val="006A7D66"/>
    <w:rsid w:val="006A7DFF"/>
    <w:rsid w:val="006B0384"/>
    <w:rsid w:val="006B0469"/>
    <w:rsid w:val="006B08D8"/>
    <w:rsid w:val="006B0925"/>
    <w:rsid w:val="006B0973"/>
    <w:rsid w:val="006B1231"/>
    <w:rsid w:val="006B1AD4"/>
    <w:rsid w:val="006B1C0B"/>
    <w:rsid w:val="006B1C87"/>
    <w:rsid w:val="006B21AA"/>
    <w:rsid w:val="006B23AB"/>
    <w:rsid w:val="006B24E1"/>
    <w:rsid w:val="006B277A"/>
    <w:rsid w:val="006B27FD"/>
    <w:rsid w:val="006B2C28"/>
    <w:rsid w:val="006B311C"/>
    <w:rsid w:val="006B32C9"/>
    <w:rsid w:val="006B34BE"/>
    <w:rsid w:val="006B38A8"/>
    <w:rsid w:val="006B3B09"/>
    <w:rsid w:val="006B3F25"/>
    <w:rsid w:val="006B3F5D"/>
    <w:rsid w:val="006B40B0"/>
    <w:rsid w:val="006B445E"/>
    <w:rsid w:val="006B4785"/>
    <w:rsid w:val="006B4949"/>
    <w:rsid w:val="006B4C57"/>
    <w:rsid w:val="006B4E1E"/>
    <w:rsid w:val="006B52D9"/>
    <w:rsid w:val="006B556C"/>
    <w:rsid w:val="006B5662"/>
    <w:rsid w:val="006B56EC"/>
    <w:rsid w:val="006B5722"/>
    <w:rsid w:val="006B5A06"/>
    <w:rsid w:val="006B5ADB"/>
    <w:rsid w:val="006B5DCE"/>
    <w:rsid w:val="006B6588"/>
    <w:rsid w:val="006B69D2"/>
    <w:rsid w:val="006B6B5B"/>
    <w:rsid w:val="006B6CB4"/>
    <w:rsid w:val="006B73B9"/>
    <w:rsid w:val="006B741B"/>
    <w:rsid w:val="006B7642"/>
    <w:rsid w:val="006B7EFE"/>
    <w:rsid w:val="006C0522"/>
    <w:rsid w:val="006C06D7"/>
    <w:rsid w:val="006C0CF3"/>
    <w:rsid w:val="006C0D7B"/>
    <w:rsid w:val="006C0DBD"/>
    <w:rsid w:val="006C1014"/>
    <w:rsid w:val="006C1021"/>
    <w:rsid w:val="006C13C3"/>
    <w:rsid w:val="006C13CB"/>
    <w:rsid w:val="006C145B"/>
    <w:rsid w:val="006C167A"/>
    <w:rsid w:val="006C1A1F"/>
    <w:rsid w:val="006C25F1"/>
    <w:rsid w:val="006C2626"/>
    <w:rsid w:val="006C2966"/>
    <w:rsid w:val="006C2C29"/>
    <w:rsid w:val="006C2E0A"/>
    <w:rsid w:val="006C2EF3"/>
    <w:rsid w:val="006C355C"/>
    <w:rsid w:val="006C3918"/>
    <w:rsid w:val="006C3E91"/>
    <w:rsid w:val="006C421F"/>
    <w:rsid w:val="006C44CD"/>
    <w:rsid w:val="006C47FC"/>
    <w:rsid w:val="006C4FD2"/>
    <w:rsid w:val="006C5448"/>
    <w:rsid w:val="006C567D"/>
    <w:rsid w:val="006C56B8"/>
    <w:rsid w:val="006C5828"/>
    <w:rsid w:val="006C599F"/>
    <w:rsid w:val="006C5A94"/>
    <w:rsid w:val="006C63FD"/>
    <w:rsid w:val="006C6FE4"/>
    <w:rsid w:val="006C742F"/>
    <w:rsid w:val="006C746C"/>
    <w:rsid w:val="006C758D"/>
    <w:rsid w:val="006C7693"/>
    <w:rsid w:val="006C7BC0"/>
    <w:rsid w:val="006C7CAB"/>
    <w:rsid w:val="006D02F3"/>
    <w:rsid w:val="006D0648"/>
    <w:rsid w:val="006D0DAD"/>
    <w:rsid w:val="006D0DB2"/>
    <w:rsid w:val="006D103A"/>
    <w:rsid w:val="006D1DE1"/>
    <w:rsid w:val="006D2317"/>
    <w:rsid w:val="006D266D"/>
    <w:rsid w:val="006D2C7E"/>
    <w:rsid w:val="006D2E0D"/>
    <w:rsid w:val="006D2E14"/>
    <w:rsid w:val="006D2F68"/>
    <w:rsid w:val="006D31EC"/>
    <w:rsid w:val="006D32CD"/>
    <w:rsid w:val="006D367A"/>
    <w:rsid w:val="006D3749"/>
    <w:rsid w:val="006D37B0"/>
    <w:rsid w:val="006D3A92"/>
    <w:rsid w:val="006D3E24"/>
    <w:rsid w:val="006D4551"/>
    <w:rsid w:val="006D489D"/>
    <w:rsid w:val="006D4AE0"/>
    <w:rsid w:val="006D4BE0"/>
    <w:rsid w:val="006D4D7F"/>
    <w:rsid w:val="006D4DF3"/>
    <w:rsid w:val="006D4FD3"/>
    <w:rsid w:val="006D51B1"/>
    <w:rsid w:val="006D5A15"/>
    <w:rsid w:val="006D5A97"/>
    <w:rsid w:val="006D5D6C"/>
    <w:rsid w:val="006D5D7E"/>
    <w:rsid w:val="006D5FF2"/>
    <w:rsid w:val="006D6048"/>
    <w:rsid w:val="006D61A2"/>
    <w:rsid w:val="006D65CA"/>
    <w:rsid w:val="006D66C8"/>
    <w:rsid w:val="006D6C3A"/>
    <w:rsid w:val="006D6F55"/>
    <w:rsid w:val="006D6F58"/>
    <w:rsid w:val="006D72A5"/>
    <w:rsid w:val="006D73BB"/>
    <w:rsid w:val="006D76B9"/>
    <w:rsid w:val="006D7870"/>
    <w:rsid w:val="006D7FD1"/>
    <w:rsid w:val="006E0448"/>
    <w:rsid w:val="006E06EE"/>
    <w:rsid w:val="006E09DE"/>
    <w:rsid w:val="006E0CC6"/>
    <w:rsid w:val="006E0E9C"/>
    <w:rsid w:val="006E0F08"/>
    <w:rsid w:val="006E117D"/>
    <w:rsid w:val="006E12B0"/>
    <w:rsid w:val="006E1377"/>
    <w:rsid w:val="006E143C"/>
    <w:rsid w:val="006E145D"/>
    <w:rsid w:val="006E1582"/>
    <w:rsid w:val="006E165D"/>
    <w:rsid w:val="006E174E"/>
    <w:rsid w:val="006E189A"/>
    <w:rsid w:val="006E1938"/>
    <w:rsid w:val="006E1970"/>
    <w:rsid w:val="006E1B20"/>
    <w:rsid w:val="006E1D21"/>
    <w:rsid w:val="006E1DDE"/>
    <w:rsid w:val="006E2136"/>
    <w:rsid w:val="006E2191"/>
    <w:rsid w:val="006E2329"/>
    <w:rsid w:val="006E24B2"/>
    <w:rsid w:val="006E2816"/>
    <w:rsid w:val="006E282A"/>
    <w:rsid w:val="006E2A26"/>
    <w:rsid w:val="006E2AF2"/>
    <w:rsid w:val="006E2AF5"/>
    <w:rsid w:val="006E2EA8"/>
    <w:rsid w:val="006E3280"/>
    <w:rsid w:val="006E33DF"/>
    <w:rsid w:val="006E39FC"/>
    <w:rsid w:val="006E42FD"/>
    <w:rsid w:val="006E432A"/>
    <w:rsid w:val="006E44D9"/>
    <w:rsid w:val="006E47C7"/>
    <w:rsid w:val="006E4C13"/>
    <w:rsid w:val="006E4F7F"/>
    <w:rsid w:val="006E4FC2"/>
    <w:rsid w:val="006E50A3"/>
    <w:rsid w:val="006E532D"/>
    <w:rsid w:val="006E53B4"/>
    <w:rsid w:val="006E53F3"/>
    <w:rsid w:val="006E5E48"/>
    <w:rsid w:val="006E6220"/>
    <w:rsid w:val="006E62EB"/>
    <w:rsid w:val="006E64C8"/>
    <w:rsid w:val="006E6529"/>
    <w:rsid w:val="006E6607"/>
    <w:rsid w:val="006E69A9"/>
    <w:rsid w:val="006E6A23"/>
    <w:rsid w:val="006E6CFE"/>
    <w:rsid w:val="006E6D83"/>
    <w:rsid w:val="006E6E11"/>
    <w:rsid w:val="006E71C1"/>
    <w:rsid w:val="006E71F3"/>
    <w:rsid w:val="006E7410"/>
    <w:rsid w:val="006E7675"/>
    <w:rsid w:val="006E778C"/>
    <w:rsid w:val="006E7AC2"/>
    <w:rsid w:val="006E7B4F"/>
    <w:rsid w:val="006F00FD"/>
    <w:rsid w:val="006F0854"/>
    <w:rsid w:val="006F0C20"/>
    <w:rsid w:val="006F0D0D"/>
    <w:rsid w:val="006F0DD9"/>
    <w:rsid w:val="006F0E79"/>
    <w:rsid w:val="006F117F"/>
    <w:rsid w:val="006F13A7"/>
    <w:rsid w:val="006F144F"/>
    <w:rsid w:val="006F155C"/>
    <w:rsid w:val="006F1A01"/>
    <w:rsid w:val="006F2133"/>
    <w:rsid w:val="006F2505"/>
    <w:rsid w:val="006F2800"/>
    <w:rsid w:val="006F28B2"/>
    <w:rsid w:val="006F30D2"/>
    <w:rsid w:val="006F3104"/>
    <w:rsid w:val="006F32CD"/>
    <w:rsid w:val="006F3306"/>
    <w:rsid w:val="006F36C4"/>
    <w:rsid w:val="006F37AF"/>
    <w:rsid w:val="006F39E0"/>
    <w:rsid w:val="006F3A65"/>
    <w:rsid w:val="006F3DA0"/>
    <w:rsid w:val="006F4061"/>
    <w:rsid w:val="006F41AC"/>
    <w:rsid w:val="006F43CD"/>
    <w:rsid w:val="006F446E"/>
    <w:rsid w:val="006F46D2"/>
    <w:rsid w:val="006F513C"/>
    <w:rsid w:val="006F54E8"/>
    <w:rsid w:val="006F571F"/>
    <w:rsid w:val="006F5C7D"/>
    <w:rsid w:val="006F5E2D"/>
    <w:rsid w:val="006F5E70"/>
    <w:rsid w:val="006F6118"/>
    <w:rsid w:val="006F61F8"/>
    <w:rsid w:val="006F6789"/>
    <w:rsid w:val="006F68F6"/>
    <w:rsid w:val="006F70DB"/>
    <w:rsid w:val="006F74EA"/>
    <w:rsid w:val="006F77E7"/>
    <w:rsid w:val="006F7D2B"/>
    <w:rsid w:val="00700017"/>
    <w:rsid w:val="007004C2"/>
    <w:rsid w:val="007007E6"/>
    <w:rsid w:val="007009F7"/>
    <w:rsid w:val="00700A01"/>
    <w:rsid w:val="00701027"/>
    <w:rsid w:val="007012C0"/>
    <w:rsid w:val="007016AF"/>
    <w:rsid w:val="00701A74"/>
    <w:rsid w:val="00701BF9"/>
    <w:rsid w:val="00701EFA"/>
    <w:rsid w:val="00701F0C"/>
    <w:rsid w:val="00702372"/>
    <w:rsid w:val="007023B6"/>
    <w:rsid w:val="00702577"/>
    <w:rsid w:val="0070283F"/>
    <w:rsid w:val="00702C5B"/>
    <w:rsid w:val="00702D4D"/>
    <w:rsid w:val="00702E7F"/>
    <w:rsid w:val="00702FA2"/>
    <w:rsid w:val="00703056"/>
    <w:rsid w:val="00703459"/>
    <w:rsid w:val="0070369E"/>
    <w:rsid w:val="00703820"/>
    <w:rsid w:val="00703BB5"/>
    <w:rsid w:val="00703C0D"/>
    <w:rsid w:val="00703E31"/>
    <w:rsid w:val="007043F8"/>
    <w:rsid w:val="00704676"/>
    <w:rsid w:val="007047E3"/>
    <w:rsid w:val="00704935"/>
    <w:rsid w:val="00704A9A"/>
    <w:rsid w:val="00704C38"/>
    <w:rsid w:val="00704CB9"/>
    <w:rsid w:val="00704CBD"/>
    <w:rsid w:val="00705188"/>
    <w:rsid w:val="00705322"/>
    <w:rsid w:val="00706012"/>
    <w:rsid w:val="00706065"/>
    <w:rsid w:val="0070635D"/>
    <w:rsid w:val="00706390"/>
    <w:rsid w:val="0070646C"/>
    <w:rsid w:val="007067A8"/>
    <w:rsid w:val="007069D6"/>
    <w:rsid w:val="00706A36"/>
    <w:rsid w:val="00706C4B"/>
    <w:rsid w:val="00706E83"/>
    <w:rsid w:val="00707489"/>
    <w:rsid w:val="007075CD"/>
    <w:rsid w:val="00707882"/>
    <w:rsid w:val="007078B4"/>
    <w:rsid w:val="007078C7"/>
    <w:rsid w:val="007079E1"/>
    <w:rsid w:val="00707AAA"/>
    <w:rsid w:val="00707B1D"/>
    <w:rsid w:val="00707B2B"/>
    <w:rsid w:val="00707CC9"/>
    <w:rsid w:val="00707DCB"/>
    <w:rsid w:val="00707EE3"/>
    <w:rsid w:val="00710065"/>
    <w:rsid w:val="00710107"/>
    <w:rsid w:val="007101EF"/>
    <w:rsid w:val="00710291"/>
    <w:rsid w:val="007105D2"/>
    <w:rsid w:val="0071073E"/>
    <w:rsid w:val="00710855"/>
    <w:rsid w:val="00710AB2"/>
    <w:rsid w:val="00710B37"/>
    <w:rsid w:val="00710DC2"/>
    <w:rsid w:val="007112C8"/>
    <w:rsid w:val="007113AF"/>
    <w:rsid w:val="00711462"/>
    <w:rsid w:val="007114D6"/>
    <w:rsid w:val="0071152F"/>
    <w:rsid w:val="00711875"/>
    <w:rsid w:val="00711CB6"/>
    <w:rsid w:val="00711FD1"/>
    <w:rsid w:val="00712148"/>
    <w:rsid w:val="007121F2"/>
    <w:rsid w:val="00712434"/>
    <w:rsid w:val="00712FE6"/>
    <w:rsid w:val="00713096"/>
    <w:rsid w:val="00713110"/>
    <w:rsid w:val="00713317"/>
    <w:rsid w:val="007134AA"/>
    <w:rsid w:val="007139D0"/>
    <w:rsid w:val="00713B7F"/>
    <w:rsid w:val="00713D54"/>
    <w:rsid w:val="00713EEF"/>
    <w:rsid w:val="00714433"/>
    <w:rsid w:val="00714FEA"/>
    <w:rsid w:val="007159E3"/>
    <w:rsid w:val="00715B06"/>
    <w:rsid w:val="00715CED"/>
    <w:rsid w:val="00715D3E"/>
    <w:rsid w:val="00715DED"/>
    <w:rsid w:val="00716263"/>
    <w:rsid w:val="00716313"/>
    <w:rsid w:val="0071687A"/>
    <w:rsid w:val="00716ADF"/>
    <w:rsid w:val="00716D12"/>
    <w:rsid w:val="00716D22"/>
    <w:rsid w:val="00716E53"/>
    <w:rsid w:val="0071722C"/>
    <w:rsid w:val="00717F0E"/>
    <w:rsid w:val="007201E4"/>
    <w:rsid w:val="00720335"/>
    <w:rsid w:val="00720913"/>
    <w:rsid w:val="00720B78"/>
    <w:rsid w:val="00720DE0"/>
    <w:rsid w:val="00720F78"/>
    <w:rsid w:val="007210FB"/>
    <w:rsid w:val="00721627"/>
    <w:rsid w:val="00722509"/>
    <w:rsid w:val="007227FE"/>
    <w:rsid w:val="00722834"/>
    <w:rsid w:val="00722986"/>
    <w:rsid w:val="0072298E"/>
    <w:rsid w:val="00722D13"/>
    <w:rsid w:val="00722E20"/>
    <w:rsid w:val="00722F98"/>
    <w:rsid w:val="007232BF"/>
    <w:rsid w:val="007236C8"/>
    <w:rsid w:val="00723718"/>
    <w:rsid w:val="00723918"/>
    <w:rsid w:val="00723961"/>
    <w:rsid w:val="00723E17"/>
    <w:rsid w:val="00723F24"/>
    <w:rsid w:val="00724035"/>
    <w:rsid w:val="00724305"/>
    <w:rsid w:val="0072437F"/>
    <w:rsid w:val="00724530"/>
    <w:rsid w:val="00724552"/>
    <w:rsid w:val="007245EF"/>
    <w:rsid w:val="007247D2"/>
    <w:rsid w:val="00724DF1"/>
    <w:rsid w:val="00724F70"/>
    <w:rsid w:val="007251C7"/>
    <w:rsid w:val="00725838"/>
    <w:rsid w:val="007258F9"/>
    <w:rsid w:val="00725E74"/>
    <w:rsid w:val="00725F15"/>
    <w:rsid w:val="00725F82"/>
    <w:rsid w:val="0072617E"/>
    <w:rsid w:val="00726577"/>
    <w:rsid w:val="00726714"/>
    <w:rsid w:val="00726B71"/>
    <w:rsid w:val="00726C33"/>
    <w:rsid w:val="00727974"/>
    <w:rsid w:val="00727D68"/>
    <w:rsid w:val="00730058"/>
    <w:rsid w:val="00730387"/>
    <w:rsid w:val="007304C7"/>
    <w:rsid w:val="0073050E"/>
    <w:rsid w:val="00730824"/>
    <w:rsid w:val="007309FE"/>
    <w:rsid w:val="00730CE8"/>
    <w:rsid w:val="00731273"/>
    <w:rsid w:val="0073150E"/>
    <w:rsid w:val="007315C2"/>
    <w:rsid w:val="007315FD"/>
    <w:rsid w:val="007316EF"/>
    <w:rsid w:val="007319E0"/>
    <w:rsid w:val="00731A34"/>
    <w:rsid w:val="00731CFE"/>
    <w:rsid w:val="00731E22"/>
    <w:rsid w:val="00731EE5"/>
    <w:rsid w:val="00732307"/>
    <w:rsid w:val="00732999"/>
    <w:rsid w:val="00732E97"/>
    <w:rsid w:val="007331D3"/>
    <w:rsid w:val="0073345F"/>
    <w:rsid w:val="007334F9"/>
    <w:rsid w:val="0073358D"/>
    <w:rsid w:val="0073369D"/>
    <w:rsid w:val="00733973"/>
    <w:rsid w:val="00733E1A"/>
    <w:rsid w:val="007343B2"/>
    <w:rsid w:val="0073441B"/>
    <w:rsid w:val="007346A0"/>
    <w:rsid w:val="007348EF"/>
    <w:rsid w:val="007349B0"/>
    <w:rsid w:val="007350D1"/>
    <w:rsid w:val="00735462"/>
    <w:rsid w:val="007355C9"/>
    <w:rsid w:val="007356E3"/>
    <w:rsid w:val="007358D2"/>
    <w:rsid w:val="00735CCB"/>
    <w:rsid w:val="00736202"/>
    <w:rsid w:val="007368F9"/>
    <w:rsid w:val="00736BF9"/>
    <w:rsid w:val="00736F63"/>
    <w:rsid w:val="007370A6"/>
    <w:rsid w:val="007371A5"/>
    <w:rsid w:val="0073757F"/>
    <w:rsid w:val="00737A30"/>
    <w:rsid w:val="00737C75"/>
    <w:rsid w:val="0074018D"/>
    <w:rsid w:val="0074039D"/>
    <w:rsid w:val="00740689"/>
    <w:rsid w:val="00740AA1"/>
    <w:rsid w:val="00740C35"/>
    <w:rsid w:val="00741413"/>
    <w:rsid w:val="007419BE"/>
    <w:rsid w:val="00741BCC"/>
    <w:rsid w:val="0074295A"/>
    <w:rsid w:val="00742B99"/>
    <w:rsid w:val="00742C38"/>
    <w:rsid w:val="00742DA3"/>
    <w:rsid w:val="0074315D"/>
    <w:rsid w:val="00743B5C"/>
    <w:rsid w:val="00743FFB"/>
    <w:rsid w:val="007444BC"/>
    <w:rsid w:val="00744645"/>
    <w:rsid w:val="00744701"/>
    <w:rsid w:val="007448E2"/>
    <w:rsid w:val="00744F0A"/>
    <w:rsid w:val="007451C7"/>
    <w:rsid w:val="0074537E"/>
    <w:rsid w:val="0074547C"/>
    <w:rsid w:val="00745967"/>
    <w:rsid w:val="00745C35"/>
    <w:rsid w:val="00745D09"/>
    <w:rsid w:val="00746346"/>
    <w:rsid w:val="00746716"/>
    <w:rsid w:val="00746BD8"/>
    <w:rsid w:val="0074710C"/>
    <w:rsid w:val="0074771B"/>
    <w:rsid w:val="00747C06"/>
    <w:rsid w:val="00747E1B"/>
    <w:rsid w:val="00747F49"/>
    <w:rsid w:val="00750D86"/>
    <w:rsid w:val="00750DD0"/>
    <w:rsid w:val="00750F05"/>
    <w:rsid w:val="00750FB7"/>
    <w:rsid w:val="0075126E"/>
    <w:rsid w:val="00751707"/>
    <w:rsid w:val="00751752"/>
    <w:rsid w:val="007517EE"/>
    <w:rsid w:val="00751A30"/>
    <w:rsid w:val="0075201C"/>
    <w:rsid w:val="007520EF"/>
    <w:rsid w:val="0075218A"/>
    <w:rsid w:val="00752254"/>
    <w:rsid w:val="007522C7"/>
    <w:rsid w:val="007524EC"/>
    <w:rsid w:val="00752D88"/>
    <w:rsid w:val="00752E7A"/>
    <w:rsid w:val="00753027"/>
    <w:rsid w:val="007531BC"/>
    <w:rsid w:val="007536B2"/>
    <w:rsid w:val="0075387C"/>
    <w:rsid w:val="00753B12"/>
    <w:rsid w:val="00753B8D"/>
    <w:rsid w:val="007546DC"/>
    <w:rsid w:val="00754993"/>
    <w:rsid w:val="00754A78"/>
    <w:rsid w:val="00754D82"/>
    <w:rsid w:val="00754DE8"/>
    <w:rsid w:val="00755022"/>
    <w:rsid w:val="00755432"/>
    <w:rsid w:val="007556FD"/>
    <w:rsid w:val="0075581F"/>
    <w:rsid w:val="00755C06"/>
    <w:rsid w:val="00755DB0"/>
    <w:rsid w:val="00755E57"/>
    <w:rsid w:val="00755F88"/>
    <w:rsid w:val="00756116"/>
    <w:rsid w:val="00756458"/>
    <w:rsid w:val="00756547"/>
    <w:rsid w:val="0075691A"/>
    <w:rsid w:val="00756B09"/>
    <w:rsid w:val="00756CE6"/>
    <w:rsid w:val="00756F01"/>
    <w:rsid w:val="00756F1A"/>
    <w:rsid w:val="007571EA"/>
    <w:rsid w:val="007571FF"/>
    <w:rsid w:val="00757678"/>
    <w:rsid w:val="0075772A"/>
    <w:rsid w:val="00757CB8"/>
    <w:rsid w:val="00757D5A"/>
    <w:rsid w:val="007600F8"/>
    <w:rsid w:val="0076010A"/>
    <w:rsid w:val="0076020B"/>
    <w:rsid w:val="00760B48"/>
    <w:rsid w:val="00760BF5"/>
    <w:rsid w:val="00760C7B"/>
    <w:rsid w:val="00760F46"/>
    <w:rsid w:val="007611B5"/>
    <w:rsid w:val="007613B7"/>
    <w:rsid w:val="00761810"/>
    <w:rsid w:val="007619D0"/>
    <w:rsid w:val="00761CD9"/>
    <w:rsid w:val="00761ED3"/>
    <w:rsid w:val="00761EDE"/>
    <w:rsid w:val="00762164"/>
    <w:rsid w:val="0076233F"/>
    <w:rsid w:val="00762442"/>
    <w:rsid w:val="0076249D"/>
    <w:rsid w:val="00762A98"/>
    <w:rsid w:val="00762BE7"/>
    <w:rsid w:val="00762C45"/>
    <w:rsid w:val="00762D7E"/>
    <w:rsid w:val="00762D9F"/>
    <w:rsid w:val="00762FA0"/>
    <w:rsid w:val="00762FE0"/>
    <w:rsid w:val="007631AF"/>
    <w:rsid w:val="0076339A"/>
    <w:rsid w:val="00763873"/>
    <w:rsid w:val="0076399F"/>
    <w:rsid w:val="00763A93"/>
    <w:rsid w:val="00763EA4"/>
    <w:rsid w:val="00763EB2"/>
    <w:rsid w:val="00764036"/>
    <w:rsid w:val="00764450"/>
    <w:rsid w:val="0076494C"/>
    <w:rsid w:val="00764AA1"/>
    <w:rsid w:val="00764B63"/>
    <w:rsid w:val="0076545E"/>
    <w:rsid w:val="0076565B"/>
    <w:rsid w:val="0076582A"/>
    <w:rsid w:val="00765BCF"/>
    <w:rsid w:val="0076609F"/>
    <w:rsid w:val="007662E3"/>
    <w:rsid w:val="007663A0"/>
    <w:rsid w:val="0076664B"/>
    <w:rsid w:val="0076679E"/>
    <w:rsid w:val="007668BE"/>
    <w:rsid w:val="00766AF8"/>
    <w:rsid w:val="00766FA4"/>
    <w:rsid w:val="00767031"/>
    <w:rsid w:val="007670C3"/>
    <w:rsid w:val="00767202"/>
    <w:rsid w:val="00767655"/>
    <w:rsid w:val="007676BC"/>
    <w:rsid w:val="007705ED"/>
    <w:rsid w:val="00770A1C"/>
    <w:rsid w:val="00770B20"/>
    <w:rsid w:val="00771A7F"/>
    <w:rsid w:val="00771B1C"/>
    <w:rsid w:val="00771B52"/>
    <w:rsid w:val="00771C84"/>
    <w:rsid w:val="007720BA"/>
    <w:rsid w:val="007724F9"/>
    <w:rsid w:val="00772522"/>
    <w:rsid w:val="00772561"/>
    <w:rsid w:val="007728CD"/>
    <w:rsid w:val="00772A18"/>
    <w:rsid w:val="00772D72"/>
    <w:rsid w:val="00772E18"/>
    <w:rsid w:val="00773314"/>
    <w:rsid w:val="00773C18"/>
    <w:rsid w:val="00773DD3"/>
    <w:rsid w:val="007742AC"/>
    <w:rsid w:val="007742B8"/>
    <w:rsid w:val="00774D4C"/>
    <w:rsid w:val="00774DF7"/>
    <w:rsid w:val="00775138"/>
    <w:rsid w:val="007753F3"/>
    <w:rsid w:val="00775433"/>
    <w:rsid w:val="007754F7"/>
    <w:rsid w:val="0077553B"/>
    <w:rsid w:val="00775ECA"/>
    <w:rsid w:val="00775EE5"/>
    <w:rsid w:val="00776B01"/>
    <w:rsid w:val="00777086"/>
    <w:rsid w:val="007771A1"/>
    <w:rsid w:val="007771A2"/>
    <w:rsid w:val="007772F5"/>
    <w:rsid w:val="00777463"/>
    <w:rsid w:val="007775D7"/>
    <w:rsid w:val="00777A4E"/>
    <w:rsid w:val="00777C70"/>
    <w:rsid w:val="00777D4F"/>
    <w:rsid w:val="007801AC"/>
    <w:rsid w:val="007801C1"/>
    <w:rsid w:val="00780218"/>
    <w:rsid w:val="00780314"/>
    <w:rsid w:val="0078044D"/>
    <w:rsid w:val="007806A7"/>
    <w:rsid w:val="00780761"/>
    <w:rsid w:val="007807F7"/>
    <w:rsid w:val="00780938"/>
    <w:rsid w:val="00780BA7"/>
    <w:rsid w:val="00780CA2"/>
    <w:rsid w:val="00780F91"/>
    <w:rsid w:val="00781240"/>
    <w:rsid w:val="0078144F"/>
    <w:rsid w:val="00781598"/>
    <w:rsid w:val="007815EF"/>
    <w:rsid w:val="0078170C"/>
    <w:rsid w:val="0078173E"/>
    <w:rsid w:val="0078173F"/>
    <w:rsid w:val="007817A4"/>
    <w:rsid w:val="00781AC4"/>
    <w:rsid w:val="00781CFE"/>
    <w:rsid w:val="007821FF"/>
    <w:rsid w:val="007823F9"/>
    <w:rsid w:val="007824AA"/>
    <w:rsid w:val="007824C2"/>
    <w:rsid w:val="007825C1"/>
    <w:rsid w:val="007826EF"/>
    <w:rsid w:val="00782743"/>
    <w:rsid w:val="007827A0"/>
    <w:rsid w:val="00782875"/>
    <w:rsid w:val="00782A52"/>
    <w:rsid w:val="00782A64"/>
    <w:rsid w:val="00782B0E"/>
    <w:rsid w:val="00782BB1"/>
    <w:rsid w:val="00782CD5"/>
    <w:rsid w:val="00782FF0"/>
    <w:rsid w:val="007832CE"/>
    <w:rsid w:val="00783331"/>
    <w:rsid w:val="00783366"/>
    <w:rsid w:val="0078349C"/>
    <w:rsid w:val="0078366B"/>
    <w:rsid w:val="007837D7"/>
    <w:rsid w:val="00783D4D"/>
    <w:rsid w:val="00783DFE"/>
    <w:rsid w:val="00784638"/>
    <w:rsid w:val="0078468E"/>
    <w:rsid w:val="00784BB6"/>
    <w:rsid w:val="00784C71"/>
    <w:rsid w:val="00785194"/>
    <w:rsid w:val="0078558E"/>
    <w:rsid w:val="007855CC"/>
    <w:rsid w:val="0078584B"/>
    <w:rsid w:val="00785A3D"/>
    <w:rsid w:val="00785C47"/>
    <w:rsid w:val="00786545"/>
    <w:rsid w:val="007865C5"/>
    <w:rsid w:val="0078689A"/>
    <w:rsid w:val="00786E0E"/>
    <w:rsid w:val="00787294"/>
    <w:rsid w:val="00790436"/>
    <w:rsid w:val="0079058A"/>
    <w:rsid w:val="00790754"/>
    <w:rsid w:val="00790B72"/>
    <w:rsid w:val="00790E3B"/>
    <w:rsid w:val="00790EBE"/>
    <w:rsid w:val="00791223"/>
    <w:rsid w:val="007913B5"/>
    <w:rsid w:val="00791504"/>
    <w:rsid w:val="00791923"/>
    <w:rsid w:val="00791C30"/>
    <w:rsid w:val="00791E17"/>
    <w:rsid w:val="007920C3"/>
    <w:rsid w:val="007926C4"/>
    <w:rsid w:val="0079288F"/>
    <w:rsid w:val="007928C8"/>
    <w:rsid w:val="007928D6"/>
    <w:rsid w:val="00793099"/>
    <w:rsid w:val="007932A5"/>
    <w:rsid w:val="00793877"/>
    <w:rsid w:val="007939D9"/>
    <w:rsid w:val="00793A50"/>
    <w:rsid w:val="00793BF4"/>
    <w:rsid w:val="00793D17"/>
    <w:rsid w:val="007948F1"/>
    <w:rsid w:val="00794A31"/>
    <w:rsid w:val="00794B7C"/>
    <w:rsid w:val="00794BEE"/>
    <w:rsid w:val="00794D6C"/>
    <w:rsid w:val="00794EE0"/>
    <w:rsid w:val="007950D2"/>
    <w:rsid w:val="007951C7"/>
    <w:rsid w:val="007951E7"/>
    <w:rsid w:val="007951F5"/>
    <w:rsid w:val="007954DA"/>
    <w:rsid w:val="00795726"/>
    <w:rsid w:val="00795C62"/>
    <w:rsid w:val="00796150"/>
    <w:rsid w:val="00796678"/>
    <w:rsid w:val="0079690E"/>
    <w:rsid w:val="00796923"/>
    <w:rsid w:val="00796A2B"/>
    <w:rsid w:val="00796CBF"/>
    <w:rsid w:val="00796E22"/>
    <w:rsid w:val="007970A8"/>
    <w:rsid w:val="00797220"/>
    <w:rsid w:val="00797285"/>
    <w:rsid w:val="00797485"/>
    <w:rsid w:val="00797567"/>
    <w:rsid w:val="00797972"/>
    <w:rsid w:val="00797A6C"/>
    <w:rsid w:val="00797E00"/>
    <w:rsid w:val="007A00ED"/>
    <w:rsid w:val="007A0111"/>
    <w:rsid w:val="007A0269"/>
    <w:rsid w:val="007A0531"/>
    <w:rsid w:val="007A0581"/>
    <w:rsid w:val="007A05CB"/>
    <w:rsid w:val="007A06FB"/>
    <w:rsid w:val="007A077F"/>
    <w:rsid w:val="007A081A"/>
    <w:rsid w:val="007A0CBD"/>
    <w:rsid w:val="007A0CED"/>
    <w:rsid w:val="007A0E94"/>
    <w:rsid w:val="007A1246"/>
    <w:rsid w:val="007A128B"/>
    <w:rsid w:val="007A181C"/>
    <w:rsid w:val="007A1ADA"/>
    <w:rsid w:val="007A1C7A"/>
    <w:rsid w:val="007A1D64"/>
    <w:rsid w:val="007A1F9C"/>
    <w:rsid w:val="007A205C"/>
    <w:rsid w:val="007A2260"/>
    <w:rsid w:val="007A2384"/>
    <w:rsid w:val="007A25ED"/>
    <w:rsid w:val="007A285F"/>
    <w:rsid w:val="007A2A7A"/>
    <w:rsid w:val="007A2A8D"/>
    <w:rsid w:val="007A2AA3"/>
    <w:rsid w:val="007A2C69"/>
    <w:rsid w:val="007A2CF4"/>
    <w:rsid w:val="007A2EEE"/>
    <w:rsid w:val="007A302B"/>
    <w:rsid w:val="007A3104"/>
    <w:rsid w:val="007A31C0"/>
    <w:rsid w:val="007A31F5"/>
    <w:rsid w:val="007A351A"/>
    <w:rsid w:val="007A35CF"/>
    <w:rsid w:val="007A36DF"/>
    <w:rsid w:val="007A3796"/>
    <w:rsid w:val="007A3D3B"/>
    <w:rsid w:val="007A4119"/>
    <w:rsid w:val="007A417B"/>
    <w:rsid w:val="007A4380"/>
    <w:rsid w:val="007A4382"/>
    <w:rsid w:val="007A4A1D"/>
    <w:rsid w:val="007A4A95"/>
    <w:rsid w:val="007A4C63"/>
    <w:rsid w:val="007A4FD8"/>
    <w:rsid w:val="007A5281"/>
    <w:rsid w:val="007A537B"/>
    <w:rsid w:val="007A55DB"/>
    <w:rsid w:val="007A5B07"/>
    <w:rsid w:val="007A5B19"/>
    <w:rsid w:val="007A5D16"/>
    <w:rsid w:val="007A62C1"/>
    <w:rsid w:val="007A667E"/>
    <w:rsid w:val="007A6864"/>
    <w:rsid w:val="007A6893"/>
    <w:rsid w:val="007A6993"/>
    <w:rsid w:val="007A6B65"/>
    <w:rsid w:val="007A6FE7"/>
    <w:rsid w:val="007A7172"/>
    <w:rsid w:val="007A71DC"/>
    <w:rsid w:val="007A738A"/>
    <w:rsid w:val="007A77DA"/>
    <w:rsid w:val="007A7B26"/>
    <w:rsid w:val="007A7CC0"/>
    <w:rsid w:val="007A7DCF"/>
    <w:rsid w:val="007B03EB"/>
    <w:rsid w:val="007B0515"/>
    <w:rsid w:val="007B07D4"/>
    <w:rsid w:val="007B0A1A"/>
    <w:rsid w:val="007B0A8F"/>
    <w:rsid w:val="007B11E2"/>
    <w:rsid w:val="007B1355"/>
    <w:rsid w:val="007B136F"/>
    <w:rsid w:val="007B137E"/>
    <w:rsid w:val="007B1592"/>
    <w:rsid w:val="007B17AA"/>
    <w:rsid w:val="007B1A4E"/>
    <w:rsid w:val="007B1CAD"/>
    <w:rsid w:val="007B1D51"/>
    <w:rsid w:val="007B1F60"/>
    <w:rsid w:val="007B23C8"/>
    <w:rsid w:val="007B2527"/>
    <w:rsid w:val="007B26CA"/>
    <w:rsid w:val="007B26FA"/>
    <w:rsid w:val="007B276A"/>
    <w:rsid w:val="007B27AB"/>
    <w:rsid w:val="007B2890"/>
    <w:rsid w:val="007B2898"/>
    <w:rsid w:val="007B2D58"/>
    <w:rsid w:val="007B30C4"/>
    <w:rsid w:val="007B30F3"/>
    <w:rsid w:val="007B310E"/>
    <w:rsid w:val="007B34E8"/>
    <w:rsid w:val="007B37B2"/>
    <w:rsid w:val="007B3B88"/>
    <w:rsid w:val="007B4161"/>
    <w:rsid w:val="007B4189"/>
    <w:rsid w:val="007B42A6"/>
    <w:rsid w:val="007B45AC"/>
    <w:rsid w:val="007B5129"/>
    <w:rsid w:val="007B57C6"/>
    <w:rsid w:val="007B5968"/>
    <w:rsid w:val="007B607D"/>
    <w:rsid w:val="007B620A"/>
    <w:rsid w:val="007B666C"/>
    <w:rsid w:val="007B6717"/>
    <w:rsid w:val="007B687E"/>
    <w:rsid w:val="007B6A7C"/>
    <w:rsid w:val="007B6A99"/>
    <w:rsid w:val="007B6CD0"/>
    <w:rsid w:val="007B6CF6"/>
    <w:rsid w:val="007B6FBD"/>
    <w:rsid w:val="007B73A2"/>
    <w:rsid w:val="007B755C"/>
    <w:rsid w:val="007B768B"/>
    <w:rsid w:val="007B7860"/>
    <w:rsid w:val="007B79AE"/>
    <w:rsid w:val="007B7C64"/>
    <w:rsid w:val="007B7D7F"/>
    <w:rsid w:val="007B7E81"/>
    <w:rsid w:val="007C0026"/>
    <w:rsid w:val="007C052D"/>
    <w:rsid w:val="007C05E6"/>
    <w:rsid w:val="007C0730"/>
    <w:rsid w:val="007C096A"/>
    <w:rsid w:val="007C1068"/>
    <w:rsid w:val="007C1905"/>
    <w:rsid w:val="007C190F"/>
    <w:rsid w:val="007C1B9A"/>
    <w:rsid w:val="007C1E2B"/>
    <w:rsid w:val="007C295A"/>
    <w:rsid w:val="007C29C9"/>
    <w:rsid w:val="007C2A55"/>
    <w:rsid w:val="007C335F"/>
    <w:rsid w:val="007C3BAE"/>
    <w:rsid w:val="007C3D5E"/>
    <w:rsid w:val="007C3D9B"/>
    <w:rsid w:val="007C43C9"/>
    <w:rsid w:val="007C4597"/>
    <w:rsid w:val="007C4751"/>
    <w:rsid w:val="007C48B4"/>
    <w:rsid w:val="007C4CD1"/>
    <w:rsid w:val="007C51A5"/>
    <w:rsid w:val="007C58A8"/>
    <w:rsid w:val="007C5BFE"/>
    <w:rsid w:val="007C5E69"/>
    <w:rsid w:val="007C5EE2"/>
    <w:rsid w:val="007C62BF"/>
    <w:rsid w:val="007C62DB"/>
    <w:rsid w:val="007C65AA"/>
    <w:rsid w:val="007C751A"/>
    <w:rsid w:val="007C75ED"/>
    <w:rsid w:val="007C7AC5"/>
    <w:rsid w:val="007C7BB0"/>
    <w:rsid w:val="007C7C7A"/>
    <w:rsid w:val="007C7E35"/>
    <w:rsid w:val="007C7E63"/>
    <w:rsid w:val="007C7F81"/>
    <w:rsid w:val="007D01EE"/>
    <w:rsid w:val="007D0D63"/>
    <w:rsid w:val="007D100F"/>
    <w:rsid w:val="007D1164"/>
    <w:rsid w:val="007D13D5"/>
    <w:rsid w:val="007D174D"/>
    <w:rsid w:val="007D1B09"/>
    <w:rsid w:val="007D1B4F"/>
    <w:rsid w:val="007D1CF3"/>
    <w:rsid w:val="007D1E1D"/>
    <w:rsid w:val="007D20CA"/>
    <w:rsid w:val="007D210C"/>
    <w:rsid w:val="007D24A4"/>
    <w:rsid w:val="007D26A3"/>
    <w:rsid w:val="007D282C"/>
    <w:rsid w:val="007D2D00"/>
    <w:rsid w:val="007D2FC1"/>
    <w:rsid w:val="007D3019"/>
    <w:rsid w:val="007D302F"/>
    <w:rsid w:val="007D30D8"/>
    <w:rsid w:val="007D34E9"/>
    <w:rsid w:val="007D3547"/>
    <w:rsid w:val="007D358F"/>
    <w:rsid w:val="007D359D"/>
    <w:rsid w:val="007D36F2"/>
    <w:rsid w:val="007D45D6"/>
    <w:rsid w:val="007D525C"/>
    <w:rsid w:val="007D5381"/>
    <w:rsid w:val="007D53D5"/>
    <w:rsid w:val="007D552F"/>
    <w:rsid w:val="007D56E5"/>
    <w:rsid w:val="007D575E"/>
    <w:rsid w:val="007D58AA"/>
    <w:rsid w:val="007D59B1"/>
    <w:rsid w:val="007D59D7"/>
    <w:rsid w:val="007D5B21"/>
    <w:rsid w:val="007D5F07"/>
    <w:rsid w:val="007D63E1"/>
    <w:rsid w:val="007D643E"/>
    <w:rsid w:val="007D6623"/>
    <w:rsid w:val="007D66AF"/>
    <w:rsid w:val="007D6721"/>
    <w:rsid w:val="007D67C3"/>
    <w:rsid w:val="007D68F6"/>
    <w:rsid w:val="007D6E3E"/>
    <w:rsid w:val="007D6F5E"/>
    <w:rsid w:val="007D70A1"/>
    <w:rsid w:val="007D7590"/>
    <w:rsid w:val="007D772B"/>
    <w:rsid w:val="007D7997"/>
    <w:rsid w:val="007D7A5B"/>
    <w:rsid w:val="007D7BFB"/>
    <w:rsid w:val="007E0048"/>
    <w:rsid w:val="007E01C8"/>
    <w:rsid w:val="007E03D4"/>
    <w:rsid w:val="007E05D3"/>
    <w:rsid w:val="007E07EC"/>
    <w:rsid w:val="007E16A2"/>
    <w:rsid w:val="007E1A7F"/>
    <w:rsid w:val="007E1B21"/>
    <w:rsid w:val="007E28B5"/>
    <w:rsid w:val="007E2AB7"/>
    <w:rsid w:val="007E2E84"/>
    <w:rsid w:val="007E3776"/>
    <w:rsid w:val="007E3896"/>
    <w:rsid w:val="007E395A"/>
    <w:rsid w:val="007E3B5F"/>
    <w:rsid w:val="007E3D1B"/>
    <w:rsid w:val="007E3E14"/>
    <w:rsid w:val="007E3FED"/>
    <w:rsid w:val="007E417B"/>
    <w:rsid w:val="007E45E1"/>
    <w:rsid w:val="007E4D23"/>
    <w:rsid w:val="007E4F11"/>
    <w:rsid w:val="007E5228"/>
    <w:rsid w:val="007E5235"/>
    <w:rsid w:val="007E5326"/>
    <w:rsid w:val="007E53F4"/>
    <w:rsid w:val="007E55F6"/>
    <w:rsid w:val="007E5759"/>
    <w:rsid w:val="007E57BC"/>
    <w:rsid w:val="007E58EA"/>
    <w:rsid w:val="007E5AA7"/>
    <w:rsid w:val="007E5AD0"/>
    <w:rsid w:val="007E5C21"/>
    <w:rsid w:val="007E5C5A"/>
    <w:rsid w:val="007E5DFD"/>
    <w:rsid w:val="007E5E8D"/>
    <w:rsid w:val="007E5EC8"/>
    <w:rsid w:val="007E6B2A"/>
    <w:rsid w:val="007E6C53"/>
    <w:rsid w:val="007E7321"/>
    <w:rsid w:val="007E7329"/>
    <w:rsid w:val="007E751D"/>
    <w:rsid w:val="007E771A"/>
    <w:rsid w:val="007E7ABA"/>
    <w:rsid w:val="007E7EB1"/>
    <w:rsid w:val="007E7FBB"/>
    <w:rsid w:val="007F0233"/>
    <w:rsid w:val="007F09C3"/>
    <w:rsid w:val="007F0B26"/>
    <w:rsid w:val="007F0E42"/>
    <w:rsid w:val="007F10FE"/>
    <w:rsid w:val="007F15DC"/>
    <w:rsid w:val="007F177E"/>
    <w:rsid w:val="007F189B"/>
    <w:rsid w:val="007F1B42"/>
    <w:rsid w:val="007F1CD1"/>
    <w:rsid w:val="007F24E3"/>
    <w:rsid w:val="007F25ED"/>
    <w:rsid w:val="007F2816"/>
    <w:rsid w:val="007F28F6"/>
    <w:rsid w:val="007F2A61"/>
    <w:rsid w:val="007F2C5C"/>
    <w:rsid w:val="007F2CAD"/>
    <w:rsid w:val="007F2CF0"/>
    <w:rsid w:val="007F343A"/>
    <w:rsid w:val="007F34E6"/>
    <w:rsid w:val="007F3564"/>
    <w:rsid w:val="007F3764"/>
    <w:rsid w:val="007F38E1"/>
    <w:rsid w:val="007F3BE7"/>
    <w:rsid w:val="007F3CD8"/>
    <w:rsid w:val="007F3F5A"/>
    <w:rsid w:val="007F40F2"/>
    <w:rsid w:val="007F4590"/>
    <w:rsid w:val="007F4F0C"/>
    <w:rsid w:val="007F50F0"/>
    <w:rsid w:val="007F544E"/>
    <w:rsid w:val="007F5539"/>
    <w:rsid w:val="007F5573"/>
    <w:rsid w:val="007F55FE"/>
    <w:rsid w:val="007F58F4"/>
    <w:rsid w:val="007F5B9A"/>
    <w:rsid w:val="007F5D3A"/>
    <w:rsid w:val="007F6477"/>
    <w:rsid w:val="007F6661"/>
    <w:rsid w:val="007F69E3"/>
    <w:rsid w:val="007F6AE1"/>
    <w:rsid w:val="007F723D"/>
    <w:rsid w:val="007F7371"/>
    <w:rsid w:val="007F7644"/>
    <w:rsid w:val="007F76F8"/>
    <w:rsid w:val="007F7F94"/>
    <w:rsid w:val="0080079C"/>
    <w:rsid w:val="00800810"/>
    <w:rsid w:val="0080081C"/>
    <w:rsid w:val="008008FC"/>
    <w:rsid w:val="00800B49"/>
    <w:rsid w:val="00800F33"/>
    <w:rsid w:val="0080141C"/>
    <w:rsid w:val="008014EA"/>
    <w:rsid w:val="008014ED"/>
    <w:rsid w:val="00801608"/>
    <w:rsid w:val="0080179F"/>
    <w:rsid w:val="00801D98"/>
    <w:rsid w:val="00802752"/>
    <w:rsid w:val="008028CC"/>
    <w:rsid w:val="00802A80"/>
    <w:rsid w:val="00802C86"/>
    <w:rsid w:val="00802E93"/>
    <w:rsid w:val="008030E7"/>
    <w:rsid w:val="0080328F"/>
    <w:rsid w:val="00803DC4"/>
    <w:rsid w:val="00803DCB"/>
    <w:rsid w:val="00803E8C"/>
    <w:rsid w:val="00803F43"/>
    <w:rsid w:val="008040F6"/>
    <w:rsid w:val="00804242"/>
    <w:rsid w:val="008042C6"/>
    <w:rsid w:val="008043E4"/>
    <w:rsid w:val="00804487"/>
    <w:rsid w:val="00804AEF"/>
    <w:rsid w:val="00804CAB"/>
    <w:rsid w:val="00804EEF"/>
    <w:rsid w:val="0080577D"/>
    <w:rsid w:val="008060E8"/>
    <w:rsid w:val="00806291"/>
    <w:rsid w:val="008062CA"/>
    <w:rsid w:val="008062EF"/>
    <w:rsid w:val="008064F3"/>
    <w:rsid w:val="008065DF"/>
    <w:rsid w:val="008068C2"/>
    <w:rsid w:val="00806BEC"/>
    <w:rsid w:val="00807133"/>
    <w:rsid w:val="00807170"/>
    <w:rsid w:val="0080778B"/>
    <w:rsid w:val="00807A27"/>
    <w:rsid w:val="00807CC3"/>
    <w:rsid w:val="00807E8F"/>
    <w:rsid w:val="00807F2F"/>
    <w:rsid w:val="00810093"/>
    <w:rsid w:val="00810120"/>
    <w:rsid w:val="00810151"/>
    <w:rsid w:val="0081054C"/>
    <w:rsid w:val="00810933"/>
    <w:rsid w:val="00810B92"/>
    <w:rsid w:val="00810C38"/>
    <w:rsid w:val="00810CF1"/>
    <w:rsid w:val="0081107D"/>
    <w:rsid w:val="0081117E"/>
    <w:rsid w:val="00811265"/>
    <w:rsid w:val="0081163A"/>
    <w:rsid w:val="00811BAF"/>
    <w:rsid w:val="008120AA"/>
    <w:rsid w:val="0081217E"/>
    <w:rsid w:val="008121FF"/>
    <w:rsid w:val="008126AB"/>
    <w:rsid w:val="00812766"/>
    <w:rsid w:val="008128E6"/>
    <w:rsid w:val="00812A7A"/>
    <w:rsid w:val="00812DE5"/>
    <w:rsid w:val="00813461"/>
    <w:rsid w:val="008135CC"/>
    <w:rsid w:val="0081423A"/>
    <w:rsid w:val="00814313"/>
    <w:rsid w:val="008147A3"/>
    <w:rsid w:val="008147EC"/>
    <w:rsid w:val="00814C2B"/>
    <w:rsid w:val="00814D60"/>
    <w:rsid w:val="00814D64"/>
    <w:rsid w:val="008152AC"/>
    <w:rsid w:val="008154D4"/>
    <w:rsid w:val="00815713"/>
    <w:rsid w:val="008158DF"/>
    <w:rsid w:val="00815933"/>
    <w:rsid w:val="00815AD3"/>
    <w:rsid w:val="0081687A"/>
    <w:rsid w:val="00816AB7"/>
    <w:rsid w:val="00816D59"/>
    <w:rsid w:val="00817002"/>
    <w:rsid w:val="00817414"/>
    <w:rsid w:val="00817744"/>
    <w:rsid w:val="0082006A"/>
    <w:rsid w:val="0082014E"/>
    <w:rsid w:val="0082016E"/>
    <w:rsid w:val="0082055E"/>
    <w:rsid w:val="008205EF"/>
    <w:rsid w:val="00820973"/>
    <w:rsid w:val="008209E8"/>
    <w:rsid w:val="00820BAB"/>
    <w:rsid w:val="00820CEF"/>
    <w:rsid w:val="00820E55"/>
    <w:rsid w:val="00820F19"/>
    <w:rsid w:val="00820FFE"/>
    <w:rsid w:val="008211DE"/>
    <w:rsid w:val="00821408"/>
    <w:rsid w:val="00821972"/>
    <w:rsid w:val="00821A29"/>
    <w:rsid w:val="00821CC6"/>
    <w:rsid w:val="00821DC8"/>
    <w:rsid w:val="00821F62"/>
    <w:rsid w:val="00822071"/>
    <w:rsid w:val="008221F9"/>
    <w:rsid w:val="0082228B"/>
    <w:rsid w:val="00822D5A"/>
    <w:rsid w:val="008238D8"/>
    <w:rsid w:val="00823F27"/>
    <w:rsid w:val="0082412B"/>
    <w:rsid w:val="0082424A"/>
    <w:rsid w:val="008242B6"/>
    <w:rsid w:val="008243F6"/>
    <w:rsid w:val="00824D17"/>
    <w:rsid w:val="00824F90"/>
    <w:rsid w:val="00825303"/>
    <w:rsid w:val="008259B7"/>
    <w:rsid w:val="008259FE"/>
    <w:rsid w:val="00825ACA"/>
    <w:rsid w:val="00825E9A"/>
    <w:rsid w:val="00825F59"/>
    <w:rsid w:val="00826056"/>
    <w:rsid w:val="00826161"/>
    <w:rsid w:val="00826218"/>
    <w:rsid w:val="00826B7A"/>
    <w:rsid w:val="00826BF3"/>
    <w:rsid w:val="00826C2D"/>
    <w:rsid w:val="00826F9A"/>
    <w:rsid w:val="00827005"/>
    <w:rsid w:val="00827A05"/>
    <w:rsid w:val="008302EC"/>
    <w:rsid w:val="00830337"/>
    <w:rsid w:val="0083034E"/>
    <w:rsid w:val="00830526"/>
    <w:rsid w:val="008305F8"/>
    <w:rsid w:val="00830979"/>
    <w:rsid w:val="00830B95"/>
    <w:rsid w:val="00830D58"/>
    <w:rsid w:val="0083121B"/>
    <w:rsid w:val="0083155A"/>
    <w:rsid w:val="00831788"/>
    <w:rsid w:val="00831BD1"/>
    <w:rsid w:val="00831C72"/>
    <w:rsid w:val="00831CE0"/>
    <w:rsid w:val="00831E15"/>
    <w:rsid w:val="00831E59"/>
    <w:rsid w:val="00831F78"/>
    <w:rsid w:val="00832366"/>
    <w:rsid w:val="008323FF"/>
    <w:rsid w:val="00832652"/>
    <w:rsid w:val="00832FF9"/>
    <w:rsid w:val="00833311"/>
    <w:rsid w:val="00833680"/>
    <w:rsid w:val="00833962"/>
    <w:rsid w:val="00833A77"/>
    <w:rsid w:val="00833CA6"/>
    <w:rsid w:val="00833F65"/>
    <w:rsid w:val="008341EB"/>
    <w:rsid w:val="008342CD"/>
    <w:rsid w:val="00834467"/>
    <w:rsid w:val="008344A3"/>
    <w:rsid w:val="008348A4"/>
    <w:rsid w:val="008349CC"/>
    <w:rsid w:val="00834A50"/>
    <w:rsid w:val="00834DFE"/>
    <w:rsid w:val="00834FB3"/>
    <w:rsid w:val="0083511B"/>
    <w:rsid w:val="008353D5"/>
    <w:rsid w:val="0083577B"/>
    <w:rsid w:val="008364A3"/>
    <w:rsid w:val="0083678C"/>
    <w:rsid w:val="00836812"/>
    <w:rsid w:val="008368BB"/>
    <w:rsid w:val="00836B42"/>
    <w:rsid w:val="00837462"/>
    <w:rsid w:val="00837477"/>
    <w:rsid w:val="00837A8D"/>
    <w:rsid w:val="00837B10"/>
    <w:rsid w:val="00837CD0"/>
    <w:rsid w:val="0084004E"/>
    <w:rsid w:val="0084034D"/>
    <w:rsid w:val="0084063B"/>
    <w:rsid w:val="008406A4"/>
    <w:rsid w:val="008407A2"/>
    <w:rsid w:val="008409BC"/>
    <w:rsid w:val="008409FF"/>
    <w:rsid w:val="00840F84"/>
    <w:rsid w:val="00840FCD"/>
    <w:rsid w:val="0084125E"/>
    <w:rsid w:val="00841349"/>
    <w:rsid w:val="008413E7"/>
    <w:rsid w:val="008415C9"/>
    <w:rsid w:val="00841979"/>
    <w:rsid w:val="00841C9A"/>
    <w:rsid w:val="00842168"/>
    <w:rsid w:val="00842390"/>
    <w:rsid w:val="00842413"/>
    <w:rsid w:val="0084275E"/>
    <w:rsid w:val="0084276E"/>
    <w:rsid w:val="0084280C"/>
    <w:rsid w:val="00842869"/>
    <w:rsid w:val="00842F58"/>
    <w:rsid w:val="008437DF"/>
    <w:rsid w:val="00843874"/>
    <w:rsid w:val="00843B06"/>
    <w:rsid w:val="00843BEA"/>
    <w:rsid w:val="00844165"/>
    <w:rsid w:val="00844390"/>
    <w:rsid w:val="00844498"/>
    <w:rsid w:val="00844A96"/>
    <w:rsid w:val="00844DE4"/>
    <w:rsid w:val="00845117"/>
    <w:rsid w:val="008459B4"/>
    <w:rsid w:val="008459DC"/>
    <w:rsid w:val="00845A4B"/>
    <w:rsid w:val="00845C59"/>
    <w:rsid w:val="00845CF7"/>
    <w:rsid w:val="00845FE8"/>
    <w:rsid w:val="008460F6"/>
    <w:rsid w:val="008461E0"/>
    <w:rsid w:val="008463DD"/>
    <w:rsid w:val="008464B2"/>
    <w:rsid w:val="008464CA"/>
    <w:rsid w:val="008465CE"/>
    <w:rsid w:val="00847063"/>
    <w:rsid w:val="00847074"/>
    <w:rsid w:val="008473BD"/>
    <w:rsid w:val="008476DC"/>
    <w:rsid w:val="00847791"/>
    <w:rsid w:val="008479FB"/>
    <w:rsid w:val="00847D3D"/>
    <w:rsid w:val="00847DBF"/>
    <w:rsid w:val="00847E69"/>
    <w:rsid w:val="00850148"/>
    <w:rsid w:val="008501F3"/>
    <w:rsid w:val="008502F6"/>
    <w:rsid w:val="00850458"/>
    <w:rsid w:val="00850839"/>
    <w:rsid w:val="00850A76"/>
    <w:rsid w:val="00850C40"/>
    <w:rsid w:val="00850E01"/>
    <w:rsid w:val="00850EAC"/>
    <w:rsid w:val="0085133B"/>
    <w:rsid w:val="008513DD"/>
    <w:rsid w:val="008514A2"/>
    <w:rsid w:val="008516B7"/>
    <w:rsid w:val="008517CF"/>
    <w:rsid w:val="0085190E"/>
    <w:rsid w:val="0085198C"/>
    <w:rsid w:val="00851B2E"/>
    <w:rsid w:val="00851BE8"/>
    <w:rsid w:val="00851C71"/>
    <w:rsid w:val="00852214"/>
    <w:rsid w:val="00852344"/>
    <w:rsid w:val="0085281F"/>
    <w:rsid w:val="00852944"/>
    <w:rsid w:val="00852B35"/>
    <w:rsid w:val="00852BFD"/>
    <w:rsid w:val="00852CA3"/>
    <w:rsid w:val="00852DD4"/>
    <w:rsid w:val="00852E18"/>
    <w:rsid w:val="0085315F"/>
    <w:rsid w:val="00853373"/>
    <w:rsid w:val="008533C3"/>
    <w:rsid w:val="00853640"/>
    <w:rsid w:val="0085386E"/>
    <w:rsid w:val="00853B35"/>
    <w:rsid w:val="00853C4B"/>
    <w:rsid w:val="00853C83"/>
    <w:rsid w:val="00853C96"/>
    <w:rsid w:val="00853D0B"/>
    <w:rsid w:val="008547B0"/>
    <w:rsid w:val="00854913"/>
    <w:rsid w:val="00854B57"/>
    <w:rsid w:val="00854BB8"/>
    <w:rsid w:val="00854DB2"/>
    <w:rsid w:val="00855A60"/>
    <w:rsid w:val="00855E2E"/>
    <w:rsid w:val="00855E9A"/>
    <w:rsid w:val="00856167"/>
    <w:rsid w:val="008563A7"/>
    <w:rsid w:val="008563D4"/>
    <w:rsid w:val="008567D4"/>
    <w:rsid w:val="0085692D"/>
    <w:rsid w:val="00856D72"/>
    <w:rsid w:val="00856F3F"/>
    <w:rsid w:val="00857024"/>
    <w:rsid w:val="0085782F"/>
    <w:rsid w:val="00857995"/>
    <w:rsid w:val="008579C3"/>
    <w:rsid w:val="00857AD4"/>
    <w:rsid w:val="0086011A"/>
    <w:rsid w:val="008606B0"/>
    <w:rsid w:val="008607B6"/>
    <w:rsid w:val="00860A42"/>
    <w:rsid w:val="00860BE9"/>
    <w:rsid w:val="00860C5C"/>
    <w:rsid w:val="0086106E"/>
    <w:rsid w:val="008611EC"/>
    <w:rsid w:val="00861289"/>
    <w:rsid w:val="00861744"/>
    <w:rsid w:val="00861765"/>
    <w:rsid w:val="00861B1E"/>
    <w:rsid w:val="00861CAC"/>
    <w:rsid w:val="00861E55"/>
    <w:rsid w:val="00862146"/>
    <w:rsid w:val="00862246"/>
    <w:rsid w:val="00862423"/>
    <w:rsid w:val="0086266C"/>
    <w:rsid w:val="008628D7"/>
    <w:rsid w:val="00862A0B"/>
    <w:rsid w:val="00862B75"/>
    <w:rsid w:val="00862BF6"/>
    <w:rsid w:val="00862C0B"/>
    <w:rsid w:val="00862F14"/>
    <w:rsid w:val="008632DA"/>
    <w:rsid w:val="008634B1"/>
    <w:rsid w:val="008634C3"/>
    <w:rsid w:val="00863517"/>
    <w:rsid w:val="008638C2"/>
    <w:rsid w:val="00863992"/>
    <w:rsid w:val="00863BA8"/>
    <w:rsid w:val="00863E43"/>
    <w:rsid w:val="00863E77"/>
    <w:rsid w:val="00863E9C"/>
    <w:rsid w:val="008641F8"/>
    <w:rsid w:val="008644AF"/>
    <w:rsid w:val="00864827"/>
    <w:rsid w:val="00864908"/>
    <w:rsid w:val="00864910"/>
    <w:rsid w:val="00864BE9"/>
    <w:rsid w:val="00864C70"/>
    <w:rsid w:val="00865052"/>
    <w:rsid w:val="00865594"/>
    <w:rsid w:val="00865A4D"/>
    <w:rsid w:val="00865C3A"/>
    <w:rsid w:val="00865CF8"/>
    <w:rsid w:val="00866077"/>
    <w:rsid w:val="00866A01"/>
    <w:rsid w:val="00867360"/>
    <w:rsid w:val="0086747C"/>
    <w:rsid w:val="008675D9"/>
    <w:rsid w:val="008677C6"/>
    <w:rsid w:val="00867AB4"/>
    <w:rsid w:val="00867B5B"/>
    <w:rsid w:val="00867DEB"/>
    <w:rsid w:val="00867EA2"/>
    <w:rsid w:val="00870202"/>
    <w:rsid w:val="00870598"/>
    <w:rsid w:val="0087081C"/>
    <w:rsid w:val="00870A39"/>
    <w:rsid w:val="00870C1D"/>
    <w:rsid w:val="00870DEA"/>
    <w:rsid w:val="0087116E"/>
    <w:rsid w:val="00871220"/>
    <w:rsid w:val="008715B5"/>
    <w:rsid w:val="0087173D"/>
    <w:rsid w:val="00871763"/>
    <w:rsid w:val="00871C2E"/>
    <w:rsid w:val="008720CB"/>
    <w:rsid w:val="00872330"/>
    <w:rsid w:val="008723CD"/>
    <w:rsid w:val="008723F8"/>
    <w:rsid w:val="00872659"/>
    <w:rsid w:val="008726CC"/>
    <w:rsid w:val="0087313E"/>
    <w:rsid w:val="00873478"/>
    <w:rsid w:val="008736F2"/>
    <w:rsid w:val="00873D60"/>
    <w:rsid w:val="00873EFF"/>
    <w:rsid w:val="00874331"/>
    <w:rsid w:val="00874438"/>
    <w:rsid w:val="008747F6"/>
    <w:rsid w:val="00874BDC"/>
    <w:rsid w:val="00874C04"/>
    <w:rsid w:val="00874E49"/>
    <w:rsid w:val="00874F65"/>
    <w:rsid w:val="00875158"/>
    <w:rsid w:val="008752D8"/>
    <w:rsid w:val="00875397"/>
    <w:rsid w:val="00875714"/>
    <w:rsid w:val="00875A48"/>
    <w:rsid w:val="00875AA7"/>
    <w:rsid w:val="00875BC5"/>
    <w:rsid w:val="00875DBE"/>
    <w:rsid w:val="00875E74"/>
    <w:rsid w:val="00875F00"/>
    <w:rsid w:val="00876250"/>
    <w:rsid w:val="008762FE"/>
    <w:rsid w:val="0087678F"/>
    <w:rsid w:val="00876E6A"/>
    <w:rsid w:val="008771C1"/>
    <w:rsid w:val="008774DE"/>
    <w:rsid w:val="00877B1A"/>
    <w:rsid w:val="00880262"/>
    <w:rsid w:val="00880270"/>
    <w:rsid w:val="00880300"/>
    <w:rsid w:val="008805CA"/>
    <w:rsid w:val="00880763"/>
    <w:rsid w:val="0088111D"/>
    <w:rsid w:val="008812C6"/>
    <w:rsid w:val="008816AF"/>
    <w:rsid w:val="00881D29"/>
    <w:rsid w:val="008822D0"/>
    <w:rsid w:val="008822FA"/>
    <w:rsid w:val="00882334"/>
    <w:rsid w:val="00882726"/>
    <w:rsid w:val="008829BA"/>
    <w:rsid w:val="00882FC9"/>
    <w:rsid w:val="008837ED"/>
    <w:rsid w:val="00883849"/>
    <w:rsid w:val="00883B6D"/>
    <w:rsid w:val="00883B8F"/>
    <w:rsid w:val="00883F9F"/>
    <w:rsid w:val="0088435E"/>
    <w:rsid w:val="008843DF"/>
    <w:rsid w:val="00884E33"/>
    <w:rsid w:val="008851A5"/>
    <w:rsid w:val="00885284"/>
    <w:rsid w:val="00885377"/>
    <w:rsid w:val="0088537B"/>
    <w:rsid w:val="00885527"/>
    <w:rsid w:val="0088556E"/>
    <w:rsid w:val="00885627"/>
    <w:rsid w:val="00885870"/>
    <w:rsid w:val="008859F7"/>
    <w:rsid w:val="00885BD8"/>
    <w:rsid w:val="00885E0A"/>
    <w:rsid w:val="00885F5E"/>
    <w:rsid w:val="00886073"/>
    <w:rsid w:val="0088614B"/>
    <w:rsid w:val="008861AE"/>
    <w:rsid w:val="0088631D"/>
    <w:rsid w:val="00886629"/>
    <w:rsid w:val="00887750"/>
    <w:rsid w:val="00887C8B"/>
    <w:rsid w:val="00887CE6"/>
    <w:rsid w:val="008911BD"/>
    <w:rsid w:val="00891DB9"/>
    <w:rsid w:val="00891F05"/>
    <w:rsid w:val="00891FFD"/>
    <w:rsid w:val="00892091"/>
    <w:rsid w:val="00892450"/>
    <w:rsid w:val="008926F9"/>
    <w:rsid w:val="00892DBE"/>
    <w:rsid w:val="0089315D"/>
    <w:rsid w:val="0089335D"/>
    <w:rsid w:val="0089338C"/>
    <w:rsid w:val="00893814"/>
    <w:rsid w:val="0089438A"/>
    <w:rsid w:val="00894398"/>
    <w:rsid w:val="0089459B"/>
    <w:rsid w:val="0089499B"/>
    <w:rsid w:val="00894B20"/>
    <w:rsid w:val="00894E5F"/>
    <w:rsid w:val="00894E81"/>
    <w:rsid w:val="00895062"/>
    <w:rsid w:val="008950FD"/>
    <w:rsid w:val="008956C6"/>
    <w:rsid w:val="008957F0"/>
    <w:rsid w:val="00895876"/>
    <w:rsid w:val="008959FC"/>
    <w:rsid w:val="00895FEE"/>
    <w:rsid w:val="0089606E"/>
    <w:rsid w:val="0089616F"/>
    <w:rsid w:val="00896424"/>
    <w:rsid w:val="00896887"/>
    <w:rsid w:val="00896D5B"/>
    <w:rsid w:val="00896DFD"/>
    <w:rsid w:val="00896E4E"/>
    <w:rsid w:val="00896F82"/>
    <w:rsid w:val="00896FC8"/>
    <w:rsid w:val="0089755F"/>
    <w:rsid w:val="008A0204"/>
    <w:rsid w:val="008A027F"/>
    <w:rsid w:val="008A03E5"/>
    <w:rsid w:val="008A09DE"/>
    <w:rsid w:val="008A0AB9"/>
    <w:rsid w:val="008A1198"/>
    <w:rsid w:val="008A1466"/>
    <w:rsid w:val="008A1491"/>
    <w:rsid w:val="008A154E"/>
    <w:rsid w:val="008A1621"/>
    <w:rsid w:val="008A1666"/>
    <w:rsid w:val="008A17F3"/>
    <w:rsid w:val="008A18CC"/>
    <w:rsid w:val="008A1B7E"/>
    <w:rsid w:val="008A1ED6"/>
    <w:rsid w:val="008A2015"/>
    <w:rsid w:val="008A2249"/>
    <w:rsid w:val="008A2430"/>
    <w:rsid w:val="008A249B"/>
    <w:rsid w:val="008A25A5"/>
    <w:rsid w:val="008A25B9"/>
    <w:rsid w:val="008A2751"/>
    <w:rsid w:val="008A2C3C"/>
    <w:rsid w:val="008A2ECE"/>
    <w:rsid w:val="008A2FE5"/>
    <w:rsid w:val="008A324A"/>
    <w:rsid w:val="008A35BC"/>
    <w:rsid w:val="008A38C3"/>
    <w:rsid w:val="008A3998"/>
    <w:rsid w:val="008A3AA8"/>
    <w:rsid w:val="008A3B00"/>
    <w:rsid w:val="008A3B78"/>
    <w:rsid w:val="008A4523"/>
    <w:rsid w:val="008A4A19"/>
    <w:rsid w:val="008A4A60"/>
    <w:rsid w:val="008A4CCF"/>
    <w:rsid w:val="008A505F"/>
    <w:rsid w:val="008A51D2"/>
    <w:rsid w:val="008A51F5"/>
    <w:rsid w:val="008A5ABA"/>
    <w:rsid w:val="008A5C12"/>
    <w:rsid w:val="008A5F6F"/>
    <w:rsid w:val="008A5F89"/>
    <w:rsid w:val="008A6502"/>
    <w:rsid w:val="008A6AA0"/>
    <w:rsid w:val="008A6AFA"/>
    <w:rsid w:val="008A6B74"/>
    <w:rsid w:val="008A6B75"/>
    <w:rsid w:val="008A6EB1"/>
    <w:rsid w:val="008A6F40"/>
    <w:rsid w:val="008A71C2"/>
    <w:rsid w:val="008A734D"/>
    <w:rsid w:val="008A78FE"/>
    <w:rsid w:val="008A7F75"/>
    <w:rsid w:val="008B01D4"/>
    <w:rsid w:val="008B027B"/>
    <w:rsid w:val="008B0292"/>
    <w:rsid w:val="008B036D"/>
    <w:rsid w:val="008B03C8"/>
    <w:rsid w:val="008B03D8"/>
    <w:rsid w:val="008B0660"/>
    <w:rsid w:val="008B1296"/>
    <w:rsid w:val="008B1311"/>
    <w:rsid w:val="008B1370"/>
    <w:rsid w:val="008B1510"/>
    <w:rsid w:val="008B19FD"/>
    <w:rsid w:val="008B1D08"/>
    <w:rsid w:val="008B1E63"/>
    <w:rsid w:val="008B2356"/>
    <w:rsid w:val="008B28CF"/>
    <w:rsid w:val="008B2903"/>
    <w:rsid w:val="008B2956"/>
    <w:rsid w:val="008B2BCA"/>
    <w:rsid w:val="008B3240"/>
    <w:rsid w:val="008B37F8"/>
    <w:rsid w:val="008B3FC5"/>
    <w:rsid w:val="008B45BA"/>
    <w:rsid w:val="008B48DE"/>
    <w:rsid w:val="008B501C"/>
    <w:rsid w:val="008B51C0"/>
    <w:rsid w:val="008B5382"/>
    <w:rsid w:val="008B561D"/>
    <w:rsid w:val="008B568F"/>
    <w:rsid w:val="008B5737"/>
    <w:rsid w:val="008B574C"/>
    <w:rsid w:val="008B5ACF"/>
    <w:rsid w:val="008B5D6F"/>
    <w:rsid w:val="008B5DD8"/>
    <w:rsid w:val="008B61C8"/>
    <w:rsid w:val="008B64E9"/>
    <w:rsid w:val="008B6663"/>
    <w:rsid w:val="008B6C64"/>
    <w:rsid w:val="008B6CE1"/>
    <w:rsid w:val="008B6FD5"/>
    <w:rsid w:val="008B70CC"/>
    <w:rsid w:val="008B71E0"/>
    <w:rsid w:val="008B7302"/>
    <w:rsid w:val="008B7548"/>
    <w:rsid w:val="008B7D50"/>
    <w:rsid w:val="008C0182"/>
    <w:rsid w:val="008C0651"/>
    <w:rsid w:val="008C1567"/>
    <w:rsid w:val="008C15F9"/>
    <w:rsid w:val="008C1849"/>
    <w:rsid w:val="008C1868"/>
    <w:rsid w:val="008C1BCA"/>
    <w:rsid w:val="008C258F"/>
    <w:rsid w:val="008C2AD4"/>
    <w:rsid w:val="008C2B30"/>
    <w:rsid w:val="008C2BEA"/>
    <w:rsid w:val="008C2DF8"/>
    <w:rsid w:val="008C30D6"/>
    <w:rsid w:val="008C320F"/>
    <w:rsid w:val="008C346A"/>
    <w:rsid w:val="008C3475"/>
    <w:rsid w:val="008C37D2"/>
    <w:rsid w:val="008C3E19"/>
    <w:rsid w:val="008C4196"/>
    <w:rsid w:val="008C4591"/>
    <w:rsid w:val="008C48D4"/>
    <w:rsid w:val="008C4B36"/>
    <w:rsid w:val="008C5043"/>
    <w:rsid w:val="008C57CB"/>
    <w:rsid w:val="008C580D"/>
    <w:rsid w:val="008C59EB"/>
    <w:rsid w:val="008C5AD5"/>
    <w:rsid w:val="008C5B36"/>
    <w:rsid w:val="008C5F0D"/>
    <w:rsid w:val="008C6067"/>
    <w:rsid w:val="008C60AC"/>
    <w:rsid w:val="008C626A"/>
    <w:rsid w:val="008C62C9"/>
    <w:rsid w:val="008C6352"/>
    <w:rsid w:val="008C6988"/>
    <w:rsid w:val="008C6A5D"/>
    <w:rsid w:val="008C6EAA"/>
    <w:rsid w:val="008C6EE8"/>
    <w:rsid w:val="008C7112"/>
    <w:rsid w:val="008C7126"/>
    <w:rsid w:val="008C7653"/>
    <w:rsid w:val="008C77C8"/>
    <w:rsid w:val="008C77D8"/>
    <w:rsid w:val="008C7822"/>
    <w:rsid w:val="008C7AAA"/>
    <w:rsid w:val="008C7DAA"/>
    <w:rsid w:val="008C7ECE"/>
    <w:rsid w:val="008D00AB"/>
    <w:rsid w:val="008D03AD"/>
    <w:rsid w:val="008D0501"/>
    <w:rsid w:val="008D07A0"/>
    <w:rsid w:val="008D0B43"/>
    <w:rsid w:val="008D0E96"/>
    <w:rsid w:val="008D0F0F"/>
    <w:rsid w:val="008D10C8"/>
    <w:rsid w:val="008D1628"/>
    <w:rsid w:val="008D17F5"/>
    <w:rsid w:val="008D180E"/>
    <w:rsid w:val="008D1941"/>
    <w:rsid w:val="008D1C3D"/>
    <w:rsid w:val="008D1CBE"/>
    <w:rsid w:val="008D1DFE"/>
    <w:rsid w:val="008D1EDF"/>
    <w:rsid w:val="008D1FB4"/>
    <w:rsid w:val="008D206D"/>
    <w:rsid w:val="008D28F0"/>
    <w:rsid w:val="008D2C68"/>
    <w:rsid w:val="008D3063"/>
    <w:rsid w:val="008D3504"/>
    <w:rsid w:val="008D3893"/>
    <w:rsid w:val="008D3E47"/>
    <w:rsid w:val="008D413B"/>
    <w:rsid w:val="008D47A3"/>
    <w:rsid w:val="008D49A6"/>
    <w:rsid w:val="008D4AE0"/>
    <w:rsid w:val="008D4B6E"/>
    <w:rsid w:val="008D4EE3"/>
    <w:rsid w:val="008D548C"/>
    <w:rsid w:val="008D5711"/>
    <w:rsid w:val="008D579A"/>
    <w:rsid w:val="008D59A5"/>
    <w:rsid w:val="008D59B2"/>
    <w:rsid w:val="008D6030"/>
    <w:rsid w:val="008D610C"/>
    <w:rsid w:val="008D669E"/>
    <w:rsid w:val="008D6BA6"/>
    <w:rsid w:val="008D6CAC"/>
    <w:rsid w:val="008D7222"/>
    <w:rsid w:val="008D7305"/>
    <w:rsid w:val="008D73BF"/>
    <w:rsid w:val="008D7436"/>
    <w:rsid w:val="008D75C5"/>
    <w:rsid w:val="008D7C94"/>
    <w:rsid w:val="008D7D7F"/>
    <w:rsid w:val="008D7F71"/>
    <w:rsid w:val="008E00FF"/>
    <w:rsid w:val="008E02CB"/>
    <w:rsid w:val="008E03D8"/>
    <w:rsid w:val="008E0475"/>
    <w:rsid w:val="008E05F9"/>
    <w:rsid w:val="008E0925"/>
    <w:rsid w:val="008E0E12"/>
    <w:rsid w:val="008E1301"/>
    <w:rsid w:val="008E1394"/>
    <w:rsid w:val="008E1788"/>
    <w:rsid w:val="008E1894"/>
    <w:rsid w:val="008E1A18"/>
    <w:rsid w:val="008E1A97"/>
    <w:rsid w:val="008E1C4C"/>
    <w:rsid w:val="008E1CFF"/>
    <w:rsid w:val="008E1D3D"/>
    <w:rsid w:val="008E1F47"/>
    <w:rsid w:val="008E1FFA"/>
    <w:rsid w:val="008E2046"/>
    <w:rsid w:val="008E21AE"/>
    <w:rsid w:val="008E21CA"/>
    <w:rsid w:val="008E28A3"/>
    <w:rsid w:val="008E28F8"/>
    <w:rsid w:val="008E29E4"/>
    <w:rsid w:val="008E2A22"/>
    <w:rsid w:val="008E2C6B"/>
    <w:rsid w:val="008E2D4E"/>
    <w:rsid w:val="008E30EF"/>
    <w:rsid w:val="008E3971"/>
    <w:rsid w:val="008E3BE8"/>
    <w:rsid w:val="008E3CE4"/>
    <w:rsid w:val="008E4A5D"/>
    <w:rsid w:val="008E4B79"/>
    <w:rsid w:val="008E4D8C"/>
    <w:rsid w:val="008E4E9E"/>
    <w:rsid w:val="008E4F22"/>
    <w:rsid w:val="008E527F"/>
    <w:rsid w:val="008E52FD"/>
    <w:rsid w:val="008E5B64"/>
    <w:rsid w:val="008E5E59"/>
    <w:rsid w:val="008E5F71"/>
    <w:rsid w:val="008E6217"/>
    <w:rsid w:val="008E6400"/>
    <w:rsid w:val="008E6525"/>
    <w:rsid w:val="008E6616"/>
    <w:rsid w:val="008E668A"/>
    <w:rsid w:val="008E6A9A"/>
    <w:rsid w:val="008E6D97"/>
    <w:rsid w:val="008E7110"/>
    <w:rsid w:val="008E78AD"/>
    <w:rsid w:val="008E7B1D"/>
    <w:rsid w:val="008E7E70"/>
    <w:rsid w:val="008E7FB2"/>
    <w:rsid w:val="008F000C"/>
    <w:rsid w:val="008F01D9"/>
    <w:rsid w:val="008F04A6"/>
    <w:rsid w:val="008F05E2"/>
    <w:rsid w:val="008F07F5"/>
    <w:rsid w:val="008F092B"/>
    <w:rsid w:val="008F0E70"/>
    <w:rsid w:val="008F134A"/>
    <w:rsid w:val="008F13F1"/>
    <w:rsid w:val="008F1498"/>
    <w:rsid w:val="008F14FA"/>
    <w:rsid w:val="008F19FD"/>
    <w:rsid w:val="008F1B17"/>
    <w:rsid w:val="008F224F"/>
    <w:rsid w:val="008F233E"/>
    <w:rsid w:val="008F235A"/>
    <w:rsid w:val="008F26C8"/>
    <w:rsid w:val="008F2F33"/>
    <w:rsid w:val="008F3147"/>
    <w:rsid w:val="008F3175"/>
    <w:rsid w:val="008F3187"/>
    <w:rsid w:val="008F33E3"/>
    <w:rsid w:val="008F34E8"/>
    <w:rsid w:val="008F36B2"/>
    <w:rsid w:val="008F3841"/>
    <w:rsid w:val="008F3999"/>
    <w:rsid w:val="008F3B69"/>
    <w:rsid w:val="008F41F7"/>
    <w:rsid w:val="008F453A"/>
    <w:rsid w:val="008F48FC"/>
    <w:rsid w:val="008F4F60"/>
    <w:rsid w:val="008F51EF"/>
    <w:rsid w:val="008F52B2"/>
    <w:rsid w:val="008F53E4"/>
    <w:rsid w:val="008F5708"/>
    <w:rsid w:val="008F5901"/>
    <w:rsid w:val="008F5C8A"/>
    <w:rsid w:val="008F5E59"/>
    <w:rsid w:val="008F60FF"/>
    <w:rsid w:val="008F61BE"/>
    <w:rsid w:val="008F6752"/>
    <w:rsid w:val="008F68B2"/>
    <w:rsid w:val="008F6B68"/>
    <w:rsid w:val="008F7C5B"/>
    <w:rsid w:val="008F7D44"/>
    <w:rsid w:val="00900005"/>
    <w:rsid w:val="009001DF"/>
    <w:rsid w:val="009001F7"/>
    <w:rsid w:val="0090024F"/>
    <w:rsid w:val="009002D2"/>
    <w:rsid w:val="00900FCF"/>
    <w:rsid w:val="00901041"/>
    <w:rsid w:val="00901148"/>
    <w:rsid w:val="0090124D"/>
    <w:rsid w:val="009014A6"/>
    <w:rsid w:val="00901902"/>
    <w:rsid w:val="0090194A"/>
    <w:rsid w:val="009019AA"/>
    <w:rsid w:val="00901D3C"/>
    <w:rsid w:val="009020B9"/>
    <w:rsid w:val="009020F5"/>
    <w:rsid w:val="0090230D"/>
    <w:rsid w:val="00902833"/>
    <w:rsid w:val="00902B83"/>
    <w:rsid w:val="00902FCC"/>
    <w:rsid w:val="0090307D"/>
    <w:rsid w:val="00903121"/>
    <w:rsid w:val="009036BD"/>
    <w:rsid w:val="00903DE5"/>
    <w:rsid w:val="009041F0"/>
    <w:rsid w:val="00904556"/>
    <w:rsid w:val="00904564"/>
    <w:rsid w:val="0090463F"/>
    <w:rsid w:val="00904A60"/>
    <w:rsid w:val="00904ABD"/>
    <w:rsid w:val="00904B6A"/>
    <w:rsid w:val="00904B9A"/>
    <w:rsid w:val="00904EC4"/>
    <w:rsid w:val="009050CE"/>
    <w:rsid w:val="00905A07"/>
    <w:rsid w:val="00905A7E"/>
    <w:rsid w:val="00905BDD"/>
    <w:rsid w:val="00905EBD"/>
    <w:rsid w:val="0090609A"/>
    <w:rsid w:val="00906113"/>
    <w:rsid w:val="00906749"/>
    <w:rsid w:val="00906C67"/>
    <w:rsid w:val="00906F32"/>
    <w:rsid w:val="00906FFE"/>
    <w:rsid w:val="009070A6"/>
    <w:rsid w:val="009073F9"/>
    <w:rsid w:val="009077E5"/>
    <w:rsid w:val="00907985"/>
    <w:rsid w:val="00907A74"/>
    <w:rsid w:val="00907AD1"/>
    <w:rsid w:val="00907F75"/>
    <w:rsid w:val="0091024B"/>
    <w:rsid w:val="00910498"/>
    <w:rsid w:val="0091068D"/>
    <w:rsid w:val="0091081B"/>
    <w:rsid w:val="00910B06"/>
    <w:rsid w:val="00910C10"/>
    <w:rsid w:val="00910CE3"/>
    <w:rsid w:val="00910EA2"/>
    <w:rsid w:val="00910EA5"/>
    <w:rsid w:val="009111C1"/>
    <w:rsid w:val="00911539"/>
    <w:rsid w:val="00911AAA"/>
    <w:rsid w:val="00911ADD"/>
    <w:rsid w:val="00911DD6"/>
    <w:rsid w:val="00911E8C"/>
    <w:rsid w:val="009121B7"/>
    <w:rsid w:val="009126C8"/>
    <w:rsid w:val="009129DE"/>
    <w:rsid w:val="00912B74"/>
    <w:rsid w:val="00912B86"/>
    <w:rsid w:val="00912C9E"/>
    <w:rsid w:val="00913081"/>
    <w:rsid w:val="009135BC"/>
    <w:rsid w:val="009138A9"/>
    <w:rsid w:val="00913DF4"/>
    <w:rsid w:val="00913F66"/>
    <w:rsid w:val="0091408B"/>
    <w:rsid w:val="009144E8"/>
    <w:rsid w:val="00914B20"/>
    <w:rsid w:val="00914DC5"/>
    <w:rsid w:val="00914EA5"/>
    <w:rsid w:val="00915408"/>
    <w:rsid w:val="00915414"/>
    <w:rsid w:val="00915451"/>
    <w:rsid w:val="009154B0"/>
    <w:rsid w:val="009158C2"/>
    <w:rsid w:val="00915E0E"/>
    <w:rsid w:val="00915F88"/>
    <w:rsid w:val="00916886"/>
    <w:rsid w:val="00916B03"/>
    <w:rsid w:val="00916C32"/>
    <w:rsid w:val="00916EE8"/>
    <w:rsid w:val="009170CE"/>
    <w:rsid w:val="0091712F"/>
    <w:rsid w:val="0091741E"/>
    <w:rsid w:val="009176F5"/>
    <w:rsid w:val="00917AA5"/>
    <w:rsid w:val="00917DB1"/>
    <w:rsid w:val="00920004"/>
    <w:rsid w:val="009201AF"/>
    <w:rsid w:val="00920A10"/>
    <w:rsid w:val="00920AF7"/>
    <w:rsid w:val="00921094"/>
    <w:rsid w:val="00921592"/>
    <w:rsid w:val="009219A0"/>
    <w:rsid w:val="00921A5F"/>
    <w:rsid w:val="00921A69"/>
    <w:rsid w:val="00921B2F"/>
    <w:rsid w:val="00922030"/>
    <w:rsid w:val="0092230A"/>
    <w:rsid w:val="0092275A"/>
    <w:rsid w:val="00922F37"/>
    <w:rsid w:val="0092305B"/>
    <w:rsid w:val="009230EF"/>
    <w:rsid w:val="00923137"/>
    <w:rsid w:val="0092319A"/>
    <w:rsid w:val="009231D1"/>
    <w:rsid w:val="0092399E"/>
    <w:rsid w:val="00923D78"/>
    <w:rsid w:val="00923D8D"/>
    <w:rsid w:val="00923DE9"/>
    <w:rsid w:val="00923EEE"/>
    <w:rsid w:val="00923F58"/>
    <w:rsid w:val="009247AD"/>
    <w:rsid w:val="009248AD"/>
    <w:rsid w:val="00924907"/>
    <w:rsid w:val="009249CE"/>
    <w:rsid w:val="00924EA8"/>
    <w:rsid w:val="009250C0"/>
    <w:rsid w:val="0092511E"/>
    <w:rsid w:val="00925521"/>
    <w:rsid w:val="009255D6"/>
    <w:rsid w:val="009257CF"/>
    <w:rsid w:val="00925CDE"/>
    <w:rsid w:val="00925EDA"/>
    <w:rsid w:val="00925F87"/>
    <w:rsid w:val="00926139"/>
    <w:rsid w:val="00926855"/>
    <w:rsid w:val="00926B7F"/>
    <w:rsid w:val="00926C6D"/>
    <w:rsid w:val="0092723A"/>
    <w:rsid w:val="00927335"/>
    <w:rsid w:val="00927394"/>
    <w:rsid w:val="00927595"/>
    <w:rsid w:val="00927695"/>
    <w:rsid w:val="00927B80"/>
    <w:rsid w:val="00927E16"/>
    <w:rsid w:val="00927F2F"/>
    <w:rsid w:val="009301C3"/>
    <w:rsid w:val="009302CE"/>
    <w:rsid w:val="009303FB"/>
    <w:rsid w:val="00930419"/>
    <w:rsid w:val="00930472"/>
    <w:rsid w:val="009304C8"/>
    <w:rsid w:val="00930537"/>
    <w:rsid w:val="009308ED"/>
    <w:rsid w:val="00930BC0"/>
    <w:rsid w:val="00930F75"/>
    <w:rsid w:val="0093177A"/>
    <w:rsid w:val="00931888"/>
    <w:rsid w:val="00931E3C"/>
    <w:rsid w:val="00931F77"/>
    <w:rsid w:val="00932205"/>
    <w:rsid w:val="0093243E"/>
    <w:rsid w:val="009325E5"/>
    <w:rsid w:val="00932883"/>
    <w:rsid w:val="00932A42"/>
    <w:rsid w:val="00932B09"/>
    <w:rsid w:val="00932E44"/>
    <w:rsid w:val="009333B1"/>
    <w:rsid w:val="0093356A"/>
    <w:rsid w:val="009335EA"/>
    <w:rsid w:val="00933616"/>
    <w:rsid w:val="00933A7C"/>
    <w:rsid w:val="00933D79"/>
    <w:rsid w:val="00933DD8"/>
    <w:rsid w:val="0093432C"/>
    <w:rsid w:val="0093483F"/>
    <w:rsid w:val="009359E3"/>
    <w:rsid w:val="00936382"/>
    <w:rsid w:val="00936738"/>
    <w:rsid w:val="00936A09"/>
    <w:rsid w:val="00936DAE"/>
    <w:rsid w:val="00937002"/>
    <w:rsid w:val="0093708B"/>
    <w:rsid w:val="009370E6"/>
    <w:rsid w:val="0093743D"/>
    <w:rsid w:val="0093784A"/>
    <w:rsid w:val="00937B84"/>
    <w:rsid w:val="00937BC4"/>
    <w:rsid w:val="00937D55"/>
    <w:rsid w:val="00937EE0"/>
    <w:rsid w:val="0094013B"/>
    <w:rsid w:val="009408FE"/>
    <w:rsid w:val="00940950"/>
    <w:rsid w:val="00940F01"/>
    <w:rsid w:val="009415E8"/>
    <w:rsid w:val="00941639"/>
    <w:rsid w:val="00941690"/>
    <w:rsid w:val="00941A1D"/>
    <w:rsid w:val="00941C38"/>
    <w:rsid w:val="00941CB0"/>
    <w:rsid w:val="00942193"/>
    <w:rsid w:val="00942313"/>
    <w:rsid w:val="009423BD"/>
    <w:rsid w:val="0094246A"/>
    <w:rsid w:val="0094286A"/>
    <w:rsid w:val="00942B1B"/>
    <w:rsid w:val="00942EAA"/>
    <w:rsid w:val="00942F8B"/>
    <w:rsid w:val="00943419"/>
    <w:rsid w:val="00943971"/>
    <w:rsid w:val="00943A2C"/>
    <w:rsid w:val="00943E55"/>
    <w:rsid w:val="009445B0"/>
    <w:rsid w:val="009446F0"/>
    <w:rsid w:val="00944B46"/>
    <w:rsid w:val="00944DCC"/>
    <w:rsid w:val="00944F23"/>
    <w:rsid w:val="009450FE"/>
    <w:rsid w:val="00945157"/>
    <w:rsid w:val="009452AC"/>
    <w:rsid w:val="00945485"/>
    <w:rsid w:val="009455BD"/>
    <w:rsid w:val="00945C32"/>
    <w:rsid w:val="00945C8F"/>
    <w:rsid w:val="00946201"/>
    <w:rsid w:val="0094644F"/>
    <w:rsid w:val="00946652"/>
    <w:rsid w:val="009466D3"/>
    <w:rsid w:val="00946979"/>
    <w:rsid w:val="00946B57"/>
    <w:rsid w:val="00946FAD"/>
    <w:rsid w:val="00947474"/>
    <w:rsid w:val="009479F8"/>
    <w:rsid w:val="009506E2"/>
    <w:rsid w:val="009509C8"/>
    <w:rsid w:val="00950B2E"/>
    <w:rsid w:val="00950BBD"/>
    <w:rsid w:val="00950FCF"/>
    <w:rsid w:val="00951270"/>
    <w:rsid w:val="009512B8"/>
    <w:rsid w:val="0095163A"/>
    <w:rsid w:val="009516F6"/>
    <w:rsid w:val="00951AEB"/>
    <w:rsid w:val="00951D1C"/>
    <w:rsid w:val="00951D23"/>
    <w:rsid w:val="00951EBA"/>
    <w:rsid w:val="00952093"/>
    <w:rsid w:val="0095215B"/>
    <w:rsid w:val="00952429"/>
    <w:rsid w:val="00952EAD"/>
    <w:rsid w:val="009530E5"/>
    <w:rsid w:val="0095328E"/>
    <w:rsid w:val="009536FC"/>
    <w:rsid w:val="009541D7"/>
    <w:rsid w:val="0095426A"/>
    <w:rsid w:val="009543BB"/>
    <w:rsid w:val="0095455F"/>
    <w:rsid w:val="00954BD6"/>
    <w:rsid w:val="00954CEC"/>
    <w:rsid w:val="00954D87"/>
    <w:rsid w:val="00954E59"/>
    <w:rsid w:val="00955CBA"/>
    <w:rsid w:val="00955FB5"/>
    <w:rsid w:val="009563C0"/>
    <w:rsid w:val="009564C9"/>
    <w:rsid w:val="00956787"/>
    <w:rsid w:val="00956896"/>
    <w:rsid w:val="009576F1"/>
    <w:rsid w:val="0095773C"/>
    <w:rsid w:val="00957C1B"/>
    <w:rsid w:val="00957E8B"/>
    <w:rsid w:val="009604C4"/>
    <w:rsid w:val="009606D0"/>
    <w:rsid w:val="00960D74"/>
    <w:rsid w:val="00960E47"/>
    <w:rsid w:val="00960F7D"/>
    <w:rsid w:val="0096120C"/>
    <w:rsid w:val="009613A2"/>
    <w:rsid w:val="0096141C"/>
    <w:rsid w:val="009619B4"/>
    <w:rsid w:val="00961DE1"/>
    <w:rsid w:val="00961E9C"/>
    <w:rsid w:val="00962D1B"/>
    <w:rsid w:val="00962E14"/>
    <w:rsid w:val="00962EC1"/>
    <w:rsid w:val="009636B9"/>
    <w:rsid w:val="0096393C"/>
    <w:rsid w:val="00963BFD"/>
    <w:rsid w:val="00963D9E"/>
    <w:rsid w:val="00964089"/>
    <w:rsid w:val="0096410E"/>
    <w:rsid w:val="009645AC"/>
    <w:rsid w:val="00964A1F"/>
    <w:rsid w:val="00964ABF"/>
    <w:rsid w:val="00964AD7"/>
    <w:rsid w:val="00964D55"/>
    <w:rsid w:val="00965143"/>
    <w:rsid w:val="00965485"/>
    <w:rsid w:val="00965619"/>
    <w:rsid w:val="00965B0F"/>
    <w:rsid w:val="00965BEA"/>
    <w:rsid w:val="00965CAD"/>
    <w:rsid w:val="0096602B"/>
    <w:rsid w:val="0096632F"/>
    <w:rsid w:val="00966805"/>
    <w:rsid w:val="00966B88"/>
    <w:rsid w:val="00966CDD"/>
    <w:rsid w:val="00966E14"/>
    <w:rsid w:val="00966E54"/>
    <w:rsid w:val="009670AF"/>
    <w:rsid w:val="00967A79"/>
    <w:rsid w:val="00967B9C"/>
    <w:rsid w:val="00967FA1"/>
    <w:rsid w:val="009700C9"/>
    <w:rsid w:val="00970BD9"/>
    <w:rsid w:val="00970EA4"/>
    <w:rsid w:val="00970FBB"/>
    <w:rsid w:val="00971522"/>
    <w:rsid w:val="00971A17"/>
    <w:rsid w:val="00971B9B"/>
    <w:rsid w:val="00971D85"/>
    <w:rsid w:val="00971DF9"/>
    <w:rsid w:val="00971FA1"/>
    <w:rsid w:val="009720E3"/>
    <w:rsid w:val="00972CB8"/>
    <w:rsid w:val="009737F5"/>
    <w:rsid w:val="009738BA"/>
    <w:rsid w:val="00973A2F"/>
    <w:rsid w:val="00973AB8"/>
    <w:rsid w:val="00973E07"/>
    <w:rsid w:val="00973F66"/>
    <w:rsid w:val="009741D8"/>
    <w:rsid w:val="009742F3"/>
    <w:rsid w:val="0097466B"/>
    <w:rsid w:val="00974945"/>
    <w:rsid w:val="009753A8"/>
    <w:rsid w:val="009755AB"/>
    <w:rsid w:val="009757D5"/>
    <w:rsid w:val="00975838"/>
    <w:rsid w:val="0097585F"/>
    <w:rsid w:val="00975A3C"/>
    <w:rsid w:val="00975B97"/>
    <w:rsid w:val="00975F13"/>
    <w:rsid w:val="00975F49"/>
    <w:rsid w:val="0097696C"/>
    <w:rsid w:val="00977014"/>
    <w:rsid w:val="009776FA"/>
    <w:rsid w:val="00977772"/>
    <w:rsid w:val="00977846"/>
    <w:rsid w:val="00977993"/>
    <w:rsid w:val="00977DB5"/>
    <w:rsid w:val="00977FA5"/>
    <w:rsid w:val="0098015A"/>
    <w:rsid w:val="00980351"/>
    <w:rsid w:val="009805A7"/>
    <w:rsid w:val="009806CA"/>
    <w:rsid w:val="00980AD3"/>
    <w:rsid w:val="00980B6C"/>
    <w:rsid w:val="00980F0B"/>
    <w:rsid w:val="00980F0D"/>
    <w:rsid w:val="0098158D"/>
    <w:rsid w:val="009819D9"/>
    <w:rsid w:val="00981CAE"/>
    <w:rsid w:val="00981FA8"/>
    <w:rsid w:val="00982088"/>
    <w:rsid w:val="00982125"/>
    <w:rsid w:val="00982358"/>
    <w:rsid w:val="009823D9"/>
    <w:rsid w:val="0098253B"/>
    <w:rsid w:val="009829B9"/>
    <w:rsid w:val="00982B6F"/>
    <w:rsid w:val="00983235"/>
    <w:rsid w:val="009834B4"/>
    <w:rsid w:val="00983A0A"/>
    <w:rsid w:val="00983AB5"/>
    <w:rsid w:val="00983DCF"/>
    <w:rsid w:val="00983EFD"/>
    <w:rsid w:val="009841FC"/>
    <w:rsid w:val="009844F1"/>
    <w:rsid w:val="009845C8"/>
    <w:rsid w:val="00984682"/>
    <w:rsid w:val="009847AA"/>
    <w:rsid w:val="00984A6C"/>
    <w:rsid w:val="00984D4C"/>
    <w:rsid w:val="009850A0"/>
    <w:rsid w:val="009857EF"/>
    <w:rsid w:val="00985AC6"/>
    <w:rsid w:val="00985C96"/>
    <w:rsid w:val="00985D98"/>
    <w:rsid w:val="00985FC0"/>
    <w:rsid w:val="00986069"/>
    <w:rsid w:val="0098611D"/>
    <w:rsid w:val="00986219"/>
    <w:rsid w:val="009862FF"/>
    <w:rsid w:val="009863EF"/>
    <w:rsid w:val="009864AE"/>
    <w:rsid w:val="00987212"/>
    <w:rsid w:val="009872D2"/>
    <w:rsid w:val="0098735C"/>
    <w:rsid w:val="0098758E"/>
    <w:rsid w:val="0098777E"/>
    <w:rsid w:val="00987A14"/>
    <w:rsid w:val="00987BA7"/>
    <w:rsid w:val="0099003A"/>
    <w:rsid w:val="009901AA"/>
    <w:rsid w:val="00990655"/>
    <w:rsid w:val="009908F4"/>
    <w:rsid w:val="009909F9"/>
    <w:rsid w:val="00990BDA"/>
    <w:rsid w:val="00990C0A"/>
    <w:rsid w:val="00990DDE"/>
    <w:rsid w:val="00990F7C"/>
    <w:rsid w:val="00990FB6"/>
    <w:rsid w:val="0099114E"/>
    <w:rsid w:val="00991222"/>
    <w:rsid w:val="0099158E"/>
    <w:rsid w:val="00991685"/>
    <w:rsid w:val="00991B1A"/>
    <w:rsid w:val="00991D8D"/>
    <w:rsid w:val="00991F38"/>
    <w:rsid w:val="00992041"/>
    <w:rsid w:val="00992179"/>
    <w:rsid w:val="009921E7"/>
    <w:rsid w:val="0099264D"/>
    <w:rsid w:val="0099264F"/>
    <w:rsid w:val="00992802"/>
    <w:rsid w:val="009928C6"/>
    <w:rsid w:val="0099295A"/>
    <w:rsid w:val="0099298A"/>
    <w:rsid w:val="0099308D"/>
    <w:rsid w:val="009936A7"/>
    <w:rsid w:val="00993B80"/>
    <w:rsid w:val="0099409E"/>
    <w:rsid w:val="00994274"/>
    <w:rsid w:val="00994305"/>
    <w:rsid w:val="00994653"/>
    <w:rsid w:val="0099474E"/>
    <w:rsid w:val="0099479A"/>
    <w:rsid w:val="009948F1"/>
    <w:rsid w:val="00994994"/>
    <w:rsid w:val="00994F80"/>
    <w:rsid w:val="009954E6"/>
    <w:rsid w:val="0099575D"/>
    <w:rsid w:val="009957CB"/>
    <w:rsid w:val="00995A25"/>
    <w:rsid w:val="00995D20"/>
    <w:rsid w:val="00995F1F"/>
    <w:rsid w:val="009960AB"/>
    <w:rsid w:val="009963C4"/>
    <w:rsid w:val="00996749"/>
    <w:rsid w:val="00996941"/>
    <w:rsid w:val="00996A2F"/>
    <w:rsid w:val="00996A69"/>
    <w:rsid w:val="00996AEE"/>
    <w:rsid w:val="00996B53"/>
    <w:rsid w:val="009971B9"/>
    <w:rsid w:val="00997417"/>
    <w:rsid w:val="009975F5"/>
    <w:rsid w:val="0099784D"/>
    <w:rsid w:val="00997FC7"/>
    <w:rsid w:val="009A0434"/>
    <w:rsid w:val="009A0B64"/>
    <w:rsid w:val="009A0CB3"/>
    <w:rsid w:val="009A0F21"/>
    <w:rsid w:val="009A1321"/>
    <w:rsid w:val="009A1563"/>
    <w:rsid w:val="009A1A81"/>
    <w:rsid w:val="009A1E4F"/>
    <w:rsid w:val="009A21E2"/>
    <w:rsid w:val="009A21E3"/>
    <w:rsid w:val="009A268F"/>
    <w:rsid w:val="009A2A18"/>
    <w:rsid w:val="009A2D03"/>
    <w:rsid w:val="009A343A"/>
    <w:rsid w:val="009A3822"/>
    <w:rsid w:val="009A38D3"/>
    <w:rsid w:val="009A39A8"/>
    <w:rsid w:val="009A39DC"/>
    <w:rsid w:val="009A3F27"/>
    <w:rsid w:val="009A40D7"/>
    <w:rsid w:val="009A42A9"/>
    <w:rsid w:val="009A43FC"/>
    <w:rsid w:val="009A46E9"/>
    <w:rsid w:val="009A4965"/>
    <w:rsid w:val="009A4A80"/>
    <w:rsid w:val="009A4BC8"/>
    <w:rsid w:val="009A4EE2"/>
    <w:rsid w:val="009A4FEB"/>
    <w:rsid w:val="009A5035"/>
    <w:rsid w:val="009A5115"/>
    <w:rsid w:val="009A52B5"/>
    <w:rsid w:val="009A531C"/>
    <w:rsid w:val="009A5753"/>
    <w:rsid w:val="009A57EB"/>
    <w:rsid w:val="009A606E"/>
    <w:rsid w:val="009A6437"/>
    <w:rsid w:val="009A6465"/>
    <w:rsid w:val="009A65B0"/>
    <w:rsid w:val="009A6612"/>
    <w:rsid w:val="009A67A3"/>
    <w:rsid w:val="009A68C8"/>
    <w:rsid w:val="009A699B"/>
    <w:rsid w:val="009A6CA4"/>
    <w:rsid w:val="009A7168"/>
    <w:rsid w:val="009A71BC"/>
    <w:rsid w:val="009A73EF"/>
    <w:rsid w:val="009A7BA5"/>
    <w:rsid w:val="009B09DE"/>
    <w:rsid w:val="009B103D"/>
    <w:rsid w:val="009B1313"/>
    <w:rsid w:val="009B134F"/>
    <w:rsid w:val="009B1569"/>
    <w:rsid w:val="009B162D"/>
    <w:rsid w:val="009B180C"/>
    <w:rsid w:val="009B1A59"/>
    <w:rsid w:val="009B2036"/>
    <w:rsid w:val="009B23D4"/>
    <w:rsid w:val="009B2D58"/>
    <w:rsid w:val="009B2E91"/>
    <w:rsid w:val="009B3624"/>
    <w:rsid w:val="009B3E75"/>
    <w:rsid w:val="009B3EBA"/>
    <w:rsid w:val="009B3EFA"/>
    <w:rsid w:val="009B42F4"/>
    <w:rsid w:val="009B4A9B"/>
    <w:rsid w:val="009B5039"/>
    <w:rsid w:val="009B570F"/>
    <w:rsid w:val="009B585F"/>
    <w:rsid w:val="009B5C4A"/>
    <w:rsid w:val="009B6A33"/>
    <w:rsid w:val="009B6DDA"/>
    <w:rsid w:val="009B6E04"/>
    <w:rsid w:val="009B6EBC"/>
    <w:rsid w:val="009B7413"/>
    <w:rsid w:val="009B74CB"/>
    <w:rsid w:val="009B7606"/>
    <w:rsid w:val="009B7A84"/>
    <w:rsid w:val="009B7A96"/>
    <w:rsid w:val="009B7ACB"/>
    <w:rsid w:val="009B7BF3"/>
    <w:rsid w:val="009B7C85"/>
    <w:rsid w:val="009B7E02"/>
    <w:rsid w:val="009B7E22"/>
    <w:rsid w:val="009B7F90"/>
    <w:rsid w:val="009B7FD9"/>
    <w:rsid w:val="009C04E9"/>
    <w:rsid w:val="009C08B7"/>
    <w:rsid w:val="009C09B8"/>
    <w:rsid w:val="009C0B9A"/>
    <w:rsid w:val="009C0D95"/>
    <w:rsid w:val="009C0ED1"/>
    <w:rsid w:val="009C0F3A"/>
    <w:rsid w:val="009C1633"/>
    <w:rsid w:val="009C1655"/>
    <w:rsid w:val="009C17C5"/>
    <w:rsid w:val="009C17E2"/>
    <w:rsid w:val="009C181F"/>
    <w:rsid w:val="009C1AD6"/>
    <w:rsid w:val="009C202A"/>
    <w:rsid w:val="009C2214"/>
    <w:rsid w:val="009C22A9"/>
    <w:rsid w:val="009C239A"/>
    <w:rsid w:val="009C25A4"/>
    <w:rsid w:val="009C2E53"/>
    <w:rsid w:val="009C3130"/>
    <w:rsid w:val="009C34BB"/>
    <w:rsid w:val="009C3668"/>
    <w:rsid w:val="009C36AB"/>
    <w:rsid w:val="009C387F"/>
    <w:rsid w:val="009C3BC4"/>
    <w:rsid w:val="009C404D"/>
    <w:rsid w:val="009C42BD"/>
    <w:rsid w:val="009C42D6"/>
    <w:rsid w:val="009C489D"/>
    <w:rsid w:val="009C4A1B"/>
    <w:rsid w:val="009C4AE7"/>
    <w:rsid w:val="009C4C39"/>
    <w:rsid w:val="009C4CDB"/>
    <w:rsid w:val="009C4D09"/>
    <w:rsid w:val="009C4DC8"/>
    <w:rsid w:val="009C4ECF"/>
    <w:rsid w:val="009C539E"/>
    <w:rsid w:val="009C53E7"/>
    <w:rsid w:val="009C610F"/>
    <w:rsid w:val="009C659F"/>
    <w:rsid w:val="009C65A2"/>
    <w:rsid w:val="009C673A"/>
    <w:rsid w:val="009C6DB8"/>
    <w:rsid w:val="009C6EA2"/>
    <w:rsid w:val="009C6ECF"/>
    <w:rsid w:val="009C70D8"/>
    <w:rsid w:val="009C73E3"/>
    <w:rsid w:val="009C7615"/>
    <w:rsid w:val="009C7762"/>
    <w:rsid w:val="009C77BF"/>
    <w:rsid w:val="009C7959"/>
    <w:rsid w:val="009C7AE3"/>
    <w:rsid w:val="009C7C37"/>
    <w:rsid w:val="009C7CDD"/>
    <w:rsid w:val="009D0196"/>
    <w:rsid w:val="009D03AC"/>
    <w:rsid w:val="009D0DB2"/>
    <w:rsid w:val="009D0FD1"/>
    <w:rsid w:val="009D1077"/>
    <w:rsid w:val="009D11E4"/>
    <w:rsid w:val="009D1A78"/>
    <w:rsid w:val="009D1AA9"/>
    <w:rsid w:val="009D1BD6"/>
    <w:rsid w:val="009D2096"/>
    <w:rsid w:val="009D2210"/>
    <w:rsid w:val="009D23A2"/>
    <w:rsid w:val="009D2484"/>
    <w:rsid w:val="009D2529"/>
    <w:rsid w:val="009D262A"/>
    <w:rsid w:val="009D29C9"/>
    <w:rsid w:val="009D2B03"/>
    <w:rsid w:val="009D2F81"/>
    <w:rsid w:val="009D302B"/>
    <w:rsid w:val="009D343D"/>
    <w:rsid w:val="009D3502"/>
    <w:rsid w:val="009D39D6"/>
    <w:rsid w:val="009D3BF0"/>
    <w:rsid w:val="009D3F97"/>
    <w:rsid w:val="009D4309"/>
    <w:rsid w:val="009D4C9F"/>
    <w:rsid w:val="009D4D90"/>
    <w:rsid w:val="009D4F2F"/>
    <w:rsid w:val="009D4F93"/>
    <w:rsid w:val="009D5081"/>
    <w:rsid w:val="009D53F2"/>
    <w:rsid w:val="009D5747"/>
    <w:rsid w:val="009D5986"/>
    <w:rsid w:val="009D5F65"/>
    <w:rsid w:val="009D62D9"/>
    <w:rsid w:val="009D6576"/>
    <w:rsid w:val="009D65A0"/>
    <w:rsid w:val="009D65C9"/>
    <w:rsid w:val="009D6A08"/>
    <w:rsid w:val="009D6AC0"/>
    <w:rsid w:val="009D6CBA"/>
    <w:rsid w:val="009D6D69"/>
    <w:rsid w:val="009D6E07"/>
    <w:rsid w:val="009D7162"/>
    <w:rsid w:val="009D7226"/>
    <w:rsid w:val="009D73E3"/>
    <w:rsid w:val="009D7A5B"/>
    <w:rsid w:val="009D7DCA"/>
    <w:rsid w:val="009D7E2C"/>
    <w:rsid w:val="009D7F1A"/>
    <w:rsid w:val="009E00F5"/>
    <w:rsid w:val="009E05A1"/>
    <w:rsid w:val="009E0E64"/>
    <w:rsid w:val="009E1113"/>
    <w:rsid w:val="009E15BA"/>
    <w:rsid w:val="009E17B4"/>
    <w:rsid w:val="009E17D9"/>
    <w:rsid w:val="009E1A69"/>
    <w:rsid w:val="009E1B6C"/>
    <w:rsid w:val="009E25D4"/>
    <w:rsid w:val="009E3284"/>
    <w:rsid w:val="009E3321"/>
    <w:rsid w:val="009E33BA"/>
    <w:rsid w:val="009E33D7"/>
    <w:rsid w:val="009E34F2"/>
    <w:rsid w:val="009E35A8"/>
    <w:rsid w:val="009E3BC7"/>
    <w:rsid w:val="009E3C8F"/>
    <w:rsid w:val="009E3CEB"/>
    <w:rsid w:val="009E425A"/>
    <w:rsid w:val="009E4E20"/>
    <w:rsid w:val="009E505F"/>
    <w:rsid w:val="009E57F4"/>
    <w:rsid w:val="009E5815"/>
    <w:rsid w:val="009E5C98"/>
    <w:rsid w:val="009E5F03"/>
    <w:rsid w:val="009E6094"/>
    <w:rsid w:val="009E610F"/>
    <w:rsid w:val="009E61EB"/>
    <w:rsid w:val="009E6753"/>
    <w:rsid w:val="009E688A"/>
    <w:rsid w:val="009E692D"/>
    <w:rsid w:val="009E6DDC"/>
    <w:rsid w:val="009E6E43"/>
    <w:rsid w:val="009E6EA8"/>
    <w:rsid w:val="009E6F32"/>
    <w:rsid w:val="009E717D"/>
    <w:rsid w:val="009E72CB"/>
    <w:rsid w:val="009E73F1"/>
    <w:rsid w:val="009F0591"/>
    <w:rsid w:val="009F08BF"/>
    <w:rsid w:val="009F0C2B"/>
    <w:rsid w:val="009F1158"/>
    <w:rsid w:val="009F12F9"/>
    <w:rsid w:val="009F132D"/>
    <w:rsid w:val="009F14D4"/>
    <w:rsid w:val="009F1C65"/>
    <w:rsid w:val="009F1E95"/>
    <w:rsid w:val="009F222F"/>
    <w:rsid w:val="009F22C2"/>
    <w:rsid w:val="009F22CF"/>
    <w:rsid w:val="009F232F"/>
    <w:rsid w:val="009F289B"/>
    <w:rsid w:val="009F2CA6"/>
    <w:rsid w:val="009F3357"/>
    <w:rsid w:val="009F3547"/>
    <w:rsid w:val="009F364B"/>
    <w:rsid w:val="009F36EC"/>
    <w:rsid w:val="009F384E"/>
    <w:rsid w:val="009F3959"/>
    <w:rsid w:val="009F39E6"/>
    <w:rsid w:val="009F4104"/>
    <w:rsid w:val="009F456B"/>
    <w:rsid w:val="009F48DF"/>
    <w:rsid w:val="009F4B97"/>
    <w:rsid w:val="009F4E0F"/>
    <w:rsid w:val="009F5110"/>
    <w:rsid w:val="009F5237"/>
    <w:rsid w:val="009F52C6"/>
    <w:rsid w:val="009F54BA"/>
    <w:rsid w:val="009F5576"/>
    <w:rsid w:val="009F56AB"/>
    <w:rsid w:val="009F57AF"/>
    <w:rsid w:val="009F58DF"/>
    <w:rsid w:val="009F5D01"/>
    <w:rsid w:val="009F5D02"/>
    <w:rsid w:val="009F5DF3"/>
    <w:rsid w:val="009F6117"/>
    <w:rsid w:val="009F6150"/>
    <w:rsid w:val="009F6229"/>
    <w:rsid w:val="009F622D"/>
    <w:rsid w:val="009F6536"/>
    <w:rsid w:val="009F65D3"/>
    <w:rsid w:val="009F66E8"/>
    <w:rsid w:val="009F6701"/>
    <w:rsid w:val="009F6818"/>
    <w:rsid w:val="009F68F0"/>
    <w:rsid w:val="009F6930"/>
    <w:rsid w:val="009F6E86"/>
    <w:rsid w:val="009F7293"/>
    <w:rsid w:val="009F739F"/>
    <w:rsid w:val="009F7437"/>
    <w:rsid w:val="009F7512"/>
    <w:rsid w:val="009F7748"/>
    <w:rsid w:val="009F7857"/>
    <w:rsid w:val="009F7B53"/>
    <w:rsid w:val="00A00316"/>
    <w:rsid w:val="00A00685"/>
    <w:rsid w:val="00A008B2"/>
    <w:rsid w:val="00A008F4"/>
    <w:rsid w:val="00A00AD7"/>
    <w:rsid w:val="00A00E13"/>
    <w:rsid w:val="00A00FFC"/>
    <w:rsid w:val="00A0182E"/>
    <w:rsid w:val="00A018E6"/>
    <w:rsid w:val="00A01900"/>
    <w:rsid w:val="00A01AE7"/>
    <w:rsid w:val="00A01AF6"/>
    <w:rsid w:val="00A01F60"/>
    <w:rsid w:val="00A02024"/>
    <w:rsid w:val="00A021A1"/>
    <w:rsid w:val="00A02947"/>
    <w:rsid w:val="00A02A36"/>
    <w:rsid w:val="00A02B12"/>
    <w:rsid w:val="00A031EE"/>
    <w:rsid w:val="00A03714"/>
    <w:rsid w:val="00A03768"/>
    <w:rsid w:val="00A037A8"/>
    <w:rsid w:val="00A037CA"/>
    <w:rsid w:val="00A039C8"/>
    <w:rsid w:val="00A03A80"/>
    <w:rsid w:val="00A03B4E"/>
    <w:rsid w:val="00A03DFB"/>
    <w:rsid w:val="00A04005"/>
    <w:rsid w:val="00A04ADC"/>
    <w:rsid w:val="00A04C02"/>
    <w:rsid w:val="00A04F2A"/>
    <w:rsid w:val="00A04F30"/>
    <w:rsid w:val="00A05612"/>
    <w:rsid w:val="00A05749"/>
    <w:rsid w:val="00A05DBE"/>
    <w:rsid w:val="00A05F76"/>
    <w:rsid w:val="00A05FF8"/>
    <w:rsid w:val="00A067BF"/>
    <w:rsid w:val="00A06999"/>
    <w:rsid w:val="00A06ABB"/>
    <w:rsid w:val="00A06AD0"/>
    <w:rsid w:val="00A06C25"/>
    <w:rsid w:val="00A06E22"/>
    <w:rsid w:val="00A07088"/>
    <w:rsid w:val="00A070AF"/>
    <w:rsid w:val="00A0751F"/>
    <w:rsid w:val="00A075DE"/>
    <w:rsid w:val="00A076CB"/>
    <w:rsid w:val="00A077BA"/>
    <w:rsid w:val="00A07AF7"/>
    <w:rsid w:val="00A07B61"/>
    <w:rsid w:val="00A10573"/>
    <w:rsid w:val="00A107DF"/>
    <w:rsid w:val="00A10FDB"/>
    <w:rsid w:val="00A1156A"/>
    <w:rsid w:val="00A11589"/>
    <w:rsid w:val="00A11AD2"/>
    <w:rsid w:val="00A11F58"/>
    <w:rsid w:val="00A12016"/>
    <w:rsid w:val="00A12059"/>
    <w:rsid w:val="00A122AA"/>
    <w:rsid w:val="00A122E1"/>
    <w:rsid w:val="00A1242F"/>
    <w:rsid w:val="00A127A9"/>
    <w:rsid w:val="00A12938"/>
    <w:rsid w:val="00A12C70"/>
    <w:rsid w:val="00A12CE4"/>
    <w:rsid w:val="00A1328C"/>
    <w:rsid w:val="00A13377"/>
    <w:rsid w:val="00A135B0"/>
    <w:rsid w:val="00A13621"/>
    <w:rsid w:val="00A13671"/>
    <w:rsid w:val="00A139D2"/>
    <w:rsid w:val="00A13D50"/>
    <w:rsid w:val="00A1400A"/>
    <w:rsid w:val="00A14085"/>
    <w:rsid w:val="00A141FA"/>
    <w:rsid w:val="00A1429A"/>
    <w:rsid w:val="00A14370"/>
    <w:rsid w:val="00A146D1"/>
    <w:rsid w:val="00A14D51"/>
    <w:rsid w:val="00A14E04"/>
    <w:rsid w:val="00A15012"/>
    <w:rsid w:val="00A1506E"/>
    <w:rsid w:val="00A150E4"/>
    <w:rsid w:val="00A150E9"/>
    <w:rsid w:val="00A1514F"/>
    <w:rsid w:val="00A152D9"/>
    <w:rsid w:val="00A15539"/>
    <w:rsid w:val="00A15544"/>
    <w:rsid w:val="00A1556E"/>
    <w:rsid w:val="00A15EDA"/>
    <w:rsid w:val="00A162F2"/>
    <w:rsid w:val="00A1647D"/>
    <w:rsid w:val="00A16583"/>
    <w:rsid w:val="00A16D1B"/>
    <w:rsid w:val="00A16EEB"/>
    <w:rsid w:val="00A1706F"/>
    <w:rsid w:val="00A17435"/>
    <w:rsid w:val="00A17883"/>
    <w:rsid w:val="00A179E2"/>
    <w:rsid w:val="00A17F75"/>
    <w:rsid w:val="00A200E6"/>
    <w:rsid w:val="00A20330"/>
    <w:rsid w:val="00A203F9"/>
    <w:rsid w:val="00A205F5"/>
    <w:rsid w:val="00A20838"/>
    <w:rsid w:val="00A20857"/>
    <w:rsid w:val="00A20F23"/>
    <w:rsid w:val="00A21351"/>
    <w:rsid w:val="00A215A1"/>
    <w:rsid w:val="00A217AB"/>
    <w:rsid w:val="00A21B72"/>
    <w:rsid w:val="00A21B97"/>
    <w:rsid w:val="00A21BAC"/>
    <w:rsid w:val="00A221B4"/>
    <w:rsid w:val="00A2235E"/>
    <w:rsid w:val="00A224D2"/>
    <w:rsid w:val="00A2275D"/>
    <w:rsid w:val="00A228E9"/>
    <w:rsid w:val="00A22CC9"/>
    <w:rsid w:val="00A22D11"/>
    <w:rsid w:val="00A22E57"/>
    <w:rsid w:val="00A22EC6"/>
    <w:rsid w:val="00A23099"/>
    <w:rsid w:val="00A230B8"/>
    <w:rsid w:val="00A23470"/>
    <w:rsid w:val="00A23559"/>
    <w:rsid w:val="00A23C96"/>
    <w:rsid w:val="00A23E9B"/>
    <w:rsid w:val="00A24133"/>
    <w:rsid w:val="00A2458D"/>
    <w:rsid w:val="00A245F3"/>
    <w:rsid w:val="00A24784"/>
    <w:rsid w:val="00A24B48"/>
    <w:rsid w:val="00A24F53"/>
    <w:rsid w:val="00A24F6F"/>
    <w:rsid w:val="00A2511D"/>
    <w:rsid w:val="00A2514B"/>
    <w:rsid w:val="00A25189"/>
    <w:rsid w:val="00A25220"/>
    <w:rsid w:val="00A255A1"/>
    <w:rsid w:val="00A25694"/>
    <w:rsid w:val="00A25ABE"/>
    <w:rsid w:val="00A25CA5"/>
    <w:rsid w:val="00A260B9"/>
    <w:rsid w:val="00A2611F"/>
    <w:rsid w:val="00A2640B"/>
    <w:rsid w:val="00A26418"/>
    <w:rsid w:val="00A2645A"/>
    <w:rsid w:val="00A26C48"/>
    <w:rsid w:val="00A26CA1"/>
    <w:rsid w:val="00A26CAE"/>
    <w:rsid w:val="00A26CE0"/>
    <w:rsid w:val="00A26E88"/>
    <w:rsid w:val="00A2716C"/>
    <w:rsid w:val="00A27245"/>
    <w:rsid w:val="00A27384"/>
    <w:rsid w:val="00A274B1"/>
    <w:rsid w:val="00A27656"/>
    <w:rsid w:val="00A2783B"/>
    <w:rsid w:val="00A278C2"/>
    <w:rsid w:val="00A278ED"/>
    <w:rsid w:val="00A27F34"/>
    <w:rsid w:val="00A27FDA"/>
    <w:rsid w:val="00A3013F"/>
    <w:rsid w:val="00A30214"/>
    <w:rsid w:val="00A30262"/>
    <w:rsid w:val="00A306A3"/>
    <w:rsid w:val="00A306C7"/>
    <w:rsid w:val="00A30851"/>
    <w:rsid w:val="00A308F7"/>
    <w:rsid w:val="00A30A4C"/>
    <w:rsid w:val="00A30B15"/>
    <w:rsid w:val="00A30CDE"/>
    <w:rsid w:val="00A30F44"/>
    <w:rsid w:val="00A31230"/>
    <w:rsid w:val="00A313C7"/>
    <w:rsid w:val="00A314D6"/>
    <w:rsid w:val="00A316C7"/>
    <w:rsid w:val="00A318CD"/>
    <w:rsid w:val="00A31C08"/>
    <w:rsid w:val="00A32115"/>
    <w:rsid w:val="00A321D8"/>
    <w:rsid w:val="00A323E0"/>
    <w:rsid w:val="00A323F8"/>
    <w:rsid w:val="00A324E6"/>
    <w:rsid w:val="00A32976"/>
    <w:rsid w:val="00A32AD5"/>
    <w:rsid w:val="00A3398C"/>
    <w:rsid w:val="00A33C06"/>
    <w:rsid w:val="00A33D0C"/>
    <w:rsid w:val="00A33ECF"/>
    <w:rsid w:val="00A3497D"/>
    <w:rsid w:val="00A34C1B"/>
    <w:rsid w:val="00A34DC1"/>
    <w:rsid w:val="00A35099"/>
    <w:rsid w:val="00A35624"/>
    <w:rsid w:val="00A356D0"/>
    <w:rsid w:val="00A36117"/>
    <w:rsid w:val="00A36550"/>
    <w:rsid w:val="00A367F4"/>
    <w:rsid w:val="00A36A27"/>
    <w:rsid w:val="00A36DBE"/>
    <w:rsid w:val="00A36E14"/>
    <w:rsid w:val="00A36EFB"/>
    <w:rsid w:val="00A36F86"/>
    <w:rsid w:val="00A370BA"/>
    <w:rsid w:val="00A372A8"/>
    <w:rsid w:val="00A373C8"/>
    <w:rsid w:val="00A373EE"/>
    <w:rsid w:val="00A37AEC"/>
    <w:rsid w:val="00A37DA4"/>
    <w:rsid w:val="00A37EB8"/>
    <w:rsid w:val="00A37F3A"/>
    <w:rsid w:val="00A4010C"/>
    <w:rsid w:val="00A40BC5"/>
    <w:rsid w:val="00A40BEE"/>
    <w:rsid w:val="00A40CE5"/>
    <w:rsid w:val="00A40F02"/>
    <w:rsid w:val="00A4108A"/>
    <w:rsid w:val="00A41091"/>
    <w:rsid w:val="00A410F6"/>
    <w:rsid w:val="00A41353"/>
    <w:rsid w:val="00A41628"/>
    <w:rsid w:val="00A41808"/>
    <w:rsid w:val="00A41944"/>
    <w:rsid w:val="00A42314"/>
    <w:rsid w:val="00A423D0"/>
    <w:rsid w:val="00A42994"/>
    <w:rsid w:val="00A42C4A"/>
    <w:rsid w:val="00A43068"/>
    <w:rsid w:val="00A43169"/>
    <w:rsid w:val="00A432AF"/>
    <w:rsid w:val="00A43378"/>
    <w:rsid w:val="00A43532"/>
    <w:rsid w:val="00A43911"/>
    <w:rsid w:val="00A439A0"/>
    <w:rsid w:val="00A43C72"/>
    <w:rsid w:val="00A43D37"/>
    <w:rsid w:val="00A44351"/>
    <w:rsid w:val="00A446BB"/>
    <w:rsid w:val="00A4486E"/>
    <w:rsid w:val="00A44AA9"/>
    <w:rsid w:val="00A44AE3"/>
    <w:rsid w:val="00A44C61"/>
    <w:rsid w:val="00A44F3C"/>
    <w:rsid w:val="00A457FA"/>
    <w:rsid w:val="00A457FC"/>
    <w:rsid w:val="00A45B6E"/>
    <w:rsid w:val="00A45D1E"/>
    <w:rsid w:val="00A45E22"/>
    <w:rsid w:val="00A45FC3"/>
    <w:rsid w:val="00A46DB3"/>
    <w:rsid w:val="00A470DE"/>
    <w:rsid w:val="00A47B80"/>
    <w:rsid w:val="00A47EDC"/>
    <w:rsid w:val="00A47FD4"/>
    <w:rsid w:val="00A5000F"/>
    <w:rsid w:val="00A5029F"/>
    <w:rsid w:val="00A502CD"/>
    <w:rsid w:val="00A502FB"/>
    <w:rsid w:val="00A50446"/>
    <w:rsid w:val="00A505E6"/>
    <w:rsid w:val="00A509A8"/>
    <w:rsid w:val="00A5107F"/>
    <w:rsid w:val="00A511E2"/>
    <w:rsid w:val="00A51251"/>
    <w:rsid w:val="00A5130C"/>
    <w:rsid w:val="00A5134B"/>
    <w:rsid w:val="00A51426"/>
    <w:rsid w:val="00A514C5"/>
    <w:rsid w:val="00A515E5"/>
    <w:rsid w:val="00A515F4"/>
    <w:rsid w:val="00A519AB"/>
    <w:rsid w:val="00A51CEB"/>
    <w:rsid w:val="00A51E39"/>
    <w:rsid w:val="00A521C4"/>
    <w:rsid w:val="00A5278C"/>
    <w:rsid w:val="00A52B23"/>
    <w:rsid w:val="00A53133"/>
    <w:rsid w:val="00A536A6"/>
    <w:rsid w:val="00A53A0D"/>
    <w:rsid w:val="00A53A2A"/>
    <w:rsid w:val="00A53AF6"/>
    <w:rsid w:val="00A53D09"/>
    <w:rsid w:val="00A5424A"/>
    <w:rsid w:val="00A54399"/>
    <w:rsid w:val="00A54745"/>
    <w:rsid w:val="00A547A7"/>
    <w:rsid w:val="00A54830"/>
    <w:rsid w:val="00A54930"/>
    <w:rsid w:val="00A550F4"/>
    <w:rsid w:val="00A553B6"/>
    <w:rsid w:val="00A55655"/>
    <w:rsid w:val="00A5585F"/>
    <w:rsid w:val="00A55F5A"/>
    <w:rsid w:val="00A5689F"/>
    <w:rsid w:val="00A5690B"/>
    <w:rsid w:val="00A56CE6"/>
    <w:rsid w:val="00A56DBB"/>
    <w:rsid w:val="00A57043"/>
    <w:rsid w:val="00A571D0"/>
    <w:rsid w:val="00A57549"/>
    <w:rsid w:val="00A5760B"/>
    <w:rsid w:val="00A576C8"/>
    <w:rsid w:val="00A57A51"/>
    <w:rsid w:val="00A57D8A"/>
    <w:rsid w:val="00A57D8F"/>
    <w:rsid w:val="00A57FD0"/>
    <w:rsid w:val="00A60085"/>
    <w:rsid w:val="00A60334"/>
    <w:rsid w:val="00A603D4"/>
    <w:rsid w:val="00A607E6"/>
    <w:rsid w:val="00A60BF3"/>
    <w:rsid w:val="00A60C66"/>
    <w:rsid w:val="00A60CD8"/>
    <w:rsid w:val="00A60D0E"/>
    <w:rsid w:val="00A60DCE"/>
    <w:rsid w:val="00A60E81"/>
    <w:rsid w:val="00A610D4"/>
    <w:rsid w:val="00A615DC"/>
    <w:rsid w:val="00A61899"/>
    <w:rsid w:val="00A61C57"/>
    <w:rsid w:val="00A61CF8"/>
    <w:rsid w:val="00A61EC1"/>
    <w:rsid w:val="00A61F6B"/>
    <w:rsid w:val="00A621DE"/>
    <w:rsid w:val="00A6225C"/>
    <w:rsid w:val="00A623B3"/>
    <w:rsid w:val="00A6240E"/>
    <w:rsid w:val="00A62509"/>
    <w:rsid w:val="00A625B4"/>
    <w:rsid w:val="00A62677"/>
    <w:rsid w:val="00A626D6"/>
    <w:rsid w:val="00A627D3"/>
    <w:rsid w:val="00A628F0"/>
    <w:rsid w:val="00A62B41"/>
    <w:rsid w:val="00A62C29"/>
    <w:rsid w:val="00A62DBC"/>
    <w:rsid w:val="00A62E44"/>
    <w:rsid w:val="00A63157"/>
    <w:rsid w:val="00A635D0"/>
    <w:rsid w:val="00A63748"/>
    <w:rsid w:val="00A63790"/>
    <w:rsid w:val="00A637BC"/>
    <w:rsid w:val="00A638E9"/>
    <w:rsid w:val="00A63E31"/>
    <w:rsid w:val="00A63E97"/>
    <w:rsid w:val="00A63F11"/>
    <w:rsid w:val="00A63F61"/>
    <w:rsid w:val="00A646A5"/>
    <w:rsid w:val="00A646C5"/>
    <w:rsid w:val="00A64724"/>
    <w:rsid w:val="00A6477A"/>
    <w:rsid w:val="00A64AC4"/>
    <w:rsid w:val="00A64B7E"/>
    <w:rsid w:val="00A65514"/>
    <w:rsid w:val="00A65B3F"/>
    <w:rsid w:val="00A65F0D"/>
    <w:rsid w:val="00A6635B"/>
    <w:rsid w:val="00A6637E"/>
    <w:rsid w:val="00A66E3F"/>
    <w:rsid w:val="00A66EF9"/>
    <w:rsid w:val="00A67147"/>
    <w:rsid w:val="00A6761C"/>
    <w:rsid w:val="00A6788F"/>
    <w:rsid w:val="00A67BD4"/>
    <w:rsid w:val="00A67F45"/>
    <w:rsid w:val="00A701D5"/>
    <w:rsid w:val="00A7024C"/>
    <w:rsid w:val="00A703E7"/>
    <w:rsid w:val="00A70496"/>
    <w:rsid w:val="00A7061A"/>
    <w:rsid w:val="00A70689"/>
    <w:rsid w:val="00A71362"/>
    <w:rsid w:val="00A7142F"/>
    <w:rsid w:val="00A717D3"/>
    <w:rsid w:val="00A71890"/>
    <w:rsid w:val="00A71AED"/>
    <w:rsid w:val="00A71F0D"/>
    <w:rsid w:val="00A721D9"/>
    <w:rsid w:val="00A722BF"/>
    <w:rsid w:val="00A7244B"/>
    <w:rsid w:val="00A72561"/>
    <w:rsid w:val="00A72740"/>
    <w:rsid w:val="00A727FB"/>
    <w:rsid w:val="00A7289E"/>
    <w:rsid w:val="00A72FF7"/>
    <w:rsid w:val="00A73121"/>
    <w:rsid w:val="00A73466"/>
    <w:rsid w:val="00A734C6"/>
    <w:rsid w:val="00A739DB"/>
    <w:rsid w:val="00A739FE"/>
    <w:rsid w:val="00A73AAD"/>
    <w:rsid w:val="00A73CAB"/>
    <w:rsid w:val="00A73EBE"/>
    <w:rsid w:val="00A7403D"/>
    <w:rsid w:val="00A7418D"/>
    <w:rsid w:val="00A7427A"/>
    <w:rsid w:val="00A74528"/>
    <w:rsid w:val="00A74873"/>
    <w:rsid w:val="00A74A13"/>
    <w:rsid w:val="00A74F3B"/>
    <w:rsid w:val="00A74F51"/>
    <w:rsid w:val="00A75133"/>
    <w:rsid w:val="00A752A0"/>
    <w:rsid w:val="00A752D3"/>
    <w:rsid w:val="00A75482"/>
    <w:rsid w:val="00A7565B"/>
    <w:rsid w:val="00A758CC"/>
    <w:rsid w:val="00A75AFD"/>
    <w:rsid w:val="00A75B8C"/>
    <w:rsid w:val="00A76359"/>
    <w:rsid w:val="00A76806"/>
    <w:rsid w:val="00A769AA"/>
    <w:rsid w:val="00A769D2"/>
    <w:rsid w:val="00A76B2D"/>
    <w:rsid w:val="00A76CDA"/>
    <w:rsid w:val="00A76DBD"/>
    <w:rsid w:val="00A76EA6"/>
    <w:rsid w:val="00A76F35"/>
    <w:rsid w:val="00A76FAD"/>
    <w:rsid w:val="00A7737D"/>
    <w:rsid w:val="00A775E5"/>
    <w:rsid w:val="00A77789"/>
    <w:rsid w:val="00A77800"/>
    <w:rsid w:val="00A778CE"/>
    <w:rsid w:val="00A7794A"/>
    <w:rsid w:val="00A77B09"/>
    <w:rsid w:val="00A77C7A"/>
    <w:rsid w:val="00A77DD8"/>
    <w:rsid w:val="00A77E05"/>
    <w:rsid w:val="00A77F13"/>
    <w:rsid w:val="00A80178"/>
    <w:rsid w:val="00A80298"/>
    <w:rsid w:val="00A80353"/>
    <w:rsid w:val="00A80459"/>
    <w:rsid w:val="00A804DF"/>
    <w:rsid w:val="00A80789"/>
    <w:rsid w:val="00A80A52"/>
    <w:rsid w:val="00A80AF5"/>
    <w:rsid w:val="00A80B79"/>
    <w:rsid w:val="00A80BE4"/>
    <w:rsid w:val="00A81507"/>
    <w:rsid w:val="00A8165A"/>
    <w:rsid w:val="00A81A0C"/>
    <w:rsid w:val="00A81A2F"/>
    <w:rsid w:val="00A81B09"/>
    <w:rsid w:val="00A81BEB"/>
    <w:rsid w:val="00A81DD2"/>
    <w:rsid w:val="00A8222C"/>
    <w:rsid w:val="00A82467"/>
    <w:rsid w:val="00A827BD"/>
    <w:rsid w:val="00A8284D"/>
    <w:rsid w:val="00A82C1B"/>
    <w:rsid w:val="00A82E27"/>
    <w:rsid w:val="00A82F07"/>
    <w:rsid w:val="00A83786"/>
    <w:rsid w:val="00A83E85"/>
    <w:rsid w:val="00A83EC4"/>
    <w:rsid w:val="00A84051"/>
    <w:rsid w:val="00A84265"/>
    <w:rsid w:val="00A84301"/>
    <w:rsid w:val="00A84396"/>
    <w:rsid w:val="00A84457"/>
    <w:rsid w:val="00A84598"/>
    <w:rsid w:val="00A84885"/>
    <w:rsid w:val="00A84988"/>
    <w:rsid w:val="00A84B75"/>
    <w:rsid w:val="00A84F05"/>
    <w:rsid w:val="00A84FC5"/>
    <w:rsid w:val="00A85058"/>
    <w:rsid w:val="00A858DF"/>
    <w:rsid w:val="00A86506"/>
    <w:rsid w:val="00A86669"/>
    <w:rsid w:val="00A867A3"/>
    <w:rsid w:val="00A86B25"/>
    <w:rsid w:val="00A86EAA"/>
    <w:rsid w:val="00A8715A"/>
    <w:rsid w:val="00A87589"/>
    <w:rsid w:val="00A87763"/>
    <w:rsid w:val="00A87B6B"/>
    <w:rsid w:val="00A90398"/>
    <w:rsid w:val="00A9047E"/>
    <w:rsid w:val="00A907A8"/>
    <w:rsid w:val="00A90B88"/>
    <w:rsid w:val="00A90F5C"/>
    <w:rsid w:val="00A91046"/>
    <w:rsid w:val="00A917CE"/>
    <w:rsid w:val="00A9188E"/>
    <w:rsid w:val="00A91967"/>
    <w:rsid w:val="00A928E9"/>
    <w:rsid w:val="00A92969"/>
    <w:rsid w:val="00A92CCA"/>
    <w:rsid w:val="00A93F0E"/>
    <w:rsid w:val="00A94149"/>
    <w:rsid w:val="00A943B4"/>
    <w:rsid w:val="00A944C8"/>
    <w:rsid w:val="00A953D8"/>
    <w:rsid w:val="00A95944"/>
    <w:rsid w:val="00A959E1"/>
    <w:rsid w:val="00A95BC4"/>
    <w:rsid w:val="00A960CE"/>
    <w:rsid w:val="00A96165"/>
    <w:rsid w:val="00A96193"/>
    <w:rsid w:val="00A9629E"/>
    <w:rsid w:val="00A966B8"/>
    <w:rsid w:val="00A96A6F"/>
    <w:rsid w:val="00A96B19"/>
    <w:rsid w:val="00A96CAD"/>
    <w:rsid w:val="00A96DBE"/>
    <w:rsid w:val="00A96E5F"/>
    <w:rsid w:val="00A9704E"/>
    <w:rsid w:val="00A972E2"/>
    <w:rsid w:val="00A973F7"/>
    <w:rsid w:val="00A9750B"/>
    <w:rsid w:val="00A97B29"/>
    <w:rsid w:val="00A97E7A"/>
    <w:rsid w:val="00AA00C4"/>
    <w:rsid w:val="00AA01F9"/>
    <w:rsid w:val="00AA0264"/>
    <w:rsid w:val="00AA02ED"/>
    <w:rsid w:val="00AA0640"/>
    <w:rsid w:val="00AA0668"/>
    <w:rsid w:val="00AA0833"/>
    <w:rsid w:val="00AA0A7E"/>
    <w:rsid w:val="00AA0A86"/>
    <w:rsid w:val="00AA0BB9"/>
    <w:rsid w:val="00AA0C32"/>
    <w:rsid w:val="00AA0CB5"/>
    <w:rsid w:val="00AA0F7B"/>
    <w:rsid w:val="00AA10A0"/>
    <w:rsid w:val="00AA111F"/>
    <w:rsid w:val="00AA138B"/>
    <w:rsid w:val="00AA1445"/>
    <w:rsid w:val="00AA1F70"/>
    <w:rsid w:val="00AA2AD8"/>
    <w:rsid w:val="00AA2B2E"/>
    <w:rsid w:val="00AA30EC"/>
    <w:rsid w:val="00AA3350"/>
    <w:rsid w:val="00AA337E"/>
    <w:rsid w:val="00AA34B2"/>
    <w:rsid w:val="00AA35FE"/>
    <w:rsid w:val="00AA3734"/>
    <w:rsid w:val="00AA3A0B"/>
    <w:rsid w:val="00AA3CF4"/>
    <w:rsid w:val="00AA3E2F"/>
    <w:rsid w:val="00AA3EAF"/>
    <w:rsid w:val="00AA3EE1"/>
    <w:rsid w:val="00AA4119"/>
    <w:rsid w:val="00AA4146"/>
    <w:rsid w:val="00AA414C"/>
    <w:rsid w:val="00AA41C6"/>
    <w:rsid w:val="00AA4333"/>
    <w:rsid w:val="00AA47C9"/>
    <w:rsid w:val="00AA4E3B"/>
    <w:rsid w:val="00AA5249"/>
    <w:rsid w:val="00AA524D"/>
    <w:rsid w:val="00AA53D0"/>
    <w:rsid w:val="00AA5409"/>
    <w:rsid w:val="00AA5510"/>
    <w:rsid w:val="00AA558B"/>
    <w:rsid w:val="00AA59E1"/>
    <w:rsid w:val="00AA5BAB"/>
    <w:rsid w:val="00AA5E17"/>
    <w:rsid w:val="00AA5EB7"/>
    <w:rsid w:val="00AA5FD2"/>
    <w:rsid w:val="00AA6029"/>
    <w:rsid w:val="00AA638C"/>
    <w:rsid w:val="00AA65F2"/>
    <w:rsid w:val="00AA7068"/>
    <w:rsid w:val="00AA7131"/>
    <w:rsid w:val="00AA719D"/>
    <w:rsid w:val="00AA71CF"/>
    <w:rsid w:val="00AA747B"/>
    <w:rsid w:val="00AA750F"/>
    <w:rsid w:val="00AA798E"/>
    <w:rsid w:val="00AA79AD"/>
    <w:rsid w:val="00AA7B91"/>
    <w:rsid w:val="00AA7C9B"/>
    <w:rsid w:val="00AB0189"/>
    <w:rsid w:val="00AB027A"/>
    <w:rsid w:val="00AB029E"/>
    <w:rsid w:val="00AB09A0"/>
    <w:rsid w:val="00AB0DE6"/>
    <w:rsid w:val="00AB130D"/>
    <w:rsid w:val="00AB13B9"/>
    <w:rsid w:val="00AB1401"/>
    <w:rsid w:val="00AB1450"/>
    <w:rsid w:val="00AB1734"/>
    <w:rsid w:val="00AB18E9"/>
    <w:rsid w:val="00AB1BAE"/>
    <w:rsid w:val="00AB1D65"/>
    <w:rsid w:val="00AB262D"/>
    <w:rsid w:val="00AB264F"/>
    <w:rsid w:val="00AB2807"/>
    <w:rsid w:val="00AB2961"/>
    <w:rsid w:val="00AB2B60"/>
    <w:rsid w:val="00AB2C2B"/>
    <w:rsid w:val="00AB2FA6"/>
    <w:rsid w:val="00AB3359"/>
    <w:rsid w:val="00AB3381"/>
    <w:rsid w:val="00AB3478"/>
    <w:rsid w:val="00AB35DD"/>
    <w:rsid w:val="00AB38F0"/>
    <w:rsid w:val="00AB392B"/>
    <w:rsid w:val="00AB3959"/>
    <w:rsid w:val="00AB3CD9"/>
    <w:rsid w:val="00AB3D6E"/>
    <w:rsid w:val="00AB45A0"/>
    <w:rsid w:val="00AB49AA"/>
    <w:rsid w:val="00AB4C5D"/>
    <w:rsid w:val="00AB4EEF"/>
    <w:rsid w:val="00AB51CA"/>
    <w:rsid w:val="00AB5485"/>
    <w:rsid w:val="00AB5569"/>
    <w:rsid w:val="00AB57A7"/>
    <w:rsid w:val="00AB5B2B"/>
    <w:rsid w:val="00AB5F49"/>
    <w:rsid w:val="00AB646A"/>
    <w:rsid w:val="00AB66AC"/>
    <w:rsid w:val="00AB6950"/>
    <w:rsid w:val="00AB6CA8"/>
    <w:rsid w:val="00AB6EFF"/>
    <w:rsid w:val="00AB71B1"/>
    <w:rsid w:val="00AB7312"/>
    <w:rsid w:val="00AB7534"/>
    <w:rsid w:val="00AB7588"/>
    <w:rsid w:val="00AB7763"/>
    <w:rsid w:val="00AB78B2"/>
    <w:rsid w:val="00AB7CB5"/>
    <w:rsid w:val="00AB7F10"/>
    <w:rsid w:val="00AC0229"/>
    <w:rsid w:val="00AC0240"/>
    <w:rsid w:val="00AC051C"/>
    <w:rsid w:val="00AC056A"/>
    <w:rsid w:val="00AC07B4"/>
    <w:rsid w:val="00AC0BCA"/>
    <w:rsid w:val="00AC12C8"/>
    <w:rsid w:val="00AC1363"/>
    <w:rsid w:val="00AC1381"/>
    <w:rsid w:val="00AC1712"/>
    <w:rsid w:val="00AC17BB"/>
    <w:rsid w:val="00AC2199"/>
    <w:rsid w:val="00AC2599"/>
    <w:rsid w:val="00AC25E6"/>
    <w:rsid w:val="00AC2BB7"/>
    <w:rsid w:val="00AC33F6"/>
    <w:rsid w:val="00AC3462"/>
    <w:rsid w:val="00AC35C9"/>
    <w:rsid w:val="00AC36A4"/>
    <w:rsid w:val="00AC39C2"/>
    <w:rsid w:val="00AC3A7A"/>
    <w:rsid w:val="00AC43CC"/>
    <w:rsid w:val="00AC4624"/>
    <w:rsid w:val="00AC46E1"/>
    <w:rsid w:val="00AC4ADF"/>
    <w:rsid w:val="00AC4B96"/>
    <w:rsid w:val="00AC4D32"/>
    <w:rsid w:val="00AC4E64"/>
    <w:rsid w:val="00AC5399"/>
    <w:rsid w:val="00AC56B6"/>
    <w:rsid w:val="00AC5700"/>
    <w:rsid w:val="00AC573D"/>
    <w:rsid w:val="00AC59C0"/>
    <w:rsid w:val="00AC5A8D"/>
    <w:rsid w:val="00AC5BBE"/>
    <w:rsid w:val="00AC6114"/>
    <w:rsid w:val="00AC638C"/>
    <w:rsid w:val="00AC63B4"/>
    <w:rsid w:val="00AC673A"/>
    <w:rsid w:val="00AC680F"/>
    <w:rsid w:val="00AC68A7"/>
    <w:rsid w:val="00AC6BA8"/>
    <w:rsid w:val="00AC6C12"/>
    <w:rsid w:val="00AC6DE0"/>
    <w:rsid w:val="00AC71A9"/>
    <w:rsid w:val="00AC77B9"/>
    <w:rsid w:val="00AC7C6E"/>
    <w:rsid w:val="00AC7CAC"/>
    <w:rsid w:val="00AC7D29"/>
    <w:rsid w:val="00AC7E3B"/>
    <w:rsid w:val="00AC7E98"/>
    <w:rsid w:val="00AD04AE"/>
    <w:rsid w:val="00AD0E35"/>
    <w:rsid w:val="00AD0F0A"/>
    <w:rsid w:val="00AD0F9A"/>
    <w:rsid w:val="00AD109E"/>
    <w:rsid w:val="00AD190A"/>
    <w:rsid w:val="00AD1E2D"/>
    <w:rsid w:val="00AD2000"/>
    <w:rsid w:val="00AD20B2"/>
    <w:rsid w:val="00AD20E2"/>
    <w:rsid w:val="00AD2338"/>
    <w:rsid w:val="00AD2773"/>
    <w:rsid w:val="00AD2EEE"/>
    <w:rsid w:val="00AD2FB7"/>
    <w:rsid w:val="00AD3572"/>
    <w:rsid w:val="00AD37E1"/>
    <w:rsid w:val="00AD3B3A"/>
    <w:rsid w:val="00AD3BD9"/>
    <w:rsid w:val="00AD436F"/>
    <w:rsid w:val="00AD4483"/>
    <w:rsid w:val="00AD4C3E"/>
    <w:rsid w:val="00AD4EFB"/>
    <w:rsid w:val="00AD5602"/>
    <w:rsid w:val="00AD565B"/>
    <w:rsid w:val="00AD5740"/>
    <w:rsid w:val="00AD57A1"/>
    <w:rsid w:val="00AD5B03"/>
    <w:rsid w:val="00AD5B7B"/>
    <w:rsid w:val="00AD5C61"/>
    <w:rsid w:val="00AD5E6F"/>
    <w:rsid w:val="00AD5EDC"/>
    <w:rsid w:val="00AD5EEC"/>
    <w:rsid w:val="00AD63C8"/>
    <w:rsid w:val="00AD681A"/>
    <w:rsid w:val="00AD6C0F"/>
    <w:rsid w:val="00AD6C2A"/>
    <w:rsid w:val="00AD6D68"/>
    <w:rsid w:val="00AD6ECE"/>
    <w:rsid w:val="00AD6F53"/>
    <w:rsid w:val="00AD7352"/>
    <w:rsid w:val="00AD73BB"/>
    <w:rsid w:val="00AD74E4"/>
    <w:rsid w:val="00AD7577"/>
    <w:rsid w:val="00AD7789"/>
    <w:rsid w:val="00AD78D4"/>
    <w:rsid w:val="00AD7C05"/>
    <w:rsid w:val="00AD7EB6"/>
    <w:rsid w:val="00AD7FE8"/>
    <w:rsid w:val="00AE0048"/>
    <w:rsid w:val="00AE0B82"/>
    <w:rsid w:val="00AE0BA8"/>
    <w:rsid w:val="00AE0BFA"/>
    <w:rsid w:val="00AE0DCF"/>
    <w:rsid w:val="00AE0F15"/>
    <w:rsid w:val="00AE0F56"/>
    <w:rsid w:val="00AE14BB"/>
    <w:rsid w:val="00AE1580"/>
    <w:rsid w:val="00AE182F"/>
    <w:rsid w:val="00AE18A5"/>
    <w:rsid w:val="00AE19F9"/>
    <w:rsid w:val="00AE1B7C"/>
    <w:rsid w:val="00AE1DD7"/>
    <w:rsid w:val="00AE28D8"/>
    <w:rsid w:val="00AE290F"/>
    <w:rsid w:val="00AE2D20"/>
    <w:rsid w:val="00AE2E76"/>
    <w:rsid w:val="00AE2F23"/>
    <w:rsid w:val="00AE342D"/>
    <w:rsid w:val="00AE356F"/>
    <w:rsid w:val="00AE358D"/>
    <w:rsid w:val="00AE3696"/>
    <w:rsid w:val="00AE3908"/>
    <w:rsid w:val="00AE391E"/>
    <w:rsid w:val="00AE3999"/>
    <w:rsid w:val="00AE39E1"/>
    <w:rsid w:val="00AE3A3B"/>
    <w:rsid w:val="00AE3A3C"/>
    <w:rsid w:val="00AE3D9E"/>
    <w:rsid w:val="00AE3DCD"/>
    <w:rsid w:val="00AE3E51"/>
    <w:rsid w:val="00AE4002"/>
    <w:rsid w:val="00AE40F7"/>
    <w:rsid w:val="00AE44B3"/>
    <w:rsid w:val="00AE471D"/>
    <w:rsid w:val="00AE47C4"/>
    <w:rsid w:val="00AE4DF9"/>
    <w:rsid w:val="00AE5044"/>
    <w:rsid w:val="00AE50C0"/>
    <w:rsid w:val="00AE53BB"/>
    <w:rsid w:val="00AE56E0"/>
    <w:rsid w:val="00AE5E10"/>
    <w:rsid w:val="00AE6542"/>
    <w:rsid w:val="00AE656E"/>
    <w:rsid w:val="00AE6AE5"/>
    <w:rsid w:val="00AE6D4B"/>
    <w:rsid w:val="00AE73E9"/>
    <w:rsid w:val="00AE75F9"/>
    <w:rsid w:val="00AE7666"/>
    <w:rsid w:val="00AE794B"/>
    <w:rsid w:val="00AE7C98"/>
    <w:rsid w:val="00AE7E21"/>
    <w:rsid w:val="00AE7F5C"/>
    <w:rsid w:val="00AF01DD"/>
    <w:rsid w:val="00AF0476"/>
    <w:rsid w:val="00AF06E4"/>
    <w:rsid w:val="00AF076F"/>
    <w:rsid w:val="00AF0868"/>
    <w:rsid w:val="00AF095A"/>
    <w:rsid w:val="00AF0AD2"/>
    <w:rsid w:val="00AF10AC"/>
    <w:rsid w:val="00AF11B3"/>
    <w:rsid w:val="00AF19F8"/>
    <w:rsid w:val="00AF2311"/>
    <w:rsid w:val="00AF23DD"/>
    <w:rsid w:val="00AF251E"/>
    <w:rsid w:val="00AF27AA"/>
    <w:rsid w:val="00AF2B42"/>
    <w:rsid w:val="00AF2C19"/>
    <w:rsid w:val="00AF2D1D"/>
    <w:rsid w:val="00AF2F58"/>
    <w:rsid w:val="00AF3468"/>
    <w:rsid w:val="00AF346E"/>
    <w:rsid w:val="00AF3802"/>
    <w:rsid w:val="00AF3AEF"/>
    <w:rsid w:val="00AF3BD5"/>
    <w:rsid w:val="00AF3C81"/>
    <w:rsid w:val="00AF3CC6"/>
    <w:rsid w:val="00AF3F6A"/>
    <w:rsid w:val="00AF4972"/>
    <w:rsid w:val="00AF4CD6"/>
    <w:rsid w:val="00AF4DA5"/>
    <w:rsid w:val="00AF5711"/>
    <w:rsid w:val="00AF5833"/>
    <w:rsid w:val="00AF59B1"/>
    <w:rsid w:val="00AF5C54"/>
    <w:rsid w:val="00AF5C5B"/>
    <w:rsid w:val="00AF5D43"/>
    <w:rsid w:val="00AF6128"/>
    <w:rsid w:val="00AF6380"/>
    <w:rsid w:val="00AF658C"/>
    <w:rsid w:val="00AF67B0"/>
    <w:rsid w:val="00AF6888"/>
    <w:rsid w:val="00AF6A67"/>
    <w:rsid w:val="00AF6CA5"/>
    <w:rsid w:val="00AF6D0C"/>
    <w:rsid w:val="00AF6E9D"/>
    <w:rsid w:val="00AF717F"/>
    <w:rsid w:val="00AF7301"/>
    <w:rsid w:val="00AF75DA"/>
    <w:rsid w:val="00AF7D91"/>
    <w:rsid w:val="00B00692"/>
    <w:rsid w:val="00B00739"/>
    <w:rsid w:val="00B008AC"/>
    <w:rsid w:val="00B0092E"/>
    <w:rsid w:val="00B00D11"/>
    <w:rsid w:val="00B00EAC"/>
    <w:rsid w:val="00B01087"/>
    <w:rsid w:val="00B013A5"/>
    <w:rsid w:val="00B0184E"/>
    <w:rsid w:val="00B018CA"/>
    <w:rsid w:val="00B019F2"/>
    <w:rsid w:val="00B01CE9"/>
    <w:rsid w:val="00B02128"/>
    <w:rsid w:val="00B027ED"/>
    <w:rsid w:val="00B02A25"/>
    <w:rsid w:val="00B02A52"/>
    <w:rsid w:val="00B02B60"/>
    <w:rsid w:val="00B02CE8"/>
    <w:rsid w:val="00B02EAF"/>
    <w:rsid w:val="00B02EBB"/>
    <w:rsid w:val="00B032A5"/>
    <w:rsid w:val="00B0383D"/>
    <w:rsid w:val="00B0387D"/>
    <w:rsid w:val="00B039F8"/>
    <w:rsid w:val="00B04568"/>
    <w:rsid w:val="00B046E8"/>
    <w:rsid w:val="00B047A4"/>
    <w:rsid w:val="00B04D82"/>
    <w:rsid w:val="00B04E2F"/>
    <w:rsid w:val="00B04FE5"/>
    <w:rsid w:val="00B05296"/>
    <w:rsid w:val="00B05519"/>
    <w:rsid w:val="00B05664"/>
    <w:rsid w:val="00B0580C"/>
    <w:rsid w:val="00B05A8D"/>
    <w:rsid w:val="00B05DBF"/>
    <w:rsid w:val="00B05E2A"/>
    <w:rsid w:val="00B066BD"/>
    <w:rsid w:val="00B06ABF"/>
    <w:rsid w:val="00B06C13"/>
    <w:rsid w:val="00B07069"/>
    <w:rsid w:val="00B0716E"/>
    <w:rsid w:val="00B074F9"/>
    <w:rsid w:val="00B075FE"/>
    <w:rsid w:val="00B076CD"/>
    <w:rsid w:val="00B07D67"/>
    <w:rsid w:val="00B07F6B"/>
    <w:rsid w:val="00B100BE"/>
    <w:rsid w:val="00B10340"/>
    <w:rsid w:val="00B10570"/>
    <w:rsid w:val="00B10AAB"/>
    <w:rsid w:val="00B10AD2"/>
    <w:rsid w:val="00B10B33"/>
    <w:rsid w:val="00B10D2B"/>
    <w:rsid w:val="00B10E33"/>
    <w:rsid w:val="00B10EB8"/>
    <w:rsid w:val="00B110CD"/>
    <w:rsid w:val="00B11939"/>
    <w:rsid w:val="00B11D8B"/>
    <w:rsid w:val="00B12442"/>
    <w:rsid w:val="00B12AC4"/>
    <w:rsid w:val="00B13205"/>
    <w:rsid w:val="00B1324C"/>
    <w:rsid w:val="00B13780"/>
    <w:rsid w:val="00B138B4"/>
    <w:rsid w:val="00B13BB1"/>
    <w:rsid w:val="00B13F30"/>
    <w:rsid w:val="00B13FB7"/>
    <w:rsid w:val="00B145A1"/>
    <w:rsid w:val="00B14A9E"/>
    <w:rsid w:val="00B14BBF"/>
    <w:rsid w:val="00B14DBE"/>
    <w:rsid w:val="00B1512E"/>
    <w:rsid w:val="00B153BD"/>
    <w:rsid w:val="00B15446"/>
    <w:rsid w:val="00B1558E"/>
    <w:rsid w:val="00B155C5"/>
    <w:rsid w:val="00B15CC5"/>
    <w:rsid w:val="00B15E8B"/>
    <w:rsid w:val="00B15E96"/>
    <w:rsid w:val="00B161A0"/>
    <w:rsid w:val="00B162EA"/>
    <w:rsid w:val="00B16557"/>
    <w:rsid w:val="00B166A8"/>
    <w:rsid w:val="00B16838"/>
    <w:rsid w:val="00B16924"/>
    <w:rsid w:val="00B16945"/>
    <w:rsid w:val="00B16AA9"/>
    <w:rsid w:val="00B17019"/>
    <w:rsid w:val="00B17169"/>
    <w:rsid w:val="00B179F0"/>
    <w:rsid w:val="00B17C02"/>
    <w:rsid w:val="00B17CC1"/>
    <w:rsid w:val="00B20131"/>
    <w:rsid w:val="00B20664"/>
    <w:rsid w:val="00B2077B"/>
    <w:rsid w:val="00B207A5"/>
    <w:rsid w:val="00B20D69"/>
    <w:rsid w:val="00B20DF1"/>
    <w:rsid w:val="00B211AB"/>
    <w:rsid w:val="00B2147B"/>
    <w:rsid w:val="00B214D8"/>
    <w:rsid w:val="00B2150D"/>
    <w:rsid w:val="00B216C5"/>
    <w:rsid w:val="00B219F8"/>
    <w:rsid w:val="00B21A9F"/>
    <w:rsid w:val="00B21D68"/>
    <w:rsid w:val="00B21ECB"/>
    <w:rsid w:val="00B21EF9"/>
    <w:rsid w:val="00B21FC8"/>
    <w:rsid w:val="00B225D8"/>
    <w:rsid w:val="00B22DBD"/>
    <w:rsid w:val="00B23291"/>
    <w:rsid w:val="00B23292"/>
    <w:rsid w:val="00B234BD"/>
    <w:rsid w:val="00B2369D"/>
    <w:rsid w:val="00B238C6"/>
    <w:rsid w:val="00B23A85"/>
    <w:rsid w:val="00B23CD9"/>
    <w:rsid w:val="00B23E66"/>
    <w:rsid w:val="00B23FB0"/>
    <w:rsid w:val="00B24754"/>
    <w:rsid w:val="00B24812"/>
    <w:rsid w:val="00B249D0"/>
    <w:rsid w:val="00B24A46"/>
    <w:rsid w:val="00B24AD9"/>
    <w:rsid w:val="00B25002"/>
    <w:rsid w:val="00B250AF"/>
    <w:rsid w:val="00B251F0"/>
    <w:rsid w:val="00B25F41"/>
    <w:rsid w:val="00B260F8"/>
    <w:rsid w:val="00B26CE3"/>
    <w:rsid w:val="00B26D34"/>
    <w:rsid w:val="00B273A9"/>
    <w:rsid w:val="00B27A3D"/>
    <w:rsid w:val="00B27A4D"/>
    <w:rsid w:val="00B27B6B"/>
    <w:rsid w:val="00B27CED"/>
    <w:rsid w:val="00B300D5"/>
    <w:rsid w:val="00B30216"/>
    <w:rsid w:val="00B3097B"/>
    <w:rsid w:val="00B30C28"/>
    <w:rsid w:val="00B3103C"/>
    <w:rsid w:val="00B3149B"/>
    <w:rsid w:val="00B31D29"/>
    <w:rsid w:val="00B31D5F"/>
    <w:rsid w:val="00B31DED"/>
    <w:rsid w:val="00B3206C"/>
    <w:rsid w:val="00B32120"/>
    <w:rsid w:val="00B3248E"/>
    <w:rsid w:val="00B32BFA"/>
    <w:rsid w:val="00B32CDA"/>
    <w:rsid w:val="00B32FC5"/>
    <w:rsid w:val="00B32FEC"/>
    <w:rsid w:val="00B3320D"/>
    <w:rsid w:val="00B335C1"/>
    <w:rsid w:val="00B335D5"/>
    <w:rsid w:val="00B33705"/>
    <w:rsid w:val="00B33918"/>
    <w:rsid w:val="00B33A27"/>
    <w:rsid w:val="00B33FF2"/>
    <w:rsid w:val="00B34308"/>
    <w:rsid w:val="00B3450E"/>
    <w:rsid w:val="00B3463A"/>
    <w:rsid w:val="00B34A52"/>
    <w:rsid w:val="00B34D26"/>
    <w:rsid w:val="00B34D8B"/>
    <w:rsid w:val="00B35218"/>
    <w:rsid w:val="00B355CF"/>
    <w:rsid w:val="00B35835"/>
    <w:rsid w:val="00B35A63"/>
    <w:rsid w:val="00B35E90"/>
    <w:rsid w:val="00B36426"/>
    <w:rsid w:val="00B3652C"/>
    <w:rsid w:val="00B3673D"/>
    <w:rsid w:val="00B3695E"/>
    <w:rsid w:val="00B36BDB"/>
    <w:rsid w:val="00B36BDF"/>
    <w:rsid w:val="00B3750E"/>
    <w:rsid w:val="00B3757A"/>
    <w:rsid w:val="00B375F5"/>
    <w:rsid w:val="00B37652"/>
    <w:rsid w:val="00B37712"/>
    <w:rsid w:val="00B37844"/>
    <w:rsid w:val="00B37A12"/>
    <w:rsid w:val="00B37B66"/>
    <w:rsid w:val="00B37B90"/>
    <w:rsid w:val="00B37EDE"/>
    <w:rsid w:val="00B40037"/>
    <w:rsid w:val="00B4026F"/>
    <w:rsid w:val="00B403C3"/>
    <w:rsid w:val="00B409E8"/>
    <w:rsid w:val="00B40B0D"/>
    <w:rsid w:val="00B40BA2"/>
    <w:rsid w:val="00B41019"/>
    <w:rsid w:val="00B4123D"/>
    <w:rsid w:val="00B41EBD"/>
    <w:rsid w:val="00B41F7E"/>
    <w:rsid w:val="00B42359"/>
    <w:rsid w:val="00B4236A"/>
    <w:rsid w:val="00B423BC"/>
    <w:rsid w:val="00B4255B"/>
    <w:rsid w:val="00B426B6"/>
    <w:rsid w:val="00B42C5A"/>
    <w:rsid w:val="00B435B7"/>
    <w:rsid w:val="00B435D2"/>
    <w:rsid w:val="00B43678"/>
    <w:rsid w:val="00B436AE"/>
    <w:rsid w:val="00B4373D"/>
    <w:rsid w:val="00B43883"/>
    <w:rsid w:val="00B43C25"/>
    <w:rsid w:val="00B44383"/>
    <w:rsid w:val="00B44595"/>
    <w:rsid w:val="00B448A0"/>
    <w:rsid w:val="00B448EC"/>
    <w:rsid w:val="00B44C43"/>
    <w:rsid w:val="00B44D64"/>
    <w:rsid w:val="00B45288"/>
    <w:rsid w:val="00B45C6D"/>
    <w:rsid w:val="00B462C6"/>
    <w:rsid w:val="00B46811"/>
    <w:rsid w:val="00B46859"/>
    <w:rsid w:val="00B46CCA"/>
    <w:rsid w:val="00B46D59"/>
    <w:rsid w:val="00B46FD9"/>
    <w:rsid w:val="00B47690"/>
    <w:rsid w:val="00B476BC"/>
    <w:rsid w:val="00B47767"/>
    <w:rsid w:val="00B47B6A"/>
    <w:rsid w:val="00B47E7F"/>
    <w:rsid w:val="00B47E94"/>
    <w:rsid w:val="00B504B9"/>
    <w:rsid w:val="00B5078E"/>
    <w:rsid w:val="00B50961"/>
    <w:rsid w:val="00B50972"/>
    <w:rsid w:val="00B50BF7"/>
    <w:rsid w:val="00B50D18"/>
    <w:rsid w:val="00B50EBB"/>
    <w:rsid w:val="00B512CA"/>
    <w:rsid w:val="00B51303"/>
    <w:rsid w:val="00B51403"/>
    <w:rsid w:val="00B515B9"/>
    <w:rsid w:val="00B51791"/>
    <w:rsid w:val="00B517B3"/>
    <w:rsid w:val="00B5187B"/>
    <w:rsid w:val="00B51A1C"/>
    <w:rsid w:val="00B51FFC"/>
    <w:rsid w:val="00B52337"/>
    <w:rsid w:val="00B5242D"/>
    <w:rsid w:val="00B524FD"/>
    <w:rsid w:val="00B5271A"/>
    <w:rsid w:val="00B52C3B"/>
    <w:rsid w:val="00B52E71"/>
    <w:rsid w:val="00B530A8"/>
    <w:rsid w:val="00B53431"/>
    <w:rsid w:val="00B53478"/>
    <w:rsid w:val="00B53587"/>
    <w:rsid w:val="00B53813"/>
    <w:rsid w:val="00B539EE"/>
    <w:rsid w:val="00B53E79"/>
    <w:rsid w:val="00B53FA4"/>
    <w:rsid w:val="00B540DD"/>
    <w:rsid w:val="00B54780"/>
    <w:rsid w:val="00B54861"/>
    <w:rsid w:val="00B54AFB"/>
    <w:rsid w:val="00B54C97"/>
    <w:rsid w:val="00B54E35"/>
    <w:rsid w:val="00B55245"/>
    <w:rsid w:val="00B554BA"/>
    <w:rsid w:val="00B55A00"/>
    <w:rsid w:val="00B55C30"/>
    <w:rsid w:val="00B55F50"/>
    <w:rsid w:val="00B5652C"/>
    <w:rsid w:val="00B56584"/>
    <w:rsid w:val="00B56634"/>
    <w:rsid w:val="00B567FE"/>
    <w:rsid w:val="00B56D7F"/>
    <w:rsid w:val="00B56E02"/>
    <w:rsid w:val="00B57319"/>
    <w:rsid w:val="00B57BA8"/>
    <w:rsid w:val="00B57C45"/>
    <w:rsid w:val="00B57D10"/>
    <w:rsid w:val="00B57DE7"/>
    <w:rsid w:val="00B57F11"/>
    <w:rsid w:val="00B601E7"/>
    <w:rsid w:val="00B60628"/>
    <w:rsid w:val="00B6066E"/>
    <w:rsid w:val="00B6079F"/>
    <w:rsid w:val="00B60A7A"/>
    <w:rsid w:val="00B614FF"/>
    <w:rsid w:val="00B621ED"/>
    <w:rsid w:val="00B6237B"/>
    <w:rsid w:val="00B624B8"/>
    <w:rsid w:val="00B626F3"/>
    <w:rsid w:val="00B628A0"/>
    <w:rsid w:val="00B62921"/>
    <w:rsid w:val="00B62BC2"/>
    <w:rsid w:val="00B62C50"/>
    <w:rsid w:val="00B62DF9"/>
    <w:rsid w:val="00B62E03"/>
    <w:rsid w:val="00B630FC"/>
    <w:rsid w:val="00B632DE"/>
    <w:rsid w:val="00B632E9"/>
    <w:rsid w:val="00B63AB2"/>
    <w:rsid w:val="00B63BA0"/>
    <w:rsid w:val="00B63E65"/>
    <w:rsid w:val="00B63FB4"/>
    <w:rsid w:val="00B64112"/>
    <w:rsid w:val="00B6425A"/>
    <w:rsid w:val="00B64424"/>
    <w:rsid w:val="00B646F0"/>
    <w:rsid w:val="00B649EC"/>
    <w:rsid w:val="00B64D61"/>
    <w:rsid w:val="00B651B4"/>
    <w:rsid w:val="00B654C2"/>
    <w:rsid w:val="00B65828"/>
    <w:rsid w:val="00B6585E"/>
    <w:rsid w:val="00B65DDE"/>
    <w:rsid w:val="00B6649C"/>
    <w:rsid w:val="00B6650A"/>
    <w:rsid w:val="00B66550"/>
    <w:rsid w:val="00B66745"/>
    <w:rsid w:val="00B668CE"/>
    <w:rsid w:val="00B6692E"/>
    <w:rsid w:val="00B669FC"/>
    <w:rsid w:val="00B673C0"/>
    <w:rsid w:val="00B67543"/>
    <w:rsid w:val="00B67619"/>
    <w:rsid w:val="00B679D2"/>
    <w:rsid w:val="00B70164"/>
    <w:rsid w:val="00B702A4"/>
    <w:rsid w:val="00B704A5"/>
    <w:rsid w:val="00B70DF4"/>
    <w:rsid w:val="00B70FB3"/>
    <w:rsid w:val="00B7102C"/>
    <w:rsid w:val="00B712B9"/>
    <w:rsid w:val="00B71340"/>
    <w:rsid w:val="00B7136A"/>
    <w:rsid w:val="00B71518"/>
    <w:rsid w:val="00B71ABE"/>
    <w:rsid w:val="00B72A81"/>
    <w:rsid w:val="00B72AA9"/>
    <w:rsid w:val="00B72ADE"/>
    <w:rsid w:val="00B72E1E"/>
    <w:rsid w:val="00B72F0D"/>
    <w:rsid w:val="00B733FF"/>
    <w:rsid w:val="00B735C8"/>
    <w:rsid w:val="00B73A36"/>
    <w:rsid w:val="00B73A3D"/>
    <w:rsid w:val="00B73A55"/>
    <w:rsid w:val="00B73DAD"/>
    <w:rsid w:val="00B74169"/>
    <w:rsid w:val="00B7431C"/>
    <w:rsid w:val="00B744C5"/>
    <w:rsid w:val="00B7487F"/>
    <w:rsid w:val="00B748CF"/>
    <w:rsid w:val="00B749AB"/>
    <w:rsid w:val="00B74C48"/>
    <w:rsid w:val="00B74F01"/>
    <w:rsid w:val="00B74FC4"/>
    <w:rsid w:val="00B75161"/>
    <w:rsid w:val="00B7563F"/>
    <w:rsid w:val="00B756E4"/>
    <w:rsid w:val="00B756E5"/>
    <w:rsid w:val="00B75707"/>
    <w:rsid w:val="00B757AA"/>
    <w:rsid w:val="00B7588F"/>
    <w:rsid w:val="00B75BB8"/>
    <w:rsid w:val="00B7610C"/>
    <w:rsid w:val="00B763F0"/>
    <w:rsid w:val="00B76712"/>
    <w:rsid w:val="00B7686B"/>
    <w:rsid w:val="00B76A33"/>
    <w:rsid w:val="00B76C2B"/>
    <w:rsid w:val="00B76F4E"/>
    <w:rsid w:val="00B7707A"/>
    <w:rsid w:val="00B77315"/>
    <w:rsid w:val="00B773BA"/>
    <w:rsid w:val="00B775C7"/>
    <w:rsid w:val="00B77A36"/>
    <w:rsid w:val="00B77B33"/>
    <w:rsid w:val="00B77F19"/>
    <w:rsid w:val="00B8006E"/>
    <w:rsid w:val="00B807E7"/>
    <w:rsid w:val="00B80BB2"/>
    <w:rsid w:val="00B81060"/>
    <w:rsid w:val="00B810AF"/>
    <w:rsid w:val="00B810B8"/>
    <w:rsid w:val="00B813AE"/>
    <w:rsid w:val="00B81A2A"/>
    <w:rsid w:val="00B81D29"/>
    <w:rsid w:val="00B81E47"/>
    <w:rsid w:val="00B8222B"/>
    <w:rsid w:val="00B82264"/>
    <w:rsid w:val="00B827C7"/>
    <w:rsid w:val="00B829D9"/>
    <w:rsid w:val="00B82B8F"/>
    <w:rsid w:val="00B82C93"/>
    <w:rsid w:val="00B82D53"/>
    <w:rsid w:val="00B82E48"/>
    <w:rsid w:val="00B83BC7"/>
    <w:rsid w:val="00B83C2E"/>
    <w:rsid w:val="00B83F29"/>
    <w:rsid w:val="00B83F4B"/>
    <w:rsid w:val="00B84108"/>
    <w:rsid w:val="00B84B7C"/>
    <w:rsid w:val="00B84E07"/>
    <w:rsid w:val="00B84E59"/>
    <w:rsid w:val="00B8534A"/>
    <w:rsid w:val="00B8574E"/>
    <w:rsid w:val="00B85AEE"/>
    <w:rsid w:val="00B85FE2"/>
    <w:rsid w:val="00B86573"/>
    <w:rsid w:val="00B86732"/>
    <w:rsid w:val="00B86C78"/>
    <w:rsid w:val="00B86C85"/>
    <w:rsid w:val="00B86D11"/>
    <w:rsid w:val="00B87372"/>
    <w:rsid w:val="00B875A4"/>
    <w:rsid w:val="00B877F4"/>
    <w:rsid w:val="00B8797F"/>
    <w:rsid w:val="00B904C1"/>
    <w:rsid w:val="00B90634"/>
    <w:rsid w:val="00B90C2E"/>
    <w:rsid w:val="00B90E19"/>
    <w:rsid w:val="00B91025"/>
    <w:rsid w:val="00B91559"/>
    <w:rsid w:val="00B91F6F"/>
    <w:rsid w:val="00B9207A"/>
    <w:rsid w:val="00B92123"/>
    <w:rsid w:val="00B921EE"/>
    <w:rsid w:val="00B928D9"/>
    <w:rsid w:val="00B929BC"/>
    <w:rsid w:val="00B929EC"/>
    <w:rsid w:val="00B92C64"/>
    <w:rsid w:val="00B939BA"/>
    <w:rsid w:val="00B93D00"/>
    <w:rsid w:val="00B9405C"/>
    <w:rsid w:val="00B940DF"/>
    <w:rsid w:val="00B940E7"/>
    <w:rsid w:val="00B94169"/>
    <w:rsid w:val="00B941B7"/>
    <w:rsid w:val="00B9454B"/>
    <w:rsid w:val="00B9464D"/>
    <w:rsid w:val="00B94E27"/>
    <w:rsid w:val="00B9523A"/>
    <w:rsid w:val="00B95A01"/>
    <w:rsid w:val="00B95AA9"/>
    <w:rsid w:val="00B95BBB"/>
    <w:rsid w:val="00B960D7"/>
    <w:rsid w:val="00B961BC"/>
    <w:rsid w:val="00B9633D"/>
    <w:rsid w:val="00B96484"/>
    <w:rsid w:val="00B96513"/>
    <w:rsid w:val="00B968FE"/>
    <w:rsid w:val="00B96EAE"/>
    <w:rsid w:val="00B97465"/>
    <w:rsid w:val="00B97535"/>
    <w:rsid w:val="00B9787D"/>
    <w:rsid w:val="00BA004D"/>
    <w:rsid w:val="00BA019D"/>
    <w:rsid w:val="00BA058B"/>
    <w:rsid w:val="00BA0BCF"/>
    <w:rsid w:val="00BA0C4C"/>
    <w:rsid w:val="00BA138D"/>
    <w:rsid w:val="00BA18B0"/>
    <w:rsid w:val="00BA18D2"/>
    <w:rsid w:val="00BA1976"/>
    <w:rsid w:val="00BA1A89"/>
    <w:rsid w:val="00BA1BDA"/>
    <w:rsid w:val="00BA1C9F"/>
    <w:rsid w:val="00BA2053"/>
    <w:rsid w:val="00BA21DB"/>
    <w:rsid w:val="00BA22CB"/>
    <w:rsid w:val="00BA2346"/>
    <w:rsid w:val="00BA2532"/>
    <w:rsid w:val="00BA2571"/>
    <w:rsid w:val="00BA2B89"/>
    <w:rsid w:val="00BA3404"/>
    <w:rsid w:val="00BA3458"/>
    <w:rsid w:val="00BA36DD"/>
    <w:rsid w:val="00BA38C8"/>
    <w:rsid w:val="00BA38E4"/>
    <w:rsid w:val="00BA39F7"/>
    <w:rsid w:val="00BA3A6C"/>
    <w:rsid w:val="00BA3B00"/>
    <w:rsid w:val="00BA3D82"/>
    <w:rsid w:val="00BA4029"/>
    <w:rsid w:val="00BA43F7"/>
    <w:rsid w:val="00BA459C"/>
    <w:rsid w:val="00BA46B2"/>
    <w:rsid w:val="00BA4DD2"/>
    <w:rsid w:val="00BA4E72"/>
    <w:rsid w:val="00BA4FFE"/>
    <w:rsid w:val="00BA5629"/>
    <w:rsid w:val="00BA57B2"/>
    <w:rsid w:val="00BA5990"/>
    <w:rsid w:val="00BA5A5C"/>
    <w:rsid w:val="00BA5A99"/>
    <w:rsid w:val="00BA5D78"/>
    <w:rsid w:val="00BA6262"/>
    <w:rsid w:val="00BA67F1"/>
    <w:rsid w:val="00BA68E1"/>
    <w:rsid w:val="00BA6E60"/>
    <w:rsid w:val="00BA7842"/>
    <w:rsid w:val="00BA7CBF"/>
    <w:rsid w:val="00BA7F96"/>
    <w:rsid w:val="00BB061C"/>
    <w:rsid w:val="00BB0BE4"/>
    <w:rsid w:val="00BB1184"/>
    <w:rsid w:val="00BB1275"/>
    <w:rsid w:val="00BB1900"/>
    <w:rsid w:val="00BB1A63"/>
    <w:rsid w:val="00BB1A8F"/>
    <w:rsid w:val="00BB1B9B"/>
    <w:rsid w:val="00BB1E50"/>
    <w:rsid w:val="00BB21BC"/>
    <w:rsid w:val="00BB22F7"/>
    <w:rsid w:val="00BB2391"/>
    <w:rsid w:val="00BB2DBA"/>
    <w:rsid w:val="00BB36D8"/>
    <w:rsid w:val="00BB3D4C"/>
    <w:rsid w:val="00BB3D8E"/>
    <w:rsid w:val="00BB437B"/>
    <w:rsid w:val="00BB4883"/>
    <w:rsid w:val="00BB4A08"/>
    <w:rsid w:val="00BB4ACF"/>
    <w:rsid w:val="00BB5C41"/>
    <w:rsid w:val="00BB61CE"/>
    <w:rsid w:val="00BB6605"/>
    <w:rsid w:val="00BB6868"/>
    <w:rsid w:val="00BB6948"/>
    <w:rsid w:val="00BB69C2"/>
    <w:rsid w:val="00BB69EA"/>
    <w:rsid w:val="00BB6AE9"/>
    <w:rsid w:val="00BB6C8A"/>
    <w:rsid w:val="00BB6CD3"/>
    <w:rsid w:val="00BB7727"/>
    <w:rsid w:val="00BB794E"/>
    <w:rsid w:val="00BB7A0C"/>
    <w:rsid w:val="00BB7A3D"/>
    <w:rsid w:val="00BB7AEC"/>
    <w:rsid w:val="00BB7D8A"/>
    <w:rsid w:val="00BB7E96"/>
    <w:rsid w:val="00BC015A"/>
    <w:rsid w:val="00BC03FF"/>
    <w:rsid w:val="00BC0438"/>
    <w:rsid w:val="00BC0463"/>
    <w:rsid w:val="00BC059A"/>
    <w:rsid w:val="00BC0703"/>
    <w:rsid w:val="00BC0AAF"/>
    <w:rsid w:val="00BC0E95"/>
    <w:rsid w:val="00BC0FAE"/>
    <w:rsid w:val="00BC0FCA"/>
    <w:rsid w:val="00BC14BE"/>
    <w:rsid w:val="00BC187B"/>
    <w:rsid w:val="00BC1952"/>
    <w:rsid w:val="00BC1B45"/>
    <w:rsid w:val="00BC1B8F"/>
    <w:rsid w:val="00BC1DBF"/>
    <w:rsid w:val="00BC1EE9"/>
    <w:rsid w:val="00BC1FC8"/>
    <w:rsid w:val="00BC2283"/>
    <w:rsid w:val="00BC291C"/>
    <w:rsid w:val="00BC2B03"/>
    <w:rsid w:val="00BC2F1E"/>
    <w:rsid w:val="00BC322F"/>
    <w:rsid w:val="00BC34BE"/>
    <w:rsid w:val="00BC35AC"/>
    <w:rsid w:val="00BC3791"/>
    <w:rsid w:val="00BC3A84"/>
    <w:rsid w:val="00BC3BBE"/>
    <w:rsid w:val="00BC3DB8"/>
    <w:rsid w:val="00BC3F17"/>
    <w:rsid w:val="00BC3F78"/>
    <w:rsid w:val="00BC3FFD"/>
    <w:rsid w:val="00BC40C1"/>
    <w:rsid w:val="00BC4150"/>
    <w:rsid w:val="00BC45BE"/>
    <w:rsid w:val="00BC4705"/>
    <w:rsid w:val="00BC48AB"/>
    <w:rsid w:val="00BC48C6"/>
    <w:rsid w:val="00BC4DD4"/>
    <w:rsid w:val="00BC4E91"/>
    <w:rsid w:val="00BC51BC"/>
    <w:rsid w:val="00BC5219"/>
    <w:rsid w:val="00BC55F5"/>
    <w:rsid w:val="00BC5946"/>
    <w:rsid w:val="00BC59CE"/>
    <w:rsid w:val="00BC5F0A"/>
    <w:rsid w:val="00BC613A"/>
    <w:rsid w:val="00BC6378"/>
    <w:rsid w:val="00BC64BF"/>
    <w:rsid w:val="00BC678E"/>
    <w:rsid w:val="00BC68C2"/>
    <w:rsid w:val="00BC6A08"/>
    <w:rsid w:val="00BC6AEB"/>
    <w:rsid w:val="00BC73AE"/>
    <w:rsid w:val="00BC768B"/>
    <w:rsid w:val="00BC772A"/>
    <w:rsid w:val="00BC7829"/>
    <w:rsid w:val="00BC7868"/>
    <w:rsid w:val="00BC788D"/>
    <w:rsid w:val="00BC7BAB"/>
    <w:rsid w:val="00BC7D17"/>
    <w:rsid w:val="00BD01D8"/>
    <w:rsid w:val="00BD023D"/>
    <w:rsid w:val="00BD03BA"/>
    <w:rsid w:val="00BD088E"/>
    <w:rsid w:val="00BD0B76"/>
    <w:rsid w:val="00BD0F94"/>
    <w:rsid w:val="00BD0FE9"/>
    <w:rsid w:val="00BD150B"/>
    <w:rsid w:val="00BD1704"/>
    <w:rsid w:val="00BD18A7"/>
    <w:rsid w:val="00BD1907"/>
    <w:rsid w:val="00BD209D"/>
    <w:rsid w:val="00BD2180"/>
    <w:rsid w:val="00BD2400"/>
    <w:rsid w:val="00BD2493"/>
    <w:rsid w:val="00BD2972"/>
    <w:rsid w:val="00BD2980"/>
    <w:rsid w:val="00BD2B0C"/>
    <w:rsid w:val="00BD2C14"/>
    <w:rsid w:val="00BD2C18"/>
    <w:rsid w:val="00BD2E0F"/>
    <w:rsid w:val="00BD3144"/>
    <w:rsid w:val="00BD383D"/>
    <w:rsid w:val="00BD3A76"/>
    <w:rsid w:val="00BD3C42"/>
    <w:rsid w:val="00BD3CD4"/>
    <w:rsid w:val="00BD3D66"/>
    <w:rsid w:val="00BD4511"/>
    <w:rsid w:val="00BD4556"/>
    <w:rsid w:val="00BD4710"/>
    <w:rsid w:val="00BD490C"/>
    <w:rsid w:val="00BD4A1B"/>
    <w:rsid w:val="00BD4BBA"/>
    <w:rsid w:val="00BD5627"/>
    <w:rsid w:val="00BD579A"/>
    <w:rsid w:val="00BD6143"/>
    <w:rsid w:val="00BD61C4"/>
    <w:rsid w:val="00BD677D"/>
    <w:rsid w:val="00BD6A64"/>
    <w:rsid w:val="00BD7657"/>
    <w:rsid w:val="00BD766F"/>
    <w:rsid w:val="00BD7731"/>
    <w:rsid w:val="00BD7CA0"/>
    <w:rsid w:val="00BD7E9E"/>
    <w:rsid w:val="00BE0272"/>
    <w:rsid w:val="00BE0A0D"/>
    <w:rsid w:val="00BE0A46"/>
    <w:rsid w:val="00BE0D14"/>
    <w:rsid w:val="00BE1089"/>
    <w:rsid w:val="00BE1215"/>
    <w:rsid w:val="00BE152A"/>
    <w:rsid w:val="00BE1855"/>
    <w:rsid w:val="00BE1AE5"/>
    <w:rsid w:val="00BE1B31"/>
    <w:rsid w:val="00BE1EA8"/>
    <w:rsid w:val="00BE1EC5"/>
    <w:rsid w:val="00BE2469"/>
    <w:rsid w:val="00BE2528"/>
    <w:rsid w:val="00BE2816"/>
    <w:rsid w:val="00BE29EB"/>
    <w:rsid w:val="00BE2A46"/>
    <w:rsid w:val="00BE2C7F"/>
    <w:rsid w:val="00BE2CCB"/>
    <w:rsid w:val="00BE3504"/>
    <w:rsid w:val="00BE3A7B"/>
    <w:rsid w:val="00BE3D22"/>
    <w:rsid w:val="00BE3D84"/>
    <w:rsid w:val="00BE3EA4"/>
    <w:rsid w:val="00BE40B7"/>
    <w:rsid w:val="00BE41BD"/>
    <w:rsid w:val="00BE431D"/>
    <w:rsid w:val="00BE46BD"/>
    <w:rsid w:val="00BE4A44"/>
    <w:rsid w:val="00BE4D0D"/>
    <w:rsid w:val="00BE4E1D"/>
    <w:rsid w:val="00BE5240"/>
    <w:rsid w:val="00BE5542"/>
    <w:rsid w:val="00BE55AA"/>
    <w:rsid w:val="00BE5C16"/>
    <w:rsid w:val="00BE5C3F"/>
    <w:rsid w:val="00BE5FB1"/>
    <w:rsid w:val="00BE6206"/>
    <w:rsid w:val="00BE63A0"/>
    <w:rsid w:val="00BE6579"/>
    <w:rsid w:val="00BE6782"/>
    <w:rsid w:val="00BE6A12"/>
    <w:rsid w:val="00BE6AA9"/>
    <w:rsid w:val="00BE6C2A"/>
    <w:rsid w:val="00BE6C7B"/>
    <w:rsid w:val="00BE6F7E"/>
    <w:rsid w:val="00BE7008"/>
    <w:rsid w:val="00BE7364"/>
    <w:rsid w:val="00BE7503"/>
    <w:rsid w:val="00BE782C"/>
    <w:rsid w:val="00BE7B17"/>
    <w:rsid w:val="00BE7ED9"/>
    <w:rsid w:val="00BF0137"/>
    <w:rsid w:val="00BF08EE"/>
    <w:rsid w:val="00BF0BD8"/>
    <w:rsid w:val="00BF12A4"/>
    <w:rsid w:val="00BF1575"/>
    <w:rsid w:val="00BF158D"/>
    <w:rsid w:val="00BF15BA"/>
    <w:rsid w:val="00BF1713"/>
    <w:rsid w:val="00BF1771"/>
    <w:rsid w:val="00BF1986"/>
    <w:rsid w:val="00BF1BBE"/>
    <w:rsid w:val="00BF1CB1"/>
    <w:rsid w:val="00BF1D2B"/>
    <w:rsid w:val="00BF1DE9"/>
    <w:rsid w:val="00BF2002"/>
    <w:rsid w:val="00BF2354"/>
    <w:rsid w:val="00BF2556"/>
    <w:rsid w:val="00BF2B41"/>
    <w:rsid w:val="00BF2E87"/>
    <w:rsid w:val="00BF2F0E"/>
    <w:rsid w:val="00BF2F5F"/>
    <w:rsid w:val="00BF2F95"/>
    <w:rsid w:val="00BF3E3B"/>
    <w:rsid w:val="00BF4078"/>
    <w:rsid w:val="00BF4608"/>
    <w:rsid w:val="00BF479A"/>
    <w:rsid w:val="00BF4CA2"/>
    <w:rsid w:val="00BF4D0B"/>
    <w:rsid w:val="00BF4F01"/>
    <w:rsid w:val="00BF4F81"/>
    <w:rsid w:val="00BF52E1"/>
    <w:rsid w:val="00BF5368"/>
    <w:rsid w:val="00BF55FF"/>
    <w:rsid w:val="00BF56CC"/>
    <w:rsid w:val="00BF5739"/>
    <w:rsid w:val="00BF5889"/>
    <w:rsid w:val="00BF594E"/>
    <w:rsid w:val="00BF59CD"/>
    <w:rsid w:val="00BF63DC"/>
    <w:rsid w:val="00BF6663"/>
    <w:rsid w:val="00BF6722"/>
    <w:rsid w:val="00BF68E0"/>
    <w:rsid w:val="00BF6BB4"/>
    <w:rsid w:val="00BF6E99"/>
    <w:rsid w:val="00BF6F54"/>
    <w:rsid w:val="00BF6FEC"/>
    <w:rsid w:val="00BF701B"/>
    <w:rsid w:val="00BF702B"/>
    <w:rsid w:val="00BF7524"/>
    <w:rsid w:val="00BF7792"/>
    <w:rsid w:val="00BF7900"/>
    <w:rsid w:val="00BF7A9B"/>
    <w:rsid w:val="00BF7BDB"/>
    <w:rsid w:val="00C008D2"/>
    <w:rsid w:val="00C009AF"/>
    <w:rsid w:val="00C00A57"/>
    <w:rsid w:val="00C00C87"/>
    <w:rsid w:val="00C00E9F"/>
    <w:rsid w:val="00C00EFA"/>
    <w:rsid w:val="00C013C3"/>
    <w:rsid w:val="00C0144E"/>
    <w:rsid w:val="00C01678"/>
    <w:rsid w:val="00C01E82"/>
    <w:rsid w:val="00C01F5F"/>
    <w:rsid w:val="00C02065"/>
    <w:rsid w:val="00C02416"/>
    <w:rsid w:val="00C02585"/>
    <w:rsid w:val="00C0284A"/>
    <w:rsid w:val="00C028A0"/>
    <w:rsid w:val="00C02C54"/>
    <w:rsid w:val="00C02F18"/>
    <w:rsid w:val="00C0317B"/>
    <w:rsid w:val="00C031D2"/>
    <w:rsid w:val="00C0320C"/>
    <w:rsid w:val="00C0323B"/>
    <w:rsid w:val="00C03372"/>
    <w:rsid w:val="00C034E3"/>
    <w:rsid w:val="00C035C2"/>
    <w:rsid w:val="00C03605"/>
    <w:rsid w:val="00C03FA9"/>
    <w:rsid w:val="00C041D0"/>
    <w:rsid w:val="00C04630"/>
    <w:rsid w:val="00C04AAE"/>
    <w:rsid w:val="00C04B8A"/>
    <w:rsid w:val="00C04D60"/>
    <w:rsid w:val="00C04FD8"/>
    <w:rsid w:val="00C05430"/>
    <w:rsid w:val="00C05483"/>
    <w:rsid w:val="00C055E0"/>
    <w:rsid w:val="00C05618"/>
    <w:rsid w:val="00C0563C"/>
    <w:rsid w:val="00C05766"/>
    <w:rsid w:val="00C0581A"/>
    <w:rsid w:val="00C05FE2"/>
    <w:rsid w:val="00C062D4"/>
    <w:rsid w:val="00C06425"/>
    <w:rsid w:val="00C066EF"/>
    <w:rsid w:val="00C06A42"/>
    <w:rsid w:val="00C06C17"/>
    <w:rsid w:val="00C06CA1"/>
    <w:rsid w:val="00C06EAA"/>
    <w:rsid w:val="00C0701B"/>
    <w:rsid w:val="00C0701C"/>
    <w:rsid w:val="00C073F4"/>
    <w:rsid w:val="00C078D5"/>
    <w:rsid w:val="00C07AC4"/>
    <w:rsid w:val="00C07B22"/>
    <w:rsid w:val="00C07CFE"/>
    <w:rsid w:val="00C1008C"/>
    <w:rsid w:val="00C10567"/>
    <w:rsid w:val="00C1079E"/>
    <w:rsid w:val="00C1086B"/>
    <w:rsid w:val="00C108C2"/>
    <w:rsid w:val="00C11084"/>
    <w:rsid w:val="00C110B3"/>
    <w:rsid w:val="00C11374"/>
    <w:rsid w:val="00C11BC4"/>
    <w:rsid w:val="00C11D15"/>
    <w:rsid w:val="00C11DC3"/>
    <w:rsid w:val="00C11DF3"/>
    <w:rsid w:val="00C11ECD"/>
    <w:rsid w:val="00C121ED"/>
    <w:rsid w:val="00C122F7"/>
    <w:rsid w:val="00C12357"/>
    <w:rsid w:val="00C1246A"/>
    <w:rsid w:val="00C127A7"/>
    <w:rsid w:val="00C12901"/>
    <w:rsid w:val="00C12A54"/>
    <w:rsid w:val="00C12B69"/>
    <w:rsid w:val="00C12C26"/>
    <w:rsid w:val="00C133CF"/>
    <w:rsid w:val="00C1344F"/>
    <w:rsid w:val="00C13908"/>
    <w:rsid w:val="00C1395C"/>
    <w:rsid w:val="00C139C5"/>
    <w:rsid w:val="00C13C44"/>
    <w:rsid w:val="00C13E94"/>
    <w:rsid w:val="00C14120"/>
    <w:rsid w:val="00C14306"/>
    <w:rsid w:val="00C14699"/>
    <w:rsid w:val="00C148E6"/>
    <w:rsid w:val="00C14917"/>
    <w:rsid w:val="00C14DA6"/>
    <w:rsid w:val="00C14FCB"/>
    <w:rsid w:val="00C15020"/>
    <w:rsid w:val="00C15AA7"/>
    <w:rsid w:val="00C15B87"/>
    <w:rsid w:val="00C15CF5"/>
    <w:rsid w:val="00C15D7E"/>
    <w:rsid w:val="00C16311"/>
    <w:rsid w:val="00C163CB"/>
    <w:rsid w:val="00C1644D"/>
    <w:rsid w:val="00C167AF"/>
    <w:rsid w:val="00C16D9A"/>
    <w:rsid w:val="00C16E9B"/>
    <w:rsid w:val="00C17131"/>
    <w:rsid w:val="00C175CF"/>
    <w:rsid w:val="00C17DFF"/>
    <w:rsid w:val="00C17F53"/>
    <w:rsid w:val="00C201C1"/>
    <w:rsid w:val="00C208EA"/>
    <w:rsid w:val="00C20D51"/>
    <w:rsid w:val="00C20E78"/>
    <w:rsid w:val="00C20EDE"/>
    <w:rsid w:val="00C20F3A"/>
    <w:rsid w:val="00C210AB"/>
    <w:rsid w:val="00C211F5"/>
    <w:rsid w:val="00C214A0"/>
    <w:rsid w:val="00C21B33"/>
    <w:rsid w:val="00C21DCE"/>
    <w:rsid w:val="00C21E26"/>
    <w:rsid w:val="00C21E6E"/>
    <w:rsid w:val="00C21F99"/>
    <w:rsid w:val="00C2227E"/>
    <w:rsid w:val="00C22474"/>
    <w:rsid w:val="00C22569"/>
    <w:rsid w:val="00C226FA"/>
    <w:rsid w:val="00C22817"/>
    <w:rsid w:val="00C22DF9"/>
    <w:rsid w:val="00C22E24"/>
    <w:rsid w:val="00C22F8A"/>
    <w:rsid w:val="00C22FDA"/>
    <w:rsid w:val="00C231FF"/>
    <w:rsid w:val="00C237B9"/>
    <w:rsid w:val="00C239AA"/>
    <w:rsid w:val="00C24338"/>
    <w:rsid w:val="00C24513"/>
    <w:rsid w:val="00C246ED"/>
    <w:rsid w:val="00C24726"/>
    <w:rsid w:val="00C24ABB"/>
    <w:rsid w:val="00C24E67"/>
    <w:rsid w:val="00C25447"/>
    <w:rsid w:val="00C2546A"/>
    <w:rsid w:val="00C254B2"/>
    <w:rsid w:val="00C25A29"/>
    <w:rsid w:val="00C25C1A"/>
    <w:rsid w:val="00C263A0"/>
    <w:rsid w:val="00C263FD"/>
    <w:rsid w:val="00C267AA"/>
    <w:rsid w:val="00C26B8B"/>
    <w:rsid w:val="00C26CC1"/>
    <w:rsid w:val="00C26D1C"/>
    <w:rsid w:val="00C26DBC"/>
    <w:rsid w:val="00C26F5E"/>
    <w:rsid w:val="00C26FCF"/>
    <w:rsid w:val="00C2703C"/>
    <w:rsid w:val="00C27118"/>
    <w:rsid w:val="00C2713C"/>
    <w:rsid w:val="00C2735D"/>
    <w:rsid w:val="00C27460"/>
    <w:rsid w:val="00C27A9F"/>
    <w:rsid w:val="00C27C99"/>
    <w:rsid w:val="00C27D5B"/>
    <w:rsid w:val="00C27E47"/>
    <w:rsid w:val="00C302D1"/>
    <w:rsid w:val="00C305BF"/>
    <w:rsid w:val="00C30BAB"/>
    <w:rsid w:val="00C3106A"/>
    <w:rsid w:val="00C31077"/>
    <w:rsid w:val="00C311C6"/>
    <w:rsid w:val="00C31224"/>
    <w:rsid w:val="00C3165F"/>
    <w:rsid w:val="00C316A4"/>
    <w:rsid w:val="00C31756"/>
    <w:rsid w:val="00C318FA"/>
    <w:rsid w:val="00C31947"/>
    <w:rsid w:val="00C31AED"/>
    <w:rsid w:val="00C31C37"/>
    <w:rsid w:val="00C31C40"/>
    <w:rsid w:val="00C31F96"/>
    <w:rsid w:val="00C32332"/>
    <w:rsid w:val="00C32375"/>
    <w:rsid w:val="00C323BC"/>
    <w:rsid w:val="00C32401"/>
    <w:rsid w:val="00C32A79"/>
    <w:rsid w:val="00C32B9A"/>
    <w:rsid w:val="00C32C36"/>
    <w:rsid w:val="00C32C69"/>
    <w:rsid w:val="00C32D48"/>
    <w:rsid w:val="00C32E74"/>
    <w:rsid w:val="00C33175"/>
    <w:rsid w:val="00C332D7"/>
    <w:rsid w:val="00C33405"/>
    <w:rsid w:val="00C33557"/>
    <w:rsid w:val="00C336E1"/>
    <w:rsid w:val="00C337DF"/>
    <w:rsid w:val="00C3384D"/>
    <w:rsid w:val="00C33D23"/>
    <w:rsid w:val="00C34034"/>
    <w:rsid w:val="00C34136"/>
    <w:rsid w:val="00C3462F"/>
    <w:rsid w:val="00C34702"/>
    <w:rsid w:val="00C34BA0"/>
    <w:rsid w:val="00C34C86"/>
    <w:rsid w:val="00C35A0E"/>
    <w:rsid w:val="00C35BC6"/>
    <w:rsid w:val="00C35D41"/>
    <w:rsid w:val="00C361A8"/>
    <w:rsid w:val="00C36471"/>
    <w:rsid w:val="00C36C95"/>
    <w:rsid w:val="00C36CA0"/>
    <w:rsid w:val="00C36F48"/>
    <w:rsid w:val="00C36FCC"/>
    <w:rsid w:val="00C36FED"/>
    <w:rsid w:val="00C370CA"/>
    <w:rsid w:val="00C37768"/>
    <w:rsid w:val="00C37AB4"/>
    <w:rsid w:val="00C37B5B"/>
    <w:rsid w:val="00C405F6"/>
    <w:rsid w:val="00C40CF8"/>
    <w:rsid w:val="00C41204"/>
    <w:rsid w:val="00C41274"/>
    <w:rsid w:val="00C41370"/>
    <w:rsid w:val="00C413D9"/>
    <w:rsid w:val="00C41693"/>
    <w:rsid w:val="00C419B0"/>
    <w:rsid w:val="00C419EC"/>
    <w:rsid w:val="00C41BDE"/>
    <w:rsid w:val="00C41E8C"/>
    <w:rsid w:val="00C41F5E"/>
    <w:rsid w:val="00C4232E"/>
    <w:rsid w:val="00C42360"/>
    <w:rsid w:val="00C423C7"/>
    <w:rsid w:val="00C4279E"/>
    <w:rsid w:val="00C42A14"/>
    <w:rsid w:val="00C42E37"/>
    <w:rsid w:val="00C430F5"/>
    <w:rsid w:val="00C43422"/>
    <w:rsid w:val="00C4376C"/>
    <w:rsid w:val="00C43778"/>
    <w:rsid w:val="00C43C51"/>
    <w:rsid w:val="00C43E90"/>
    <w:rsid w:val="00C43F30"/>
    <w:rsid w:val="00C43F9B"/>
    <w:rsid w:val="00C440C3"/>
    <w:rsid w:val="00C44247"/>
    <w:rsid w:val="00C4450B"/>
    <w:rsid w:val="00C44555"/>
    <w:rsid w:val="00C451C8"/>
    <w:rsid w:val="00C45217"/>
    <w:rsid w:val="00C45237"/>
    <w:rsid w:val="00C453DB"/>
    <w:rsid w:val="00C45525"/>
    <w:rsid w:val="00C45EAD"/>
    <w:rsid w:val="00C4649B"/>
    <w:rsid w:val="00C46C46"/>
    <w:rsid w:val="00C46F81"/>
    <w:rsid w:val="00C473F0"/>
    <w:rsid w:val="00C474DC"/>
    <w:rsid w:val="00C47672"/>
    <w:rsid w:val="00C478B9"/>
    <w:rsid w:val="00C479D7"/>
    <w:rsid w:val="00C479EF"/>
    <w:rsid w:val="00C47A91"/>
    <w:rsid w:val="00C47D06"/>
    <w:rsid w:val="00C50343"/>
    <w:rsid w:val="00C50621"/>
    <w:rsid w:val="00C50816"/>
    <w:rsid w:val="00C5096E"/>
    <w:rsid w:val="00C50C2A"/>
    <w:rsid w:val="00C50D17"/>
    <w:rsid w:val="00C50D22"/>
    <w:rsid w:val="00C50D63"/>
    <w:rsid w:val="00C50DB5"/>
    <w:rsid w:val="00C50E39"/>
    <w:rsid w:val="00C50F34"/>
    <w:rsid w:val="00C51262"/>
    <w:rsid w:val="00C51951"/>
    <w:rsid w:val="00C52019"/>
    <w:rsid w:val="00C52058"/>
    <w:rsid w:val="00C5205D"/>
    <w:rsid w:val="00C5238C"/>
    <w:rsid w:val="00C52486"/>
    <w:rsid w:val="00C52725"/>
    <w:rsid w:val="00C52A54"/>
    <w:rsid w:val="00C537E2"/>
    <w:rsid w:val="00C542ED"/>
    <w:rsid w:val="00C5468A"/>
    <w:rsid w:val="00C54CAB"/>
    <w:rsid w:val="00C550D6"/>
    <w:rsid w:val="00C5516B"/>
    <w:rsid w:val="00C5516C"/>
    <w:rsid w:val="00C55368"/>
    <w:rsid w:val="00C55615"/>
    <w:rsid w:val="00C5573D"/>
    <w:rsid w:val="00C55998"/>
    <w:rsid w:val="00C55FAD"/>
    <w:rsid w:val="00C562D4"/>
    <w:rsid w:val="00C565E6"/>
    <w:rsid w:val="00C567A2"/>
    <w:rsid w:val="00C567B7"/>
    <w:rsid w:val="00C56B58"/>
    <w:rsid w:val="00C56C71"/>
    <w:rsid w:val="00C56F42"/>
    <w:rsid w:val="00C57524"/>
    <w:rsid w:val="00C576DA"/>
    <w:rsid w:val="00C5786F"/>
    <w:rsid w:val="00C57A96"/>
    <w:rsid w:val="00C57D0B"/>
    <w:rsid w:val="00C57F91"/>
    <w:rsid w:val="00C6043A"/>
    <w:rsid w:val="00C60446"/>
    <w:rsid w:val="00C60507"/>
    <w:rsid w:val="00C605DE"/>
    <w:rsid w:val="00C607A9"/>
    <w:rsid w:val="00C60A0B"/>
    <w:rsid w:val="00C60E00"/>
    <w:rsid w:val="00C61347"/>
    <w:rsid w:val="00C61475"/>
    <w:rsid w:val="00C61670"/>
    <w:rsid w:val="00C617BE"/>
    <w:rsid w:val="00C6182E"/>
    <w:rsid w:val="00C61A90"/>
    <w:rsid w:val="00C61D8F"/>
    <w:rsid w:val="00C62BC6"/>
    <w:rsid w:val="00C62F59"/>
    <w:rsid w:val="00C6309E"/>
    <w:rsid w:val="00C6345F"/>
    <w:rsid w:val="00C636C3"/>
    <w:rsid w:val="00C63B43"/>
    <w:rsid w:val="00C644F1"/>
    <w:rsid w:val="00C64CB5"/>
    <w:rsid w:val="00C64D99"/>
    <w:rsid w:val="00C64F30"/>
    <w:rsid w:val="00C6522F"/>
    <w:rsid w:val="00C652EE"/>
    <w:rsid w:val="00C65466"/>
    <w:rsid w:val="00C65776"/>
    <w:rsid w:val="00C65A3A"/>
    <w:rsid w:val="00C65AD1"/>
    <w:rsid w:val="00C65B85"/>
    <w:rsid w:val="00C65CF2"/>
    <w:rsid w:val="00C65ED9"/>
    <w:rsid w:val="00C660A0"/>
    <w:rsid w:val="00C664E7"/>
    <w:rsid w:val="00C6666F"/>
    <w:rsid w:val="00C668BD"/>
    <w:rsid w:val="00C66B33"/>
    <w:rsid w:val="00C66BA4"/>
    <w:rsid w:val="00C67260"/>
    <w:rsid w:val="00C677FD"/>
    <w:rsid w:val="00C67E50"/>
    <w:rsid w:val="00C67F0C"/>
    <w:rsid w:val="00C70004"/>
    <w:rsid w:val="00C7053D"/>
    <w:rsid w:val="00C7087A"/>
    <w:rsid w:val="00C70DEA"/>
    <w:rsid w:val="00C71365"/>
    <w:rsid w:val="00C71658"/>
    <w:rsid w:val="00C71830"/>
    <w:rsid w:val="00C71C7C"/>
    <w:rsid w:val="00C71CF5"/>
    <w:rsid w:val="00C72020"/>
    <w:rsid w:val="00C72062"/>
    <w:rsid w:val="00C723F1"/>
    <w:rsid w:val="00C7241D"/>
    <w:rsid w:val="00C725F5"/>
    <w:rsid w:val="00C726B6"/>
    <w:rsid w:val="00C72820"/>
    <w:rsid w:val="00C72CA8"/>
    <w:rsid w:val="00C73D1F"/>
    <w:rsid w:val="00C73F93"/>
    <w:rsid w:val="00C749B3"/>
    <w:rsid w:val="00C74E42"/>
    <w:rsid w:val="00C75439"/>
    <w:rsid w:val="00C7563D"/>
    <w:rsid w:val="00C757F2"/>
    <w:rsid w:val="00C7585F"/>
    <w:rsid w:val="00C75985"/>
    <w:rsid w:val="00C75E03"/>
    <w:rsid w:val="00C75EDF"/>
    <w:rsid w:val="00C76004"/>
    <w:rsid w:val="00C76221"/>
    <w:rsid w:val="00C76245"/>
    <w:rsid w:val="00C76356"/>
    <w:rsid w:val="00C763AB"/>
    <w:rsid w:val="00C76734"/>
    <w:rsid w:val="00C76BC0"/>
    <w:rsid w:val="00C77481"/>
    <w:rsid w:val="00C77503"/>
    <w:rsid w:val="00C778B9"/>
    <w:rsid w:val="00C7790A"/>
    <w:rsid w:val="00C77BA6"/>
    <w:rsid w:val="00C77BE5"/>
    <w:rsid w:val="00C77E1E"/>
    <w:rsid w:val="00C77E4C"/>
    <w:rsid w:val="00C80072"/>
    <w:rsid w:val="00C801C3"/>
    <w:rsid w:val="00C802B3"/>
    <w:rsid w:val="00C809D6"/>
    <w:rsid w:val="00C80AB7"/>
    <w:rsid w:val="00C80CBC"/>
    <w:rsid w:val="00C81106"/>
    <w:rsid w:val="00C81140"/>
    <w:rsid w:val="00C81180"/>
    <w:rsid w:val="00C816F1"/>
    <w:rsid w:val="00C8178F"/>
    <w:rsid w:val="00C81AC1"/>
    <w:rsid w:val="00C81CB7"/>
    <w:rsid w:val="00C826EE"/>
    <w:rsid w:val="00C827FE"/>
    <w:rsid w:val="00C829DA"/>
    <w:rsid w:val="00C82D85"/>
    <w:rsid w:val="00C82DCA"/>
    <w:rsid w:val="00C82E03"/>
    <w:rsid w:val="00C82F60"/>
    <w:rsid w:val="00C83068"/>
    <w:rsid w:val="00C831AF"/>
    <w:rsid w:val="00C831DF"/>
    <w:rsid w:val="00C83861"/>
    <w:rsid w:val="00C83A0F"/>
    <w:rsid w:val="00C83C3E"/>
    <w:rsid w:val="00C83D3B"/>
    <w:rsid w:val="00C8423D"/>
    <w:rsid w:val="00C8447F"/>
    <w:rsid w:val="00C84797"/>
    <w:rsid w:val="00C8496E"/>
    <w:rsid w:val="00C84AC5"/>
    <w:rsid w:val="00C84D66"/>
    <w:rsid w:val="00C84EE8"/>
    <w:rsid w:val="00C85490"/>
    <w:rsid w:val="00C8550B"/>
    <w:rsid w:val="00C85606"/>
    <w:rsid w:val="00C859BA"/>
    <w:rsid w:val="00C85C22"/>
    <w:rsid w:val="00C85F71"/>
    <w:rsid w:val="00C86003"/>
    <w:rsid w:val="00C860FF"/>
    <w:rsid w:val="00C8610A"/>
    <w:rsid w:val="00C864F2"/>
    <w:rsid w:val="00C86927"/>
    <w:rsid w:val="00C869B4"/>
    <w:rsid w:val="00C86BC2"/>
    <w:rsid w:val="00C86D6A"/>
    <w:rsid w:val="00C86DC1"/>
    <w:rsid w:val="00C86EAA"/>
    <w:rsid w:val="00C86ED7"/>
    <w:rsid w:val="00C8747B"/>
    <w:rsid w:val="00C90103"/>
    <w:rsid w:val="00C901CE"/>
    <w:rsid w:val="00C9022C"/>
    <w:rsid w:val="00C90322"/>
    <w:rsid w:val="00C90BF8"/>
    <w:rsid w:val="00C90E1B"/>
    <w:rsid w:val="00C90F76"/>
    <w:rsid w:val="00C91552"/>
    <w:rsid w:val="00C9235E"/>
    <w:rsid w:val="00C923B8"/>
    <w:rsid w:val="00C92578"/>
    <w:rsid w:val="00C9279B"/>
    <w:rsid w:val="00C92CC6"/>
    <w:rsid w:val="00C932E3"/>
    <w:rsid w:val="00C9384E"/>
    <w:rsid w:val="00C938EB"/>
    <w:rsid w:val="00C939F2"/>
    <w:rsid w:val="00C93BDC"/>
    <w:rsid w:val="00C94086"/>
    <w:rsid w:val="00C94152"/>
    <w:rsid w:val="00C9435A"/>
    <w:rsid w:val="00C9451D"/>
    <w:rsid w:val="00C94664"/>
    <w:rsid w:val="00C946E5"/>
    <w:rsid w:val="00C948D6"/>
    <w:rsid w:val="00C949D7"/>
    <w:rsid w:val="00C94BFF"/>
    <w:rsid w:val="00C94DB0"/>
    <w:rsid w:val="00C94EFE"/>
    <w:rsid w:val="00C94F1A"/>
    <w:rsid w:val="00C95635"/>
    <w:rsid w:val="00C9568B"/>
    <w:rsid w:val="00C956BC"/>
    <w:rsid w:val="00C95CC2"/>
    <w:rsid w:val="00C95E0F"/>
    <w:rsid w:val="00C961CD"/>
    <w:rsid w:val="00C96234"/>
    <w:rsid w:val="00C9631A"/>
    <w:rsid w:val="00C9638C"/>
    <w:rsid w:val="00C9648A"/>
    <w:rsid w:val="00C969C6"/>
    <w:rsid w:val="00C96C40"/>
    <w:rsid w:val="00C96DB7"/>
    <w:rsid w:val="00C97367"/>
    <w:rsid w:val="00C97807"/>
    <w:rsid w:val="00C97C10"/>
    <w:rsid w:val="00C97C4B"/>
    <w:rsid w:val="00C97DB0"/>
    <w:rsid w:val="00C97F38"/>
    <w:rsid w:val="00C97FB7"/>
    <w:rsid w:val="00CA0144"/>
    <w:rsid w:val="00CA0538"/>
    <w:rsid w:val="00CA096B"/>
    <w:rsid w:val="00CA0F46"/>
    <w:rsid w:val="00CA18A1"/>
    <w:rsid w:val="00CA1C43"/>
    <w:rsid w:val="00CA1D04"/>
    <w:rsid w:val="00CA2086"/>
    <w:rsid w:val="00CA211D"/>
    <w:rsid w:val="00CA22DE"/>
    <w:rsid w:val="00CA259B"/>
    <w:rsid w:val="00CA26DE"/>
    <w:rsid w:val="00CA2B74"/>
    <w:rsid w:val="00CA332E"/>
    <w:rsid w:val="00CA345A"/>
    <w:rsid w:val="00CA3771"/>
    <w:rsid w:val="00CA38F8"/>
    <w:rsid w:val="00CA390C"/>
    <w:rsid w:val="00CA393D"/>
    <w:rsid w:val="00CA3D16"/>
    <w:rsid w:val="00CA3D96"/>
    <w:rsid w:val="00CA4010"/>
    <w:rsid w:val="00CA438C"/>
    <w:rsid w:val="00CA45F2"/>
    <w:rsid w:val="00CA47D3"/>
    <w:rsid w:val="00CA4848"/>
    <w:rsid w:val="00CA4BF8"/>
    <w:rsid w:val="00CA4E24"/>
    <w:rsid w:val="00CA5036"/>
    <w:rsid w:val="00CA50C9"/>
    <w:rsid w:val="00CA5331"/>
    <w:rsid w:val="00CA56C1"/>
    <w:rsid w:val="00CA596D"/>
    <w:rsid w:val="00CA60EC"/>
    <w:rsid w:val="00CA64D4"/>
    <w:rsid w:val="00CA66DB"/>
    <w:rsid w:val="00CA6A75"/>
    <w:rsid w:val="00CA6F13"/>
    <w:rsid w:val="00CA7608"/>
    <w:rsid w:val="00CA784D"/>
    <w:rsid w:val="00CB0126"/>
    <w:rsid w:val="00CB0363"/>
    <w:rsid w:val="00CB0665"/>
    <w:rsid w:val="00CB06AD"/>
    <w:rsid w:val="00CB06CB"/>
    <w:rsid w:val="00CB08B0"/>
    <w:rsid w:val="00CB09AA"/>
    <w:rsid w:val="00CB0E0F"/>
    <w:rsid w:val="00CB0E70"/>
    <w:rsid w:val="00CB1025"/>
    <w:rsid w:val="00CB105F"/>
    <w:rsid w:val="00CB129B"/>
    <w:rsid w:val="00CB137B"/>
    <w:rsid w:val="00CB1597"/>
    <w:rsid w:val="00CB1E64"/>
    <w:rsid w:val="00CB1F62"/>
    <w:rsid w:val="00CB2111"/>
    <w:rsid w:val="00CB23E4"/>
    <w:rsid w:val="00CB24E9"/>
    <w:rsid w:val="00CB2575"/>
    <w:rsid w:val="00CB2964"/>
    <w:rsid w:val="00CB2B32"/>
    <w:rsid w:val="00CB2BAB"/>
    <w:rsid w:val="00CB2F83"/>
    <w:rsid w:val="00CB2FC2"/>
    <w:rsid w:val="00CB325B"/>
    <w:rsid w:val="00CB3286"/>
    <w:rsid w:val="00CB346F"/>
    <w:rsid w:val="00CB3586"/>
    <w:rsid w:val="00CB3841"/>
    <w:rsid w:val="00CB3996"/>
    <w:rsid w:val="00CB3D51"/>
    <w:rsid w:val="00CB3DC2"/>
    <w:rsid w:val="00CB3F2E"/>
    <w:rsid w:val="00CB47B0"/>
    <w:rsid w:val="00CB4B15"/>
    <w:rsid w:val="00CB4F35"/>
    <w:rsid w:val="00CB4FE2"/>
    <w:rsid w:val="00CB53AF"/>
    <w:rsid w:val="00CB5731"/>
    <w:rsid w:val="00CB5803"/>
    <w:rsid w:val="00CB5BAC"/>
    <w:rsid w:val="00CB5C5E"/>
    <w:rsid w:val="00CB61E1"/>
    <w:rsid w:val="00CB63DB"/>
    <w:rsid w:val="00CB667E"/>
    <w:rsid w:val="00CB6AE7"/>
    <w:rsid w:val="00CB6E47"/>
    <w:rsid w:val="00CB6F82"/>
    <w:rsid w:val="00CB6FB4"/>
    <w:rsid w:val="00CB71DF"/>
    <w:rsid w:val="00CB7383"/>
    <w:rsid w:val="00CB78CD"/>
    <w:rsid w:val="00CB7AC1"/>
    <w:rsid w:val="00CC00BB"/>
    <w:rsid w:val="00CC01B9"/>
    <w:rsid w:val="00CC0791"/>
    <w:rsid w:val="00CC0C43"/>
    <w:rsid w:val="00CC128F"/>
    <w:rsid w:val="00CC148B"/>
    <w:rsid w:val="00CC14A5"/>
    <w:rsid w:val="00CC1738"/>
    <w:rsid w:val="00CC18D3"/>
    <w:rsid w:val="00CC18DC"/>
    <w:rsid w:val="00CC1991"/>
    <w:rsid w:val="00CC19FE"/>
    <w:rsid w:val="00CC1C4D"/>
    <w:rsid w:val="00CC1DE5"/>
    <w:rsid w:val="00CC1FB5"/>
    <w:rsid w:val="00CC2520"/>
    <w:rsid w:val="00CC2576"/>
    <w:rsid w:val="00CC26D0"/>
    <w:rsid w:val="00CC2949"/>
    <w:rsid w:val="00CC2ED9"/>
    <w:rsid w:val="00CC3A23"/>
    <w:rsid w:val="00CC3AF9"/>
    <w:rsid w:val="00CC3B76"/>
    <w:rsid w:val="00CC3E1E"/>
    <w:rsid w:val="00CC4048"/>
    <w:rsid w:val="00CC406C"/>
    <w:rsid w:val="00CC414A"/>
    <w:rsid w:val="00CC44FD"/>
    <w:rsid w:val="00CC4620"/>
    <w:rsid w:val="00CC48BD"/>
    <w:rsid w:val="00CC48FC"/>
    <w:rsid w:val="00CC4F94"/>
    <w:rsid w:val="00CC50AB"/>
    <w:rsid w:val="00CC5199"/>
    <w:rsid w:val="00CC540A"/>
    <w:rsid w:val="00CC5500"/>
    <w:rsid w:val="00CC5CAA"/>
    <w:rsid w:val="00CC609D"/>
    <w:rsid w:val="00CC60B2"/>
    <w:rsid w:val="00CC61D8"/>
    <w:rsid w:val="00CC647E"/>
    <w:rsid w:val="00CC65EE"/>
    <w:rsid w:val="00CC66B5"/>
    <w:rsid w:val="00CC6703"/>
    <w:rsid w:val="00CC6995"/>
    <w:rsid w:val="00CC6EA8"/>
    <w:rsid w:val="00CC72E5"/>
    <w:rsid w:val="00CC7559"/>
    <w:rsid w:val="00CC79D0"/>
    <w:rsid w:val="00CC7E16"/>
    <w:rsid w:val="00CD0147"/>
    <w:rsid w:val="00CD0238"/>
    <w:rsid w:val="00CD076B"/>
    <w:rsid w:val="00CD0866"/>
    <w:rsid w:val="00CD0A2E"/>
    <w:rsid w:val="00CD0F06"/>
    <w:rsid w:val="00CD1128"/>
    <w:rsid w:val="00CD120E"/>
    <w:rsid w:val="00CD1229"/>
    <w:rsid w:val="00CD1408"/>
    <w:rsid w:val="00CD177C"/>
    <w:rsid w:val="00CD17F5"/>
    <w:rsid w:val="00CD18CC"/>
    <w:rsid w:val="00CD1C15"/>
    <w:rsid w:val="00CD1D6F"/>
    <w:rsid w:val="00CD1E15"/>
    <w:rsid w:val="00CD2188"/>
    <w:rsid w:val="00CD26A5"/>
    <w:rsid w:val="00CD272E"/>
    <w:rsid w:val="00CD2A44"/>
    <w:rsid w:val="00CD2C52"/>
    <w:rsid w:val="00CD2C81"/>
    <w:rsid w:val="00CD3389"/>
    <w:rsid w:val="00CD34E4"/>
    <w:rsid w:val="00CD36B6"/>
    <w:rsid w:val="00CD3806"/>
    <w:rsid w:val="00CD38B7"/>
    <w:rsid w:val="00CD3901"/>
    <w:rsid w:val="00CD3C0E"/>
    <w:rsid w:val="00CD3D74"/>
    <w:rsid w:val="00CD3DBF"/>
    <w:rsid w:val="00CD3E4A"/>
    <w:rsid w:val="00CD3E93"/>
    <w:rsid w:val="00CD4095"/>
    <w:rsid w:val="00CD409E"/>
    <w:rsid w:val="00CD42DA"/>
    <w:rsid w:val="00CD4411"/>
    <w:rsid w:val="00CD488F"/>
    <w:rsid w:val="00CD4AEF"/>
    <w:rsid w:val="00CD4C92"/>
    <w:rsid w:val="00CD4CCD"/>
    <w:rsid w:val="00CD4E65"/>
    <w:rsid w:val="00CD5365"/>
    <w:rsid w:val="00CD5853"/>
    <w:rsid w:val="00CD6427"/>
    <w:rsid w:val="00CD648F"/>
    <w:rsid w:val="00CD66D6"/>
    <w:rsid w:val="00CD6D15"/>
    <w:rsid w:val="00CD6D31"/>
    <w:rsid w:val="00CD6E28"/>
    <w:rsid w:val="00CD6FD8"/>
    <w:rsid w:val="00CD736B"/>
    <w:rsid w:val="00CD7D27"/>
    <w:rsid w:val="00CE02C8"/>
    <w:rsid w:val="00CE0404"/>
    <w:rsid w:val="00CE04BE"/>
    <w:rsid w:val="00CE0608"/>
    <w:rsid w:val="00CE09D1"/>
    <w:rsid w:val="00CE0BDF"/>
    <w:rsid w:val="00CE0C54"/>
    <w:rsid w:val="00CE0D19"/>
    <w:rsid w:val="00CE0E36"/>
    <w:rsid w:val="00CE0E5C"/>
    <w:rsid w:val="00CE100F"/>
    <w:rsid w:val="00CE12A6"/>
    <w:rsid w:val="00CE1374"/>
    <w:rsid w:val="00CE1966"/>
    <w:rsid w:val="00CE1A51"/>
    <w:rsid w:val="00CE1C89"/>
    <w:rsid w:val="00CE1ED0"/>
    <w:rsid w:val="00CE2117"/>
    <w:rsid w:val="00CE2278"/>
    <w:rsid w:val="00CE2502"/>
    <w:rsid w:val="00CE25A4"/>
    <w:rsid w:val="00CE3250"/>
    <w:rsid w:val="00CE33AC"/>
    <w:rsid w:val="00CE34DA"/>
    <w:rsid w:val="00CE3867"/>
    <w:rsid w:val="00CE3893"/>
    <w:rsid w:val="00CE3F54"/>
    <w:rsid w:val="00CE40AA"/>
    <w:rsid w:val="00CE539B"/>
    <w:rsid w:val="00CE5401"/>
    <w:rsid w:val="00CE5475"/>
    <w:rsid w:val="00CE573A"/>
    <w:rsid w:val="00CE5929"/>
    <w:rsid w:val="00CE5C37"/>
    <w:rsid w:val="00CE5D8B"/>
    <w:rsid w:val="00CE5DAE"/>
    <w:rsid w:val="00CE6457"/>
    <w:rsid w:val="00CE64E4"/>
    <w:rsid w:val="00CE67D6"/>
    <w:rsid w:val="00CE6E1B"/>
    <w:rsid w:val="00CE7092"/>
    <w:rsid w:val="00CE73C2"/>
    <w:rsid w:val="00CE744F"/>
    <w:rsid w:val="00CE74DB"/>
    <w:rsid w:val="00CE7807"/>
    <w:rsid w:val="00CE78CA"/>
    <w:rsid w:val="00CE7B50"/>
    <w:rsid w:val="00CF03DC"/>
    <w:rsid w:val="00CF06BA"/>
    <w:rsid w:val="00CF082A"/>
    <w:rsid w:val="00CF0CEF"/>
    <w:rsid w:val="00CF103C"/>
    <w:rsid w:val="00CF111E"/>
    <w:rsid w:val="00CF1251"/>
    <w:rsid w:val="00CF14DF"/>
    <w:rsid w:val="00CF18A8"/>
    <w:rsid w:val="00CF1F3E"/>
    <w:rsid w:val="00CF1F6B"/>
    <w:rsid w:val="00CF2015"/>
    <w:rsid w:val="00CF2247"/>
    <w:rsid w:val="00CF234A"/>
    <w:rsid w:val="00CF235C"/>
    <w:rsid w:val="00CF288F"/>
    <w:rsid w:val="00CF2A64"/>
    <w:rsid w:val="00CF2D79"/>
    <w:rsid w:val="00CF2DC1"/>
    <w:rsid w:val="00CF2E52"/>
    <w:rsid w:val="00CF30A4"/>
    <w:rsid w:val="00CF31C1"/>
    <w:rsid w:val="00CF3218"/>
    <w:rsid w:val="00CF32DC"/>
    <w:rsid w:val="00CF335C"/>
    <w:rsid w:val="00CF346E"/>
    <w:rsid w:val="00CF3740"/>
    <w:rsid w:val="00CF38F9"/>
    <w:rsid w:val="00CF3DF2"/>
    <w:rsid w:val="00CF405A"/>
    <w:rsid w:val="00CF416C"/>
    <w:rsid w:val="00CF42B8"/>
    <w:rsid w:val="00CF42C3"/>
    <w:rsid w:val="00CF42DF"/>
    <w:rsid w:val="00CF4833"/>
    <w:rsid w:val="00CF48FC"/>
    <w:rsid w:val="00CF4968"/>
    <w:rsid w:val="00CF4B04"/>
    <w:rsid w:val="00CF4B56"/>
    <w:rsid w:val="00CF508A"/>
    <w:rsid w:val="00CF528E"/>
    <w:rsid w:val="00CF52C7"/>
    <w:rsid w:val="00CF5932"/>
    <w:rsid w:val="00CF5B6B"/>
    <w:rsid w:val="00CF5B9A"/>
    <w:rsid w:val="00CF5E09"/>
    <w:rsid w:val="00CF618F"/>
    <w:rsid w:val="00CF61A7"/>
    <w:rsid w:val="00CF6756"/>
    <w:rsid w:val="00CF69C6"/>
    <w:rsid w:val="00CF6E2E"/>
    <w:rsid w:val="00CF7655"/>
    <w:rsid w:val="00CF7750"/>
    <w:rsid w:val="00CF78CA"/>
    <w:rsid w:val="00CF7C6E"/>
    <w:rsid w:val="00D00038"/>
    <w:rsid w:val="00D002A3"/>
    <w:rsid w:val="00D00D86"/>
    <w:rsid w:val="00D012E2"/>
    <w:rsid w:val="00D0191E"/>
    <w:rsid w:val="00D01C1B"/>
    <w:rsid w:val="00D01D45"/>
    <w:rsid w:val="00D02297"/>
    <w:rsid w:val="00D02AF0"/>
    <w:rsid w:val="00D02C7F"/>
    <w:rsid w:val="00D02DD1"/>
    <w:rsid w:val="00D02F55"/>
    <w:rsid w:val="00D032AC"/>
    <w:rsid w:val="00D03826"/>
    <w:rsid w:val="00D04692"/>
    <w:rsid w:val="00D04947"/>
    <w:rsid w:val="00D04BE0"/>
    <w:rsid w:val="00D04D5E"/>
    <w:rsid w:val="00D04E44"/>
    <w:rsid w:val="00D04E71"/>
    <w:rsid w:val="00D0556F"/>
    <w:rsid w:val="00D0561E"/>
    <w:rsid w:val="00D05646"/>
    <w:rsid w:val="00D05AAE"/>
    <w:rsid w:val="00D05CB6"/>
    <w:rsid w:val="00D05D68"/>
    <w:rsid w:val="00D061C7"/>
    <w:rsid w:val="00D069C9"/>
    <w:rsid w:val="00D06A4C"/>
    <w:rsid w:val="00D06C78"/>
    <w:rsid w:val="00D06F47"/>
    <w:rsid w:val="00D07440"/>
    <w:rsid w:val="00D0776C"/>
    <w:rsid w:val="00D0778C"/>
    <w:rsid w:val="00D07A4A"/>
    <w:rsid w:val="00D07D71"/>
    <w:rsid w:val="00D1043D"/>
    <w:rsid w:val="00D10A16"/>
    <w:rsid w:val="00D10C26"/>
    <w:rsid w:val="00D11339"/>
    <w:rsid w:val="00D1155C"/>
    <w:rsid w:val="00D11594"/>
    <w:rsid w:val="00D11983"/>
    <w:rsid w:val="00D11AFB"/>
    <w:rsid w:val="00D11D11"/>
    <w:rsid w:val="00D1217E"/>
    <w:rsid w:val="00D122FE"/>
    <w:rsid w:val="00D12A33"/>
    <w:rsid w:val="00D12F3D"/>
    <w:rsid w:val="00D12F70"/>
    <w:rsid w:val="00D13044"/>
    <w:rsid w:val="00D13169"/>
    <w:rsid w:val="00D132DF"/>
    <w:rsid w:val="00D134E3"/>
    <w:rsid w:val="00D13963"/>
    <w:rsid w:val="00D13C6E"/>
    <w:rsid w:val="00D13DF4"/>
    <w:rsid w:val="00D140C6"/>
    <w:rsid w:val="00D141BC"/>
    <w:rsid w:val="00D143FF"/>
    <w:rsid w:val="00D14511"/>
    <w:rsid w:val="00D14538"/>
    <w:rsid w:val="00D14D42"/>
    <w:rsid w:val="00D14DA5"/>
    <w:rsid w:val="00D150B1"/>
    <w:rsid w:val="00D158D5"/>
    <w:rsid w:val="00D1595F"/>
    <w:rsid w:val="00D15BCB"/>
    <w:rsid w:val="00D15DD0"/>
    <w:rsid w:val="00D16E24"/>
    <w:rsid w:val="00D17107"/>
    <w:rsid w:val="00D17221"/>
    <w:rsid w:val="00D1748B"/>
    <w:rsid w:val="00D17742"/>
    <w:rsid w:val="00D178B7"/>
    <w:rsid w:val="00D1792E"/>
    <w:rsid w:val="00D17AD7"/>
    <w:rsid w:val="00D17DEB"/>
    <w:rsid w:val="00D17F4E"/>
    <w:rsid w:val="00D20258"/>
    <w:rsid w:val="00D203F8"/>
    <w:rsid w:val="00D208D4"/>
    <w:rsid w:val="00D2099A"/>
    <w:rsid w:val="00D20B8E"/>
    <w:rsid w:val="00D20C73"/>
    <w:rsid w:val="00D20D5F"/>
    <w:rsid w:val="00D20E16"/>
    <w:rsid w:val="00D211F7"/>
    <w:rsid w:val="00D21D6E"/>
    <w:rsid w:val="00D221A2"/>
    <w:rsid w:val="00D224AF"/>
    <w:rsid w:val="00D227A7"/>
    <w:rsid w:val="00D22803"/>
    <w:rsid w:val="00D228EE"/>
    <w:rsid w:val="00D22CE9"/>
    <w:rsid w:val="00D22F5F"/>
    <w:rsid w:val="00D23803"/>
    <w:rsid w:val="00D24017"/>
    <w:rsid w:val="00D240FF"/>
    <w:rsid w:val="00D2413E"/>
    <w:rsid w:val="00D24568"/>
    <w:rsid w:val="00D2493C"/>
    <w:rsid w:val="00D24B71"/>
    <w:rsid w:val="00D24CE7"/>
    <w:rsid w:val="00D24ECE"/>
    <w:rsid w:val="00D24F67"/>
    <w:rsid w:val="00D25066"/>
    <w:rsid w:val="00D2563B"/>
    <w:rsid w:val="00D261EC"/>
    <w:rsid w:val="00D26406"/>
    <w:rsid w:val="00D26764"/>
    <w:rsid w:val="00D26A13"/>
    <w:rsid w:val="00D26CA7"/>
    <w:rsid w:val="00D26F32"/>
    <w:rsid w:val="00D27218"/>
    <w:rsid w:val="00D272C9"/>
    <w:rsid w:val="00D275E5"/>
    <w:rsid w:val="00D275EF"/>
    <w:rsid w:val="00D277C9"/>
    <w:rsid w:val="00D27888"/>
    <w:rsid w:val="00D27A7F"/>
    <w:rsid w:val="00D27FA9"/>
    <w:rsid w:val="00D303F9"/>
    <w:rsid w:val="00D305BC"/>
    <w:rsid w:val="00D3083E"/>
    <w:rsid w:val="00D30A36"/>
    <w:rsid w:val="00D30AF0"/>
    <w:rsid w:val="00D30CAC"/>
    <w:rsid w:val="00D30ED3"/>
    <w:rsid w:val="00D310E0"/>
    <w:rsid w:val="00D31684"/>
    <w:rsid w:val="00D31CA7"/>
    <w:rsid w:val="00D3221D"/>
    <w:rsid w:val="00D322C8"/>
    <w:rsid w:val="00D324E0"/>
    <w:rsid w:val="00D32585"/>
    <w:rsid w:val="00D328C5"/>
    <w:rsid w:val="00D3293D"/>
    <w:rsid w:val="00D32D9A"/>
    <w:rsid w:val="00D32E91"/>
    <w:rsid w:val="00D33114"/>
    <w:rsid w:val="00D33120"/>
    <w:rsid w:val="00D336DB"/>
    <w:rsid w:val="00D337BD"/>
    <w:rsid w:val="00D34093"/>
    <w:rsid w:val="00D3412F"/>
    <w:rsid w:val="00D342A2"/>
    <w:rsid w:val="00D34466"/>
    <w:rsid w:val="00D34506"/>
    <w:rsid w:val="00D34582"/>
    <w:rsid w:val="00D34680"/>
    <w:rsid w:val="00D347BC"/>
    <w:rsid w:val="00D349EF"/>
    <w:rsid w:val="00D34A46"/>
    <w:rsid w:val="00D34B50"/>
    <w:rsid w:val="00D34BB7"/>
    <w:rsid w:val="00D34CCB"/>
    <w:rsid w:val="00D34F7F"/>
    <w:rsid w:val="00D35261"/>
    <w:rsid w:val="00D35326"/>
    <w:rsid w:val="00D3558A"/>
    <w:rsid w:val="00D35A38"/>
    <w:rsid w:val="00D35AD2"/>
    <w:rsid w:val="00D35B63"/>
    <w:rsid w:val="00D35C07"/>
    <w:rsid w:val="00D35D89"/>
    <w:rsid w:val="00D35EC4"/>
    <w:rsid w:val="00D36373"/>
    <w:rsid w:val="00D36423"/>
    <w:rsid w:val="00D36626"/>
    <w:rsid w:val="00D36A50"/>
    <w:rsid w:val="00D36CA1"/>
    <w:rsid w:val="00D371B2"/>
    <w:rsid w:val="00D37258"/>
    <w:rsid w:val="00D374E9"/>
    <w:rsid w:val="00D37529"/>
    <w:rsid w:val="00D378E8"/>
    <w:rsid w:val="00D37C80"/>
    <w:rsid w:val="00D37F47"/>
    <w:rsid w:val="00D400CA"/>
    <w:rsid w:val="00D4011C"/>
    <w:rsid w:val="00D4028C"/>
    <w:rsid w:val="00D40383"/>
    <w:rsid w:val="00D40789"/>
    <w:rsid w:val="00D407A3"/>
    <w:rsid w:val="00D4088E"/>
    <w:rsid w:val="00D40B01"/>
    <w:rsid w:val="00D40BA9"/>
    <w:rsid w:val="00D40C17"/>
    <w:rsid w:val="00D40CC0"/>
    <w:rsid w:val="00D41006"/>
    <w:rsid w:val="00D4121D"/>
    <w:rsid w:val="00D41495"/>
    <w:rsid w:val="00D41526"/>
    <w:rsid w:val="00D416AB"/>
    <w:rsid w:val="00D41866"/>
    <w:rsid w:val="00D41A3B"/>
    <w:rsid w:val="00D41BF8"/>
    <w:rsid w:val="00D41CDF"/>
    <w:rsid w:val="00D41FAB"/>
    <w:rsid w:val="00D422DA"/>
    <w:rsid w:val="00D42381"/>
    <w:rsid w:val="00D426BF"/>
    <w:rsid w:val="00D42791"/>
    <w:rsid w:val="00D4284C"/>
    <w:rsid w:val="00D42A2B"/>
    <w:rsid w:val="00D42FCF"/>
    <w:rsid w:val="00D43081"/>
    <w:rsid w:val="00D43132"/>
    <w:rsid w:val="00D4345D"/>
    <w:rsid w:val="00D435C2"/>
    <w:rsid w:val="00D435EC"/>
    <w:rsid w:val="00D4365D"/>
    <w:rsid w:val="00D439E5"/>
    <w:rsid w:val="00D43BF2"/>
    <w:rsid w:val="00D43DA9"/>
    <w:rsid w:val="00D43EEA"/>
    <w:rsid w:val="00D44037"/>
    <w:rsid w:val="00D440EC"/>
    <w:rsid w:val="00D4412E"/>
    <w:rsid w:val="00D44754"/>
    <w:rsid w:val="00D448EC"/>
    <w:rsid w:val="00D44A5E"/>
    <w:rsid w:val="00D44B4E"/>
    <w:rsid w:val="00D44C57"/>
    <w:rsid w:val="00D44E7D"/>
    <w:rsid w:val="00D44FCC"/>
    <w:rsid w:val="00D453D8"/>
    <w:rsid w:val="00D45778"/>
    <w:rsid w:val="00D45784"/>
    <w:rsid w:val="00D459A2"/>
    <w:rsid w:val="00D45A93"/>
    <w:rsid w:val="00D45B67"/>
    <w:rsid w:val="00D45FD5"/>
    <w:rsid w:val="00D4660B"/>
    <w:rsid w:val="00D46B6D"/>
    <w:rsid w:val="00D46CA8"/>
    <w:rsid w:val="00D474F0"/>
    <w:rsid w:val="00D47820"/>
    <w:rsid w:val="00D47998"/>
    <w:rsid w:val="00D47C3A"/>
    <w:rsid w:val="00D47D34"/>
    <w:rsid w:val="00D47DE1"/>
    <w:rsid w:val="00D47F00"/>
    <w:rsid w:val="00D502CD"/>
    <w:rsid w:val="00D50458"/>
    <w:rsid w:val="00D50615"/>
    <w:rsid w:val="00D508EC"/>
    <w:rsid w:val="00D50C09"/>
    <w:rsid w:val="00D5103F"/>
    <w:rsid w:val="00D5111B"/>
    <w:rsid w:val="00D515DF"/>
    <w:rsid w:val="00D516DB"/>
    <w:rsid w:val="00D51998"/>
    <w:rsid w:val="00D519C5"/>
    <w:rsid w:val="00D519EA"/>
    <w:rsid w:val="00D51A43"/>
    <w:rsid w:val="00D51E1A"/>
    <w:rsid w:val="00D51FB2"/>
    <w:rsid w:val="00D520C8"/>
    <w:rsid w:val="00D5245B"/>
    <w:rsid w:val="00D53053"/>
    <w:rsid w:val="00D530DA"/>
    <w:rsid w:val="00D53189"/>
    <w:rsid w:val="00D532A0"/>
    <w:rsid w:val="00D536B6"/>
    <w:rsid w:val="00D53779"/>
    <w:rsid w:val="00D538F4"/>
    <w:rsid w:val="00D54020"/>
    <w:rsid w:val="00D545AB"/>
    <w:rsid w:val="00D5462F"/>
    <w:rsid w:val="00D5470A"/>
    <w:rsid w:val="00D54A0C"/>
    <w:rsid w:val="00D54C95"/>
    <w:rsid w:val="00D54CFA"/>
    <w:rsid w:val="00D5515E"/>
    <w:rsid w:val="00D55A91"/>
    <w:rsid w:val="00D5637E"/>
    <w:rsid w:val="00D56570"/>
    <w:rsid w:val="00D568BB"/>
    <w:rsid w:val="00D56C39"/>
    <w:rsid w:val="00D56D4C"/>
    <w:rsid w:val="00D56D5D"/>
    <w:rsid w:val="00D57019"/>
    <w:rsid w:val="00D5729A"/>
    <w:rsid w:val="00D572C6"/>
    <w:rsid w:val="00D575E9"/>
    <w:rsid w:val="00D5790B"/>
    <w:rsid w:val="00D57941"/>
    <w:rsid w:val="00D57A78"/>
    <w:rsid w:val="00D57B9B"/>
    <w:rsid w:val="00D57BD1"/>
    <w:rsid w:val="00D57D8C"/>
    <w:rsid w:val="00D57F6B"/>
    <w:rsid w:val="00D601D9"/>
    <w:rsid w:val="00D60358"/>
    <w:rsid w:val="00D60411"/>
    <w:rsid w:val="00D605ED"/>
    <w:rsid w:val="00D606A3"/>
    <w:rsid w:val="00D60B62"/>
    <w:rsid w:val="00D60D06"/>
    <w:rsid w:val="00D60DA5"/>
    <w:rsid w:val="00D61046"/>
    <w:rsid w:val="00D6119E"/>
    <w:rsid w:val="00D615E0"/>
    <w:rsid w:val="00D61676"/>
    <w:rsid w:val="00D61883"/>
    <w:rsid w:val="00D619CB"/>
    <w:rsid w:val="00D61D8E"/>
    <w:rsid w:val="00D62040"/>
    <w:rsid w:val="00D623B7"/>
    <w:rsid w:val="00D6274D"/>
    <w:rsid w:val="00D62782"/>
    <w:rsid w:val="00D62903"/>
    <w:rsid w:val="00D62AAB"/>
    <w:rsid w:val="00D62B0F"/>
    <w:rsid w:val="00D62B93"/>
    <w:rsid w:val="00D62C06"/>
    <w:rsid w:val="00D62C9B"/>
    <w:rsid w:val="00D62F97"/>
    <w:rsid w:val="00D62F99"/>
    <w:rsid w:val="00D63250"/>
    <w:rsid w:val="00D6325B"/>
    <w:rsid w:val="00D633CC"/>
    <w:rsid w:val="00D635D9"/>
    <w:rsid w:val="00D6369A"/>
    <w:rsid w:val="00D63B87"/>
    <w:rsid w:val="00D63C1A"/>
    <w:rsid w:val="00D63CBC"/>
    <w:rsid w:val="00D63DBD"/>
    <w:rsid w:val="00D6406B"/>
    <w:rsid w:val="00D640ED"/>
    <w:rsid w:val="00D64248"/>
    <w:rsid w:val="00D6456E"/>
    <w:rsid w:val="00D648CB"/>
    <w:rsid w:val="00D64BAD"/>
    <w:rsid w:val="00D651E3"/>
    <w:rsid w:val="00D651EF"/>
    <w:rsid w:val="00D6552B"/>
    <w:rsid w:val="00D65555"/>
    <w:rsid w:val="00D65709"/>
    <w:rsid w:val="00D657D6"/>
    <w:rsid w:val="00D660FF"/>
    <w:rsid w:val="00D667E7"/>
    <w:rsid w:val="00D667F6"/>
    <w:rsid w:val="00D669CB"/>
    <w:rsid w:val="00D66C47"/>
    <w:rsid w:val="00D66EF2"/>
    <w:rsid w:val="00D66F91"/>
    <w:rsid w:val="00D67161"/>
    <w:rsid w:val="00D6719A"/>
    <w:rsid w:val="00D67371"/>
    <w:rsid w:val="00D67413"/>
    <w:rsid w:val="00D6754B"/>
    <w:rsid w:val="00D67A93"/>
    <w:rsid w:val="00D67B13"/>
    <w:rsid w:val="00D7039D"/>
    <w:rsid w:val="00D703E5"/>
    <w:rsid w:val="00D70CFA"/>
    <w:rsid w:val="00D70DDB"/>
    <w:rsid w:val="00D71000"/>
    <w:rsid w:val="00D71005"/>
    <w:rsid w:val="00D71148"/>
    <w:rsid w:val="00D711AA"/>
    <w:rsid w:val="00D7131E"/>
    <w:rsid w:val="00D71410"/>
    <w:rsid w:val="00D71543"/>
    <w:rsid w:val="00D715F9"/>
    <w:rsid w:val="00D71846"/>
    <w:rsid w:val="00D719A1"/>
    <w:rsid w:val="00D71C0E"/>
    <w:rsid w:val="00D71FE0"/>
    <w:rsid w:val="00D72449"/>
    <w:rsid w:val="00D72F92"/>
    <w:rsid w:val="00D730A2"/>
    <w:rsid w:val="00D730F3"/>
    <w:rsid w:val="00D73611"/>
    <w:rsid w:val="00D73776"/>
    <w:rsid w:val="00D73892"/>
    <w:rsid w:val="00D73962"/>
    <w:rsid w:val="00D73B16"/>
    <w:rsid w:val="00D73E17"/>
    <w:rsid w:val="00D7404A"/>
    <w:rsid w:val="00D7406F"/>
    <w:rsid w:val="00D74165"/>
    <w:rsid w:val="00D7432A"/>
    <w:rsid w:val="00D746AC"/>
    <w:rsid w:val="00D7488F"/>
    <w:rsid w:val="00D74CDD"/>
    <w:rsid w:val="00D7512E"/>
    <w:rsid w:val="00D755FF"/>
    <w:rsid w:val="00D756BC"/>
    <w:rsid w:val="00D757D9"/>
    <w:rsid w:val="00D758A2"/>
    <w:rsid w:val="00D762D4"/>
    <w:rsid w:val="00D7634A"/>
    <w:rsid w:val="00D763A8"/>
    <w:rsid w:val="00D76430"/>
    <w:rsid w:val="00D768F4"/>
    <w:rsid w:val="00D76FBF"/>
    <w:rsid w:val="00D76FEC"/>
    <w:rsid w:val="00D770F6"/>
    <w:rsid w:val="00D77294"/>
    <w:rsid w:val="00D775D9"/>
    <w:rsid w:val="00D775DC"/>
    <w:rsid w:val="00D77B14"/>
    <w:rsid w:val="00D77BC2"/>
    <w:rsid w:val="00D8013C"/>
    <w:rsid w:val="00D80158"/>
    <w:rsid w:val="00D802FE"/>
    <w:rsid w:val="00D8053C"/>
    <w:rsid w:val="00D80AA9"/>
    <w:rsid w:val="00D80CBD"/>
    <w:rsid w:val="00D80E72"/>
    <w:rsid w:val="00D815A0"/>
    <w:rsid w:val="00D815E5"/>
    <w:rsid w:val="00D81680"/>
    <w:rsid w:val="00D818E9"/>
    <w:rsid w:val="00D819F3"/>
    <w:rsid w:val="00D81B18"/>
    <w:rsid w:val="00D81F78"/>
    <w:rsid w:val="00D821A6"/>
    <w:rsid w:val="00D82354"/>
    <w:rsid w:val="00D828CC"/>
    <w:rsid w:val="00D82A11"/>
    <w:rsid w:val="00D83841"/>
    <w:rsid w:val="00D83CCF"/>
    <w:rsid w:val="00D83E21"/>
    <w:rsid w:val="00D84487"/>
    <w:rsid w:val="00D844E5"/>
    <w:rsid w:val="00D8464B"/>
    <w:rsid w:val="00D848F9"/>
    <w:rsid w:val="00D84A31"/>
    <w:rsid w:val="00D84A94"/>
    <w:rsid w:val="00D84F9A"/>
    <w:rsid w:val="00D85271"/>
    <w:rsid w:val="00D85E3A"/>
    <w:rsid w:val="00D86038"/>
    <w:rsid w:val="00D86180"/>
    <w:rsid w:val="00D8654A"/>
    <w:rsid w:val="00D865D0"/>
    <w:rsid w:val="00D866D0"/>
    <w:rsid w:val="00D86780"/>
    <w:rsid w:val="00D86B20"/>
    <w:rsid w:val="00D86C64"/>
    <w:rsid w:val="00D8700E"/>
    <w:rsid w:val="00D875C2"/>
    <w:rsid w:val="00D87761"/>
    <w:rsid w:val="00D87A74"/>
    <w:rsid w:val="00D87D41"/>
    <w:rsid w:val="00D87DCC"/>
    <w:rsid w:val="00D902E2"/>
    <w:rsid w:val="00D9043E"/>
    <w:rsid w:val="00D907E9"/>
    <w:rsid w:val="00D90829"/>
    <w:rsid w:val="00D908C9"/>
    <w:rsid w:val="00D90974"/>
    <w:rsid w:val="00D9099B"/>
    <w:rsid w:val="00D90DC6"/>
    <w:rsid w:val="00D9130F"/>
    <w:rsid w:val="00D91931"/>
    <w:rsid w:val="00D91BC3"/>
    <w:rsid w:val="00D91E7D"/>
    <w:rsid w:val="00D9230B"/>
    <w:rsid w:val="00D92599"/>
    <w:rsid w:val="00D92A46"/>
    <w:rsid w:val="00D92B0C"/>
    <w:rsid w:val="00D92D04"/>
    <w:rsid w:val="00D935FF"/>
    <w:rsid w:val="00D93D57"/>
    <w:rsid w:val="00D93F65"/>
    <w:rsid w:val="00D94050"/>
    <w:rsid w:val="00D94139"/>
    <w:rsid w:val="00D942F5"/>
    <w:rsid w:val="00D943E9"/>
    <w:rsid w:val="00D94485"/>
    <w:rsid w:val="00D944B6"/>
    <w:rsid w:val="00D9452C"/>
    <w:rsid w:val="00D94862"/>
    <w:rsid w:val="00D9492C"/>
    <w:rsid w:val="00D94D85"/>
    <w:rsid w:val="00D95009"/>
    <w:rsid w:val="00D957C4"/>
    <w:rsid w:val="00D958DF"/>
    <w:rsid w:val="00D95902"/>
    <w:rsid w:val="00D95B2A"/>
    <w:rsid w:val="00D95EE7"/>
    <w:rsid w:val="00D9600A"/>
    <w:rsid w:val="00D9635E"/>
    <w:rsid w:val="00D96474"/>
    <w:rsid w:val="00D967D7"/>
    <w:rsid w:val="00D96818"/>
    <w:rsid w:val="00D968A3"/>
    <w:rsid w:val="00D968AA"/>
    <w:rsid w:val="00D96925"/>
    <w:rsid w:val="00D96AA6"/>
    <w:rsid w:val="00D96AAC"/>
    <w:rsid w:val="00D96EDA"/>
    <w:rsid w:val="00D97411"/>
    <w:rsid w:val="00D9741D"/>
    <w:rsid w:val="00D978CE"/>
    <w:rsid w:val="00D97AA2"/>
    <w:rsid w:val="00DA0299"/>
    <w:rsid w:val="00DA057B"/>
    <w:rsid w:val="00DA0870"/>
    <w:rsid w:val="00DA0BBB"/>
    <w:rsid w:val="00DA0E70"/>
    <w:rsid w:val="00DA10C5"/>
    <w:rsid w:val="00DA10FE"/>
    <w:rsid w:val="00DA1795"/>
    <w:rsid w:val="00DA1B16"/>
    <w:rsid w:val="00DA20DA"/>
    <w:rsid w:val="00DA22A6"/>
    <w:rsid w:val="00DA2648"/>
    <w:rsid w:val="00DA27F1"/>
    <w:rsid w:val="00DA27FB"/>
    <w:rsid w:val="00DA2848"/>
    <w:rsid w:val="00DA2A87"/>
    <w:rsid w:val="00DA2AA5"/>
    <w:rsid w:val="00DA2BF2"/>
    <w:rsid w:val="00DA2E25"/>
    <w:rsid w:val="00DA34B7"/>
    <w:rsid w:val="00DA37AC"/>
    <w:rsid w:val="00DA3878"/>
    <w:rsid w:val="00DA391D"/>
    <w:rsid w:val="00DA3B1B"/>
    <w:rsid w:val="00DA3BC8"/>
    <w:rsid w:val="00DA3BDC"/>
    <w:rsid w:val="00DA45A6"/>
    <w:rsid w:val="00DA484A"/>
    <w:rsid w:val="00DA4C61"/>
    <w:rsid w:val="00DA4DA4"/>
    <w:rsid w:val="00DA5213"/>
    <w:rsid w:val="00DA54D4"/>
    <w:rsid w:val="00DA5597"/>
    <w:rsid w:val="00DA5645"/>
    <w:rsid w:val="00DA5CB9"/>
    <w:rsid w:val="00DA5F28"/>
    <w:rsid w:val="00DA659B"/>
    <w:rsid w:val="00DA6928"/>
    <w:rsid w:val="00DA6AAF"/>
    <w:rsid w:val="00DA6BAD"/>
    <w:rsid w:val="00DA6C9B"/>
    <w:rsid w:val="00DA70A1"/>
    <w:rsid w:val="00DA7213"/>
    <w:rsid w:val="00DA73BB"/>
    <w:rsid w:val="00DA7492"/>
    <w:rsid w:val="00DA74A5"/>
    <w:rsid w:val="00DA7523"/>
    <w:rsid w:val="00DA7555"/>
    <w:rsid w:val="00DA770E"/>
    <w:rsid w:val="00DA7849"/>
    <w:rsid w:val="00DA7BB3"/>
    <w:rsid w:val="00DA7C64"/>
    <w:rsid w:val="00DA7DF6"/>
    <w:rsid w:val="00DA7ECB"/>
    <w:rsid w:val="00DA7FCD"/>
    <w:rsid w:val="00DB03C6"/>
    <w:rsid w:val="00DB05C3"/>
    <w:rsid w:val="00DB0B8D"/>
    <w:rsid w:val="00DB153C"/>
    <w:rsid w:val="00DB15CA"/>
    <w:rsid w:val="00DB17CC"/>
    <w:rsid w:val="00DB191A"/>
    <w:rsid w:val="00DB2106"/>
    <w:rsid w:val="00DB2519"/>
    <w:rsid w:val="00DB2618"/>
    <w:rsid w:val="00DB272F"/>
    <w:rsid w:val="00DB28A7"/>
    <w:rsid w:val="00DB2B2F"/>
    <w:rsid w:val="00DB3122"/>
    <w:rsid w:val="00DB321B"/>
    <w:rsid w:val="00DB3394"/>
    <w:rsid w:val="00DB33B5"/>
    <w:rsid w:val="00DB3461"/>
    <w:rsid w:val="00DB3491"/>
    <w:rsid w:val="00DB35FB"/>
    <w:rsid w:val="00DB3EE0"/>
    <w:rsid w:val="00DB3F7E"/>
    <w:rsid w:val="00DB430E"/>
    <w:rsid w:val="00DB44D6"/>
    <w:rsid w:val="00DB4649"/>
    <w:rsid w:val="00DB48AB"/>
    <w:rsid w:val="00DB48D8"/>
    <w:rsid w:val="00DB4B0B"/>
    <w:rsid w:val="00DB4B18"/>
    <w:rsid w:val="00DB4B2A"/>
    <w:rsid w:val="00DB50D3"/>
    <w:rsid w:val="00DB517E"/>
    <w:rsid w:val="00DB56A2"/>
    <w:rsid w:val="00DB580D"/>
    <w:rsid w:val="00DB5C02"/>
    <w:rsid w:val="00DB5DA0"/>
    <w:rsid w:val="00DB676C"/>
    <w:rsid w:val="00DB67A0"/>
    <w:rsid w:val="00DB6884"/>
    <w:rsid w:val="00DB6895"/>
    <w:rsid w:val="00DB6E79"/>
    <w:rsid w:val="00DB6F46"/>
    <w:rsid w:val="00DB77B8"/>
    <w:rsid w:val="00DB7CC1"/>
    <w:rsid w:val="00DC0054"/>
    <w:rsid w:val="00DC045F"/>
    <w:rsid w:val="00DC0654"/>
    <w:rsid w:val="00DC09D8"/>
    <w:rsid w:val="00DC0AC6"/>
    <w:rsid w:val="00DC0BD4"/>
    <w:rsid w:val="00DC1172"/>
    <w:rsid w:val="00DC13E3"/>
    <w:rsid w:val="00DC16E2"/>
    <w:rsid w:val="00DC1786"/>
    <w:rsid w:val="00DC1BA5"/>
    <w:rsid w:val="00DC2100"/>
    <w:rsid w:val="00DC237C"/>
    <w:rsid w:val="00DC2527"/>
    <w:rsid w:val="00DC2789"/>
    <w:rsid w:val="00DC284F"/>
    <w:rsid w:val="00DC339F"/>
    <w:rsid w:val="00DC36D2"/>
    <w:rsid w:val="00DC36FC"/>
    <w:rsid w:val="00DC3B1F"/>
    <w:rsid w:val="00DC426D"/>
    <w:rsid w:val="00DC4F1E"/>
    <w:rsid w:val="00DC51A7"/>
    <w:rsid w:val="00DC5488"/>
    <w:rsid w:val="00DC5499"/>
    <w:rsid w:val="00DC58E9"/>
    <w:rsid w:val="00DC60A4"/>
    <w:rsid w:val="00DC60C8"/>
    <w:rsid w:val="00DC62EA"/>
    <w:rsid w:val="00DC638D"/>
    <w:rsid w:val="00DC65E5"/>
    <w:rsid w:val="00DC6945"/>
    <w:rsid w:val="00DC6C2D"/>
    <w:rsid w:val="00DC6DC3"/>
    <w:rsid w:val="00DC6DCD"/>
    <w:rsid w:val="00DC736F"/>
    <w:rsid w:val="00DC740F"/>
    <w:rsid w:val="00DC760D"/>
    <w:rsid w:val="00DC7678"/>
    <w:rsid w:val="00DC76B3"/>
    <w:rsid w:val="00DC7B59"/>
    <w:rsid w:val="00DC7CCD"/>
    <w:rsid w:val="00DC7D56"/>
    <w:rsid w:val="00DC7DC5"/>
    <w:rsid w:val="00DC7E8A"/>
    <w:rsid w:val="00DC7FC2"/>
    <w:rsid w:val="00DD0167"/>
    <w:rsid w:val="00DD0300"/>
    <w:rsid w:val="00DD0ADD"/>
    <w:rsid w:val="00DD0D72"/>
    <w:rsid w:val="00DD122C"/>
    <w:rsid w:val="00DD16EF"/>
    <w:rsid w:val="00DD1905"/>
    <w:rsid w:val="00DD194E"/>
    <w:rsid w:val="00DD1C93"/>
    <w:rsid w:val="00DD1DB2"/>
    <w:rsid w:val="00DD1E0F"/>
    <w:rsid w:val="00DD217C"/>
    <w:rsid w:val="00DD233B"/>
    <w:rsid w:val="00DD2370"/>
    <w:rsid w:val="00DD2404"/>
    <w:rsid w:val="00DD2F84"/>
    <w:rsid w:val="00DD3213"/>
    <w:rsid w:val="00DD3364"/>
    <w:rsid w:val="00DD3BDD"/>
    <w:rsid w:val="00DD3C10"/>
    <w:rsid w:val="00DD3DB1"/>
    <w:rsid w:val="00DD4078"/>
    <w:rsid w:val="00DD41ED"/>
    <w:rsid w:val="00DD43E2"/>
    <w:rsid w:val="00DD45BD"/>
    <w:rsid w:val="00DD45EC"/>
    <w:rsid w:val="00DD4653"/>
    <w:rsid w:val="00DD483A"/>
    <w:rsid w:val="00DD4C71"/>
    <w:rsid w:val="00DD4EF9"/>
    <w:rsid w:val="00DD50EF"/>
    <w:rsid w:val="00DD5112"/>
    <w:rsid w:val="00DD58ED"/>
    <w:rsid w:val="00DD58F5"/>
    <w:rsid w:val="00DD59AB"/>
    <w:rsid w:val="00DD5C06"/>
    <w:rsid w:val="00DD6120"/>
    <w:rsid w:val="00DD61EC"/>
    <w:rsid w:val="00DD6386"/>
    <w:rsid w:val="00DD63D5"/>
    <w:rsid w:val="00DD6F80"/>
    <w:rsid w:val="00DD7053"/>
    <w:rsid w:val="00DD742A"/>
    <w:rsid w:val="00DD74AD"/>
    <w:rsid w:val="00DD774B"/>
    <w:rsid w:val="00DD78D8"/>
    <w:rsid w:val="00DD7A63"/>
    <w:rsid w:val="00DD7B4C"/>
    <w:rsid w:val="00DD7C48"/>
    <w:rsid w:val="00DE0049"/>
    <w:rsid w:val="00DE018A"/>
    <w:rsid w:val="00DE01B4"/>
    <w:rsid w:val="00DE01CF"/>
    <w:rsid w:val="00DE033B"/>
    <w:rsid w:val="00DE0687"/>
    <w:rsid w:val="00DE0BA0"/>
    <w:rsid w:val="00DE0D70"/>
    <w:rsid w:val="00DE0ED8"/>
    <w:rsid w:val="00DE0F1A"/>
    <w:rsid w:val="00DE0FFF"/>
    <w:rsid w:val="00DE12CB"/>
    <w:rsid w:val="00DE14D6"/>
    <w:rsid w:val="00DE169D"/>
    <w:rsid w:val="00DE17B9"/>
    <w:rsid w:val="00DE192D"/>
    <w:rsid w:val="00DE196B"/>
    <w:rsid w:val="00DE1D7F"/>
    <w:rsid w:val="00DE1DBE"/>
    <w:rsid w:val="00DE1E62"/>
    <w:rsid w:val="00DE1EA3"/>
    <w:rsid w:val="00DE1F43"/>
    <w:rsid w:val="00DE2227"/>
    <w:rsid w:val="00DE22D9"/>
    <w:rsid w:val="00DE265E"/>
    <w:rsid w:val="00DE2EDA"/>
    <w:rsid w:val="00DE3170"/>
    <w:rsid w:val="00DE31BB"/>
    <w:rsid w:val="00DE39E4"/>
    <w:rsid w:val="00DE39F0"/>
    <w:rsid w:val="00DE3CEE"/>
    <w:rsid w:val="00DE3DD2"/>
    <w:rsid w:val="00DE41C3"/>
    <w:rsid w:val="00DE44A0"/>
    <w:rsid w:val="00DE45E1"/>
    <w:rsid w:val="00DE46B4"/>
    <w:rsid w:val="00DE4A05"/>
    <w:rsid w:val="00DE4DEA"/>
    <w:rsid w:val="00DE4E1B"/>
    <w:rsid w:val="00DE4F03"/>
    <w:rsid w:val="00DE4FA9"/>
    <w:rsid w:val="00DE51AC"/>
    <w:rsid w:val="00DE53C5"/>
    <w:rsid w:val="00DE5550"/>
    <w:rsid w:val="00DE5FF7"/>
    <w:rsid w:val="00DE601A"/>
    <w:rsid w:val="00DE684F"/>
    <w:rsid w:val="00DE68E5"/>
    <w:rsid w:val="00DE6F16"/>
    <w:rsid w:val="00DE718A"/>
    <w:rsid w:val="00DF0684"/>
    <w:rsid w:val="00DF07E8"/>
    <w:rsid w:val="00DF0872"/>
    <w:rsid w:val="00DF09F0"/>
    <w:rsid w:val="00DF0A22"/>
    <w:rsid w:val="00DF139D"/>
    <w:rsid w:val="00DF168B"/>
    <w:rsid w:val="00DF19A4"/>
    <w:rsid w:val="00DF1AED"/>
    <w:rsid w:val="00DF27B5"/>
    <w:rsid w:val="00DF27EF"/>
    <w:rsid w:val="00DF2A81"/>
    <w:rsid w:val="00DF2D9C"/>
    <w:rsid w:val="00DF2EA4"/>
    <w:rsid w:val="00DF317E"/>
    <w:rsid w:val="00DF3655"/>
    <w:rsid w:val="00DF36C3"/>
    <w:rsid w:val="00DF3B4B"/>
    <w:rsid w:val="00DF3B8B"/>
    <w:rsid w:val="00DF3C0C"/>
    <w:rsid w:val="00DF3FE8"/>
    <w:rsid w:val="00DF43B3"/>
    <w:rsid w:val="00DF4840"/>
    <w:rsid w:val="00DF4E43"/>
    <w:rsid w:val="00DF517B"/>
    <w:rsid w:val="00DF52B9"/>
    <w:rsid w:val="00DF53F5"/>
    <w:rsid w:val="00DF53FE"/>
    <w:rsid w:val="00DF5592"/>
    <w:rsid w:val="00DF55B6"/>
    <w:rsid w:val="00DF560F"/>
    <w:rsid w:val="00DF597A"/>
    <w:rsid w:val="00DF5A99"/>
    <w:rsid w:val="00DF5BC0"/>
    <w:rsid w:val="00DF606F"/>
    <w:rsid w:val="00DF647E"/>
    <w:rsid w:val="00DF6778"/>
    <w:rsid w:val="00DF6862"/>
    <w:rsid w:val="00DF6CB1"/>
    <w:rsid w:val="00DF73B6"/>
    <w:rsid w:val="00DF74BC"/>
    <w:rsid w:val="00DF758E"/>
    <w:rsid w:val="00DF7674"/>
    <w:rsid w:val="00DF7967"/>
    <w:rsid w:val="00DF7A37"/>
    <w:rsid w:val="00DF7DF1"/>
    <w:rsid w:val="00DF7F92"/>
    <w:rsid w:val="00DF7FA7"/>
    <w:rsid w:val="00E001AD"/>
    <w:rsid w:val="00E003A7"/>
    <w:rsid w:val="00E004F7"/>
    <w:rsid w:val="00E00629"/>
    <w:rsid w:val="00E00654"/>
    <w:rsid w:val="00E0073B"/>
    <w:rsid w:val="00E00C92"/>
    <w:rsid w:val="00E00CCB"/>
    <w:rsid w:val="00E00DAA"/>
    <w:rsid w:val="00E00DD2"/>
    <w:rsid w:val="00E00FC1"/>
    <w:rsid w:val="00E00FD4"/>
    <w:rsid w:val="00E01037"/>
    <w:rsid w:val="00E010D6"/>
    <w:rsid w:val="00E01110"/>
    <w:rsid w:val="00E02327"/>
    <w:rsid w:val="00E02715"/>
    <w:rsid w:val="00E02A26"/>
    <w:rsid w:val="00E0316C"/>
    <w:rsid w:val="00E031C8"/>
    <w:rsid w:val="00E034CD"/>
    <w:rsid w:val="00E03F85"/>
    <w:rsid w:val="00E04451"/>
    <w:rsid w:val="00E048E2"/>
    <w:rsid w:val="00E04F60"/>
    <w:rsid w:val="00E050C6"/>
    <w:rsid w:val="00E053E4"/>
    <w:rsid w:val="00E054D8"/>
    <w:rsid w:val="00E05529"/>
    <w:rsid w:val="00E05539"/>
    <w:rsid w:val="00E05B4F"/>
    <w:rsid w:val="00E05DFF"/>
    <w:rsid w:val="00E05FB4"/>
    <w:rsid w:val="00E06B3A"/>
    <w:rsid w:val="00E06DCE"/>
    <w:rsid w:val="00E06E43"/>
    <w:rsid w:val="00E06E6F"/>
    <w:rsid w:val="00E07217"/>
    <w:rsid w:val="00E0778E"/>
    <w:rsid w:val="00E07964"/>
    <w:rsid w:val="00E07DF0"/>
    <w:rsid w:val="00E07F9C"/>
    <w:rsid w:val="00E10065"/>
    <w:rsid w:val="00E1040F"/>
    <w:rsid w:val="00E105C1"/>
    <w:rsid w:val="00E108B0"/>
    <w:rsid w:val="00E11418"/>
    <w:rsid w:val="00E1159D"/>
    <w:rsid w:val="00E11A65"/>
    <w:rsid w:val="00E11ACC"/>
    <w:rsid w:val="00E11B3E"/>
    <w:rsid w:val="00E11E54"/>
    <w:rsid w:val="00E12080"/>
    <w:rsid w:val="00E12237"/>
    <w:rsid w:val="00E123ED"/>
    <w:rsid w:val="00E12630"/>
    <w:rsid w:val="00E126ED"/>
    <w:rsid w:val="00E12882"/>
    <w:rsid w:val="00E12B6B"/>
    <w:rsid w:val="00E12EF5"/>
    <w:rsid w:val="00E139FC"/>
    <w:rsid w:val="00E13A61"/>
    <w:rsid w:val="00E13C63"/>
    <w:rsid w:val="00E13C95"/>
    <w:rsid w:val="00E13EB2"/>
    <w:rsid w:val="00E140DC"/>
    <w:rsid w:val="00E14564"/>
    <w:rsid w:val="00E15136"/>
    <w:rsid w:val="00E153C5"/>
    <w:rsid w:val="00E156F0"/>
    <w:rsid w:val="00E15738"/>
    <w:rsid w:val="00E1578D"/>
    <w:rsid w:val="00E158A3"/>
    <w:rsid w:val="00E162DD"/>
    <w:rsid w:val="00E16312"/>
    <w:rsid w:val="00E16351"/>
    <w:rsid w:val="00E169CE"/>
    <w:rsid w:val="00E16B19"/>
    <w:rsid w:val="00E16B72"/>
    <w:rsid w:val="00E17043"/>
    <w:rsid w:val="00E1722D"/>
    <w:rsid w:val="00E17241"/>
    <w:rsid w:val="00E173C2"/>
    <w:rsid w:val="00E17446"/>
    <w:rsid w:val="00E17860"/>
    <w:rsid w:val="00E179E0"/>
    <w:rsid w:val="00E17E18"/>
    <w:rsid w:val="00E17F74"/>
    <w:rsid w:val="00E20072"/>
    <w:rsid w:val="00E201F9"/>
    <w:rsid w:val="00E2032D"/>
    <w:rsid w:val="00E20493"/>
    <w:rsid w:val="00E2078F"/>
    <w:rsid w:val="00E20874"/>
    <w:rsid w:val="00E20B71"/>
    <w:rsid w:val="00E21446"/>
    <w:rsid w:val="00E2150C"/>
    <w:rsid w:val="00E219AA"/>
    <w:rsid w:val="00E21F48"/>
    <w:rsid w:val="00E224CF"/>
    <w:rsid w:val="00E228A4"/>
    <w:rsid w:val="00E2315B"/>
    <w:rsid w:val="00E23187"/>
    <w:rsid w:val="00E232A2"/>
    <w:rsid w:val="00E233CD"/>
    <w:rsid w:val="00E233F7"/>
    <w:rsid w:val="00E236C3"/>
    <w:rsid w:val="00E23779"/>
    <w:rsid w:val="00E237C9"/>
    <w:rsid w:val="00E23909"/>
    <w:rsid w:val="00E239D0"/>
    <w:rsid w:val="00E23A28"/>
    <w:rsid w:val="00E23A4A"/>
    <w:rsid w:val="00E23D31"/>
    <w:rsid w:val="00E23D6C"/>
    <w:rsid w:val="00E2444C"/>
    <w:rsid w:val="00E244D1"/>
    <w:rsid w:val="00E2461B"/>
    <w:rsid w:val="00E2503A"/>
    <w:rsid w:val="00E253A2"/>
    <w:rsid w:val="00E2552F"/>
    <w:rsid w:val="00E25558"/>
    <w:rsid w:val="00E25976"/>
    <w:rsid w:val="00E25A68"/>
    <w:rsid w:val="00E25CA6"/>
    <w:rsid w:val="00E25DE0"/>
    <w:rsid w:val="00E25E1C"/>
    <w:rsid w:val="00E26219"/>
    <w:rsid w:val="00E265AC"/>
    <w:rsid w:val="00E26602"/>
    <w:rsid w:val="00E27127"/>
    <w:rsid w:val="00E272CD"/>
    <w:rsid w:val="00E27609"/>
    <w:rsid w:val="00E27839"/>
    <w:rsid w:val="00E2795D"/>
    <w:rsid w:val="00E27B9F"/>
    <w:rsid w:val="00E27D03"/>
    <w:rsid w:val="00E30879"/>
    <w:rsid w:val="00E30A68"/>
    <w:rsid w:val="00E30D79"/>
    <w:rsid w:val="00E30F38"/>
    <w:rsid w:val="00E3105C"/>
    <w:rsid w:val="00E31063"/>
    <w:rsid w:val="00E3115A"/>
    <w:rsid w:val="00E313DB"/>
    <w:rsid w:val="00E3170F"/>
    <w:rsid w:val="00E3177D"/>
    <w:rsid w:val="00E31852"/>
    <w:rsid w:val="00E31C73"/>
    <w:rsid w:val="00E31CBD"/>
    <w:rsid w:val="00E31F10"/>
    <w:rsid w:val="00E327CB"/>
    <w:rsid w:val="00E32C2C"/>
    <w:rsid w:val="00E32C6C"/>
    <w:rsid w:val="00E32FFF"/>
    <w:rsid w:val="00E332AB"/>
    <w:rsid w:val="00E33682"/>
    <w:rsid w:val="00E3368D"/>
    <w:rsid w:val="00E34044"/>
    <w:rsid w:val="00E3530B"/>
    <w:rsid w:val="00E35491"/>
    <w:rsid w:val="00E35A90"/>
    <w:rsid w:val="00E35CEE"/>
    <w:rsid w:val="00E35D07"/>
    <w:rsid w:val="00E36481"/>
    <w:rsid w:val="00E36DC7"/>
    <w:rsid w:val="00E370E7"/>
    <w:rsid w:val="00E37156"/>
    <w:rsid w:val="00E371D5"/>
    <w:rsid w:val="00E3733D"/>
    <w:rsid w:val="00E375F4"/>
    <w:rsid w:val="00E37947"/>
    <w:rsid w:val="00E37A51"/>
    <w:rsid w:val="00E37C21"/>
    <w:rsid w:val="00E37C61"/>
    <w:rsid w:val="00E37C69"/>
    <w:rsid w:val="00E37D3A"/>
    <w:rsid w:val="00E37E2C"/>
    <w:rsid w:val="00E37EE1"/>
    <w:rsid w:val="00E401E9"/>
    <w:rsid w:val="00E40369"/>
    <w:rsid w:val="00E40545"/>
    <w:rsid w:val="00E405C8"/>
    <w:rsid w:val="00E40A2B"/>
    <w:rsid w:val="00E40B91"/>
    <w:rsid w:val="00E4102D"/>
    <w:rsid w:val="00E4130D"/>
    <w:rsid w:val="00E41E40"/>
    <w:rsid w:val="00E420B4"/>
    <w:rsid w:val="00E42471"/>
    <w:rsid w:val="00E42630"/>
    <w:rsid w:val="00E426D7"/>
    <w:rsid w:val="00E4276D"/>
    <w:rsid w:val="00E427B8"/>
    <w:rsid w:val="00E428AB"/>
    <w:rsid w:val="00E428E0"/>
    <w:rsid w:val="00E4295B"/>
    <w:rsid w:val="00E42A95"/>
    <w:rsid w:val="00E42C47"/>
    <w:rsid w:val="00E42CC6"/>
    <w:rsid w:val="00E42D43"/>
    <w:rsid w:val="00E42D77"/>
    <w:rsid w:val="00E42DE9"/>
    <w:rsid w:val="00E42E25"/>
    <w:rsid w:val="00E42E97"/>
    <w:rsid w:val="00E42EDF"/>
    <w:rsid w:val="00E42F7E"/>
    <w:rsid w:val="00E432E1"/>
    <w:rsid w:val="00E43321"/>
    <w:rsid w:val="00E43AD5"/>
    <w:rsid w:val="00E43DEF"/>
    <w:rsid w:val="00E44075"/>
    <w:rsid w:val="00E4452E"/>
    <w:rsid w:val="00E44C7A"/>
    <w:rsid w:val="00E44C99"/>
    <w:rsid w:val="00E44C9D"/>
    <w:rsid w:val="00E44D64"/>
    <w:rsid w:val="00E44FEB"/>
    <w:rsid w:val="00E452DF"/>
    <w:rsid w:val="00E4577B"/>
    <w:rsid w:val="00E45DCC"/>
    <w:rsid w:val="00E45F6C"/>
    <w:rsid w:val="00E4650F"/>
    <w:rsid w:val="00E46649"/>
    <w:rsid w:val="00E46775"/>
    <w:rsid w:val="00E46926"/>
    <w:rsid w:val="00E46C32"/>
    <w:rsid w:val="00E46E64"/>
    <w:rsid w:val="00E472F5"/>
    <w:rsid w:val="00E474A1"/>
    <w:rsid w:val="00E47505"/>
    <w:rsid w:val="00E47D3F"/>
    <w:rsid w:val="00E50074"/>
    <w:rsid w:val="00E501E8"/>
    <w:rsid w:val="00E50311"/>
    <w:rsid w:val="00E50369"/>
    <w:rsid w:val="00E505B1"/>
    <w:rsid w:val="00E50640"/>
    <w:rsid w:val="00E50BAD"/>
    <w:rsid w:val="00E5192F"/>
    <w:rsid w:val="00E51AA2"/>
    <w:rsid w:val="00E51AB0"/>
    <w:rsid w:val="00E52106"/>
    <w:rsid w:val="00E525CD"/>
    <w:rsid w:val="00E52711"/>
    <w:rsid w:val="00E52805"/>
    <w:rsid w:val="00E52816"/>
    <w:rsid w:val="00E52B7F"/>
    <w:rsid w:val="00E5344B"/>
    <w:rsid w:val="00E5345A"/>
    <w:rsid w:val="00E534EF"/>
    <w:rsid w:val="00E53642"/>
    <w:rsid w:val="00E536DE"/>
    <w:rsid w:val="00E53976"/>
    <w:rsid w:val="00E53E9E"/>
    <w:rsid w:val="00E53ECB"/>
    <w:rsid w:val="00E540FB"/>
    <w:rsid w:val="00E54335"/>
    <w:rsid w:val="00E544C0"/>
    <w:rsid w:val="00E546BE"/>
    <w:rsid w:val="00E546D4"/>
    <w:rsid w:val="00E54A55"/>
    <w:rsid w:val="00E54AFD"/>
    <w:rsid w:val="00E54D2E"/>
    <w:rsid w:val="00E54D4D"/>
    <w:rsid w:val="00E54EBC"/>
    <w:rsid w:val="00E54EC8"/>
    <w:rsid w:val="00E5526E"/>
    <w:rsid w:val="00E553A8"/>
    <w:rsid w:val="00E55714"/>
    <w:rsid w:val="00E55DA6"/>
    <w:rsid w:val="00E56042"/>
    <w:rsid w:val="00E5680A"/>
    <w:rsid w:val="00E56928"/>
    <w:rsid w:val="00E5693C"/>
    <w:rsid w:val="00E56B69"/>
    <w:rsid w:val="00E56B89"/>
    <w:rsid w:val="00E56CE1"/>
    <w:rsid w:val="00E56E72"/>
    <w:rsid w:val="00E56EED"/>
    <w:rsid w:val="00E5726C"/>
    <w:rsid w:val="00E57799"/>
    <w:rsid w:val="00E60258"/>
    <w:rsid w:val="00E6034B"/>
    <w:rsid w:val="00E60754"/>
    <w:rsid w:val="00E61070"/>
    <w:rsid w:val="00E6126A"/>
    <w:rsid w:val="00E615A0"/>
    <w:rsid w:val="00E61920"/>
    <w:rsid w:val="00E61ECE"/>
    <w:rsid w:val="00E61F22"/>
    <w:rsid w:val="00E61F58"/>
    <w:rsid w:val="00E62525"/>
    <w:rsid w:val="00E625ED"/>
    <w:rsid w:val="00E62880"/>
    <w:rsid w:val="00E62C8B"/>
    <w:rsid w:val="00E631BE"/>
    <w:rsid w:val="00E63232"/>
    <w:rsid w:val="00E6359F"/>
    <w:rsid w:val="00E63618"/>
    <w:rsid w:val="00E63756"/>
    <w:rsid w:val="00E6386D"/>
    <w:rsid w:val="00E638C6"/>
    <w:rsid w:val="00E63A8D"/>
    <w:rsid w:val="00E63B4F"/>
    <w:rsid w:val="00E63EE8"/>
    <w:rsid w:val="00E63EEF"/>
    <w:rsid w:val="00E640A8"/>
    <w:rsid w:val="00E642BA"/>
    <w:rsid w:val="00E644F3"/>
    <w:rsid w:val="00E644F5"/>
    <w:rsid w:val="00E64727"/>
    <w:rsid w:val="00E647F1"/>
    <w:rsid w:val="00E6487E"/>
    <w:rsid w:val="00E649CB"/>
    <w:rsid w:val="00E649E2"/>
    <w:rsid w:val="00E64A8C"/>
    <w:rsid w:val="00E6507A"/>
    <w:rsid w:val="00E65112"/>
    <w:rsid w:val="00E65141"/>
    <w:rsid w:val="00E65339"/>
    <w:rsid w:val="00E65388"/>
    <w:rsid w:val="00E65395"/>
    <w:rsid w:val="00E65453"/>
    <w:rsid w:val="00E655A7"/>
    <w:rsid w:val="00E65BC3"/>
    <w:rsid w:val="00E660CB"/>
    <w:rsid w:val="00E66150"/>
    <w:rsid w:val="00E665D4"/>
    <w:rsid w:val="00E66BC8"/>
    <w:rsid w:val="00E66C37"/>
    <w:rsid w:val="00E66E95"/>
    <w:rsid w:val="00E670AF"/>
    <w:rsid w:val="00E6754F"/>
    <w:rsid w:val="00E677B9"/>
    <w:rsid w:val="00E67B8D"/>
    <w:rsid w:val="00E67CD0"/>
    <w:rsid w:val="00E67D52"/>
    <w:rsid w:val="00E67D69"/>
    <w:rsid w:val="00E67F23"/>
    <w:rsid w:val="00E7011D"/>
    <w:rsid w:val="00E704FA"/>
    <w:rsid w:val="00E70800"/>
    <w:rsid w:val="00E71247"/>
    <w:rsid w:val="00E715B3"/>
    <w:rsid w:val="00E71941"/>
    <w:rsid w:val="00E719DC"/>
    <w:rsid w:val="00E71B50"/>
    <w:rsid w:val="00E71CCA"/>
    <w:rsid w:val="00E722B2"/>
    <w:rsid w:val="00E7237D"/>
    <w:rsid w:val="00E72599"/>
    <w:rsid w:val="00E72750"/>
    <w:rsid w:val="00E72800"/>
    <w:rsid w:val="00E72918"/>
    <w:rsid w:val="00E72949"/>
    <w:rsid w:val="00E72DAD"/>
    <w:rsid w:val="00E73223"/>
    <w:rsid w:val="00E73943"/>
    <w:rsid w:val="00E73C46"/>
    <w:rsid w:val="00E73C54"/>
    <w:rsid w:val="00E73CB0"/>
    <w:rsid w:val="00E73DDF"/>
    <w:rsid w:val="00E741B5"/>
    <w:rsid w:val="00E742E3"/>
    <w:rsid w:val="00E74A35"/>
    <w:rsid w:val="00E74B30"/>
    <w:rsid w:val="00E74CD4"/>
    <w:rsid w:val="00E74DE8"/>
    <w:rsid w:val="00E74F9B"/>
    <w:rsid w:val="00E751E3"/>
    <w:rsid w:val="00E7583D"/>
    <w:rsid w:val="00E758DE"/>
    <w:rsid w:val="00E75A98"/>
    <w:rsid w:val="00E75C61"/>
    <w:rsid w:val="00E75D6D"/>
    <w:rsid w:val="00E75DCC"/>
    <w:rsid w:val="00E76915"/>
    <w:rsid w:val="00E76C05"/>
    <w:rsid w:val="00E76CE2"/>
    <w:rsid w:val="00E76D14"/>
    <w:rsid w:val="00E76FB4"/>
    <w:rsid w:val="00E77101"/>
    <w:rsid w:val="00E8024C"/>
    <w:rsid w:val="00E8042C"/>
    <w:rsid w:val="00E80666"/>
    <w:rsid w:val="00E806E1"/>
    <w:rsid w:val="00E809ED"/>
    <w:rsid w:val="00E80EC6"/>
    <w:rsid w:val="00E80EE5"/>
    <w:rsid w:val="00E80F5A"/>
    <w:rsid w:val="00E80FB8"/>
    <w:rsid w:val="00E8118B"/>
    <w:rsid w:val="00E81931"/>
    <w:rsid w:val="00E81CE8"/>
    <w:rsid w:val="00E81CEC"/>
    <w:rsid w:val="00E8213A"/>
    <w:rsid w:val="00E827E7"/>
    <w:rsid w:val="00E82AE9"/>
    <w:rsid w:val="00E82E2A"/>
    <w:rsid w:val="00E831A6"/>
    <w:rsid w:val="00E83747"/>
    <w:rsid w:val="00E83AA1"/>
    <w:rsid w:val="00E83CF2"/>
    <w:rsid w:val="00E83E63"/>
    <w:rsid w:val="00E83ED3"/>
    <w:rsid w:val="00E8442C"/>
    <w:rsid w:val="00E8459D"/>
    <w:rsid w:val="00E848D1"/>
    <w:rsid w:val="00E84AC5"/>
    <w:rsid w:val="00E84C82"/>
    <w:rsid w:val="00E84DC9"/>
    <w:rsid w:val="00E84E4F"/>
    <w:rsid w:val="00E84EC2"/>
    <w:rsid w:val="00E84F99"/>
    <w:rsid w:val="00E856EB"/>
    <w:rsid w:val="00E85786"/>
    <w:rsid w:val="00E8582D"/>
    <w:rsid w:val="00E8589C"/>
    <w:rsid w:val="00E85DE1"/>
    <w:rsid w:val="00E85EAB"/>
    <w:rsid w:val="00E860AB"/>
    <w:rsid w:val="00E8621B"/>
    <w:rsid w:val="00E8628A"/>
    <w:rsid w:val="00E862E0"/>
    <w:rsid w:val="00E86635"/>
    <w:rsid w:val="00E86B0F"/>
    <w:rsid w:val="00E86D5B"/>
    <w:rsid w:val="00E8704F"/>
    <w:rsid w:val="00E87136"/>
    <w:rsid w:val="00E875DC"/>
    <w:rsid w:val="00E87927"/>
    <w:rsid w:val="00E9016C"/>
    <w:rsid w:val="00E9048C"/>
    <w:rsid w:val="00E9062E"/>
    <w:rsid w:val="00E906A7"/>
    <w:rsid w:val="00E90C77"/>
    <w:rsid w:val="00E90FC4"/>
    <w:rsid w:val="00E910EA"/>
    <w:rsid w:val="00E91459"/>
    <w:rsid w:val="00E91506"/>
    <w:rsid w:val="00E91C6A"/>
    <w:rsid w:val="00E920D4"/>
    <w:rsid w:val="00E922AF"/>
    <w:rsid w:val="00E924AB"/>
    <w:rsid w:val="00E9256C"/>
    <w:rsid w:val="00E92809"/>
    <w:rsid w:val="00E92817"/>
    <w:rsid w:val="00E92B04"/>
    <w:rsid w:val="00E9302F"/>
    <w:rsid w:val="00E93C4A"/>
    <w:rsid w:val="00E93DA2"/>
    <w:rsid w:val="00E942AB"/>
    <w:rsid w:val="00E94416"/>
    <w:rsid w:val="00E94576"/>
    <w:rsid w:val="00E9481A"/>
    <w:rsid w:val="00E9482A"/>
    <w:rsid w:val="00E948D7"/>
    <w:rsid w:val="00E9543D"/>
    <w:rsid w:val="00E9564F"/>
    <w:rsid w:val="00E95A99"/>
    <w:rsid w:val="00E95C26"/>
    <w:rsid w:val="00E960F9"/>
    <w:rsid w:val="00E96482"/>
    <w:rsid w:val="00E97008"/>
    <w:rsid w:val="00E9738A"/>
    <w:rsid w:val="00E974AA"/>
    <w:rsid w:val="00E977C4"/>
    <w:rsid w:val="00E97A66"/>
    <w:rsid w:val="00E97A6A"/>
    <w:rsid w:val="00E97A6B"/>
    <w:rsid w:val="00EA0278"/>
    <w:rsid w:val="00EA029A"/>
    <w:rsid w:val="00EA036C"/>
    <w:rsid w:val="00EA03DD"/>
    <w:rsid w:val="00EA0885"/>
    <w:rsid w:val="00EA09A2"/>
    <w:rsid w:val="00EA0A64"/>
    <w:rsid w:val="00EA0A8A"/>
    <w:rsid w:val="00EA0B32"/>
    <w:rsid w:val="00EA0E22"/>
    <w:rsid w:val="00EA116A"/>
    <w:rsid w:val="00EA116C"/>
    <w:rsid w:val="00EA12E0"/>
    <w:rsid w:val="00EA132E"/>
    <w:rsid w:val="00EA1395"/>
    <w:rsid w:val="00EA1435"/>
    <w:rsid w:val="00EA165E"/>
    <w:rsid w:val="00EA1737"/>
    <w:rsid w:val="00EA1837"/>
    <w:rsid w:val="00EA1B2B"/>
    <w:rsid w:val="00EA1BAB"/>
    <w:rsid w:val="00EA1BE1"/>
    <w:rsid w:val="00EA1E72"/>
    <w:rsid w:val="00EA1FE5"/>
    <w:rsid w:val="00EA20B4"/>
    <w:rsid w:val="00EA2113"/>
    <w:rsid w:val="00EA25BB"/>
    <w:rsid w:val="00EA26DD"/>
    <w:rsid w:val="00EA276C"/>
    <w:rsid w:val="00EA289D"/>
    <w:rsid w:val="00EA2A7A"/>
    <w:rsid w:val="00EA2C3A"/>
    <w:rsid w:val="00EA2D27"/>
    <w:rsid w:val="00EA30A4"/>
    <w:rsid w:val="00EA316C"/>
    <w:rsid w:val="00EA3708"/>
    <w:rsid w:val="00EA3A41"/>
    <w:rsid w:val="00EA3B6D"/>
    <w:rsid w:val="00EA3D28"/>
    <w:rsid w:val="00EA3F08"/>
    <w:rsid w:val="00EA401A"/>
    <w:rsid w:val="00EA4146"/>
    <w:rsid w:val="00EA41AE"/>
    <w:rsid w:val="00EA4456"/>
    <w:rsid w:val="00EA4684"/>
    <w:rsid w:val="00EA4806"/>
    <w:rsid w:val="00EA4E81"/>
    <w:rsid w:val="00EA5515"/>
    <w:rsid w:val="00EA5C4B"/>
    <w:rsid w:val="00EA5DF4"/>
    <w:rsid w:val="00EA6167"/>
    <w:rsid w:val="00EA6467"/>
    <w:rsid w:val="00EA6765"/>
    <w:rsid w:val="00EA67D5"/>
    <w:rsid w:val="00EA683C"/>
    <w:rsid w:val="00EA6878"/>
    <w:rsid w:val="00EA6D8A"/>
    <w:rsid w:val="00EA6ED9"/>
    <w:rsid w:val="00EA71B6"/>
    <w:rsid w:val="00EA7738"/>
    <w:rsid w:val="00EA7B5A"/>
    <w:rsid w:val="00EA7E0F"/>
    <w:rsid w:val="00EB02F0"/>
    <w:rsid w:val="00EB0573"/>
    <w:rsid w:val="00EB07B6"/>
    <w:rsid w:val="00EB0FAF"/>
    <w:rsid w:val="00EB1003"/>
    <w:rsid w:val="00EB10E0"/>
    <w:rsid w:val="00EB1300"/>
    <w:rsid w:val="00EB1566"/>
    <w:rsid w:val="00EB1574"/>
    <w:rsid w:val="00EB158F"/>
    <w:rsid w:val="00EB161C"/>
    <w:rsid w:val="00EB1906"/>
    <w:rsid w:val="00EB1926"/>
    <w:rsid w:val="00EB1C92"/>
    <w:rsid w:val="00EB1C99"/>
    <w:rsid w:val="00EB1EAB"/>
    <w:rsid w:val="00EB2176"/>
    <w:rsid w:val="00EB21A2"/>
    <w:rsid w:val="00EB2288"/>
    <w:rsid w:val="00EB2356"/>
    <w:rsid w:val="00EB2412"/>
    <w:rsid w:val="00EB24CF"/>
    <w:rsid w:val="00EB2895"/>
    <w:rsid w:val="00EB2990"/>
    <w:rsid w:val="00EB2A65"/>
    <w:rsid w:val="00EB34B4"/>
    <w:rsid w:val="00EB3552"/>
    <w:rsid w:val="00EB3559"/>
    <w:rsid w:val="00EB360F"/>
    <w:rsid w:val="00EB36ED"/>
    <w:rsid w:val="00EB3A59"/>
    <w:rsid w:val="00EB3DB1"/>
    <w:rsid w:val="00EB3E2F"/>
    <w:rsid w:val="00EB3E42"/>
    <w:rsid w:val="00EB40A9"/>
    <w:rsid w:val="00EB41D2"/>
    <w:rsid w:val="00EB430D"/>
    <w:rsid w:val="00EB4465"/>
    <w:rsid w:val="00EB46BF"/>
    <w:rsid w:val="00EB5107"/>
    <w:rsid w:val="00EB5658"/>
    <w:rsid w:val="00EB57EB"/>
    <w:rsid w:val="00EB5806"/>
    <w:rsid w:val="00EB5AC6"/>
    <w:rsid w:val="00EB5B11"/>
    <w:rsid w:val="00EB5C24"/>
    <w:rsid w:val="00EB5CA0"/>
    <w:rsid w:val="00EB62DF"/>
    <w:rsid w:val="00EB6894"/>
    <w:rsid w:val="00EB68FB"/>
    <w:rsid w:val="00EB6CD0"/>
    <w:rsid w:val="00EB712C"/>
    <w:rsid w:val="00EB7191"/>
    <w:rsid w:val="00EB71CB"/>
    <w:rsid w:val="00EB7281"/>
    <w:rsid w:val="00EB728B"/>
    <w:rsid w:val="00EB75F5"/>
    <w:rsid w:val="00EB7848"/>
    <w:rsid w:val="00EC05E0"/>
    <w:rsid w:val="00EC06BD"/>
    <w:rsid w:val="00EC0ACE"/>
    <w:rsid w:val="00EC0B82"/>
    <w:rsid w:val="00EC0DD9"/>
    <w:rsid w:val="00EC0E6A"/>
    <w:rsid w:val="00EC11DE"/>
    <w:rsid w:val="00EC121E"/>
    <w:rsid w:val="00EC1344"/>
    <w:rsid w:val="00EC13FA"/>
    <w:rsid w:val="00EC1484"/>
    <w:rsid w:val="00EC157B"/>
    <w:rsid w:val="00EC17C0"/>
    <w:rsid w:val="00EC189F"/>
    <w:rsid w:val="00EC1D26"/>
    <w:rsid w:val="00EC21E1"/>
    <w:rsid w:val="00EC2262"/>
    <w:rsid w:val="00EC22F9"/>
    <w:rsid w:val="00EC237A"/>
    <w:rsid w:val="00EC248B"/>
    <w:rsid w:val="00EC24C1"/>
    <w:rsid w:val="00EC2D86"/>
    <w:rsid w:val="00EC2F32"/>
    <w:rsid w:val="00EC2FDE"/>
    <w:rsid w:val="00EC3261"/>
    <w:rsid w:val="00EC38DA"/>
    <w:rsid w:val="00EC3F42"/>
    <w:rsid w:val="00EC3FE2"/>
    <w:rsid w:val="00EC429F"/>
    <w:rsid w:val="00EC4465"/>
    <w:rsid w:val="00EC474D"/>
    <w:rsid w:val="00EC486A"/>
    <w:rsid w:val="00EC4A89"/>
    <w:rsid w:val="00EC4D5F"/>
    <w:rsid w:val="00EC4EED"/>
    <w:rsid w:val="00EC565E"/>
    <w:rsid w:val="00EC5845"/>
    <w:rsid w:val="00EC5963"/>
    <w:rsid w:val="00EC5BEE"/>
    <w:rsid w:val="00EC5D0C"/>
    <w:rsid w:val="00EC5F05"/>
    <w:rsid w:val="00EC5F9D"/>
    <w:rsid w:val="00EC6116"/>
    <w:rsid w:val="00EC62EE"/>
    <w:rsid w:val="00EC63DE"/>
    <w:rsid w:val="00EC644E"/>
    <w:rsid w:val="00EC67E6"/>
    <w:rsid w:val="00EC68D4"/>
    <w:rsid w:val="00EC6CC3"/>
    <w:rsid w:val="00EC71A5"/>
    <w:rsid w:val="00EC77C7"/>
    <w:rsid w:val="00EC7FF6"/>
    <w:rsid w:val="00ED017F"/>
    <w:rsid w:val="00ED0329"/>
    <w:rsid w:val="00ED043E"/>
    <w:rsid w:val="00ED0496"/>
    <w:rsid w:val="00ED0962"/>
    <w:rsid w:val="00ED1109"/>
    <w:rsid w:val="00ED135C"/>
    <w:rsid w:val="00ED1755"/>
    <w:rsid w:val="00ED1AEA"/>
    <w:rsid w:val="00ED1C2A"/>
    <w:rsid w:val="00ED1E37"/>
    <w:rsid w:val="00ED1F47"/>
    <w:rsid w:val="00ED2157"/>
    <w:rsid w:val="00ED295B"/>
    <w:rsid w:val="00ED2F8D"/>
    <w:rsid w:val="00ED30FD"/>
    <w:rsid w:val="00ED3750"/>
    <w:rsid w:val="00ED3CD3"/>
    <w:rsid w:val="00ED3EA4"/>
    <w:rsid w:val="00ED3FAB"/>
    <w:rsid w:val="00ED4470"/>
    <w:rsid w:val="00ED4481"/>
    <w:rsid w:val="00ED4657"/>
    <w:rsid w:val="00ED46D2"/>
    <w:rsid w:val="00ED4AB0"/>
    <w:rsid w:val="00ED548B"/>
    <w:rsid w:val="00ED5547"/>
    <w:rsid w:val="00ED5A9C"/>
    <w:rsid w:val="00ED5E25"/>
    <w:rsid w:val="00ED623B"/>
    <w:rsid w:val="00ED6332"/>
    <w:rsid w:val="00ED6747"/>
    <w:rsid w:val="00ED67E2"/>
    <w:rsid w:val="00ED6A05"/>
    <w:rsid w:val="00ED6CDF"/>
    <w:rsid w:val="00ED7473"/>
    <w:rsid w:val="00ED750C"/>
    <w:rsid w:val="00ED7DE6"/>
    <w:rsid w:val="00EE00C8"/>
    <w:rsid w:val="00EE04C8"/>
    <w:rsid w:val="00EE0631"/>
    <w:rsid w:val="00EE0F6D"/>
    <w:rsid w:val="00EE0FDF"/>
    <w:rsid w:val="00EE11A4"/>
    <w:rsid w:val="00EE135F"/>
    <w:rsid w:val="00EE16A1"/>
    <w:rsid w:val="00EE17D0"/>
    <w:rsid w:val="00EE1823"/>
    <w:rsid w:val="00EE1828"/>
    <w:rsid w:val="00EE184E"/>
    <w:rsid w:val="00EE1A3A"/>
    <w:rsid w:val="00EE1C11"/>
    <w:rsid w:val="00EE2061"/>
    <w:rsid w:val="00EE20DF"/>
    <w:rsid w:val="00EE25CA"/>
    <w:rsid w:val="00EE28CF"/>
    <w:rsid w:val="00EE28F0"/>
    <w:rsid w:val="00EE2B0F"/>
    <w:rsid w:val="00EE2B30"/>
    <w:rsid w:val="00EE2D39"/>
    <w:rsid w:val="00EE2EA6"/>
    <w:rsid w:val="00EE3419"/>
    <w:rsid w:val="00EE3754"/>
    <w:rsid w:val="00EE3787"/>
    <w:rsid w:val="00EE3CD1"/>
    <w:rsid w:val="00EE42DD"/>
    <w:rsid w:val="00EE46F1"/>
    <w:rsid w:val="00EE4A0F"/>
    <w:rsid w:val="00EE50DD"/>
    <w:rsid w:val="00EE50EA"/>
    <w:rsid w:val="00EE5133"/>
    <w:rsid w:val="00EE5301"/>
    <w:rsid w:val="00EE535A"/>
    <w:rsid w:val="00EE5993"/>
    <w:rsid w:val="00EE5A17"/>
    <w:rsid w:val="00EE5C44"/>
    <w:rsid w:val="00EE5E29"/>
    <w:rsid w:val="00EE5E6C"/>
    <w:rsid w:val="00EE6003"/>
    <w:rsid w:val="00EE62E8"/>
    <w:rsid w:val="00EE63D6"/>
    <w:rsid w:val="00EE6896"/>
    <w:rsid w:val="00EE6939"/>
    <w:rsid w:val="00EE6D94"/>
    <w:rsid w:val="00EE71F0"/>
    <w:rsid w:val="00EE74F5"/>
    <w:rsid w:val="00EE7558"/>
    <w:rsid w:val="00EE7CFC"/>
    <w:rsid w:val="00EF00BC"/>
    <w:rsid w:val="00EF02AD"/>
    <w:rsid w:val="00EF0393"/>
    <w:rsid w:val="00EF05B9"/>
    <w:rsid w:val="00EF0B50"/>
    <w:rsid w:val="00EF0C17"/>
    <w:rsid w:val="00EF0E3F"/>
    <w:rsid w:val="00EF12EE"/>
    <w:rsid w:val="00EF18AF"/>
    <w:rsid w:val="00EF1A5A"/>
    <w:rsid w:val="00EF1C55"/>
    <w:rsid w:val="00EF1E99"/>
    <w:rsid w:val="00EF1EA3"/>
    <w:rsid w:val="00EF1EB2"/>
    <w:rsid w:val="00EF2054"/>
    <w:rsid w:val="00EF20C7"/>
    <w:rsid w:val="00EF21D2"/>
    <w:rsid w:val="00EF228A"/>
    <w:rsid w:val="00EF23E8"/>
    <w:rsid w:val="00EF260C"/>
    <w:rsid w:val="00EF276A"/>
    <w:rsid w:val="00EF2D1F"/>
    <w:rsid w:val="00EF31E3"/>
    <w:rsid w:val="00EF322A"/>
    <w:rsid w:val="00EF34A1"/>
    <w:rsid w:val="00EF390D"/>
    <w:rsid w:val="00EF3C01"/>
    <w:rsid w:val="00EF3C4E"/>
    <w:rsid w:val="00EF3D17"/>
    <w:rsid w:val="00EF3DA6"/>
    <w:rsid w:val="00EF4385"/>
    <w:rsid w:val="00EF4397"/>
    <w:rsid w:val="00EF4431"/>
    <w:rsid w:val="00EF44C3"/>
    <w:rsid w:val="00EF46AC"/>
    <w:rsid w:val="00EF46E4"/>
    <w:rsid w:val="00EF49E6"/>
    <w:rsid w:val="00EF4E35"/>
    <w:rsid w:val="00EF4F2D"/>
    <w:rsid w:val="00EF4FD4"/>
    <w:rsid w:val="00EF51DE"/>
    <w:rsid w:val="00EF5243"/>
    <w:rsid w:val="00EF52EC"/>
    <w:rsid w:val="00EF56BE"/>
    <w:rsid w:val="00EF57E4"/>
    <w:rsid w:val="00EF5BEA"/>
    <w:rsid w:val="00EF5C3E"/>
    <w:rsid w:val="00EF7133"/>
    <w:rsid w:val="00EF7A93"/>
    <w:rsid w:val="00F00397"/>
    <w:rsid w:val="00F00744"/>
    <w:rsid w:val="00F008B9"/>
    <w:rsid w:val="00F008C2"/>
    <w:rsid w:val="00F008D1"/>
    <w:rsid w:val="00F01010"/>
    <w:rsid w:val="00F01158"/>
    <w:rsid w:val="00F01542"/>
    <w:rsid w:val="00F015FC"/>
    <w:rsid w:val="00F019EC"/>
    <w:rsid w:val="00F01C1A"/>
    <w:rsid w:val="00F01DA9"/>
    <w:rsid w:val="00F023E7"/>
    <w:rsid w:val="00F023EA"/>
    <w:rsid w:val="00F024CC"/>
    <w:rsid w:val="00F02A5D"/>
    <w:rsid w:val="00F02E79"/>
    <w:rsid w:val="00F02E7A"/>
    <w:rsid w:val="00F02F40"/>
    <w:rsid w:val="00F02FEE"/>
    <w:rsid w:val="00F0317B"/>
    <w:rsid w:val="00F0341B"/>
    <w:rsid w:val="00F037A1"/>
    <w:rsid w:val="00F04052"/>
    <w:rsid w:val="00F04081"/>
    <w:rsid w:val="00F04624"/>
    <w:rsid w:val="00F04773"/>
    <w:rsid w:val="00F0478E"/>
    <w:rsid w:val="00F047FA"/>
    <w:rsid w:val="00F0519D"/>
    <w:rsid w:val="00F051E7"/>
    <w:rsid w:val="00F057BD"/>
    <w:rsid w:val="00F0584E"/>
    <w:rsid w:val="00F05B63"/>
    <w:rsid w:val="00F05CA2"/>
    <w:rsid w:val="00F05FF9"/>
    <w:rsid w:val="00F060B5"/>
    <w:rsid w:val="00F0637B"/>
    <w:rsid w:val="00F066F2"/>
    <w:rsid w:val="00F0670C"/>
    <w:rsid w:val="00F06D46"/>
    <w:rsid w:val="00F06E9B"/>
    <w:rsid w:val="00F0719B"/>
    <w:rsid w:val="00F0747B"/>
    <w:rsid w:val="00F07766"/>
    <w:rsid w:val="00F07F71"/>
    <w:rsid w:val="00F1033E"/>
    <w:rsid w:val="00F10431"/>
    <w:rsid w:val="00F105B0"/>
    <w:rsid w:val="00F10637"/>
    <w:rsid w:val="00F10929"/>
    <w:rsid w:val="00F10A21"/>
    <w:rsid w:val="00F10E1E"/>
    <w:rsid w:val="00F1159B"/>
    <w:rsid w:val="00F116D4"/>
    <w:rsid w:val="00F11A05"/>
    <w:rsid w:val="00F11AA1"/>
    <w:rsid w:val="00F11B23"/>
    <w:rsid w:val="00F11D89"/>
    <w:rsid w:val="00F11EA1"/>
    <w:rsid w:val="00F11FFA"/>
    <w:rsid w:val="00F12172"/>
    <w:rsid w:val="00F1278E"/>
    <w:rsid w:val="00F12AEF"/>
    <w:rsid w:val="00F12F39"/>
    <w:rsid w:val="00F13045"/>
    <w:rsid w:val="00F130CE"/>
    <w:rsid w:val="00F131F2"/>
    <w:rsid w:val="00F13355"/>
    <w:rsid w:val="00F13E84"/>
    <w:rsid w:val="00F13EC4"/>
    <w:rsid w:val="00F140DF"/>
    <w:rsid w:val="00F14546"/>
    <w:rsid w:val="00F14685"/>
    <w:rsid w:val="00F148A0"/>
    <w:rsid w:val="00F14949"/>
    <w:rsid w:val="00F149E3"/>
    <w:rsid w:val="00F14C52"/>
    <w:rsid w:val="00F14DD5"/>
    <w:rsid w:val="00F150B0"/>
    <w:rsid w:val="00F154B0"/>
    <w:rsid w:val="00F15BBB"/>
    <w:rsid w:val="00F15F00"/>
    <w:rsid w:val="00F16B5C"/>
    <w:rsid w:val="00F171D9"/>
    <w:rsid w:val="00F17209"/>
    <w:rsid w:val="00F17336"/>
    <w:rsid w:val="00F174C3"/>
    <w:rsid w:val="00F17606"/>
    <w:rsid w:val="00F17997"/>
    <w:rsid w:val="00F20199"/>
    <w:rsid w:val="00F20209"/>
    <w:rsid w:val="00F20232"/>
    <w:rsid w:val="00F206CB"/>
    <w:rsid w:val="00F20905"/>
    <w:rsid w:val="00F20953"/>
    <w:rsid w:val="00F209E2"/>
    <w:rsid w:val="00F20FF1"/>
    <w:rsid w:val="00F21116"/>
    <w:rsid w:val="00F21481"/>
    <w:rsid w:val="00F214EE"/>
    <w:rsid w:val="00F217FD"/>
    <w:rsid w:val="00F21925"/>
    <w:rsid w:val="00F22298"/>
    <w:rsid w:val="00F224A3"/>
    <w:rsid w:val="00F22E59"/>
    <w:rsid w:val="00F234FD"/>
    <w:rsid w:val="00F2351E"/>
    <w:rsid w:val="00F23681"/>
    <w:rsid w:val="00F23793"/>
    <w:rsid w:val="00F23C6D"/>
    <w:rsid w:val="00F249EB"/>
    <w:rsid w:val="00F25001"/>
    <w:rsid w:val="00F25104"/>
    <w:rsid w:val="00F2515F"/>
    <w:rsid w:val="00F256FB"/>
    <w:rsid w:val="00F2591B"/>
    <w:rsid w:val="00F25BA4"/>
    <w:rsid w:val="00F25BCD"/>
    <w:rsid w:val="00F261B8"/>
    <w:rsid w:val="00F2631E"/>
    <w:rsid w:val="00F26996"/>
    <w:rsid w:val="00F26CE9"/>
    <w:rsid w:val="00F26DF9"/>
    <w:rsid w:val="00F26EF9"/>
    <w:rsid w:val="00F26F70"/>
    <w:rsid w:val="00F27107"/>
    <w:rsid w:val="00F2730E"/>
    <w:rsid w:val="00F2733D"/>
    <w:rsid w:val="00F273E2"/>
    <w:rsid w:val="00F27716"/>
    <w:rsid w:val="00F27AA6"/>
    <w:rsid w:val="00F27C6A"/>
    <w:rsid w:val="00F30141"/>
    <w:rsid w:val="00F302F3"/>
    <w:rsid w:val="00F3044B"/>
    <w:rsid w:val="00F308C9"/>
    <w:rsid w:val="00F311A8"/>
    <w:rsid w:val="00F31459"/>
    <w:rsid w:val="00F31785"/>
    <w:rsid w:val="00F317A6"/>
    <w:rsid w:val="00F31834"/>
    <w:rsid w:val="00F31DB1"/>
    <w:rsid w:val="00F321F0"/>
    <w:rsid w:val="00F3234A"/>
    <w:rsid w:val="00F3239A"/>
    <w:rsid w:val="00F3249B"/>
    <w:rsid w:val="00F3276F"/>
    <w:rsid w:val="00F32A25"/>
    <w:rsid w:val="00F32CB4"/>
    <w:rsid w:val="00F331E4"/>
    <w:rsid w:val="00F33518"/>
    <w:rsid w:val="00F335DC"/>
    <w:rsid w:val="00F33731"/>
    <w:rsid w:val="00F33955"/>
    <w:rsid w:val="00F33B32"/>
    <w:rsid w:val="00F33F21"/>
    <w:rsid w:val="00F34245"/>
    <w:rsid w:val="00F34540"/>
    <w:rsid w:val="00F3482D"/>
    <w:rsid w:val="00F3498E"/>
    <w:rsid w:val="00F349BA"/>
    <w:rsid w:val="00F34B5D"/>
    <w:rsid w:val="00F34BB8"/>
    <w:rsid w:val="00F34C75"/>
    <w:rsid w:val="00F356F4"/>
    <w:rsid w:val="00F357A8"/>
    <w:rsid w:val="00F35AA6"/>
    <w:rsid w:val="00F35C19"/>
    <w:rsid w:val="00F35C1F"/>
    <w:rsid w:val="00F35C4F"/>
    <w:rsid w:val="00F3613F"/>
    <w:rsid w:val="00F364AF"/>
    <w:rsid w:val="00F364FE"/>
    <w:rsid w:val="00F36600"/>
    <w:rsid w:val="00F368DB"/>
    <w:rsid w:val="00F36D59"/>
    <w:rsid w:val="00F36DEC"/>
    <w:rsid w:val="00F3708C"/>
    <w:rsid w:val="00F37309"/>
    <w:rsid w:val="00F3746F"/>
    <w:rsid w:val="00F37481"/>
    <w:rsid w:val="00F374E1"/>
    <w:rsid w:val="00F3754B"/>
    <w:rsid w:val="00F37771"/>
    <w:rsid w:val="00F37C11"/>
    <w:rsid w:val="00F37F4E"/>
    <w:rsid w:val="00F4031C"/>
    <w:rsid w:val="00F40902"/>
    <w:rsid w:val="00F40F0E"/>
    <w:rsid w:val="00F410D0"/>
    <w:rsid w:val="00F411A5"/>
    <w:rsid w:val="00F41429"/>
    <w:rsid w:val="00F41791"/>
    <w:rsid w:val="00F418D8"/>
    <w:rsid w:val="00F41A99"/>
    <w:rsid w:val="00F41AA2"/>
    <w:rsid w:val="00F41AAD"/>
    <w:rsid w:val="00F41CF3"/>
    <w:rsid w:val="00F41EC4"/>
    <w:rsid w:val="00F41F8E"/>
    <w:rsid w:val="00F41FE5"/>
    <w:rsid w:val="00F4215E"/>
    <w:rsid w:val="00F42194"/>
    <w:rsid w:val="00F423FD"/>
    <w:rsid w:val="00F4287A"/>
    <w:rsid w:val="00F42CD0"/>
    <w:rsid w:val="00F4368F"/>
    <w:rsid w:val="00F43732"/>
    <w:rsid w:val="00F43758"/>
    <w:rsid w:val="00F43960"/>
    <w:rsid w:val="00F43A17"/>
    <w:rsid w:val="00F43C50"/>
    <w:rsid w:val="00F43DE1"/>
    <w:rsid w:val="00F43F4A"/>
    <w:rsid w:val="00F44399"/>
    <w:rsid w:val="00F44518"/>
    <w:rsid w:val="00F44F05"/>
    <w:rsid w:val="00F45487"/>
    <w:rsid w:val="00F45EC3"/>
    <w:rsid w:val="00F460F1"/>
    <w:rsid w:val="00F466D8"/>
    <w:rsid w:val="00F466FD"/>
    <w:rsid w:val="00F467E7"/>
    <w:rsid w:val="00F46CD4"/>
    <w:rsid w:val="00F46FF9"/>
    <w:rsid w:val="00F47177"/>
    <w:rsid w:val="00F47292"/>
    <w:rsid w:val="00F47361"/>
    <w:rsid w:val="00F47530"/>
    <w:rsid w:val="00F4788C"/>
    <w:rsid w:val="00F47C22"/>
    <w:rsid w:val="00F50146"/>
    <w:rsid w:val="00F501D7"/>
    <w:rsid w:val="00F50762"/>
    <w:rsid w:val="00F50783"/>
    <w:rsid w:val="00F5086C"/>
    <w:rsid w:val="00F50F75"/>
    <w:rsid w:val="00F5124D"/>
    <w:rsid w:val="00F51433"/>
    <w:rsid w:val="00F515CD"/>
    <w:rsid w:val="00F517A8"/>
    <w:rsid w:val="00F518EA"/>
    <w:rsid w:val="00F51911"/>
    <w:rsid w:val="00F51E1B"/>
    <w:rsid w:val="00F52221"/>
    <w:rsid w:val="00F524E0"/>
    <w:rsid w:val="00F527AD"/>
    <w:rsid w:val="00F52AD0"/>
    <w:rsid w:val="00F52F78"/>
    <w:rsid w:val="00F53290"/>
    <w:rsid w:val="00F533CE"/>
    <w:rsid w:val="00F535C4"/>
    <w:rsid w:val="00F53928"/>
    <w:rsid w:val="00F539CC"/>
    <w:rsid w:val="00F53BCB"/>
    <w:rsid w:val="00F53F11"/>
    <w:rsid w:val="00F5444E"/>
    <w:rsid w:val="00F54682"/>
    <w:rsid w:val="00F54D8F"/>
    <w:rsid w:val="00F54F19"/>
    <w:rsid w:val="00F55226"/>
    <w:rsid w:val="00F5575E"/>
    <w:rsid w:val="00F55A98"/>
    <w:rsid w:val="00F55E40"/>
    <w:rsid w:val="00F5647B"/>
    <w:rsid w:val="00F566D9"/>
    <w:rsid w:val="00F567CF"/>
    <w:rsid w:val="00F56A0A"/>
    <w:rsid w:val="00F56D63"/>
    <w:rsid w:val="00F56F04"/>
    <w:rsid w:val="00F576A4"/>
    <w:rsid w:val="00F60485"/>
    <w:rsid w:val="00F60771"/>
    <w:rsid w:val="00F60773"/>
    <w:rsid w:val="00F60812"/>
    <w:rsid w:val="00F60B65"/>
    <w:rsid w:val="00F60C9C"/>
    <w:rsid w:val="00F61244"/>
    <w:rsid w:val="00F6131D"/>
    <w:rsid w:val="00F61913"/>
    <w:rsid w:val="00F61F02"/>
    <w:rsid w:val="00F62D33"/>
    <w:rsid w:val="00F62E1A"/>
    <w:rsid w:val="00F62F80"/>
    <w:rsid w:val="00F632C4"/>
    <w:rsid w:val="00F63A87"/>
    <w:rsid w:val="00F64280"/>
    <w:rsid w:val="00F6461E"/>
    <w:rsid w:val="00F64A03"/>
    <w:rsid w:val="00F64AEC"/>
    <w:rsid w:val="00F64ECC"/>
    <w:rsid w:val="00F65327"/>
    <w:rsid w:val="00F6561E"/>
    <w:rsid w:val="00F6598C"/>
    <w:rsid w:val="00F65BB8"/>
    <w:rsid w:val="00F65E77"/>
    <w:rsid w:val="00F662A5"/>
    <w:rsid w:val="00F6663E"/>
    <w:rsid w:val="00F666D5"/>
    <w:rsid w:val="00F66775"/>
    <w:rsid w:val="00F667A4"/>
    <w:rsid w:val="00F667D5"/>
    <w:rsid w:val="00F66C18"/>
    <w:rsid w:val="00F66D4F"/>
    <w:rsid w:val="00F67308"/>
    <w:rsid w:val="00F674FD"/>
    <w:rsid w:val="00F677CD"/>
    <w:rsid w:val="00F67C20"/>
    <w:rsid w:val="00F70719"/>
    <w:rsid w:val="00F7072F"/>
    <w:rsid w:val="00F70F91"/>
    <w:rsid w:val="00F710A8"/>
    <w:rsid w:val="00F71508"/>
    <w:rsid w:val="00F71509"/>
    <w:rsid w:val="00F71623"/>
    <w:rsid w:val="00F7176C"/>
    <w:rsid w:val="00F717EB"/>
    <w:rsid w:val="00F71986"/>
    <w:rsid w:val="00F720CC"/>
    <w:rsid w:val="00F724E8"/>
    <w:rsid w:val="00F72538"/>
    <w:rsid w:val="00F725C3"/>
    <w:rsid w:val="00F72679"/>
    <w:rsid w:val="00F7270F"/>
    <w:rsid w:val="00F72805"/>
    <w:rsid w:val="00F72A48"/>
    <w:rsid w:val="00F72C85"/>
    <w:rsid w:val="00F72E7D"/>
    <w:rsid w:val="00F72F8D"/>
    <w:rsid w:val="00F730ED"/>
    <w:rsid w:val="00F736F1"/>
    <w:rsid w:val="00F73845"/>
    <w:rsid w:val="00F7399C"/>
    <w:rsid w:val="00F73AFF"/>
    <w:rsid w:val="00F73D20"/>
    <w:rsid w:val="00F73E85"/>
    <w:rsid w:val="00F73EC7"/>
    <w:rsid w:val="00F73F05"/>
    <w:rsid w:val="00F743C2"/>
    <w:rsid w:val="00F74678"/>
    <w:rsid w:val="00F74746"/>
    <w:rsid w:val="00F7491C"/>
    <w:rsid w:val="00F74993"/>
    <w:rsid w:val="00F74BD3"/>
    <w:rsid w:val="00F75060"/>
    <w:rsid w:val="00F755F7"/>
    <w:rsid w:val="00F756FF"/>
    <w:rsid w:val="00F75793"/>
    <w:rsid w:val="00F758FD"/>
    <w:rsid w:val="00F75A40"/>
    <w:rsid w:val="00F75CBF"/>
    <w:rsid w:val="00F76098"/>
    <w:rsid w:val="00F76403"/>
    <w:rsid w:val="00F76417"/>
    <w:rsid w:val="00F765BB"/>
    <w:rsid w:val="00F766B8"/>
    <w:rsid w:val="00F766F9"/>
    <w:rsid w:val="00F76C16"/>
    <w:rsid w:val="00F76EDA"/>
    <w:rsid w:val="00F77422"/>
    <w:rsid w:val="00F77C79"/>
    <w:rsid w:val="00F77CCB"/>
    <w:rsid w:val="00F8004D"/>
    <w:rsid w:val="00F802FF"/>
    <w:rsid w:val="00F8051A"/>
    <w:rsid w:val="00F80526"/>
    <w:rsid w:val="00F805A4"/>
    <w:rsid w:val="00F80764"/>
    <w:rsid w:val="00F807AD"/>
    <w:rsid w:val="00F80C59"/>
    <w:rsid w:val="00F80C64"/>
    <w:rsid w:val="00F81468"/>
    <w:rsid w:val="00F81767"/>
    <w:rsid w:val="00F819BB"/>
    <w:rsid w:val="00F81B60"/>
    <w:rsid w:val="00F82170"/>
    <w:rsid w:val="00F826D1"/>
    <w:rsid w:val="00F82906"/>
    <w:rsid w:val="00F82B4B"/>
    <w:rsid w:val="00F82E82"/>
    <w:rsid w:val="00F830E3"/>
    <w:rsid w:val="00F831C4"/>
    <w:rsid w:val="00F832FE"/>
    <w:rsid w:val="00F83728"/>
    <w:rsid w:val="00F838E5"/>
    <w:rsid w:val="00F83B5D"/>
    <w:rsid w:val="00F841B5"/>
    <w:rsid w:val="00F84290"/>
    <w:rsid w:val="00F8429D"/>
    <w:rsid w:val="00F844D1"/>
    <w:rsid w:val="00F84CCF"/>
    <w:rsid w:val="00F84DBD"/>
    <w:rsid w:val="00F84F38"/>
    <w:rsid w:val="00F84F62"/>
    <w:rsid w:val="00F84FFB"/>
    <w:rsid w:val="00F85046"/>
    <w:rsid w:val="00F8538B"/>
    <w:rsid w:val="00F85A87"/>
    <w:rsid w:val="00F85A92"/>
    <w:rsid w:val="00F85AAC"/>
    <w:rsid w:val="00F85E18"/>
    <w:rsid w:val="00F86295"/>
    <w:rsid w:val="00F865D6"/>
    <w:rsid w:val="00F8677B"/>
    <w:rsid w:val="00F867B3"/>
    <w:rsid w:val="00F8694F"/>
    <w:rsid w:val="00F86B73"/>
    <w:rsid w:val="00F86C1F"/>
    <w:rsid w:val="00F8763A"/>
    <w:rsid w:val="00F87C79"/>
    <w:rsid w:val="00F87CC2"/>
    <w:rsid w:val="00F901C7"/>
    <w:rsid w:val="00F903B3"/>
    <w:rsid w:val="00F90DD7"/>
    <w:rsid w:val="00F910FD"/>
    <w:rsid w:val="00F911C5"/>
    <w:rsid w:val="00F9154F"/>
    <w:rsid w:val="00F91930"/>
    <w:rsid w:val="00F91CEF"/>
    <w:rsid w:val="00F92545"/>
    <w:rsid w:val="00F92DA1"/>
    <w:rsid w:val="00F92DB2"/>
    <w:rsid w:val="00F933DF"/>
    <w:rsid w:val="00F937C9"/>
    <w:rsid w:val="00F93915"/>
    <w:rsid w:val="00F93E95"/>
    <w:rsid w:val="00F94044"/>
    <w:rsid w:val="00F94370"/>
    <w:rsid w:val="00F945AD"/>
    <w:rsid w:val="00F94D81"/>
    <w:rsid w:val="00F94F2C"/>
    <w:rsid w:val="00F950D1"/>
    <w:rsid w:val="00F953C9"/>
    <w:rsid w:val="00F957F3"/>
    <w:rsid w:val="00F9592B"/>
    <w:rsid w:val="00F95A85"/>
    <w:rsid w:val="00F95CE8"/>
    <w:rsid w:val="00F95E29"/>
    <w:rsid w:val="00F9615F"/>
    <w:rsid w:val="00F962B0"/>
    <w:rsid w:val="00F969A9"/>
    <w:rsid w:val="00F96B62"/>
    <w:rsid w:val="00F96BD9"/>
    <w:rsid w:val="00F96D32"/>
    <w:rsid w:val="00F970BE"/>
    <w:rsid w:val="00F979BF"/>
    <w:rsid w:val="00F97A48"/>
    <w:rsid w:val="00F97A66"/>
    <w:rsid w:val="00F97B48"/>
    <w:rsid w:val="00F97CB5"/>
    <w:rsid w:val="00FA001F"/>
    <w:rsid w:val="00FA0113"/>
    <w:rsid w:val="00FA013F"/>
    <w:rsid w:val="00FA0265"/>
    <w:rsid w:val="00FA0522"/>
    <w:rsid w:val="00FA099F"/>
    <w:rsid w:val="00FA0C53"/>
    <w:rsid w:val="00FA0C75"/>
    <w:rsid w:val="00FA0D4E"/>
    <w:rsid w:val="00FA0FE1"/>
    <w:rsid w:val="00FA115B"/>
    <w:rsid w:val="00FA14BA"/>
    <w:rsid w:val="00FA1532"/>
    <w:rsid w:val="00FA163D"/>
    <w:rsid w:val="00FA17CB"/>
    <w:rsid w:val="00FA17F9"/>
    <w:rsid w:val="00FA1902"/>
    <w:rsid w:val="00FA1B85"/>
    <w:rsid w:val="00FA1EFA"/>
    <w:rsid w:val="00FA252D"/>
    <w:rsid w:val="00FA2635"/>
    <w:rsid w:val="00FA278C"/>
    <w:rsid w:val="00FA27EC"/>
    <w:rsid w:val="00FA2CA1"/>
    <w:rsid w:val="00FA2CC9"/>
    <w:rsid w:val="00FA347F"/>
    <w:rsid w:val="00FA3789"/>
    <w:rsid w:val="00FA37B9"/>
    <w:rsid w:val="00FA3947"/>
    <w:rsid w:val="00FA3BDD"/>
    <w:rsid w:val="00FA3CD2"/>
    <w:rsid w:val="00FA48B0"/>
    <w:rsid w:val="00FA4AD4"/>
    <w:rsid w:val="00FA4DB5"/>
    <w:rsid w:val="00FA5231"/>
    <w:rsid w:val="00FA5999"/>
    <w:rsid w:val="00FA5A93"/>
    <w:rsid w:val="00FA5DE4"/>
    <w:rsid w:val="00FA63A6"/>
    <w:rsid w:val="00FA649C"/>
    <w:rsid w:val="00FA67A1"/>
    <w:rsid w:val="00FA692F"/>
    <w:rsid w:val="00FA693E"/>
    <w:rsid w:val="00FA6A2A"/>
    <w:rsid w:val="00FA6CA8"/>
    <w:rsid w:val="00FA6E9A"/>
    <w:rsid w:val="00FA6EDE"/>
    <w:rsid w:val="00FA7038"/>
    <w:rsid w:val="00FA7094"/>
    <w:rsid w:val="00FA70A9"/>
    <w:rsid w:val="00FA7548"/>
    <w:rsid w:val="00FA7647"/>
    <w:rsid w:val="00FA76CE"/>
    <w:rsid w:val="00FA7A98"/>
    <w:rsid w:val="00FA7C17"/>
    <w:rsid w:val="00FB010B"/>
    <w:rsid w:val="00FB0879"/>
    <w:rsid w:val="00FB0971"/>
    <w:rsid w:val="00FB0C5C"/>
    <w:rsid w:val="00FB0E8C"/>
    <w:rsid w:val="00FB0F05"/>
    <w:rsid w:val="00FB10CA"/>
    <w:rsid w:val="00FB1160"/>
    <w:rsid w:val="00FB1684"/>
    <w:rsid w:val="00FB1989"/>
    <w:rsid w:val="00FB19A8"/>
    <w:rsid w:val="00FB1B45"/>
    <w:rsid w:val="00FB1CB3"/>
    <w:rsid w:val="00FB2341"/>
    <w:rsid w:val="00FB23D9"/>
    <w:rsid w:val="00FB255D"/>
    <w:rsid w:val="00FB2602"/>
    <w:rsid w:val="00FB2772"/>
    <w:rsid w:val="00FB2A88"/>
    <w:rsid w:val="00FB2D78"/>
    <w:rsid w:val="00FB2F56"/>
    <w:rsid w:val="00FB314B"/>
    <w:rsid w:val="00FB32CE"/>
    <w:rsid w:val="00FB3339"/>
    <w:rsid w:val="00FB36D0"/>
    <w:rsid w:val="00FB3D65"/>
    <w:rsid w:val="00FB3E56"/>
    <w:rsid w:val="00FB3FA7"/>
    <w:rsid w:val="00FB40B4"/>
    <w:rsid w:val="00FB421E"/>
    <w:rsid w:val="00FB429C"/>
    <w:rsid w:val="00FB4437"/>
    <w:rsid w:val="00FB4546"/>
    <w:rsid w:val="00FB473F"/>
    <w:rsid w:val="00FB4750"/>
    <w:rsid w:val="00FB47FD"/>
    <w:rsid w:val="00FB4918"/>
    <w:rsid w:val="00FB4A57"/>
    <w:rsid w:val="00FB4CC9"/>
    <w:rsid w:val="00FB4D01"/>
    <w:rsid w:val="00FB4EE1"/>
    <w:rsid w:val="00FB50EB"/>
    <w:rsid w:val="00FB5952"/>
    <w:rsid w:val="00FB5A43"/>
    <w:rsid w:val="00FB5DBC"/>
    <w:rsid w:val="00FB6297"/>
    <w:rsid w:val="00FB62E0"/>
    <w:rsid w:val="00FB655E"/>
    <w:rsid w:val="00FB6783"/>
    <w:rsid w:val="00FB685B"/>
    <w:rsid w:val="00FB6C45"/>
    <w:rsid w:val="00FB6F44"/>
    <w:rsid w:val="00FB7AE2"/>
    <w:rsid w:val="00FB7DD0"/>
    <w:rsid w:val="00FB7E89"/>
    <w:rsid w:val="00FC0480"/>
    <w:rsid w:val="00FC08A3"/>
    <w:rsid w:val="00FC08AA"/>
    <w:rsid w:val="00FC1242"/>
    <w:rsid w:val="00FC12CF"/>
    <w:rsid w:val="00FC148B"/>
    <w:rsid w:val="00FC1795"/>
    <w:rsid w:val="00FC17BD"/>
    <w:rsid w:val="00FC17F8"/>
    <w:rsid w:val="00FC1A94"/>
    <w:rsid w:val="00FC1BA0"/>
    <w:rsid w:val="00FC1DBA"/>
    <w:rsid w:val="00FC1DCE"/>
    <w:rsid w:val="00FC1E06"/>
    <w:rsid w:val="00FC20D1"/>
    <w:rsid w:val="00FC2258"/>
    <w:rsid w:val="00FC2427"/>
    <w:rsid w:val="00FC242A"/>
    <w:rsid w:val="00FC2584"/>
    <w:rsid w:val="00FC25F9"/>
    <w:rsid w:val="00FC2730"/>
    <w:rsid w:val="00FC29E1"/>
    <w:rsid w:val="00FC2A8B"/>
    <w:rsid w:val="00FC2BBD"/>
    <w:rsid w:val="00FC3209"/>
    <w:rsid w:val="00FC328E"/>
    <w:rsid w:val="00FC3866"/>
    <w:rsid w:val="00FC3C7E"/>
    <w:rsid w:val="00FC3CBE"/>
    <w:rsid w:val="00FC405B"/>
    <w:rsid w:val="00FC45EF"/>
    <w:rsid w:val="00FC47CC"/>
    <w:rsid w:val="00FC48FE"/>
    <w:rsid w:val="00FC4916"/>
    <w:rsid w:val="00FC4B4B"/>
    <w:rsid w:val="00FC525E"/>
    <w:rsid w:val="00FC5369"/>
    <w:rsid w:val="00FC5766"/>
    <w:rsid w:val="00FC5A26"/>
    <w:rsid w:val="00FC5BC6"/>
    <w:rsid w:val="00FC5EC5"/>
    <w:rsid w:val="00FC6042"/>
    <w:rsid w:val="00FC6287"/>
    <w:rsid w:val="00FC6365"/>
    <w:rsid w:val="00FC6FE1"/>
    <w:rsid w:val="00FC7094"/>
    <w:rsid w:val="00FC7289"/>
    <w:rsid w:val="00FC73A2"/>
    <w:rsid w:val="00FC757A"/>
    <w:rsid w:val="00FC75F7"/>
    <w:rsid w:val="00FC78A4"/>
    <w:rsid w:val="00FC7F0F"/>
    <w:rsid w:val="00FD0001"/>
    <w:rsid w:val="00FD0083"/>
    <w:rsid w:val="00FD014C"/>
    <w:rsid w:val="00FD04FD"/>
    <w:rsid w:val="00FD09AC"/>
    <w:rsid w:val="00FD0E32"/>
    <w:rsid w:val="00FD0FE3"/>
    <w:rsid w:val="00FD154E"/>
    <w:rsid w:val="00FD1740"/>
    <w:rsid w:val="00FD17E4"/>
    <w:rsid w:val="00FD1874"/>
    <w:rsid w:val="00FD1E61"/>
    <w:rsid w:val="00FD1EEE"/>
    <w:rsid w:val="00FD2141"/>
    <w:rsid w:val="00FD23CA"/>
    <w:rsid w:val="00FD263C"/>
    <w:rsid w:val="00FD28CF"/>
    <w:rsid w:val="00FD291A"/>
    <w:rsid w:val="00FD296A"/>
    <w:rsid w:val="00FD2AFD"/>
    <w:rsid w:val="00FD2B6F"/>
    <w:rsid w:val="00FD2EE9"/>
    <w:rsid w:val="00FD2FB8"/>
    <w:rsid w:val="00FD35DE"/>
    <w:rsid w:val="00FD3702"/>
    <w:rsid w:val="00FD371A"/>
    <w:rsid w:val="00FD3C49"/>
    <w:rsid w:val="00FD3FF3"/>
    <w:rsid w:val="00FD4052"/>
    <w:rsid w:val="00FD42A4"/>
    <w:rsid w:val="00FD439D"/>
    <w:rsid w:val="00FD449B"/>
    <w:rsid w:val="00FD479F"/>
    <w:rsid w:val="00FD4AB3"/>
    <w:rsid w:val="00FD4E45"/>
    <w:rsid w:val="00FD505D"/>
    <w:rsid w:val="00FD56AD"/>
    <w:rsid w:val="00FD5B7E"/>
    <w:rsid w:val="00FD5BF9"/>
    <w:rsid w:val="00FD600E"/>
    <w:rsid w:val="00FD648B"/>
    <w:rsid w:val="00FD6591"/>
    <w:rsid w:val="00FD681A"/>
    <w:rsid w:val="00FD6D9C"/>
    <w:rsid w:val="00FD7549"/>
    <w:rsid w:val="00FD754F"/>
    <w:rsid w:val="00FD75FB"/>
    <w:rsid w:val="00FD76B1"/>
    <w:rsid w:val="00FD7884"/>
    <w:rsid w:val="00FD7A29"/>
    <w:rsid w:val="00FD7A5A"/>
    <w:rsid w:val="00FD7ADD"/>
    <w:rsid w:val="00FE04B8"/>
    <w:rsid w:val="00FE0513"/>
    <w:rsid w:val="00FE05D6"/>
    <w:rsid w:val="00FE069A"/>
    <w:rsid w:val="00FE06E0"/>
    <w:rsid w:val="00FE086D"/>
    <w:rsid w:val="00FE0A1D"/>
    <w:rsid w:val="00FE0AE2"/>
    <w:rsid w:val="00FE0B9E"/>
    <w:rsid w:val="00FE120E"/>
    <w:rsid w:val="00FE1414"/>
    <w:rsid w:val="00FE166E"/>
    <w:rsid w:val="00FE21B3"/>
    <w:rsid w:val="00FE2333"/>
    <w:rsid w:val="00FE24AC"/>
    <w:rsid w:val="00FE2789"/>
    <w:rsid w:val="00FE27F4"/>
    <w:rsid w:val="00FE29DB"/>
    <w:rsid w:val="00FE2A6B"/>
    <w:rsid w:val="00FE2E9F"/>
    <w:rsid w:val="00FE30F6"/>
    <w:rsid w:val="00FE3186"/>
    <w:rsid w:val="00FE3877"/>
    <w:rsid w:val="00FE3ABA"/>
    <w:rsid w:val="00FE3AF1"/>
    <w:rsid w:val="00FE3FF7"/>
    <w:rsid w:val="00FE4297"/>
    <w:rsid w:val="00FE44C9"/>
    <w:rsid w:val="00FE4A51"/>
    <w:rsid w:val="00FE4A60"/>
    <w:rsid w:val="00FE4C3C"/>
    <w:rsid w:val="00FE4CD8"/>
    <w:rsid w:val="00FE4D9B"/>
    <w:rsid w:val="00FE4DE3"/>
    <w:rsid w:val="00FE4E8D"/>
    <w:rsid w:val="00FE5540"/>
    <w:rsid w:val="00FE560B"/>
    <w:rsid w:val="00FE5743"/>
    <w:rsid w:val="00FE5B80"/>
    <w:rsid w:val="00FE5F3B"/>
    <w:rsid w:val="00FE6021"/>
    <w:rsid w:val="00FE60FD"/>
    <w:rsid w:val="00FE6115"/>
    <w:rsid w:val="00FE6300"/>
    <w:rsid w:val="00FE634B"/>
    <w:rsid w:val="00FE63FD"/>
    <w:rsid w:val="00FE6D6E"/>
    <w:rsid w:val="00FE6E67"/>
    <w:rsid w:val="00FE6EB2"/>
    <w:rsid w:val="00FE7FD9"/>
    <w:rsid w:val="00FF0061"/>
    <w:rsid w:val="00FF0A05"/>
    <w:rsid w:val="00FF0CFB"/>
    <w:rsid w:val="00FF0DA2"/>
    <w:rsid w:val="00FF0EE0"/>
    <w:rsid w:val="00FF1095"/>
    <w:rsid w:val="00FF1163"/>
    <w:rsid w:val="00FF13DC"/>
    <w:rsid w:val="00FF16BE"/>
    <w:rsid w:val="00FF1A1A"/>
    <w:rsid w:val="00FF1B48"/>
    <w:rsid w:val="00FF1CC5"/>
    <w:rsid w:val="00FF1EDE"/>
    <w:rsid w:val="00FF208B"/>
    <w:rsid w:val="00FF2163"/>
    <w:rsid w:val="00FF2237"/>
    <w:rsid w:val="00FF241E"/>
    <w:rsid w:val="00FF2766"/>
    <w:rsid w:val="00FF2ADE"/>
    <w:rsid w:val="00FF2BD7"/>
    <w:rsid w:val="00FF2D1C"/>
    <w:rsid w:val="00FF2D24"/>
    <w:rsid w:val="00FF2D9D"/>
    <w:rsid w:val="00FF2FCA"/>
    <w:rsid w:val="00FF3528"/>
    <w:rsid w:val="00FF3564"/>
    <w:rsid w:val="00FF360A"/>
    <w:rsid w:val="00FF3804"/>
    <w:rsid w:val="00FF3B0B"/>
    <w:rsid w:val="00FF3B8E"/>
    <w:rsid w:val="00FF4083"/>
    <w:rsid w:val="00FF4194"/>
    <w:rsid w:val="00FF4B37"/>
    <w:rsid w:val="00FF4F6A"/>
    <w:rsid w:val="00FF5327"/>
    <w:rsid w:val="00FF54AF"/>
    <w:rsid w:val="00FF56E1"/>
    <w:rsid w:val="00FF5AFE"/>
    <w:rsid w:val="00FF61C6"/>
    <w:rsid w:val="00FF64E7"/>
    <w:rsid w:val="00FF65A5"/>
    <w:rsid w:val="00FF65BA"/>
    <w:rsid w:val="00FF6B87"/>
    <w:rsid w:val="00FF6BBB"/>
    <w:rsid w:val="00FF6E19"/>
    <w:rsid w:val="00FF701E"/>
    <w:rsid w:val="00FF744F"/>
    <w:rsid w:val="00FF7535"/>
    <w:rsid w:val="00FF7713"/>
    <w:rsid w:val="00FF782A"/>
    <w:rsid w:val="00FF7B0E"/>
    <w:rsid w:val="00FF7D47"/>
    <w:rsid w:val="00FF7EB5"/>
    <w:rsid w:val="00FF7FD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center;mso-width-percent:400;mso-height-percent:200;mso-width-relative:margin;mso-height-relative:margin" fillcolor="white">
      <v:fill color="white"/>
      <v:textbox style="mso-fit-shape-to-text:t"/>
    </o:shapedefaults>
    <o:shapelayout v:ext="edit">
      <o:idmap v:ext="edit" data="1"/>
    </o:shapelayout>
  </w:shapeDefaults>
  <w:decimalSymbol w:val=","/>
  <w:listSeparator w:val=";"/>
  <w14:docId w14:val="78CA0BBC"/>
  <w15:docId w15:val="{A1374678-BEC0-455C-B887-FF70DA025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4"/>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90451"/>
    <w:rPr>
      <w:sz w:val="24"/>
      <w:szCs w:val="24"/>
    </w:rPr>
  </w:style>
  <w:style w:type="paragraph" w:styleId="Titolo1">
    <w:name w:val="heading 1"/>
    <w:basedOn w:val="Normale"/>
    <w:next w:val="Normale"/>
    <w:link w:val="Titolo1Carattere"/>
    <w:uiPriority w:val="99"/>
    <w:qFormat/>
    <w:rsid w:val="00BC3FFD"/>
    <w:pPr>
      <w:keepNext/>
      <w:spacing w:after="120"/>
      <w:jc w:val="both"/>
      <w:outlineLvl w:val="0"/>
    </w:pPr>
    <w:rPr>
      <w:rFonts w:ascii="Cambria" w:hAnsi="Cambria"/>
      <w:b/>
      <w:kern w:val="32"/>
      <w:sz w:val="32"/>
    </w:rPr>
  </w:style>
  <w:style w:type="paragraph" w:styleId="Titolo2">
    <w:name w:val="heading 2"/>
    <w:basedOn w:val="Normale"/>
    <w:next w:val="Normale"/>
    <w:link w:val="Titolo2Carattere"/>
    <w:semiHidden/>
    <w:unhideWhenUsed/>
    <w:qFormat/>
    <w:locked/>
    <w:rsid w:val="00BF702B"/>
    <w:pPr>
      <w:keepNext/>
      <w:spacing w:before="240" w:after="60"/>
      <w:outlineLvl w:val="1"/>
    </w:pPr>
    <w:rPr>
      <w:rFonts w:ascii="Cambria" w:hAnsi="Cambria"/>
      <w:b/>
      <w:bCs/>
      <w:i/>
      <w:iCs/>
      <w:sz w:val="28"/>
      <w:szCs w:val="28"/>
    </w:rPr>
  </w:style>
  <w:style w:type="paragraph" w:styleId="Titolo4">
    <w:name w:val="heading 4"/>
    <w:basedOn w:val="Normale"/>
    <w:next w:val="Normale"/>
    <w:link w:val="Titolo4Carattere"/>
    <w:qFormat/>
    <w:locked/>
    <w:rsid w:val="00CD17F5"/>
    <w:pPr>
      <w:keepNext/>
      <w:keepLines/>
      <w:spacing w:before="200"/>
      <w:outlineLvl w:val="3"/>
    </w:pPr>
    <w:rPr>
      <w:rFonts w:ascii="Cambria" w:hAnsi="Cambria"/>
      <w:b/>
      <w:bCs/>
      <w:i/>
      <w:iCs/>
      <w:color w:val="4F81BD"/>
    </w:rPr>
  </w:style>
  <w:style w:type="paragraph" w:styleId="Titolo8">
    <w:name w:val="heading 8"/>
    <w:basedOn w:val="Normale"/>
    <w:next w:val="Normale"/>
    <w:link w:val="Titolo8Carattere"/>
    <w:semiHidden/>
    <w:unhideWhenUsed/>
    <w:qFormat/>
    <w:locked/>
    <w:rsid w:val="003A6105"/>
    <w:pPr>
      <w:spacing w:before="240" w:after="60"/>
      <w:outlineLvl w:val="7"/>
    </w:pPr>
    <w:rPr>
      <w:rFonts w:ascii="Calibri" w:hAnsi="Calibri"/>
      <w:i/>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226782"/>
    <w:rPr>
      <w:rFonts w:ascii="Cambria" w:hAnsi="Cambria" w:cs="Times New Roman"/>
      <w:b/>
      <w:kern w:val="32"/>
      <w:sz w:val="32"/>
    </w:rPr>
  </w:style>
  <w:style w:type="paragraph" w:styleId="Corpotesto">
    <w:name w:val="Body Text"/>
    <w:basedOn w:val="Normale"/>
    <w:link w:val="CorpotestoCarattere"/>
    <w:uiPriority w:val="99"/>
    <w:rsid w:val="00BC3FFD"/>
    <w:pPr>
      <w:spacing w:line="360" w:lineRule="auto"/>
    </w:pPr>
  </w:style>
  <w:style w:type="character" w:customStyle="1" w:styleId="CorpotestoCarattere">
    <w:name w:val="Corpo testo Carattere"/>
    <w:link w:val="Corpotesto"/>
    <w:uiPriority w:val="99"/>
    <w:locked/>
    <w:rsid w:val="00226782"/>
    <w:rPr>
      <w:rFonts w:cs="Times New Roman"/>
      <w:kern w:val="28"/>
      <w:sz w:val="20"/>
    </w:rPr>
  </w:style>
  <w:style w:type="paragraph" w:styleId="Pidipagina">
    <w:name w:val="footer"/>
    <w:basedOn w:val="Normale"/>
    <w:link w:val="PidipaginaCarattere"/>
    <w:rsid w:val="00BC3FFD"/>
    <w:pPr>
      <w:tabs>
        <w:tab w:val="center" w:pos="4818"/>
        <w:tab w:val="right" w:pos="9637"/>
      </w:tabs>
      <w:jc w:val="both"/>
    </w:pPr>
  </w:style>
  <w:style w:type="character" w:customStyle="1" w:styleId="PidipaginaCarattere">
    <w:name w:val="Piè di pagina Carattere"/>
    <w:link w:val="Pidipagina"/>
    <w:uiPriority w:val="99"/>
    <w:locked/>
    <w:rsid w:val="00226782"/>
    <w:rPr>
      <w:rFonts w:cs="Times New Roman"/>
      <w:kern w:val="28"/>
      <w:sz w:val="20"/>
    </w:rPr>
  </w:style>
  <w:style w:type="character" w:styleId="Collegamentoipertestuale">
    <w:name w:val="Hyperlink"/>
    <w:uiPriority w:val="99"/>
    <w:rsid w:val="001F7282"/>
    <w:rPr>
      <w:rFonts w:cs="Times New Roman"/>
      <w:color w:val="0000FF"/>
      <w:u w:val="single"/>
    </w:rPr>
  </w:style>
  <w:style w:type="paragraph" w:styleId="Intestazione">
    <w:name w:val="header"/>
    <w:basedOn w:val="Normale"/>
    <w:link w:val="IntestazioneCarattere"/>
    <w:uiPriority w:val="99"/>
    <w:rsid w:val="000F6161"/>
    <w:pPr>
      <w:tabs>
        <w:tab w:val="center" w:pos="4819"/>
        <w:tab w:val="right" w:pos="9638"/>
      </w:tabs>
    </w:pPr>
  </w:style>
  <w:style w:type="character" w:customStyle="1" w:styleId="IntestazioneCarattere">
    <w:name w:val="Intestazione Carattere"/>
    <w:link w:val="Intestazione"/>
    <w:uiPriority w:val="99"/>
    <w:locked/>
    <w:rsid w:val="00226782"/>
    <w:rPr>
      <w:rFonts w:cs="Times New Roman"/>
      <w:kern w:val="28"/>
      <w:sz w:val="20"/>
    </w:rPr>
  </w:style>
  <w:style w:type="character" w:styleId="Numeropagina">
    <w:name w:val="page number"/>
    <w:uiPriority w:val="99"/>
    <w:rsid w:val="0026018C"/>
    <w:rPr>
      <w:rFonts w:cs="Times New Roman"/>
    </w:rPr>
  </w:style>
  <w:style w:type="paragraph" w:styleId="Testofumetto">
    <w:name w:val="Balloon Text"/>
    <w:basedOn w:val="Normale"/>
    <w:link w:val="TestofumettoCarattere"/>
    <w:uiPriority w:val="99"/>
    <w:semiHidden/>
    <w:rsid w:val="00486F36"/>
    <w:rPr>
      <w:sz w:val="2"/>
    </w:rPr>
  </w:style>
  <w:style w:type="character" w:customStyle="1" w:styleId="TestofumettoCarattere">
    <w:name w:val="Testo fumetto Carattere"/>
    <w:link w:val="Testofumetto"/>
    <w:uiPriority w:val="99"/>
    <w:semiHidden/>
    <w:locked/>
    <w:rsid w:val="00226782"/>
    <w:rPr>
      <w:rFonts w:cs="Times New Roman"/>
      <w:kern w:val="28"/>
      <w:sz w:val="2"/>
    </w:rPr>
  </w:style>
  <w:style w:type="paragraph" w:styleId="NormaleWeb">
    <w:name w:val="Normal (Web)"/>
    <w:basedOn w:val="Normale"/>
    <w:uiPriority w:val="99"/>
    <w:rsid w:val="00100058"/>
    <w:pPr>
      <w:spacing w:beforeAutospacing="1" w:afterAutospacing="1"/>
    </w:pPr>
  </w:style>
  <w:style w:type="paragraph" w:styleId="PreformattatoHTML">
    <w:name w:val="HTML Preformatted"/>
    <w:basedOn w:val="Normale"/>
    <w:link w:val="PreformattatoHTMLCarattere"/>
    <w:uiPriority w:val="99"/>
    <w:rsid w:val="009060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PreformattatoHTMLCarattere">
    <w:name w:val="Preformattato HTML Carattere"/>
    <w:link w:val="PreformattatoHTML"/>
    <w:uiPriority w:val="99"/>
    <w:semiHidden/>
    <w:locked/>
    <w:rsid w:val="00226782"/>
    <w:rPr>
      <w:rFonts w:ascii="Courier New" w:hAnsi="Courier New" w:cs="Times New Roman"/>
      <w:kern w:val="28"/>
      <w:sz w:val="20"/>
    </w:rPr>
  </w:style>
  <w:style w:type="character" w:styleId="Enfasigrassetto">
    <w:name w:val="Strong"/>
    <w:uiPriority w:val="22"/>
    <w:qFormat/>
    <w:rsid w:val="008C6EAA"/>
    <w:rPr>
      <w:rFonts w:cs="Times New Roman"/>
      <w:b/>
    </w:rPr>
  </w:style>
  <w:style w:type="table" w:styleId="Grigliatabella">
    <w:name w:val="Table Grid"/>
    <w:basedOn w:val="Tabellanormale"/>
    <w:uiPriority w:val="59"/>
    <w:locked/>
    <w:rsid w:val="00E75DC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uiPriority w:val="99"/>
    <w:rsid w:val="00E75DCC"/>
  </w:style>
  <w:style w:type="paragraph" w:styleId="Testonotaapidipagina">
    <w:name w:val="footnote text"/>
    <w:aliases w:val="Testo nota a piè di pagina Carattere Carattere,Testo nota a piè di pagina Carattere Carattere Carattere Carattere Carattere Carattere"/>
    <w:basedOn w:val="Normale"/>
    <w:link w:val="TestonotaapidipaginaCarattere"/>
    <w:uiPriority w:val="99"/>
    <w:rsid w:val="006C145B"/>
  </w:style>
  <w:style w:type="character" w:customStyle="1" w:styleId="TestonotaapidipaginaCarattere">
    <w:name w:val="Testo nota a piè di pagina Carattere"/>
    <w:aliases w:val="Testo nota a piè di pagina Carattere Carattere Carattere,Testo nota a piè di pagina Carattere Carattere Carattere Carattere Carattere Carattere Carattere"/>
    <w:link w:val="Testonotaapidipagina"/>
    <w:uiPriority w:val="99"/>
    <w:locked/>
    <w:rsid w:val="00F05FF9"/>
    <w:rPr>
      <w:rFonts w:cs="Times New Roman"/>
      <w:kern w:val="28"/>
      <w:sz w:val="20"/>
    </w:rPr>
  </w:style>
  <w:style w:type="character" w:styleId="Rimandonotaapidipagina">
    <w:name w:val="footnote reference"/>
    <w:uiPriority w:val="99"/>
    <w:rsid w:val="006C145B"/>
    <w:rPr>
      <w:rFonts w:cs="Times New Roman"/>
      <w:vertAlign w:val="superscript"/>
    </w:rPr>
  </w:style>
  <w:style w:type="character" w:styleId="Enfasicorsivo">
    <w:name w:val="Emphasis"/>
    <w:uiPriority w:val="20"/>
    <w:qFormat/>
    <w:locked/>
    <w:rsid w:val="00E80FB8"/>
    <w:rPr>
      <w:rFonts w:cs="Times New Roman"/>
      <w:i/>
    </w:rPr>
  </w:style>
  <w:style w:type="paragraph" w:customStyle="1" w:styleId="Grigliamedia1-Colore21">
    <w:name w:val="Griglia media 1 - Colore 21"/>
    <w:basedOn w:val="Normale"/>
    <w:uiPriority w:val="34"/>
    <w:qFormat/>
    <w:rsid w:val="0022535F"/>
    <w:pPr>
      <w:ind w:left="720"/>
      <w:contextualSpacing/>
    </w:pPr>
  </w:style>
  <w:style w:type="character" w:styleId="Rimandocommento">
    <w:name w:val="annotation reference"/>
    <w:uiPriority w:val="99"/>
    <w:semiHidden/>
    <w:unhideWhenUsed/>
    <w:rsid w:val="00407D29"/>
    <w:rPr>
      <w:sz w:val="16"/>
      <w:szCs w:val="16"/>
    </w:rPr>
  </w:style>
  <w:style w:type="paragraph" w:styleId="Testocommento">
    <w:name w:val="annotation text"/>
    <w:basedOn w:val="Normale"/>
    <w:link w:val="TestocommentoCarattere"/>
    <w:uiPriority w:val="99"/>
    <w:semiHidden/>
    <w:unhideWhenUsed/>
    <w:rsid w:val="00E338F3"/>
    <w:rPr>
      <w:sz w:val="20"/>
      <w:szCs w:val="20"/>
    </w:rPr>
  </w:style>
  <w:style w:type="character" w:customStyle="1" w:styleId="TestocommentoCarattere">
    <w:name w:val="Testo commento Carattere"/>
    <w:link w:val="Testocommento"/>
    <w:uiPriority w:val="99"/>
    <w:semiHidden/>
    <w:rsid w:val="00407D29"/>
    <w:rPr>
      <w:kern w:val="28"/>
      <w:sz w:val="20"/>
      <w:szCs w:val="20"/>
    </w:rPr>
  </w:style>
  <w:style w:type="paragraph" w:styleId="Soggettocommento">
    <w:name w:val="annotation subject"/>
    <w:basedOn w:val="Testocommento"/>
    <w:next w:val="Testocommento"/>
    <w:link w:val="SoggettocommentoCarattere"/>
    <w:unhideWhenUsed/>
    <w:rsid w:val="00407D29"/>
    <w:rPr>
      <w:b/>
      <w:bCs/>
    </w:rPr>
  </w:style>
  <w:style w:type="character" w:customStyle="1" w:styleId="SoggettocommentoCarattere">
    <w:name w:val="Soggetto commento Carattere"/>
    <w:link w:val="Soggettocommento"/>
    <w:rsid w:val="00407D29"/>
    <w:rPr>
      <w:b/>
      <w:bCs/>
      <w:kern w:val="28"/>
      <w:sz w:val="20"/>
      <w:szCs w:val="20"/>
    </w:rPr>
  </w:style>
  <w:style w:type="paragraph" w:styleId="Sottotitolo">
    <w:name w:val="Subtitle"/>
    <w:basedOn w:val="Normale"/>
    <w:next w:val="Normale"/>
    <w:link w:val="SottotitoloCarattere"/>
    <w:qFormat/>
    <w:locked/>
    <w:rsid w:val="006166D3"/>
    <w:pPr>
      <w:numPr>
        <w:ilvl w:val="1"/>
      </w:numPr>
    </w:pPr>
    <w:rPr>
      <w:rFonts w:ascii="Cambria" w:hAnsi="Cambria"/>
      <w:i/>
      <w:iCs/>
      <w:color w:val="4F81BD"/>
      <w:spacing w:val="15"/>
    </w:rPr>
  </w:style>
  <w:style w:type="character" w:customStyle="1" w:styleId="SottotitoloCarattere">
    <w:name w:val="Sottotitolo Carattere"/>
    <w:link w:val="Sottotitolo"/>
    <w:rsid w:val="006166D3"/>
    <w:rPr>
      <w:rFonts w:ascii="Cambria" w:eastAsia="Times New Roman" w:hAnsi="Cambria" w:cs="Times New Roman"/>
      <w:i/>
      <w:iCs/>
      <w:color w:val="4F81BD"/>
      <w:spacing w:val="15"/>
      <w:kern w:val="28"/>
      <w:sz w:val="24"/>
      <w:szCs w:val="24"/>
    </w:rPr>
  </w:style>
  <w:style w:type="character" w:customStyle="1" w:styleId="Titolo4Carattere">
    <w:name w:val="Titolo 4 Carattere"/>
    <w:link w:val="Titolo4"/>
    <w:uiPriority w:val="9"/>
    <w:rsid w:val="00CD17F5"/>
    <w:rPr>
      <w:rFonts w:ascii="Cambria" w:eastAsia="Times New Roman" w:hAnsi="Cambria" w:cs="Times New Roman"/>
      <w:b/>
      <w:bCs/>
      <w:i/>
      <w:iCs/>
      <w:color w:val="4F81BD"/>
      <w:kern w:val="28"/>
      <w:sz w:val="20"/>
      <w:szCs w:val="20"/>
    </w:rPr>
  </w:style>
  <w:style w:type="paragraph" w:customStyle="1" w:styleId="Default">
    <w:name w:val="Default"/>
    <w:rsid w:val="00417ECD"/>
    <w:pPr>
      <w:autoSpaceDE w:val="0"/>
      <w:autoSpaceDN w:val="0"/>
      <w:adjustRightInd w:val="0"/>
    </w:pPr>
    <w:rPr>
      <w:rFonts w:ascii="Arial Narrow" w:hAnsi="Arial Narrow"/>
      <w:color w:val="000000"/>
      <w:sz w:val="24"/>
      <w:szCs w:val="24"/>
    </w:rPr>
  </w:style>
  <w:style w:type="paragraph" w:customStyle="1" w:styleId="Paragrafobase">
    <w:name w:val="[Paragrafo base]"/>
    <w:basedOn w:val="Normale"/>
    <w:uiPriority w:val="99"/>
    <w:rsid w:val="00083173"/>
    <w:pPr>
      <w:spacing w:line="288" w:lineRule="auto"/>
      <w:textAlignment w:val="center"/>
    </w:pPr>
    <w:rPr>
      <w:rFonts w:ascii="Times-Roman" w:hAnsi="Times-Roman" w:cs="Times-Roman"/>
      <w:color w:val="000000"/>
    </w:rPr>
  </w:style>
  <w:style w:type="table" w:customStyle="1" w:styleId="Grigliatabella1">
    <w:name w:val="Griglia tabella1"/>
    <w:basedOn w:val="Tabellanormale"/>
    <w:next w:val="Grigliatabella"/>
    <w:uiPriority w:val="99"/>
    <w:rsid w:val="00A365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1TitoGra">
    <w:name w:val="001TitoGra"/>
    <w:basedOn w:val="Normale"/>
    <w:qFormat/>
    <w:rsid w:val="00FF1163"/>
    <w:pPr>
      <w:spacing w:line="240" w:lineRule="exact"/>
    </w:pPr>
    <w:rPr>
      <w:rFonts w:ascii="Arial Narrow" w:hAnsi="Arial Narrow" w:cs="Arial"/>
      <w:b/>
      <w:color w:val="5F5F5F"/>
      <w:sz w:val="22"/>
      <w:szCs w:val="22"/>
    </w:rPr>
  </w:style>
  <w:style w:type="paragraph" w:customStyle="1" w:styleId="001TitoloBolocco">
    <w:name w:val="001TitoloBolocco"/>
    <w:basedOn w:val="Titolo1"/>
    <w:link w:val="001TitoloBoloccoCarattere"/>
    <w:qFormat/>
    <w:rsid w:val="00E53642"/>
    <w:pPr>
      <w:pBdr>
        <w:bottom w:val="single" w:sz="18" w:space="1" w:color="E31C18"/>
      </w:pBdr>
      <w:spacing w:after="240" w:line="240" w:lineRule="exact"/>
    </w:pPr>
    <w:rPr>
      <w:rFonts w:ascii="Calibri" w:hAnsi="Calibri" w:cs="Arial"/>
      <w:bCs/>
      <w:caps/>
      <w:color w:val="000000"/>
      <w:sz w:val="26"/>
      <w:szCs w:val="28"/>
    </w:rPr>
  </w:style>
  <w:style w:type="character" w:customStyle="1" w:styleId="001TitoloBoloccoCarattere">
    <w:name w:val="001TitoloBolocco Carattere"/>
    <w:link w:val="001TitoloBolocco"/>
    <w:rsid w:val="00E53642"/>
    <w:rPr>
      <w:rFonts w:ascii="Calibri" w:hAnsi="Calibri" w:cs="Arial"/>
      <w:b/>
      <w:bCs/>
      <w:caps/>
      <w:color w:val="000000"/>
      <w:kern w:val="32"/>
      <w:sz w:val="26"/>
      <w:szCs w:val="28"/>
    </w:rPr>
  </w:style>
  <w:style w:type="paragraph" w:customStyle="1" w:styleId="00TitoGra1">
    <w:name w:val="00TitoGra1"/>
    <w:basedOn w:val="Normale"/>
    <w:qFormat/>
    <w:rsid w:val="00E53642"/>
    <w:pPr>
      <w:spacing w:line="280" w:lineRule="exact"/>
    </w:pPr>
    <w:rPr>
      <w:rFonts w:ascii="Calibri" w:hAnsi="Calibri" w:cs="Arial"/>
      <w:b/>
      <w:color w:val="D90B13"/>
      <w:sz w:val="28"/>
      <w:szCs w:val="28"/>
    </w:rPr>
  </w:style>
  <w:style w:type="character" w:customStyle="1" w:styleId="001TitoGraRed">
    <w:name w:val="001TitoGraRed"/>
    <w:uiPriority w:val="1"/>
    <w:qFormat/>
    <w:rsid w:val="00FF1163"/>
    <w:rPr>
      <w:color w:val="E31C18"/>
    </w:rPr>
  </w:style>
  <w:style w:type="paragraph" w:customStyle="1" w:styleId="001SottotitoloGra">
    <w:name w:val="001SottotitoloGra"/>
    <w:basedOn w:val="001TitoGra"/>
    <w:qFormat/>
    <w:rsid w:val="00FF1163"/>
    <w:pPr>
      <w:spacing w:after="120"/>
    </w:pPr>
    <w:rPr>
      <w:b w:val="0"/>
      <w:sz w:val="20"/>
      <w:szCs w:val="20"/>
    </w:rPr>
  </w:style>
  <w:style w:type="paragraph" w:styleId="Rientrocorpodeltesto">
    <w:name w:val="Body Text Indent"/>
    <w:basedOn w:val="Normale"/>
    <w:link w:val="RientrocorpodeltestoCarattere"/>
    <w:uiPriority w:val="99"/>
    <w:unhideWhenUsed/>
    <w:rsid w:val="00A53D09"/>
    <w:pPr>
      <w:spacing w:after="120"/>
      <w:ind w:left="283"/>
    </w:pPr>
  </w:style>
  <w:style w:type="character" w:customStyle="1" w:styleId="RientrocorpodeltestoCarattere">
    <w:name w:val="Rientro corpo del testo Carattere"/>
    <w:link w:val="Rientrocorpodeltesto"/>
    <w:uiPriority w:val="99"/>
    <w:rsid w:val="00A53D09"/>
    <w:rPr>
      <w:kern w:val="28"/>
    </w:rPr>
  </w:style>
  <w:style w:type="character" w:customStyle="1" w:styleId="st">
    <w:name w:val="st"/>
    <w:rsid w:val="00431975"/>
  </w:style>
  <w:style w:type="paragraph" w:styleId="Corpodeltesto3">
    <w:name w:val="Body Text 3"/>
    <w:basedOn w:val="Normale"/>
    <w:link w:val="Corpodeltesto3Carattere"/>
    <w:rsid w:val="000B233D"/>
    <w:pPr>
      <w:spacing w:after="120"/>
    </w:pPr>
    <w:rPr>
      <w:sz w:val="16"/>
      <w:szCs w:val="16"/>
    </w:rPr>
  </w:style>
  <w:style w:type="character" w:customStyle="1" w:styleId="Corpodeltesto3Carattere">
    <w:name w:val="Corpo del testo 3 Carattere"/>
    <w:link w:val="Corpodeltesto3"/>
    <w:rsid w:val="000B233D"/>
    <w:rPr>
      <w:sz w:val="16"/>
      <w:szCs w:val="16"/>
    </w:rPr>
  </w:style>
  <w:style w:type="paragraph" w:customStyle="1" w:styleId="Corpotesto1">
    <w:name w:val="Corpo testo1"/>
    <w:basedOn w:val="Normale"/>
    <w:rsid w:val="00AE6AE5"/>
    <w:pPr>
      <w:jc w:val="both"/>
    </w:pPr>
    <w:rPr>
      <w:b/>
      <w:lang w:val="en-US" w:eastAsia="en-US"/>
    </w:rPr>
  </w:style>
  <w:style w:type="paragraph" w:styleId="Corpodeltesto2">
    <w:name w:val="Body Text 2"/>
    <w:basedOn w:val="Normale"/>
    <w:link w:val="Corpodeltesto2Carattere"/>
    <w:rsid w:val="00833A77"/>
    <w:pPr>
      <w:spacing w:after="120" w:line="480" w:lineRule="auto"/>
    </w:pPr>
  </w:style>
  <w:style w:type="character" w:customStyle="1" w:styleId="Corpodeltesto2Carattere">
    <w:name w:val="Corpo del testo 2 Carattere"/>
    <w:link w:val="Corpodeltesto2"/>
    <w:rsid w:val="00833A77"/>
    <w:rPr>
      <w:kern w:val="28"/>
    </w:rPr>
  </w:style>
  <w:style w:type="paragraph" w:customStyle="1" w:styleId="Corpodeltesto1">
    <w:name w:val="Corpo del testo1"/>
    <w:basedOn w:val="Normale"/>
    <w:rsid w:val="00833A77"/>
    <w:pPr>
      <w:jc w:val="both"/>
    </w:pPr>
    <w:rPr>
      <w:b/>
    </w:rPr>
  </w:style>
  <w:style w:type="character" w:customStyle="1" w:styleId="Titolo2Carattere">
    <w:name w:val="Titolo 2 Carattere"/>
    <w:link w:val="Titolo2"/>
    <w:semiHidden/>
    <w:rsid w:val="00BF702B"/>
    <w:rPr>
      <w:rFonts w:ascii="Cambria" w:eastAsia="Times New Roman" w:hAnsi="Cambria" w:cs="Times New Roman"/>
      <w:b/>
      <w:bCs/>
      <w:i/>
      <w:iCs/>
      <w:kern w:val="28"/>
      <w:sz w:val="28"/>
      <w:szCs w:val="28"/>
    </w:rPr>
  </w:style>
  <w:style w:type="paragraph" w:customStyle="1" w:styleId="Rientrocorpodeltesto31">
    <w:name w:val="Rientro corpo del testo 31"/>
    <w:basedOn w:val="Normale"/>
    <w:uiPriority w:val="99"/>
    <w:rsid w:val="000A2E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exact"/>
      <w:ind w:left="-567"/>
      <w:jc w:val="both"/>
    </w:pPr>
    <w:rPr>
      <w:spacing w:val="-3"/>
      <w:sz w:val="22"/>
      <w:lang w:eastAsia="ar-SA"/>
    </w:rPr>
  </w:style>
  <w:style w:type="paragraph" w:styleId="Paragrafoelenco">
    <w:name w:val="List Paragraph"/>
    <w:basedOn w:val="Normale"/>
    <w:link w:val="ParagrafoelencoCarattere"/>
    <w:uiPriority w:val="34"/>
    <w:qFormat/>
    <w:rsid w:val="000A2EFD"/>
    <w:pPr>
      <w:tabs>
        <w:tab w:val="left" w:pos="426"/>
      </w:tabs>
      <w:spacing w:after="120"/>
      <w:ind w:left="720"/>
      <w:contextualSpacing/>
      <w:jc w:val="both"/>
    </w:pPr>
    <w:rPr>
      <w:rFonts w:ascii="Calibri" w:hAnsi="Calibri" w:cs="Calibri"/>
      <w:color w:val="000000"/>
      <w:lang w:eastAsia="zh-CN"/>
    </w:rPr>
  </w:style>
  <w:style w:type="character" w:customStyle="1" w:styleId="ParagrafoelencoCarattere">
    <w:name w:val="Paragrafo elenco Carattere"/>
    <w:link w:val="Paragrafoelenco"/>
    <w:uiPriority w:val="34"/>
    <w:rsid w:val="000A2EFD"/>
    <w:rPr>
      <w:rFonts w:ascii="Calibri" w:hAnsi="Calibri" w:cs="Calibri"/>
      <w:color w:val="000000"/>
      <w:sz w:val="24"/>
      <w:szCs w:val="24"/>
      <w:lang w:eastAsia="zh-CN"/>
    </w:rPr>
  </w:style>
  <w:style w:type="table" w:styleId="Sfondomedio2-Colore5">
    <w:name w:val="Medium Shading 2 Accent 5"/>
    <w:basedOn w:val="Tabellanormale"/>
    <w:uiPriority w:val="64"/>
    <w:rsid w:val="000A2EFD"/>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Titolo8Carattere">
    <w:name w:val="Titolo 8 Carattere"/>
    <w:link w:val="Titolo8"/>
    <w:semiHidden/>
    <w:rsid w:val="003A6105"/>
    <w:rPr>
      <w:rFonts w:ascii="Calibri" w:eastAsia="Times New Roman" w:hAnsi="Calibri" w:cs="Times New Roman"/>
      <w:i/>
      <w:iCs/>
      <w:kern w:val="28"/>
      <w:sz w:val="24"/>
      <w:szCs w:val="24"/>
    </w:rPr>
  </w:style>
  <w:style w:type="character" w:styleId="Collegamentovisitato">
    <w:name w:val="FollowedHyperlink"/>
    <w:uiPriority w:val="99"/>
    <w:semiHidden/>
    <w:unhideWhenUsed/>
    <w:rsid w:val="00A72740"/>
    <w:rPr>
      <w:color w:val="800080"/>
      <w:u w:val="single"/>
    </w:rPr>
  </w:style>
  <w:style w:type="paragraph" w:styleId="Revisione">
    <w:name w:val="Revision"/>
    <w:hidden/>
    <w:uiPriority w:val="71"/>
    <w:rsid w:val="005301CF"/>
    <w:rPr>
      <w:kern w:val="28"/>
    </w:rPr>
  </w:style>
  <w:style w:type="character" w:customStyle="1" w:styleId="seocontent">
    <w:name w:val="seocontent"/>
    <w:basedOn w:val="Carpredefinitoparagrafo"/>
    <w:rsid w:val="00EF7A93"/>
  </w:style>
  <w:style w:type="character" w:customStyle="1" w:styleId="object">
    <w:name w:val="object"/>
    <w:basedOn w:val="Carpredefinitoparagrafo"/>
    <w:rsid w:val="00A80789"/>
  </w:style>
  <w:style w:type="paragraph" w:customStyle="1" w:styleId="A">
    <w:name w:val="A"/>
    <w:basedOn w:val="Normale"/>
    <w:next w:val="Corpotesto"/>
    <w:uiPriority w:val="99"/>
    <w:rsid w:val="00282B90"/>
    <w:pPr>
      <w:jc w:val="both"/>
    </w:pPr>
    <w:rPr>
      <w:b/>
      <w:lang w:eastAsia="ar-SA"/>
    </w:rPr>
  </w:style>
  <w:style w:type="character" w:customStyle="1" w:styleId="markedcontent">
    <w:name w:val="markedcontent"/>
    <w:basedOn w:val="Carpredefinitoparagrafo"/>
    <w:rsid w:val="00C1395C"/>
  </w:style>
  <w:style w:type="paragraph" w:customStyle="1" w:styleId="Testocorrente">
    <w:name w:val="Testo corrente"/>
    <w:basedOn w:val="Titolo2"/>
    <w:rsid w:val="00501E02"/>
    <w:pPr>
      <w:spacing w:before="0"/>
      <w:jc w:val="both"/>
    </w:pPr>
    <w:rPr>
      <w:rFonts w:ascii="Times New Roman" w:hAnsi="Times New Roman"/>
      <w:bCs w:val="0"/>
      <w:iCs w:val="0"/>
      <w:sz w:val="24"/>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3486">
      <w:bodyDiv w:val="1"/>
      <w:marLeft w:val="0"/>
      <w:marRight w:val="0"/>
      <w:marTop w:val="0"/>
      <w:marBottom w:val="0"/>
      <w:divBdr>
        <w:top w:val="none" w:sz="0" w:space="0" w:color="auto"/>
        <w:left w:val="none" w:sz="0" w:space="0" w:color="auto"/>
        <w:bottom w:val="none" w:sz="0" w:space="0" w:color="auto"/>
        <w:right w:val="none" w:sz="0" w:space="0" w:color="auto"/>
      </w:divBdr>
    </w:div>
    <w:div w:id="6180447">
      <w:bodyDiv w:val="1"/>
      <w:marLeft w:val="0"/>
      <w:marRight w:val="0"/>
      <w:marTop w:val="0"/>
      <w:marBottom w:val="0"/>
      <w:divBdr>
        <w:top w:val="none" w:sz="0" w:space="0" w:color="auto"/>
        <w:left w:val="none" w:sz="0" w:space="0" w:color="auto"/>
        <w:bottom w:val="none" w:sz="0" w:space="0" w:color="auto"/>
        <w:right w:val="none" w:sz="0" w:space="0" w:color="auto"/>
      </w:divBdr>
    </w:div>
    <w:div w:id="29649862">
      <w:bodyDiv w:val="1"/>
      <w:marLeft w:val="0"/>
      <w:marRight w:val="0"/>
      <w:marTop w:val="0"/>
      <w:marBottom w:val="0"/>
      <w:divBdr>
        <w:top w:val="none" w:sz="0" w:space="0" w:color="auto"/>
        <w:left w:val="none" w:sz="0" w:space="0" w:color="auto"/>
        <w:bottom w:val="none" w:sz="0" w:space="0" w:color="auto"/>
        <w:right w:val="none" w:sz="0" w:space="0" w:color="auto"/>
      </w:divBdr>
    </w:div>
    <w:div w:id="69041894">
      <w:bodyDiv w:val="1"/>
      <w:marLeft w:val="0"/>
      <w:marRight w:val="0"/>
      <w:marTop w:val="0"/>
      <w:marBottom w:val="0"/>
      <w:divBdr>
        <w:top w:val="none" w:sz="0" w:space="0" w:color="auto"/>
        <w:left w:val="none" w:sz="0" w:space="0" w:color="auto"/>
        <w:bottom w:val="none" w:sz="0" w:space="0" w:color="auto"/>
        <w:right w:val="none" w:sz="0" w:space="0" w:color="auto"/>
      </w:divBdr>
    </w:div>
    <w:div w:id="72625743">
      <w:bodyDiv w:val="1"/>
      <w:marLeft w:val="0"/>
      <w:marRight w:val="0"/>
      <w:marTop w:val="0"/>
      <w:marBottom w:val="0"/>
      <w:divBdr>
        <w:top w:val="none" w:sz="0" w:space="0" w:color="auto"/>
        <w:left w:val="none" w:sz="0" w:space="0" w:color="auto"/>
        <w:bottom w:val="none" w:sz="0" w:space="0" w:color="auto"/>
        <w:right w:val="none" w:sz="0" w:space="0" w:color="auto"/>
      </w:divBdr>
    </w:div>
    <w:div w:id="81610097">
      <w:bodyDiv w:val="1"/>
      <w:marLeft w:val="0"/>
      <w:marRight w:val="0"/>
      <w:marTop w:val="0"/>
      <w:marBottom w:val="0"/>
      <w:divBdr>
        <w:top w:val="none" w:sz="0" w:space="0" w:color="auto"/>
        <w:left w:val="none" w:sz="0" w:space="0" w:color="auto"/>
        <w:bottom w:val="none" w:sz="0" w:space="0" w:color="auto"/>
        <w:right w:val="none" w:sz="0" w:space="0" w:color="auto"/>
      </w:divBdr>
    </w:div>
    <w:div w:id="111638430">
      <w:bodyDiv w:val="1"/>
      <w:marLeft w:val="0"/>
      <w:marRight w:val="0"/>
      <w:marTop w:val="0"/>
      <w:marBottom w:val="0"/>
      <w:divBdr>
        <w:top w:val="none" w:sz="0" w:space="0" w:color="auto"/>
        <w:left w:val="none" w:sz="0" w:space="0" w:color="auto"/>
        <w:bottom w:val="none" w:sz="0" w:space="0" w:color="auto"/>
        <w:right w:val="none" w:sz="0" w:space="0" w:color="auto"/>
      </w:divBdr>
    </w:div>
    <w:div w:id="163055204">
      <w:bodyDiv w:val="1"/>
      <w:marLeft w:val="0"/>
      <w:marRight w:val="0"/>
      <w:marTop w:val="0"/>
      <w:marBottom w:val="0"/>
      <w:divBdr>
        <w:top w:val="none" w:sz="0" w:space="0" w:color="auto"/>
        <w:left w:val="none" w:sz="0" w:space="0" w:color="auto"/>
        <w:bottom w:val="none" w:sz="0" w:space="0" w:color="auto"/>
        <w:right w:val="none" w:sz="0" w:space="0" w:color="auto"/>
      </w:divBdr>
      <w:divsChild>
        <w:div w:id="72774841">
          <w:marLeft w:val="0"/>
          <w:marRight w:val="0"/>
          <w:marTop w:val="0"/>
          <w:marBottom w:val="0"/>
          <w:divBdr>
            <w:top w:val="none" w:sz="0" w:space="0" w:color="auto"/>
            <w:left w:val="none" w:sz="0" w:space="0" w:color="auto"/>
            <w:bottom w:val="none" w:sz="0" w:space="0" w:color="auto"/>
            <w:right w:val="none" w:sz="0" w:space="0" w:color="auto"/>
          </w:divBdr>
        </w:div>
        <w:div w:id="112676843">
          <w:marLeft w:val="0"/>
          <w:marRight w:val="0"/>
          <w:marTop w:val="0"/>
          <w:marBottom w:val="0"/>
          <w:divBdr>
            <w:top w:val="none" w:sz="0" w:space="0" w:color="auto"/>
            <w:left w:val="none" w:sz="0" w:space="0" w:color="auto"/>
            <w:bottom w:val="none" w:sz="0" w:space="0" w:color="auto"/>
            <w:right w:val="none" w:sz="0" w:space="0" w:color="auto"/>
          </w:divBdr>
        </w:div>
        <w:div w:id="135799169">
          <w:marLeft w:val="0"/>
          <w:marRight w:val="0"/>
          <w:marTop w:val="0"/>
          <w:marBottom w:val="0"/>
          <w:divBdr>
            <w:top w:val="none" w:sz="0" w:space="0" w:color="auto"/>
            <w:left w:val="none" w:sz="0" w:space="0" w:color="auto"/>
            <w:bottom w:val="none" w:sz="0" w:space="0" w:color="auto"/>
            <w:right w:val="none" w:sz="0" w:space="0" w:color="auto"/>
          </w:divBdr>
        </w:div>
        <w:div w:id="1033112804">
          <w:marLeft w:val="0"/>
          <w:marRight w:val="0"/>
          <w:marTop w:val="0"/>
          <w:marBottom w:val="0"/>
          <w:divBdr>
            <w:top w:val="none" w:sz="0" w:space="0" w:color="auto"/>
            <w:left w:val="none" w:sz="0" w:space="0" w:color="auto"/>
            <w:bottom w:val="none" w:sz="0" w:space="0" w:color="auto"/>
            <w:right w:val="none" w:sz="0" w:space="0" w:color="auto"/>
          </w:divBdr>
        </w:div>
        <w:div w:id="1521511708">
          <w:marLeft w:val="0"/>
          <w:marRight w:val="0"/>
          <w:marTop w:val="0"/>
          <w:marBottom w:val="0"/>
          <w:divBdr>
            <w:top w:val="none" w:sz="0" w:space="0" w:color="auto"/>
            <w:left w:val="none" w:sz="0" w:space="0" w:color="auto"/>
            <w:bottom w:val="none" w:sz="0" w:space="0" w:color="auto"/>
            <w:right w:val="none" w:sz="0" w:space="0" w:color="auto"/>
          </w:divBdr>
        </w:div>
      </w:divsChild>
    </w:div>
    <w:div w:id="190270577">
      <w:bodyDiv w:val="1"/>
      <w:marLeft w:val="0"/>
      <w:marRight w:val="0"/>
      <w:marTop w:val="0"/>
      <w:marBottom w:val="0"/>
      <w:divBdr>
        <w:top w:val="none" w:sz="0" w:space="0" w:color="auto"/>
        <w:left w:val="none" w:sz="0" w:space="0" w:color="auto"/>
        <w:bottom w:val="none" w:sz="0" w:space="0" w:color="auto"/>
        <w:right w:val="none" w:sz="0" w:space="0" w:color="auto"/>
      </w:divBdr>
    </w:div>
    <w:div w:id="190531945">
      <w:bodyDiv w:val="1"/>
      <w:marLeft w:val="0"/>
      <w:marRight w:val="0"/>
      <w:marTop w:val="0"/>
      <w:marBottom w:val="0"/>
      <w:divBdr>
        <w:top w:val="none" w:sz="0" w:space="0" w:color="auto"/>
        <w:left w:val="none" w:sz="0" w:space="0" w:color="auto"/>
        <w:bottom w:val="none" w:sz="0" w:space="0" w:color="auto"/>
        <w:right w:val="none" w:sz="0" w:space="0" w:color="auto"/>
      </w:divBdr>
    </w:div>
    <w:div w:id="193345705">
      <w:bodyDiv w:val="1"/>
      <w:marLeft w:val="0"/>
      <w:marRight w:val="0"/>
      <w:marTop w:val="0"/>
      <w:marBottom w:val="0"/>
      <w:divBdr>
        <w:top w:val="none" w:sz="0" w:space="0" w:color="auto"/>
        <w:left w:val="none" w:sz="0" w:space="0" w:color="auto"/>
        <w:bottom w:val="none" w:sz="0" w:space="0" w:color="auto"/>
        <w:right w:val="none" w:sz="0" w:space="0" w:color="auto"/>
      </w:divBdr>
    </w:div>
    <w:div w:id="200484480">
      <w:bodyDiv w:val="1"/>
      <w:marLeft w:val="0"/>
      <w:marRight w:val="0"/>
      <w:marTop w:val="0"/>
      <w:marBottom w:val="0"/>
      <w:divBdr>
        <w:top w:val="none" w:sz="0" w:space="0" w:color="auto"/>
        <w:left w:val="none" w:sz="0" w:space="0" w:color="auto"/>
        <w:bottom w:val="none" w:sz="0" w:space="0" w:color="auto"/>
        <w:right w:val="none" w:sz="0" w:space="0" w:color="auto"/>
      </w:divBdr>
      <w:divsChild>
        <w:div w:id="160703322">
          <w:marLeft w:val="0"/>
          <w:marRight w:val="0"/>
          <w:marTop w:val="0"/>
          <w:marBottom w:val="0"/>
          <w:divBdr>
            <w:top w:val="none" w:sz="0" w:space="0" w:color="auto"/>
            <w:left w:val="none" w:sz="0" w:space="0" w:color="auto"/>
            <w:bottom w:val="none" w:sz="0" w:space="0" w:color="auto"/>
            <w:right w:val="none" w:sz="0" w:space="0" w:color="auto"/>
          </w:divBdr>
        </w:div>
        <w:div w:id="506092020">
          <w:marLeft w:val="0"/>
          <w:marRight w:val="0"/>
          <w:marTop w:val="0"/>
          <w:marBottom w:val="0"/>
          <w:divBdr>
            <w:top w:val="none" w:sz="0" w:space="0" w:color="auto"/>
            <w:left w:val="none" w:sz="0" w:space="0" w:color="auto"/>
            <w:bottom w:val="none" w:sz="0" w:space="0" w:color="auto"/>
            <w:right w:val="none" w:sz="0" w:space="0" w:color="auto"/>
          </w:divBdr>
        </w:div>
        <w:div w:id="1243643572">
          <w:marLeft w:val="0"/>
          <w:marRight w:val="0"/>
          <w:marTop w:val="0"/>
          <w:marBottom w:val="0"/>
          <w:divBdr>
            <w:top w:val="none" w:sz="0" w:space="0" w:color="auto"/>
            <w:left w:val="none" w:sz="0" w:space="0" w:color="auto"/>
            <w:bottom w:val="none" w:sz="0" w:space="0" w:color="auto"/>
            <w:right w:val="none" w:sz="0" w:space="0" w:color="auto"/>
          </w:divBdr>
        </w:div>
        <w:div w:id="1941789296">
          <w:marLeft w:val="0"/>
          <w:marRight w:val="0"/>
          <w:marTop w:val="0"/>
          <w:marBottom w:val="0"/>
          <w:divBdr>
            <w:top w:val="none" w:sz="0" w:space="0" w:color="auto"/>
            <w:left w:val="none" w:sz="0" w:space="0" w:color="auto"/>
            <w:bottom w:val="none" w:sz="0" w:space="0" w:color="auto"/>
            <w:right w:val="none" w:sz="0" w:space="0" w:color="auto"/>
          </w:divBdr>
        </w:div>
      </w:divsChild>
    </w:div>
    <w:div w:id="217282464">
      <w:bodyDiv w:val="1"/>
      <w:marLeft w:val="0"/>
      <w:marRight w:val="0"/>
      <w:marTop w:val="0"/>
      <w:marBottom w:val="0"/>
      <w:divBdr>
        <w:top w:val="none" w:sz="0" w:space="0" w:color="auto"/>
        <w:left w:val="none" w:sz="0" w:space="0" w:color="auto"/>
        <w:bottom w:val="none" w:sz="0" w:space="0" w:color="auto"/>
        <w:right w:val="none" w:sz="0" w:space="0" w:color="auto"/>
      </w:divBdr>
    </w:div>
    <w:div w:id="224222885">
      <w:bodyDiv w:val="1"/>
      <w:marLeft w:val="0"/>
      <w:marRight w:val="0"/>
      <w:marTop w:val="0"/>
      <w:marBottom w:val="0"/>
      <w:divBdr>
        <w:top w:val="none" w:sz="0" w:space="0" w:color="auto"/>
        <w:left w:val="none" w:sz="0" w:space="0" w:color="auto"/>
        <w:bottom w:val="none" w:sz="0" w:space="0" w:color="auto"/>
        <w:right w:val="none" w:sz="0" w:space="0" w:color="auto"/>
      </w:divBdr>
    </w:div>
    <w:div w:id="237443218">
      <w:bodyDiv w:val="1"/>
      <w:marLeft w:val="0"/>
      <w:marRight w:val="0"/>
      <w:marTop w:val="0"/>
      <w:marBottom w:val="0"/>
      <w:divBdr>
        <w:top w:val="none" w:sz="0" w:space="0" w:color="auto"/>
        <w:left w:val="none" w:sz="0" w:space="0" w:color="auto"/>
        <w:bottom w:val="none" w:sz="0" w:space="0" w:color="auto"/>
        <w:right w:val="none" w:sz="0" w:space="0" w:color="auto"/>
      </w:divBdr>
    </w:div>
    <w:div w:id="253520606">
      <w:bodyDiv w:val="1"/>
      <w:marLeft w:val="0"/>
      <w:marRight w:val="0"/>
      <w:marTop w:val="0"/>
      <w:marBottom w:val="0"/>
      <w:divBdr>
        <w:top w:val="none" w:sz="0" w:space="0" w:color="auto"/>
        <w:left w:val="none" w:sz="0" w:space="0" w:color="auto"/>
        <w:bottom w:val="none" w:sz="0" w:space="0" w:color="auto"/>
        <w:right w:val="none" w:sz="0" w:space="0" w:color="auto"/>
      </w:divBdr>
    </w:div>
    <w:div w:id="309137912">
      <w:bodyDiv w:val="1"/>
      <w:marLeft w:val="0"/>
      <w:marRight w:val="0"/>
      <w:marTop w:val="0"/>
      <w:marBottom w:val="0"/>
      <w:divBdr>
        <w:top w:val="none" w:sz="0" w:space="0" w:color="auto"/>
        <w:left w:val="none" w:sz="0" w:space="0" w:color="auto"/>
        <w:bottom w:val="none" w:sz="0" w:space="0" w:color="auto"/>
        <w:right w:val="none" w:sz="0" w:space="0" w:color="auto"/>
      </w:divBdr>
    </w:div>
    <w:div w:id="402219072">
      <w:bodyDiv w:val="1"/>
      <w:marLeft w:val="0"/>
      <w:marRight w:val="0"/>
      <w:marTop w:val="0"/>
      <w:marBottom w:val="0"/>
      <w:divBdr>
        <w:top w:val="none" w:sz="0" w:space="0" w:color="auto"/>
        <w:left w:val="none" w:sz="0" w:space="0" w:color="auto"/>
        <w:bottom w:val="none" w:sz="0" w:space="0" w:color="auto"/>
        <w:right w:val="none" w:sz="0" w:space="0" w:color="auto"/>
      </w:divBdr>
    </w:div>
    <w:div w:id="474226301">
      <w:bodyDiv w:val="1"/>
      <w:marLeft w:val="0"/>
      <w:marRight w:val="0"/>
      <w:marTop w:val="0"/>
      <w:marBottom w:val="0"/>
      <w:divBdr>
        <w:top w:val="none" w:sz="0" w:space="0" w:color="auto"/>
        <w:left w:val="none" w:sz="0" w:space="0" w:color="auto"/>
        <w:bottom w:val="none" w:sz="0" w:space="0" w:color="auto"/>
        <w:right w:val="none" w:sz="0" w:space="0" w:color="auto"/>
      </w:divBdr>
    </w:div>
    <w:div w:id="498884580">
      <w:bodyDiv w:val="1"/>
      <w:marLeft w:val="0"/>
      <w:marRight w:val="0"/>
      <w:marTop w:val="0"/>
      <w:marBottom w:val="0"/>
      <w:divBdr>
        <w:top w:val="none" w:sz="0" w:space="0" w:color="auto"/>
        <w:left w:val="none" w:sz="0" w:space="0" w:color="auto"/>
        <w:bottom w:val="none" w:sz="0" w:space="0" w:color="auto"/>
        <w:right w:val="none" w:sz="0" w:space="0" w:color="auto"/>
      </w:divBdr>
    </w:div>
    <w:div w:id="521630806">
      <w:bodyDiv w:val="1"/>
      <w:marLeft w:val="0"/>
      <w:marRight w:val="0"/>
      <w:marTop w:val="0"/>
      <w:marBottom w:val="0"/>
      <w:divBdr>
        <w:top w:val="none" w:sz="0" w:space="0" w:color="auto"/>
        <w:left w:val="none" w:sz="0" w:space="0" w:color="auto"/>
        <w:bottom w:val="none" w:sz="0" w:space="0" w:color="auto"/>
        <w:right w:val="none" w:sz="0" w:space="0" w:color="auto"/>
      </w:divBdr>
    </w:div>
    <w:div w:id="530411729">
      <w:bodyDiv w:val="1"/>
      <w:marLeft w:val="0"/>
      <w:marRight w:val="0"/>
      <w:marTop w:val="0"/>
      <w:marBottom w:val="0"/>
      <w:divBdr>
        <w:top w:val="none" w:sz="0" w:space="0" w:color="auto"/>
        <w:left w:val="none" w:sz="0" w:space="0" w:color="auto"/>
        <w:bottom w:val="none" w:sz="0" w:space="0" w:color="auto"/>
        <w:right w:val="none" w:sz="0" w:space="0" w:color="auto"/>
      </w:divBdr>
    </w:div>
    <w:div w:id="546995541">
      <w:bodyDiv w:val="1"/>
      <w:marLeft w:val="0"/>
      <w:marRight w:val="0"/>
      <w:marTop w:val="0"/>
      <w:marBottom w:val="0"/>
      <w:divBdr>
        <w:top w:val="none" w:sz="0" w:space="0" w:color="auto"/>
        <w:left w:val="none" w:sz="0" w:space="0" w:color="auto"/>
        <w:bottom w:val="none" w:sz="0" w:space="0" w:color="auto"/>
        <w:right w:val="none" w:sz="0" w:space="0" w:color="auto"/>
      </w:divBdr>
    </w:div>
    <w:div w:id="588998793">
      <w:bodyDiv w:val="1"/>
      <w:marLeft w:val="0"/>
      <w:marRight w:val="0"/>
      <w:marTop w:val="0"/>
      <w:marBottom w:val="0"/>
      <w:divBdr>
        <w:top w:val="none" w:sz="0" w:space="0" w:color="auto"/>
        <w:left w:val="none" w:sz="0" w:space="0" w:color="auto"/>
        <w:bottom w:val="none" w:sz="0" w:space="0" w:color="auto"/>
        <w:right w:val="none" w:sz="0" w:space="0" w:color="auto"/>
      </w:divBdr>
    </w:div>
    <w:div w:id="622662056">
      <w:bodyDiv w:val="1"/>
      <w:marLeft w:val="0"/>
      <w:marRight w:val="0"/>
      <w:marTop w:val="0"/>
      <w:marBottom w:val="0"/>
      <w:divBdr>
        <w:top w:val="none" w:sz="0" w:space="0" w:color="auto"/>
        <w:left w:val="none" w:sz="0" w:space="0" w:color="auto"/>
        <w:bottom w:val="none" w:sz="0" w:space="0" w:color="auto"/>
        <w:right w:val="none" w:sz="0" w:space="0" w:color="auto"/>
      </w:divBdr>
    </w:div>
    <w:div w:id="631524876">
      <w:bodyDiv w:val="1"/>
      <w:marLeft w:val="0"/>
      <w:marRight w:val="0"/>
      <w:marTop w:val="0"/>
      <w:marBottom w:val="0"/>
      <w:divBdr>
        <w:top w:val="none" w:sz="0" w:space="0" w:color="auto"/>
        <w:left w:val="none" w:sz="0" w:space="0" w:color="auto"/>
        <w:bottom w:val="none" w:sz="0" w:space="0" w:color="auto"/>
        <w:right w:val="none" w:sz="0" w:space="0" w:color="auto"/>
      </w:divBdr>
    </w:div>
    <w:div w:id="636954640">
      <w:bodyDiv w:val="1"/>
      <w:marLeft w:val="0"/>
      <w:marRight w:val="0"/>
      <w:marTop w:val="0"/>
      <w:marBottom w:val="0"/>
      <w:divBdr>
        <w:top w:val="none" w:sz="0" w:space="0" w:color="auto"/>
        <w:left w:val="none" w:sz="0" w:space="0" w:color="auto"/>
        <w:bottom w:val="none" w:sz="0" w:space="0" w:color="auto"/>
        <w:right w:val="none" w:sz="0" w:space="0" w:color="auto"/>
      </w:divBdr>
    </w:div>
    <w:div w:id="646596715">
      <w:bodyDiv w:val="1"/>
      <w:marLeft w:val="0"/>
      <w:marRight w:val="0"/>
      <w:marTop w:val="0"/>
      <w:marBottom w:val="0"/>
      <w:divBdr>
        <w:top w:val="none" w:sz="0" w:space="0" w:color="auto"/>
        <w:left w:val="none" w:sz="0" w:space="0" w:color="auto"/>
        <w:bottom w:val="none" w:sz="0" w:space="0" w:color="auto"/>
        <w:right w:val="none" w:sz="0" w:space="0" w:color="auto"/>
      </w:divBdr>
    </w:div>
    <w:div w:id="669018745">
      <w:bodyDiv w:val="1"/>
      <w:marLeft w:val="0"/>
      <w:marRight w:val="0"/>
      <w:marTop w:val="0"/>
      <w:marBottom w:val="0"/>
      <w:divBdr>
        <w:top w:val="none" w:sz="0" w:space="0" w:color="auto"/>
        <w:left w:val="none" w:sz="0" w:space="0" w:color="auto"/>
        <w:bottom w:val="none" w:sz="0" w:space="0" w:color="auto"/>
        <w:right w:val="none" w:sz="0" w:space="0" w:color="auto"/>
      </w:divBdr>
    </w:div>
    <w:div w:id="679351289">
      <w:bodyDiv w:val="1"/>
      <w:marLeft w:val="0"/>
      <w:marRight w:val="0"/>
      <w:marTop w:val="0"/>
      <w:marBottom w:val="0"/>
      <w:divBdr>
        <w:top w:val="none" w:sz="0" w:space="0" w:color="auto"/>
        <w:left w:val="none" w:sz="0" w:space="0" w:color="auto"/>
        <w:bottom w:val="none" w:sz="0" w:space="0" w:color="auto"/>
        <w:right w:val="none" w:sz="0" w:space="0" w:color="auto"/>
      </w:divBdr>
    </w:div>
    <w:div w:id="709768472">
      <w:bodyDiv w:val="1"/>
      <w:marLeft w:val="0"/>
      <w:marRight w:val="0"/>
      <w:marTop w:val="0"/>
      <w:marBottom w:val="0"/>
      <w:divBdr>
        <w:top w:val="none" w:sz="0" w:space="0" w:color="auto"/>
        <w:left w:val="none" w:sz="0" w:space="0" w:color="auto"/>
        <w:bottom w:val="none" w:sz="0" w:space="0" w:color="auto"/>
        <w:right w:val="none" w:sz="0" w:space="0" w:color="auto"/>
      </w:divBdr>
    </w:div>
    <w:div w:id="727991793">
      <w:bodyDiv w:val="1"/>
      <w:marLeft w:val="0"/>
      <w:marRight w:val="0"/>
      <w:marTop w:val="0"/>
      <w:marBottom w:val="0"/>
      <w:divBdr>
        <w:top w:val="none" w:sz="0" w:space="0" w:color="auto"/>
        <w:left w:val="none" w:sz="0" w:space="0" w:color="auto"/>
        <w:bottom w:val="none" w:sz="0" w:space="0" w:color="auto"/>
        <w:right w:val="none" w:sz="0" w:space="0" w:color="auto"/>
      </w:divBdr>
    </w:div>
    <w:div w:id="772897932">
      <w:bodyDiv w:val="1"/>
      <w:marLeft w:val="0"/>
      <w:marRight w:val="0"/>
      <w:marTop w:val="0"/>
      <w:marBottom w:val="0"/>
      <w:divBdr>
        <w:top w:val="none" w:sz="0" w:space="0" w:color="auto"/>
        <w:left w:val="none" w:sz="0" w:space="0" w:color="auto"/>
        <w:bottom w:val="none" w:sz="0" w:space="0" w:color="auto"/>
        <w:right w:val="none" w:sz="0" w:space="0" w:color="auto"/>
      </w:divBdr>
    </w:div>
    <w:div w:id="777142644">
      <w:bodyDiv w:val="1"/>
      <w:marLeft w:val="0"/>
      <w:marRight w:val="0"/>
      <w:marTop w:val="0"/>
      <w:marBottom w:val="0"/>
      <w:divBdr>
        <w:top w:val="none" w:sz="0" w:space="0" w:color="auto"/>
        <w:left w:val="none" w:sz="0" w:space="0" w:color="auto"/>
        <w:bottom w:val="none" w:sz="0" w:space="0" w:color="auto"/>
        <w:right w:val="none" w:sz="0" w:space="0" w:color="auto"/>
      </w:divBdr>
    </w:div>
    <w:div w:id="789978370">
      <w:marLeft w:val="0"/>
      <w:marRight w:val="0"/>
      <w:marTop w:val="0"/>
      <w:marBottom w:val="0"/>
      <w:divBdr>
        <w:top w:val="none" w:sz="0" w:space="0" w:color="auto"/>
        <w:left w:val="none" w:sz="0" w:space="0" w:color="auto"/>
        <w:bottom w:val="none" w:sz="0" w:space="0" w:color="auto"/>
        <w:right w:val="none" w:sz="0" w:space="0" w:color="auto"/>
      </w:divBdr>
    </w:div>
    <w:div w:id="789978371">
      <w:marLeft w:val="0"/>
      <w:marRight w:val="0"/>
      <w:marTop w:val="0"/>
      <w:marBottom w:val="0"/>
      <w:divBdr>
        <w:top w:val="none" w:sz="0" w:space="0" w:color="auto"/>
        <w:left w:val="none" w:sz="0" w:space="0" w:color="auto"/>
        <w:bottom w:val="none" w:sz="0" w:space="0" w:color="auto"/>
        <w:right w:val="none" w:sz="0" w:space="0" w:color="auto"/>
      </w:divBdr>
    </w:div>
    <w:div w:id="789978372">
      <w:marLeft w:val="0"/>
      <w:marRight w:val="0"/>
      <w:marTop w:val="0"/>
      <w:marBottom w:val="0"/>
      <w:divBdr>
        <w:top w:val="none" w:sz="0" w:space="0" w:color="auto"/>
        <w:left w:val="none" w:sz="0" w:space="0" w:color="auto"/>
        <w:bottom w:val="none" w:sz="0" w:space="0" w:color="auto"/>
        <w:right w:val="none" w:sz="0" w:space="0" w:color="auto"/>
      </w:divBdr>
    </w:div>
    <w:div w:id="789978373">
      <w:marLeft w:val="0"/>
      <w:marRight w:val="0"/>
      <w:marTop w:val="0"/>
      <w:marBottom w:val="0"/>
      <w:divBdr>
        <w:top w:val="none" w:sz="0" w:space="0" w:color="auto"/>
        <w:left w:val="none" w:sz="0" w:space="0" w:color="auto"/>
        <w:bottom w:val="none" w:sz="0" w:space="0" w:color="auto"/>
        <w:right w:val="none" w:sz="0" w:space="0" w:color="auto"/>
      </w:divBdr>
    </w:div>
    <w:div w:id="789978374">
      <w:marLeft w:val="0"/>
      <w:marRight w:val="0"/>
      <w:marTop w:val="0"/>
      <w:marBottom w:val="0"/>
      <w:divBdr>
        <w:top w:val="none" w:sz="0" w:space="0" w:color="auto"/>
        <w:left w:val="none" w:sz="0" w:space="0" w:color="auto"/>
        <w:bottom w:val="none" w:sz="0" w:space="0" w:color="auto"/>
        <w:right w:val="none" w:sz="0" w:space="0" w:color="auto"/>
      </w:divBdr>
    </w:div>
    <w:div w:id="789978375">
      <w:marLeft w:val="0"/>
      <w:marRight w:val="0"/>
      <w:marTop w:val="0"/>
      <w:marBottom w:val="0"/>
      <w:divBdr>
        <w:top w:val="none" w:sz="0" w:space="0" w:color="auto"/>
        <w:left w:val="none" w:sz="0" w:space="0" w:color="auto"/>
        <w:bottom w:val="none" w:sz="0" w:space="0" w:color="auto"/>
        <w:right w:val="none" w:sz="0" w:space="0" w:color="auto"/>
      </w:divBdr>
    </w:div>
    <w:div w:id="789978376">
      <w:marLeft w:val="0"/>
      <w:marRight w:val="0"/>
      <w:marTop w:val="0"/>
      <w:marBottom w:val="0"/>
      <w:divBdr>
        <w:top w:val="none" w:sz="0" w:space="0" w:color="auto"/>
        <w:left w:val="none" w:sz="0" w:space="0" w:color="auto"/>
        <w:bottom w:val="none" w:sz="0" w:space="0" w:color="auto"/>
        <w:right w:val="none" w:sz="0" w:space="0" w:color="auto"/>
      </w:divBdr>
    </w:div>
    <w:div w:id="789978377">
      <w:marLeft w:val="0"/>
      <w:marRight w:val="0"/>
      <w:marTop w:val="0"/>
      <w:marBottom w:val="0"/>
      <w:divBdr>
        <w:top w:val="none" w:sz="0" w:space="0" w:color="auto"/>
        <w:left w:val="none" w:sz="0" w:space="0" w:color="auto"/>
        <w:bottom w:val="none" w:sz="0" w:space="0" w:color="auto"/>
        <w:right w:val="none" w:sz="0" w:space="0" w:color="auto"/>
      </w:divBdr>
    </w:div>
    <w:div w:id="789978378">
      <w:marLeft w:val="0"/>
      <w:marRight w:val="0"/>
      <w:marTop w:val="0"/>
      <w:marBottom w:val="0"/>
      <w:divBdr>
        <w:top w:val="none" w:sz="0" w:space="0" w:color="auto"/>
        <w:left w:val="none" w:sz="0" w:space="0" w:color="auto"/>
        <w:bottom w:val="none" w:sz="0" w:space="0" w:color="auto"/>
        <w:right w:val="none" w:sz="0" w:space="0" w:color="auto"/>
      </w:divBdr>
    </w:div>
    <w:div w:id="789978379">
      <w:marLeft w:val="0"/>
      <w:marRight w:val="0"/>
      <w:marTop w:val="0"/>
      <w:marBottom w:val="0"/>
      <w:divBdr>
        <w:top w:val="none" w:sz="0" w:space="0" w:color="auto"/>
        <w:left w:val="none" w:sz="0" w:space="0" w:color="auto"/>
        <w:bottom w:val="none" w:sz="0" w:space="0" w:color="auto"/>
        <w:right w:val="none" w:sz="0" w:space="0" w:color="auto"/>
      </w:divBdr>
    </w:div>
    <w:div w:id="789978380">
      <w:marLeft w:val="0"/>
      <w:marRight w:val="0"/>
      <w:marTop w:val="0"/>
      <w:marBottom w:val="0"/>
      <w:divBdr>
        <w:top w:val="none" w:sz="0" w:space="0" w:color="auto"/>
        <w:left w:val="none" w:sz="0" w:space="0" w:color="auto"/>
        <w:bottom w:val="none" w:sz="0" w:space="0" w:color="auto"/>
        <w:right w:val="none" w:sz="0" w:space="0" w:color="auto"/>
      </w:divBdr>
    </w:div>
    <w:div w:id="789978381">
      <w:marLeft w:val="0"/>
      <w:marRight w:val="0"/>
      <w:marTop w:val="0"/>
      <w:marBottom w:val="0"/>
      <w:divBdr>
        <w:top w:val="none" w:sz="0" w:space="0" w:color="auto"/>
        <w:left w:val="none" w:sz="0" w:space="0" w:color="auto"/>
        <w:bottom w:val="none" w:sz="0" w:space="0" w:color="auto"/>
        <w:right w:val="none" w:sz="0" w:space="0" w:color="auto"/>
      </w:divBdr>
    </w:div>
    <w:div w:id="789978382">
      <w:marLeft w:val="0"/>
      <w:marRight w:val="0"/>
      <w:marTop w:val="0"/>
      <w:marBottom w:val="0"/>
      <w:divBdr>
        <w:top w:val="none" w:sz="0" w:space="0" w:color="auto"/>
        <w:left w:val="none" w:sz="0" w:space="0" w:color="auto"/>
        <w:bottom w:val="none" w:sz="0" w:space="0" w:color="auto"/>
        <w:right w:val="none" w:sz="0" w:space="0" w:color="auto"/>
      </w:divBdr>
    </w:div>
    <w:div w:id="789978383">
      <w:marLeft w:val="0"/>
      <w:marRight w:val="0"/>
      <w:marTop w:val="0"/>
      <w:marBottom w:val="0"/>
      <w:divBdr>
        <w:top w:val="none" w:sz="0" w:space="0" w:color="auto"/>
        <w:left w:val="none" w:sz="0" w:space="0" w:color="auto"/>
        <w:bottom w:val="none" w:sz="0" w:space="0" w:color="auto"/>
        <w:right w:val="none" w:sz="0" w:space="0" w:color="auto"/>
      </w:divBdr>
    </w:div>
    <w:div w:id="789978384">
      <w:marLeft w:val="0"/>
      <w:marRight w:val="0"/>
      <w:marTop w:val="0"/>
      <w:marBottom w:val="0"/>
      <w:divBdr>
        <w:top w:val="none" w:sz="0" w:space="0" w:color="auto"/>
        <w:left w:val="none" w:sz="0" w:space="0" w:color="auto"/>
        <w:bottom w:val="none" w:sz="0" w:space="0" w:color="auto"/>
        <w:right w:val="none" w:sz="0" w:space="0" w:color="auto"/>
      </w:divBdr>
    </w:div>
    <w:div w:id="789978385">
      <w:marLeft w:val="0"/>
      <w:marRight w:val="0"/>
      <w:marTop w:val="0"/>
      <w:marBottom w:val="0"/>
      <w:divBdr>
        <w:top w:val="none" w:sz="0" w:space="0" w:color="auto"/>
        <w:left w:val="none" w:sz="0" w:space="0" w:color="auto"/>
        <w:bottom w:val="none" w:sz="0" w:space="0" w:color="auto"/>
        <w:right w:val="none" w:sz="0" w:space="0" w:color="auto"/>
      </w:divBdr>
    </w:div>
    <w:div w:id="789978386">
      <w:marLeft w:val="0"/>
      <w:marRight w:val="0"/>
      <w:marTop w:val="0"/>
      <w:marBottom w:val="0"/>
      <w:divBdr>
        <w:top w:val="none" w:sz="0" w:space="0" w:color="auto"/>
        <w:left w:val="none" w:sz="0" w:space="0" w:color="auto"/>
        <w:bottom w:val="none" w:sz="0" w:space="0" w:color="auto"/>
        <w:right w:val="none" w:sz="0" w:space="0" w:color="auto"/>
      </w:divBdr>
    </w:div>
    <w:div w:id="789978387">
      <w:marLeft w:val="0"/>
      <w:marRight w:val="0"/>
      <w:marTop w:val="0"/>
      <w:marBottom w:val="0"/>
      <w:divBdr>
        <w:top w:val="none" w:sz="0" w:space="0" w:color="auto"/>
        <w:left w:val="none" w:sz="0" w:space="0" w:color="auto"/>
        <w:bottom w:val="none" w:sz="0" w:space="0" w:color="auto"/>
        <w:right w:val="none" w:sz="0" w:space="0" w:color="auto"/>
      </w:divBdr>
    </w:div>
    <w:div w:id="789978388">
      <w:marLeft w:val="0"/>
      <w:marRight w:val="0"/>
      <w:marTop w:val="0"/>
      <w:marBottom w:val="0"/>
      <w:divBdr>
        <w:top w:val="none" w:sz="0" w:space="0" w:color="auto"/>
        <w:left w:val="none" w:sz="0" w:space="0" w:color="auto"/>
        <w:bottom w:val="none" w:sz="0" w:space="0" w:color="auto"/>
        <w:right w:val="none" w:sz="0" w:space="0" w:color="auto"/>
      </w:divBdr>
    </w:div>
    <w:div w:id="789978389">
      <w:marLeft w:val="0"/>
      <w:marRight w:val="0"/>
      <w:marTop w:val="0"/>
      <w:marBottom w:val="0"/>
      <w:divBdr>
        <w:top w:val="none" w:sz="0" w:space="0" w:color="auto"/>
        <w:left w:val="none" w:sz="0" w:space="0" w:color="auto"/>
        <w:bottom w:val="none" w:sz="0" w:space="0" w:color="auto"/>
        <w:right w:val="none" w:sz="0" w:space="0" w:color="auto"/>
      </w:divBdr>
    </w:div>
    <w:div w:id="789978390">
      <w:marLeft w:val="0"/>
      <w:marRight w:val="0"/>
      <w:marTop w:val="0"/>
      <w:marBottom w:val="0"/>
      <w:divBdr>
        <w:top w:val="none" w:sz="0" w:space="0" w:color="auto"/>
        <w:left w:val="none" w:sz="0" w:space="0" w:color="auto"/>
        <w:bottom w:val="none" w:sz="0" w:space="0" w:color="auto"/>
        <w:right w:val="none" w:sz="0" w:space="0" w:color="auto"/>
      </w:divBdr>
    </w:div>
    <w:div w:id="789978391">
      <w:marLeft w:val="0"/>
      <w:marRight w:val="0"/>
      <w:marTop w:val="0"/>
      <w:marBottom w:val="0"/>
      <w:divBdr>
        <w:top w:val="none" w:sz="0" w:space="0" w:color="auto"/>
        <w:left w:val="none" w:sz="0" w:space="0" w:color="auto"/>
        <w:bottom w:val="none" w:sz="0" w:space="0" w:color="auto"/>
        <w:right w:val="none" w:sz="0" w:space="0" w:color="auto"/>
      </w:divBdr>
    </w:div>
    <w:div w:id="789978392">
      <w:marLeft w:val="0"/>
      <w:marRight w:val="0"/>
      <w:marTop w:val="0"/>
      <w:marBottom w:val="0"/>
      <w:divBdr>
        <w:top w:val="none" w:sz="0" w:space="0" w:color="auto"/>
        <w:left w:val="none" w:sz="0" w:space="0" w:color="auto"/>
        <w:bottom w:val="none" w:sz="0" w:space="0" w:color="auto"/>
        <w:right w:val="none" w:sz="0" w:space="0" w:color="auto"/>
      </w:divBdr>
    </w:div>
    <w:div w:id="789978393">
      <w:marLeft w:val="0"/>
      <w:marRight w:val="0"/>
      <w:marTop w:val="0"/>
      <w:marBottom w:val="0"/>
      <w:divBdr>
        <w:top w:val="none" w:sz="0" w:space="0" w:color="auto"/>
        <w:left w:val="none" w:sz="0" w:space="0" w:color="auto"/>
        <w:bottom w:val="none" w:sz="0" w:space="0" w:color="auto"/>
        <w:right w:val="none" w:sz="0" w:space="0" w:color="auto"/>
      </w:divBdr>
    </w:div>
    <w:div w:id="789978394">
      <w:marLeft w:val="0"/>
      <w:marRight w:val="0"/>
      <w:marTop w:val="0"/>
      <w:marBottom w:val="0"/>
      <w:divBdr>
        <w:top w:val="none" w:sz="0" w:space="0" w:color="auto"/>
        <w:left w:val="none" w:sz="0" w:space="0" w:color="auto"/>
        <w:bottom w:val="none" w:sz="0" w:space="0" w:color="auto"/>
        <w:right w:val="none" w:sz="0" w:space="0" w:color="auto"/>
      </w:divBdr>
    </w:div>
    <w:div w:id="789978395">
      <w:marLeft w:val="0"/>
      <w:marRight w:val="0"/>
      <w:marTop w:val="0"/>
      <w:marBottom w:val="0"/>
      <w:divBdr>
        <w:top w:val="none" w:sz="0" w:space="0" w:color="auto"/>
        <w:left w:val="none" w:sz="0" w:space="0" w:color="auto"/>
        <w:bottom w:val="none" w:sz="0" w:space="0" w:color="auto"/>
        <w:right w:val="none" w:sz="0" w:space="0" w:color="auto"/>
      </w:divBdr>
    </w:div>
    <w:div w:id="789978396">
      <w:marLeft w:val="0"/>
      <w:marRight w:val="0"/>
      <w:marTop w:val="0"/>
      <w:marBottom w:val="0"/>
      <w:divBdr>
        <w:top w:val="none" w:sz="0" w:space="0" w:color="auto"/>
        <w:left w:val="none" w:sz="0" w:space="0" w:color="auto"/>
        <w:bottom w:val="none" w:sz="0" w:space="0" w:color="auto"/>
        <w:right w:val="none" w:sz="0" w:space="0" w:color="auto"/>
      </w:divBdr>
    </w:div>
    <w:div w:id="789978397">
      <w:marLeft w:val="0"/>
      <w:marRight w:val="0"/>
      <w:marTop w:val="0"/>
      <w:marBottom w:val="0"/>
      <w:divBdr>
        <w:top w:val="none" w:sz="0" w:space="0" w:color="auto"/>
        <w:left w:val="none" w:sz="0" w:space="0" w:color="auto"/>
        <w:bottom w:val="none" w:sz="0" w:space="0" w:color="auto"/>
        <w:right w:val="none" w:sz="0" w:space="0" w:color="auto"/>
      </w:divBdr>
    </w:div>
    <w:div w:id="789978398">
      <w:marLeft w:val="0"/>
      <w:marRight w:val="0"/>
      <w:marTop w:val="0"/>
      <w:marBottom w:val="0"/>
      <w:divBdr>
        <w:top w:val="none" w:sz="0" w:space="0" w:color="auto"/>
        <w:left w:val="none" w:sz="0" w:space="0" w:color="auto"/>
        <w:bottom w:val="none" w:sz="0" w:space="0" w:color="auto"/>
        <w:right w:val="none" w:sz="0" w:space="0" w:color="auto"/>
      </w:divBdr>
    </w:div>
    <w:div w:id="789978399">
      <w:marLeft w:val="0"/>
      <w:marRight w:val="0"/>
      <w:marTop w:val="0"/>
      <w:marBottom w:val="0"/>
      <w:divBdr>
        <w:top w:val="none" w:sz="0" w:space="0" w:color="auto"/>
        <w:left w:val="none" w:sz="0" w:space="0" w:color="auto"/>
        <w:bottom w:val="none" w:sz="0" w:space="0" w:color="auto"/>
        <w:right w:val="none" w:sz="0" w:space="0" w:color="auto"/>
      </w:divBdr>
    </w:div>
    <w:div w:id="789978400">
      <w:marLeft w:val="0"/>
      <w:marRight w:val="0"/>
      <w:marTop w:val="0"/>
      <w:marBottom w:val="0"/>
      <w:divBdr>
        <w:top w:val="none" w:sz="0" w:space="0" w:color="auto"/>
        <w:left w:val="none" w:sz="0" w:space="0" w:color="auto"/>
        <w:bottom w:val="none" w:sz="0" w:space="0" w:color="auto"/>
        <w:right w:val="none" w:sz="0" w:space="0" w:color="auto"/>
      </w:divBdr>
    </w:div>
    <w:div w:id="789978401">
      <w:marLeft w:val="0"/>
      <w:marRight w:val="0"/>
      <w:marTop w:val="0"/>
      <w:marBottom w:val="0"/>
      <w:divBdr>
        <w:top w:val="none" w:sz="0" w:space="0" w:color="auto"/>
        <w:left w:val="none" w:sz="0" w:space="0" w:color="auto"/>
        <w:bottom w:val="none" w:sz="0" w:space="0" w:color="auto"/>
        <w:right w:val="none" w:sz="0" w:space="0" w:color="auto"/>
      </w:divBdr>
    </w:div>
    <w:div w:id="789978402">
      <w:marLeft w:val="0"/>
      <w:marRight w:val="0"/>
      <w:marTop w:val="0"/>
      <w:marBottom w:val="0"/>
      <w:divBdr>
        <w:top w:val="none" w:sz="0" w:space="0" w:color="auto"/>
        <w:left w:val="none" w:sz="0" w:space="0" w:color="auto"/>
        <w:bottom w:val="none" w:sz="0" w:space="0" w:color="auto"/>
        <w:right w:val="none" w:sz="0" w:space="0" w:color="auto"/>
      </w:divBdr>
    </w:div>
    <w:div w:id="789978403">
      <w:marLeft w:val="0"/>
      <w:marRight w:val="0"/>
      <w:marTop w:val="0"/>
      <w:marBottom w:val="0"/>
      <w:divBdr>
        <w:top w:val="none" w:sz="0" w:space="0" w:color="auto"/>
        <w:left w:val="none" w:sz="0" w:space="0" w:color="auto"/>
        <w:bottom w:val="none" w:sz="0" w:space="0" w:color="auto"/>
        <w:right w:val="none" w:sz="0" w:space="0" w:color="auto"/>
      </w:divBdr>
    </w:div>
    <w:div w:id="789978404">
      <w:marLeft w:val="0"/>
      <w:marRight w:val="0"/>
      <w:marTop w:val="0"/>
      <w:marBottom w:val="0"/>
      <w:divBdr>
        <w:top w:val="none" w:sz="0" w:space="0" w:color="auto"/>
        <w:left w:val="none" w:sz="0" w:space="0" w:color="auto"/>
        <w:bottom w:val="none" w:sz="0" w:space="0" w:color="auto"/>
        <w:right w:val="none" w:sz="0" w:space="0" w:color="auto"/>
      </w:divBdr>
    </w:div>
    <w:div w:id="789978405">
      <w:marLeft w:val="0"/>
      <w:marRight w:val="0"/>
      <w:marTop w:val="0"/>
      <w:marBottom w:val="0"/>
      <w:divBdr>
        <w:top w:val="none" w:sz="0" w:space="0" w:color="auto"/>
        <w:left w:val="none" w:sz="0" w:space="0" w:color="auto"/>
        <w:bottom w:val="none" w:sz="0" w:space="0" w:color="auto"/>
        <w:right w:val="none" w:sz="0" w:space="0" w:color="auto"/>
      </w:divBdr>
    </w:div>
    <w:div w:id="789978406">
      <w:marLeft w:val="0"/>
      <w:marRight w:val="0"/>
      <w:marTop w:val="0"/>
      <w:marBottom w:val="0"/>
      <w:divBdr>
        <w:top w:val="none" w:sz="0" w:space="0" w:color="auto"/>
        <w:left w:val="none" w:sz="0" w:space="0" w:color="auto"/>
        <w:bottom w:val="none" w:sz="0" w:space="0" w:color="auto"/>
        <w:right w:val="none" w:sz="0" w:space="0" w:color="auto"/>
      </w:divBdr>
    </w:div>
    <w:div w:id="789978407">
      <w:marLeft w:val="0"/>
      <w:marRight w:val="0"/>
      <w:marTop w:val="0"/>
      <w:marBottom w:val="0"/>
      <w:divBdr>
        <w:top w:val="none" w:sz="0" w:space="0" w:color="auto"/>
        <w:left w:val="none" w:sz="0" w:space="0" w:color="auto"/>
        <w:bottom w:val="none" w:sz="0" w:space="0" w:color="auto"/>
        <w:right w:val="none" w:sz="0" w:space="0" w:color="auto"/>
      </w:divBdr>
    </w:div>
    <w:div w:id="789978408">
      <w:marLeft w:val="0"/>
      <w:marRight w:val="0"/>
      <w:marTop w:val="0"/>
      <w:marBottom w:val="0"/>
      <w:divBdr>
        <w:top w:val="none" w:sz="0" w:space="0" w:color="auto"/>
        <w:left w:val="none" w:sz="0" w:space="0" w:color="auto"/>
        <w:bottom w:val="none" w:sz="0" w:space="0" w:color="auto"/>
        <w:right w:val="none" w:sz="0" w:space="0" w:color="auto"/>
      </w:divBdr>
    </w:div>
    <w:div w:id="789978409">
      <w:marLeft w:val="0"/>
      <w:marRight w:val="0"/>
      <w:marTop w:val="0"/>
      <w:marBottom w:val="0"/>
      <w:divBdr>
        <w:top w:val="none" w:sz="0" w:space="0" w:color="auto"/>
        <w:left w:val="none" w:sz="0" w:space="0" w:color="auto"/>
        <w:bottom w:val="none" w:sz="0" w:space="0" w:color="auto"/>
        <w:right w:val="none" w:sz="0" w:space="0" w:color="auto"/>
      </w:divBdr>
    </w:div>
    <w:div w:id="789978410">
      <w:marLeft w:val="0"/>
      <w:marRight w:val="0"/>
      <w:marTop w:val="0"/>
      <w:marBottom w:val="0"/>
      <w:divBdr>
        <w:top w:val="none" w:sz="0" w:space="0" w:color="auto"/>
        <w:left w:val="none" w:sz="0" w:space="0" w:color="auto"/>
        <w:bottom w:val="none" w:sz="0" w:space="0" w:color="auto"/>
        <w:right w:val="none" w:sz="0" w:space="0" w:color="auto"/>
      </w:divBdr>
    </w:div>
    <w:div w:id="789978411">
      <w:marLeft w:val="0"/>
      <w:marRight w:val="0"/>
      <w:marTop w:val="0"/>
      <w:marBottom w:val="0"/>
      <w:divBdr>
        <w:top w:val="none" w:sz="0" w:space="0" w:color="auto"/>
        <w:left w:val="none" w:sz="0" w:space="0" w:color="auto"/>
        <w:bottom w:val="none" w:sz="0" w:space="0" w:color="auto"/>
        <w:right w:val="none" w:sz="0" w:space="0" w:color="auto"/>
      </w:divBdr>
    </w:div>
    <w:div w:id="789978412">
      <w:marLeft w:val="0"/>
      <w:marRight w:val="0"/>
      <w:marTop w:val="0"/>
      <w:marBottom w:val="0"/>
      <w:divBdr>
        <w:top w:val="none" w:sz="0" w:space="0" w:color="auto"/>
        <w:left w:val="none" w:sz="0" w:space="0" w:color="auto"/>
        <w:bottom w:val="none" w:sz="0" w:space="0" w:color="auto"/>
        <w:right w:val="none" w:sz="0" w:space="0" w:color="auto"/>
      </w:divBdr>
    </w:div>
    <w:div w:id="789978413">
      <w:marLeft w:val="0"/>
      <w:marRight w:val="0"/>
      <w:marTop w:val="0"/>
      <w:marBottom w:val="0"/>
      <w:divBdr>
        <w:top w:val="none" w:sz="0" w:space="0" w:color="auto"/>
        <w:left w:val="none" w:sz="0" w:space="0" w:color="auto"/>
        <w:bottom w:val="none" w:sz="0" w:space="0" w:color="auto"/>
        <w:right w:val="none" w:sz="0" w:space="0" w:color="auto"/>
      </w:divBdr>
    </w:div>
    <w:div w:id="789978414">
      <w:marLeft w:val="0"/>
      <w:marRight w:val="0"/>
      <w:marTop w:val="0"/>
      <w:marBottom w:val="0"/>
      <w:divBdr>
        <w:top w:val="none" w:sz="0" w:space="0" w:color="auto"/>
        <w:left w:val="none" w:sz="0" w:space="0" w:color="auto"/>
        <w:bottom w:val="none" w:sz="0" w:space="0" w:color="auto"/>
        <w:right w:val="none" w:sz="0" w:space="0" w:color="auto"/>
      </w:divBdr>
    </w:div>
    <w:div w:id="789978415">
      <w:marLeft w:val="0"/>
      <w:marRight w:val="0"/>
      <w:marTop w:val="0"/>
      <w:marBottom w:val="0"/>
      <w:divBdr>
        <w:top w:val="none" w:sz="0" w:space="0" w:color="auto"/>
        <w:left w:val="none" w:sz="0" w:space="0" w:color="auto"/>
        <w:bottom w:val="none" w:sz="0" w:space="0" w:color="auto"/>
        <w:right w:val="none" w:sz="0" w:space="0" w:color="auto"/>
      </w:divBdr>
    </w:div>
    <w:div w:id="789978416">
      <w:marLeft w:val="0"/>
      <w:marRight w:val="0"/>
      <w:marTop w:val="0"/>
      <w:marBottom w:val="0"/>
      <w:divBdr>
        <w:top w:val="none" w:sz="0" w:space="0" w:color="auto"/>
        <w:left w:val="none" w:sz="0" w:space="0" w:color="auto"/>
        <w:bottom w:val="none" w:sz="0" w:space="0" w:color="auto"/>
        <w:right w:val="none" w:sz="0" w:space="0" w:color="auto"/>
      </w:divBdr>
    </w:div>
    <w:div w:id="789978417">
      <w:marLeft w:val="0"/>
      <w:marRight w:val="0"/>
      <w:marTop w:val="0"/>
      <w:marBottom w:val="0"/>
      <w:divBdr>
        <w:top w:val="none" w:sz="0" w:space="0" w:color="auto"/>
        <w:left w:val="none" w:sz="0" w:space="0" w:color="auto"/>
        <w:bottom w:val="none" w:sz="0" w:space="0" w:color="auto"/>
        <w:right w:val="none" w:sz="0" w:space="0" w:color="auto"/>
      </w:divBdr>
    </w:div>
    <w:div w:id="789978418">
      <w:marLeft w:val="0"/>
      <w:marRight w:val="0"/>
      <w:marTop w:val="0"/>
      <w:marBottom w:val="0"/>
      <w:divBdr>
        <w:top w:val="none" w:sz="0" w:space="0" w:color="auto"/>
        <w:left w:val="none" w:sz="0" w:space="0" w:color="auto"/>
        <w:bottom w:val="none" w:sz="0" w:space="0" w:color="auto"/>
        <w:right w:val="none" w:sz="0" w:space="0" w:color="auto"/>
      </w:divBdr>
    </w:div>
    <w:div w:id="789978419">
      <w:marLeft w:val="0"/>
      <w:marRight w:val="0"/>
      <w:marTop w:val="0"/>
      <w:marBottom w:val="0"/>
      <w:divBdr>
        <w:top w:val="none" w:sz="0" w:space="0" w:color="auto"/>
        <w:left w:val="none" w:sz="0" w:space="0" w:color="auto"/>
        <w:bottom w:val="none" w:sz="0" w:space="0" w:color="auto"/>
        <w:right w:val="none" w:sz="0" w:space="0" w:color="auto"/>
      </w:divBdr>
    </w:div>
    <w:div w:id="789978420">
      <w:marLeft w:val="0"/>
      <w:marRight w:val="0"/>
      <w:marTop w:val="0"/>
      <w:marBottom w:val="0"/>
      <w:divBdr>
        <w:top w:val="none" w:sz="0" w:space="0" w:color="auto"/>
        <w:left w:val="none" w:sz="0" w:space="0" w:color="auto"/>
        <w:bottom w:val="none" w:sz="0" w:space="0" w:color="auto"/>
        <w:right w:val="none" w:sz="0" w:space="0" w:color="auto"/>
      </w:divBdr>
    </w:div>
    <w:div w:id="789978421">
      <w:marLeft w:val="0"/>
      <w:marRight w:val="0"/>
      <w:marTop w:val="0"/>
      <w:marBottom w:val="0"/>
      <w:divBdr>
        <w:top w:val="none" w:sz="0" w:space="0" w:color="auto"/>
        <w:left w:val="none" w:sz="0" w:space="0" w:color="auto"/>
        <w:bottom w:val="none" w:sz="0" w:space="0" w:color="auto"/>
        <w:right w:val="none" w:sz="0" w:space="0" w:color="auto"/>
      </w:divBdr>
    </w:div>
    <w:div w:id="789978422">
      <w:marLeft w:val="0"/>
      <w:marRight w:val="0"/>
      <w:marTop w:val="0"/>
      <w:marBottom w:val="0"/>
      <w:divBdr>
        <w:top w:val="none" w:sz="0" w:space="0" w:color="auto"/>
        <w:left w:val="none" w:sz="0" w:space="0" w:color="auto"/>
        <w:bottom w:val="none" w:sz="0" w:space="0" w:color="auto"/>
        <w:right w:val="none" w:sz="0" w:space="0" w:color="auto"/>
      </w:divBdr>
    </w:div>
    <w:div w:id="789978423">
      <w:marLeft w:val="0"/>
      <w:marRight w:val="0"/>
      <w:marTop w:val="0"/>
      <w:marBottom w:val="0"/>
      <w:divBdr>
        <w:top w:val="none" w:sz="0" w:space="0" w:color="auto"/>
        <w:left w:val="none" w:sz="0" w:space="0" w:color="auto"/>
        <w:bottom w:val="none" w:sz="0" w:space="0" w:color="auto"/>
        <w:right w:val="none" w:sz="0" w:space="0" w:color="auto"/>
      </w:divBdr>
    </w:div>
    <w:div w:id="789978424">
      <w:marLeft w:val="0"/>
      <w:marRight w:val="0"/>
      <w:marTop w:val="0"/>
      <w:marBottom w:val="0"/>
      <w:divBdr>
        <w:top w:val="none" w:sz="0" w:space="0" w:color="auto"/>
        <w:left w:val="none" w:sz="0" w:space="0" w:color="auto"/>
        <w:bottom w:val="none" w:sz="0" w:space="0" w:color="auto"/>
        <w:right w:val="none" w:sz="0" w:space="0" w:color="auto"/>
      </w:divBdr>
    </w:div>
    <w:div w:id="789978425">
      <w:marLeft w:val="0"/>
      <w:marRight w:val="0"/>
      <w:marTop w:val="0"/>
      <w:marBottom w:val="0"/>
      <w:divBdr>
        <w:top w:val="none" w:sz="0" w:space="0" w:color="auto"/>
        <w:left w:val="none" w:sz="0" w:space="0" w:color="auto"/>
        <w:bottom w:val="none" w:sz="0" w:space="0" w:color="auto"/>
        <w:right w:val="none" w:sz="0" w:space="0" w:color="auto"/>
      </w:divBdr>
    </w:div>
    <w:div w:id="789978426">
      <w:marLeft w:val="0"/>
      <w:marRight w:val="0"/>
      <w:marTop w:val="0"/>
      <w:marBottom w:val="0"/>
      <w:divBdr>
        <w:top w:val="none" w:sz="0" w:space="0" w:color="auto"/>
        <w:left w:val="none" w:sz="0" w:space="0" w:color="auto"/>
        <w:bottom w:val="none" w:sz="0" w:space="0" w:color="auto"/>
        <w:right w:val="none" w:sz="0" w:space="0" w:color="auto"/>
      </w:divBdr>
    </w:div>
    <w:div w:id="789978427">
      <w:marLeft w:val="0"/>
      <w:marRight w:val="0"/>
      <w:marTop w:val="0"/>
      <w:marBottom w:val="0"/>
      <w:divBdr>
        <w:top w:val="none" w:sz="0" w:space="0" w:color="auto"/>
        <w:left w:val="none" w:sz="0" w:space="0" w:color="auto"/>
        <w:bottom w:val="none" w:sz="0" w:space="0" w:color="auto"/>
        <w:right w:val="none" w:sz="0" w:space="0" w:color="auto"/>
      </w:divBdr>
    </w:div>
    <w:div w:id="789978428">
      <w:marLeft w:val="0"/>
      <w:marRight w:val="0"/>
      <w:marTop w:val="0"/>
      <w:marBottom w:val="0"/>
      <w:divBdr>
        <w:top w:val="none" w:sz="0" w:space="0" w:color="auto"/>
        <w:left w:val="none" w:sz="0" w:space="0" w:color="auto"/>
        <w:bottom w:val="none" w:sz="0" w:space="0" w:color="auto"/>
        <w:right w:val="none" w:sz="0" w:space="0" w:color="auto"/>
      </w:divBdr>
    </w:div>
    <w:div w:id="789978429">
      <w:marLeft w:val="0"/>
      <w:marRight w:val="0"/>
      <w:marTop w:val="0"/>
      <w:marBottom w:val="0"/>
      <w:divBdr>
        <w:top w:val="none" w:sz="0" w:space="0" w:color="auto"/>
        <w:left w:val="none" w:sz="0" w:space="0" w:color="auto"/>
        <w:bottom w:val="none" w:sz="0" w:space="0" w:color="auto"/>
        <w:right w:val="none" w:sz="0" w:space="0" w:color="auto"/>
      </w:divBdr>
    </w:div>
    <w:div w:id="789978430">
      <w:marLeft w:val="0"/>
      <w:marRight w:val="0"/>
      <w:marTop w:val="0"/>
      <w:marBottom w:val="0"/>
      <w:divBdr>
        <w:top w:val="none" w:sz="0" w:space="0" w:color="auto"/>
        <w:left w:val="none" w:sz="0" w:space="0" w:color="auto"/>
        <w:bottom w:val="none" w:sz="0" w:space="0" w:color="auto"/>
        <w:right w:val="none" w:sz="0" w:space="0" w:color="auto"/>
      </w:divBdr>
    </w:div>
    <w:div w:id="789978431">
      <w:marLeft w:val="0"/>
      <w:marRight w:val="0"/>
      <w:marTop w:val="0"/>
      <w:marBottom w:val="0"/>
      <w:divBdr>
        <w:top w:val="none" w:sz="0" w:space="0" w:color="auto"/>
        <w:left w:val="none" w:sz="0" w:space="0" w:color="auto"/>
        <w:bottom w:val="none" w:sz="0" w:space="0" w:color="auto"/>
        <w:right w:val="none" w:sz="0" w:space="0" w:color="auto"/>
      </w:divBdr>
    </w:div>
    <w:div w:id="789978432">
      <w:marLeft w:val="0"/>
      <w:marRight w:val="0"/>
      <w:marTop w:val="0"/>
      <w:marBottom w:val="0"/>
      <w:divBdr>
        <w:top w:val="none" w:sz="0" w:space="0" w:color="auto"/>
        <w:left w:val="none" w:sz="0" w:space="0" w:color="auto"/>
        <w:bottom w:val="none" w:sz="0" w:space="0" w:color="auto"/>
        <w:right w:val="none" w:sz="0" w:space="0" w:color="auto"/>
      </w:divBdr>
    </w:div>
    <w:div w:id="789978433">
      <w:marLeft w:val="0"/>
      <w:marRight w:val="0"/>
      <w:marTop w:val="0"/>
      <w:marBottom w:val="0"/>
      <w:divBdr>
        <w:top w:val="none" w:sz="0" w:space="0" w:color="auto"/>
        <w:left w:val="none" w:sz="0" w:space="0" w:color="auto"/>
        <w:bottom w:val="none" w:sz="0" w:space="0" w:color="auto"/>
        <w:right w:val="none" w:sz="0" w:space="0" w:color="auto"/>
      </w:divBdr>
    </w:div>
    <w:div w:id="789978434">
      <w:marLeft w:val="0"/>
      <w:marRight w:val="0"/>
      <w:marTop w:val="0"/>
      <w:marBottom w:val="0"/>
      <w:divBdr>
        <w:top w:val="none" w:sz="0" w:space="0" w:color="auto"/>
        <w:left w:val="none" w:sz="0" w:space="0" w:color="auto"/>
        <w:bottom w:val="none" w:sz="0" w:space="0" w:color="auto"/>
        <w:right w:val="none" w:sz="0" w:space="0" w:color="auto"/>
      </w:divBdr>
    </w:div>
    <w:div w:id="789978435">
      <w:marLeft w:val="0"/>
      <w:marRight w:val="0"/>
      <w:marTop w:val="0"/>
      <w:marBottom w:val="0"/>
      <w:divBdr>
        <w:top w:val="none" w:sz="0" w:space="0" w:color="auto"/>
        <w:left w:val="none" w:sz="0" w:space="0" w:color="auto"/>
        <w:bottom w:val="none" w:sz="0" w:space="0" w:color="auto"/>
        <w:right w:val="none" w:sz="0" w:space="0" w:color="auto"/>
      </w:divBdr>
    </w:div>
    <w:div w:id="789978436">
      <w:marLeft w:val="0"/>
      <w:marRight w:val="0"/>
      <w:marTop w:val="0"/>
      <w:marBottom w:val="0"/>
      <w:divBdr>
        <w:top w:val="none" w:sz="0" w:space="0" w:color="auto"/>
        <w:left w:val="none" w:sz="0" w:space="0" w:color="auto"/>
        <w:bottom w:val="none" w:sz="0" w:space="0" w:color="auto"/>
        <w:right w:val="none" w:sz="0" w:space="0" w:color="auto"/>
      </w:divBdr>
    </w:div>
    <w:div w:id="789978437">
      <w:marLeft w:val="0"/>
      <w:marRight w:val="0"/>
      <w:marTop w:val="0"/>
      <w:marBottom w:val="0"/>
      <w:divBdr>
        <w:top w:val="none" w:sz="0" w:space="0" w:color="auto"/>
        <w:left w:val="none" w:sz="0" w:space="0" w:color="auto"/>
        <w:bottom w:val="none" w:sz="0" w:space="0" w:color="auto"/>
        <w:right w:val="none" w:sz="0" w:space="0" w:color="auto"/>
      </w:divBdr>
    </w:div>
    <w:div w:id="789978438">
      <w:marLeft w:val="0"/>
      <w:marRight w:val="0"/>
      <w:marTop w:val="0"/>
      <w:marBottom w:val="0"/>
      <w:divBdr>
        <w:top w:val="none" w:sz="0" w:space="0" w:color="auto"/>
        <w:left w:val="none" w:sz="0" w:space="0" w:color="auto"/>
        <w:bottom w:val="none" w:sz="0" w:space="0" w:color="auto"/>
        <w:right w:val="none" w:sz="0" w:space="0" w:color="auto"/>
      </w:divBdr>
    </w:div>
    <w:div w:id="789978439">
      <w:marLeft w:val="0"/>
      <w:marRight w:val="0"/>
      <w:marTop w:val="0"/>
      <w:marBottom w:val="0"/>
      <w:divBdr>
        <w:top w:val="none" w:sz="0" w:space="0" w:color="auto"/>
        <w:left w:val="none" w:sz="0" w:space="0" w:color="auto"/>
        <w:bottom w:val="none" w:sz="0" w:space="0" w:color="auto"/>
        <w:right w:val="none" w:sz="0" w:space="0" w:color="auto"/>
      </w:divBdr>
    </w:div>
    <w:div w:id="789978440">
      <w:marLeft w:val="0"/>
      <w:marRight w:val="0"/>
      <w:marTop w:val="0"/>
      <w:marBottom w:val="0"/>
      <w:divBdr>
        <w:top w:val="none" w:sz="0" w:space="0" w:color="auto"/>
        <w:left w:val="none" w:sz="0" w:space="0" w:color="auto"/>
        <w:bottom w:val="none" w:sz="0" w:space="0" w:color="auto"/>
        <w:right w:val="none" w:sz="0" w:space="0" w:color="auto"/>
      </w:divBdr>
    </w:div>
    <w:div w:id="789978441">
      <w:marLeft w:val="0"/>
      <w:marRight w:val="0"/>
      <w:marTop w:val="0"/>
      <w:marBottom w:val="0"/>
      <w:divBdr>
        <w:top w:val="none" w:sz="0" w:space="0" w:color="auto"/>
        <w:left w:val="none" w:sz="0" w:space="0" w:color="auto"/>
        <w:bottom w:val="none" w:sz="0" w:space="0" w:color="auto"/>
        <w:right w:val="none" w:sz="0" w:space="0" w:color="auto"/>
      </w:divBdr>
    </w:div>
    <w:div w:id="789978442">
      <w:marLeft w:val="0"/>
      <w:marRight w:val="0"/>
      <w:marTop w:val="0"/>
      <w:marBottom w:val="0"/>
      <w:divBdr>
        <w:top w:val="none" w:sz="0" w:space="0" w:color="auto"/>
        <w:left w:val="none" w:sz="0" w:space="0" w:color="auto"/>
        <w:bottom w:val="none" w:sz="0" w:space="0" w:color="auto"/>
        <w:right w:val="none" w:sz="0" w:space="0" w:color="auto"/>
      </w:divBdr>
    </w:div>
    <w:div w:id="789978443">
      <w:marLeft w:val="0"/>
      <w:marRight w:val="0"/>
      <w:marTop w:val="0"/>
      <w:marBottom w:val="0"/>
      <w:divBdr>
        <w:top w:val="none" w:sz="0" w:space="0" w:color="auto"/>
        <w:left w:val="none" w:sz="0" w:space="0" w:color="auto"/>
        <w:bottom w:val="none" w:sz="0" w:space="0" w:color="auto"/>
        <w:right w:val="none" w:sz="0" w:space="0" w:color="auto"/>
      </w:divBdr>
    </w:div>
    <w:div w:id="789978444">
      <w:marLeft w:val="0"/>
      <w:marRight w:val="0"/>
      <w:marTop w:val="0"/>
      <w:marBottom w:val="0"/>
      <w:divBdr>
        <w:top w:val="none" w:sz="0" w:space="0" w:color="auto"/>
        <w:left w:val="none" w:sz="0" w:space="0" w:color="auto"/>
        <w:bottom w:val="none" w:sz="0" w:space="0" w:color="auto"/>
        <w:right w:val="none" w:sz="0" w:space="0" w:color="auto"/>
      </w:divBdr>
    </w:div>
    <w:div w:id="789978445">
      <w:marLeft w:val="0"/>
      <w:marRight w:val="0"/>
      <w:marTop w:val="0"/>
      <w:marBottom w:val="0"/>
      <w:divBdr>
        <w:top w:val="none" w:sz="0" w:space="0" w:color="auto"/>
        <w:left w:val="none" w:sz="0" w:space="0" w:color="auto"/>
        <w:bottom w:val="none" w:sz="0" w:space="0" w:color="auto"/>
        <w:right w:val="none" w:sz="0" w:space="0" w:color="auto"/>
      </w:divBdr>
    </w:div>
    <w:div w:id="789978446">
      <w:marLeft w:val="0"/>
      <w:marRight w:val="0"/>
      <w:marTop w:val="0"/>
      <w:marBottom w:val="0"/>
      <w:divBdr>
        <w:top w:val="none" w:sz="0" w:space="0" w:color="auto"/>
        <w:left w:val="none" w:sz="0" w:space="0" w:color="auto"/>
        <w:bottom w:val="none" w:sz="0" w:space="0" w:color="auto"/>
        <w:right w:val="none" w:sz="0" w:space="0" w:color="auto"/>
      </w:divBdr>
    </w:div>
    <w:div w:id="789978447">
      <w:marLeft w:val="0"/>
      <w:marRight w:val="0"/>
      <w:marTop w:val="0"/>
      <w:marBottom w:val="0"/>
      <w:divBdr>
        <w:top w:val="none" w:sz="0" w:space="0" w:color="auto"/>
        <w:left w:val="none" w:sz="0" w:space="0" w:color="auto"/>
        <w:bottom w:val="none" w:sz="0" w:space="0" w:color="auto"/>
        <w:right w:val="none" w:sz="0" w:space="0" w:color="auto"/>
      </w:divBdr>
    </w:div>
    <w:div w:id="789978448">
      <w:marLeft w:val="0"/>
      <w:marRight w:val="0"/>
      <w:marTop w:val="0"/>
      <w:marBottom w:val="0"/>
      <w:divBdr>
        <w:top w:val="none" w:sz="0" w:space="0" w:color="auto"/>
        <w:left w:val="none" w:sz="0" w:space="0" w:color="auto"/>
        <w:bottom w:val="none" w:sz="0" w:space="0" w:color="auto"/>
        <w:right w:val="none" w:sz="0" w:space="0" w:color="auto"/>
      </w:divBdr>
    </w:div>
    <w:div w:id="789978449">
      <w:marLeft w:val="0"/>
      <w:marRight w:val="0"/>
      <w:marTop w:val="0"/>
      <w:marBottom w:val="0"/>
      <w:divBdr>
        <w:top w:val="none" w:sz="0" w:space="0" w:color="auto"/>
        <w:left w:val="none" w:sz="0" w:space="0" w:color="auto"/>
        <w:bottom w:val="none" w:sz="0" w:space="0" w:color="auto"/>
        <w:right w:val="none" w:sz="0" w:space="0" w:color="auto"/>
      </w:divBdr>
    </w:div>
    <w:div w:id="789978450">
      <w:marLeft w:val="0"/>
      <w:marRight w:val="0"/>
      <w:marTop w:val="0"/>
      <w:marBottom w:val="0"/>
      <w:divBdr>
        <w:top w:val="none" w:sz="0" w:space="0" w:color="auto"/>
        <w:left w:val="none" w:sz="0" w:space="0" w:color="auto"/>
        <w:bottom w:val="none" w:sz="0" w:space="0" w:color="auto"/>
        <w:right w:val="none" w:sz="0" w:space="0" w:color="auto"/>
      </w:divBdr>
    </w:div>
    <w:div w:id="789978451">
      <w:marLeft w:val="0"/>
      <w:marRight w:val="0"/>
      <w:marTop w:val="0"/>
      <w:marBottom w:val="0"/>
      <w:divBdr>
        <w:top w:val="none" w:sz="0" w:space="0" w:color="auto"/>
        <w:left w:val="none" w:sz="0" w:space="0" w:color="auto"/>
        <w:bottom w:val="none" w:sz="0" w:space="0" w:color="auto"/>
        <w:right w:val="none" w:sz="0" w:space="0" w:color="auto"/>
      </w:divBdr>
    </w:div>
    <w:div w:id="789978452">
      <w:marLeft w:val="0"/>
      <w:marRight w:val="0"/>
      <w:marTop w:val="0"/>
      <w:marBottom w:val="0"/>
      <w:divBdr>
        <w:top w:val="none" w:sz="0" w:space="0" w:color="auto"/>
        <w:left w:val="none" w:sz="0" w:space="0" w:color="auto"/>
        <w:bottom w:val="none" w:sz="0" w:space="0" w:color="auto"/>
        <w:right w:val="none" w:sz="0" w:space="0" w:color="auto"/>
      </w:divBdr>
    </w:div>
    <w:div w:id="789978453">
      <w:marLeft w:val="0"/>
      <w:marRight w:val="0"/>
      <w:marTop w:val="0"/>
      <w:marBottom w:val="0"/>
      <w:divBdr>
        <w:top w:val="none" w:sz="0" w:space="0" w:color="auto"/>
        <w:left w:val="none" w:sz="0" w:space="0" w:color="auto"/>
        <w:bottom w:val="none" w:sz="0" w:space="0" w:color="auto"/>
        <w:right w:val="none" w:sz="0" w:space="0" w:color="auto"/>
      </w:divBdr>
    </w:div>
    <w:div w:id="789978454">
      <w:marLeft w:val="0"/>
      <w:marRight w:val="0"/>
      <w:marTop w:val="0"/>
      <w:marBottom w:val="0"/>
      <w:divBdr>
        <w:top w:val="none" w:sz="0" w:space="0" w:color="auto"/>
        <w:left w:val="none" w:sz="0" w:space="0" w:color="auto"/>
        <w:bottom w:val="none" w:sz="0" w:space="0" w:color="auto"/>
        <w:right w:val="none" w:sz="0" w:space="0" w:color="auto"/>
      </w:divBdr>
    </w:div>
    <w:div w:id="789978455">
      <w:marLeft w:val="0"/>
      <w:marRight w:val="0"/>
      <w:marTop w:val="0"/>
      <w:marBottom w:val="0"/>
      <w:divBdr>
        <w:top w:val="none" w:sz="0" w:space="0" w:color="auto"/>
        <w:left w:val="none" w:sz="0" w:space="0" w:color="auto"/>
        <w:bottom w:val="none" w:sz="0" w:space="0" w:color="auto"/>
        <w:right w:val="none" w:sz="0" w:space="0" w:color="auto"/>
      </w:divBdr>
    </w:div>
    <w:div w:id="789978456">
      <w:marLeft w:val="0"/>
      <w:marRight w:val="0"/>
      <w:marTop w:val="0"/>
      <w:marBottom w:val="0"/>
      <w:divBdr>
        <w:top w:val="none" w:sz="0" w:space="0" w:color="auto"/>
        <w:left w:val="none" w:sz="0" w:space="0" w:color="auto"/>
        <w:bottom w:val="none" w:sz="0" w:space="0" w:color="auto"/>
        <w:right w:val="none" w:sz="0" w:space="0" w:color="auto"/>
      </w:divBdr>
    </w:div>
    <w:div w:id="789978457">
      <w:marLeft w:val="0"/>
      <w:marRight w:val="0"/>
      <w:marTop w:val="0"/>
      <w:marBottom w:val="0"/>
      <w:divBdr>
        <w:top w:val="none" w:sz="0" w:space="0" w:color="auto"/>
        <w:left w:val="none" w:sz="0" w:space="0" w:color="auto"/>
        <w:bottom w:val="none" w:sz="0" w:space="0" w:color="auto"/>
        <w:right w:val="none" w:sz="0" w:space="0" w:color="auto"/>
      </w:divBdr>
    </w:div>
    <w:div w:id="789978458">
      <w:marLeft w:val="0"/>
      <w:marRight w:val="0"/>
      <w:marTop w:val="0"/>
      <w:marBottom w:val="0"/>
      <w:divBdr>
        <w:top w:val="none" w:sz="0" w:space="0" w:color="auto"/>
        <w:left w:val="none" w:sz="0" w:space="0" w:color="auto"/>
        <w:bottom w:val="none" w:sz="0" w:space="0" w:color="auto"/>
        <w:right w:val="none" w:sz="0" w:space="0" w:color="auto"/>
      </w:divBdr>
    </w:div>
    <w:div w:id="789978459">
      <w:marLeft w:val="0"/>
      <w:marRight w:val="0"/>
      <w:marTop w:val="0"/>
      <w:marBottom w:val="0"/>
      <w:divBdr>
        <w:top w:val="none" w:sz="0" w:space="0" w:color="auto"/>
        <w:left w:val="none" w:sz="0" w:space="0" w:color="auto"/>
        <w:bottom w:val="none" w:sz="0" w:space="0" w:color="auto"/>
        <w:right w:val="none" w:sz="0" w:space="0" w:color="auto"/>
      </w:divBdr>
    </w:div>
    <w:div w:id="789978460">
      <w:marLeft w:val="0"/>
      <w:marRight w:val="0"/>
      <w:marTop w:val="0"/>
      <w:marBottom w:val="0"/>
      <w:divBdr>
        <w:top w:val="none" w:sz="0" w:space="0" w:color="auto"/>
        <w:left w:val="none" w:sz="0" w:space="0" w:color="auto"/>
        <w:bottom w:val="none" w:sz="0" w:space="0" w:color="auto"/>
        <w:right w:val="none" w:sz="0" w:space="0" w:color="auto"/>
      </w:divBdr>
    </w:div>
    <w:div w:id="789978461">
      <w:marLeft w:val="0"/>
      <w:marRight w:val="0"/>
      <w:marTop w:val="0"/>
      <w:marBottom w:val="0"/>
      <w:divBdr>
        <w:top w:val="none" w:sz="0" w:space="0" w:color="auto"/>
        <w:left w:val="none" w:sz="0" w:space="0" w:color="auto"/>
        <w:bottom w:val="none" w:sz="0" w:space="0" w:color="auto"/>
        <w:right w:val="none" w:sz="0" w:space="0" w:color="auto"/>
      </w:divBdr>
    </w:div>
    <w:div w:id="789978462">
      <w:marLeft w:val="0"/>
      <w:marRight w:val="0"/>
      <w:marTop w:val="0"/>
      <w:marBottom w:val="0"/>
      <w:divBdr>
        <w:top w:val="none" w:sz="0" w:space="0" w:color="auto"/>
        <w:left w:val="none" w:sz="0" w:space="0" w:color="auto"/>
        <w:bottom w:val="none" w:sz="0" w:space="0" w:color="auto"/>
        <w:right w:val="none" w:sz="0" w:space="0" w:color="auto"/>
      </w:divBdr>
    </w:div>
    <w:div w:id="789978463">
      <w:marLeft w:val="0"/>
      <w:marRight w:val="0"/>
      <w:marTop w:val="0"/>
      <w:marBottom w:val="0"/>
      <w:divBdr>
        <w:top w:val="none" w:sz="0" w:space="0" w:color="auto"/>
        <w:left w:val="none" w:sz="0" w:space="0" w:color="auto"/>
        <w:bottom w:val="none" w:sz="0" w:space="0" w:color="auto"/>
        <w:right w:val="none" w:sz="0" w:space="0" w:color="auto"/>
      </w:divBdr>
    </w:div>
    <w:div w:id="789978464">
      <w:marLeft w:val="0"/>
      <w:marRight w:val="0"/>
      <w:marTop w:val="0"/>
      <w:marBottom w:val="0"/>
      <w:divBdr>
        <w:top w:val="none" w:sz="0" w:space="0" w:color="auto"/>
        <w:left w:val="none" w:sz="0" w:space="0" w:color="auto"/>
        <w:bottom w:val="none" w:sz="0" w:space="0" w:color="auto"/>
        <w:right w:val="none" w:sz="0" w:space="0" w:color="auto"/>
      </w:divBdr>
    </w:div>
    <w:div w:id="789978465">
      <w:marLeft w:val="0"/>
      <w:marRight w:val="0"/>
      <w:marTop w:val="0"/>
      <w:marBottom w:val="0"/>
      <w:divBdr>
        <w:top w:val="none" w:sz="0" w:space="0" w:color="auto"/>
        <w:left w:val="none" w:sz="0" w:space="0" w:color="auto"/>
        <w:bottom w:val="none" w:sz="0" w:space="0" w:color="auto"/>
        <w:right w:val="none" w:sz="0" w:space="0" w:color="auto"/>
      </w:divBdr>
    </w:div>
    <w:div w:id="789978466">
      <w:marLeft w:val="0"/>
      <w:marRight w:val="0"/>
      <w:marTop w:val="0"/>
      <w:marBottom w:val="0"/>
      <w:divBdr>
        <w:top w:val="none" w:sz="0" w:space="0" w:color="auto"/>
        <w:left w:val="none" w:sz="0" w:space="0" w:color="auto"/>
        <w:bottom w:val="none" w:sz="0" w:space="0" w:color="auto"/>
        <w:right w:val="none" w:sz="0" w:space="0" w:color="auto"/>
      </w:divBdr>
    </w:div>
    <w:div w:id="789978467">
      <w:marLeft w:val="0"/>
      <w:marRight w:val="0"/>
      <w:marTop w:val="0"/>
      <w:marBottom w:val="0"/>
      <w:divBdr>
        <w:top w:val="none" w:sz="0" w:space="0" w:color="auto"/>
        <w:left w:val="none" w:sz="0" w:space="0" w:color="auto"/>
        <w:bottom w:val="none" w:sz="0" w:space="0" w:color="auto"/>
        <w:right w:val="none" w:sz="0" w:space="0" w:color="auto"/>
      </w:divBdr>
    </w:div>
    <w:div w:id="795757659">
      <w:bodyDiv w:val="1"/>
      <w:marLeft w:val="0"/>
      <w:marRight w:val="0"/>
      <w:marTop w:val="0"/>
      <w:marBottom w:val="0"/>
      <w:divBdr>
        <w:top w:val="none" w:sz="0" w:space="0" w:color="auto"/>
        <w:left w:val="none" w:sz="0" w:space="0" w:color="auto"/>
        <w:bottom w:val="none" w:sz="0" w:space="0" w:color="auto"/>
        <w:right w:val="none" w:sz="0" w:space="0" w:color="auto"/>
      </w:divBdr>
    </w:div>
    <w:div w:id="814880752">
      <w:bodyDiv w:val="1"/>
      <w:marLeft w:val="0"/>
      <w:marRight w:val="0"/>
      <w:marTop w:val="0"/>
      <w:marBottom w:val="0"/>
      <w:divBdr>
        <w:top w:val="none" w:sz="0" w:space="0" w:color="auto"/>
        <w:left w:val="none" w:sz="0" w:space="0" w:color="auto"/>
        <w:bottom w:val="none" w:sz="0" w:space="0" w:color="auto"/>
        <w:right w:val="none" w:sz="0" w:space="0" w:color="auto"/>
      </w:divBdr>
    </w:div>
    <w:div w:id="816804025">
      <w:bodyDiv w:val="1"/>
      <w:marLeft w:val="0"/>
      <w:marRight w:val="0"/>
      <w:marTop w:val="0"/>
      <w:marBottom w:val="0"/>
      <w:divBdr>
        <w:top w:val="none" w:sz="0" w:space="0" w:color="auto"/>
        <w:left w:val="none" w:sz="0" w:space="0" w:color="auto"/>
        <w:bottom w:val="none" w:sz="0" w:space="0" w:color="auto"/>
        <w:right w:val="none" w:sz="0" w:space="0" w:color="auto"/>
      </w:divBdr>
    </w:div>
    <w:div w:id="841511630">
      <w:bodyDiv w:val="1"/>
      <w:marLeft w:val="0"/>
      <w:marRight w:val="0"/>
      <w:marTop w:val="0"/>
      <w:marBottom w:val="0"/>
      <w:divBdr>
        <w:top w:val="none" w:sz="0" w:space="0" w:color="auto"/>
        <w:left w:val="none" w:sz="0" w:space="0" w:color="auto"/>
        <w:bottom w:val="none" w:sz="0" w:space="0" w:color="auto"/>
        <w:right w:val="none" w:sz="0" w:space="0" w:color="auto"/>
      </w:divBdr>
    </w:div>
    <w:div w:id="860320878">
      <w:bodyDiv w:val="1"/>
      <w:marLeft w:val="0"/>
      <w:marRight w:val="0"/>
      <w:marTop w:val="0"/>
      <w:marBottom w:val="0"/>
      <w:divBdr>
        <w:top w:val="none" w:sz="0" w:space="0" w:color="auto"/>
        <w:left w:val="none" w:sz="0" w:space="0" w:color="auto"/>
        <w:bottom w:val="none" w:sz="0" w:space="0" w:color="auto"/>
        <w:right w:val="none" w:sz="0" w:space="0" w:color="auto"/>
      </w:divBdr>
    </w:div>
    <w:div w:id="863788067">
      <w:bodyDiv w:val="1"/>
      <w:marLeft w:val="0"/>
      <w:marRight w:val="0"/>
      <w:marTop w:val="0"/>
      <w:marBottom w:val="0"/>
      <w:divBdr>
        <w:top w:val="none" w:sz="0" w:space="0" w:color="auto"/>
        <w:left w:val="none" w:sz="0" w:space="0" w:color="auto"/>
        <w:bottom w:val="none" w:sz="0" w:space="0" w:color="auto"/>
        <w:right w:val="none" w:sz="0" w:space="0" w:color="auto"/>
      </w:divBdr>
    </w:div>
    <w:div w:id="905456798">
      <w:bodyDiv w:val="1"/>
      <w:marLeft w:val="0"/>
      <w:marRight w:val="0"/>
      <w:marTop w:val="0"/>
      <w:marBottom w:val="0"/>
      <w:divBdr>
        <w:top w:val="none" w:sz="0" w:space="0" w:color="auto"/>
        <w:left w:val="none" w:sz="0" w:space="0" w:color="auto"/>
        <w:bottom w:val="none" w:sz="0" w:space="0" w:color="auto"/>
        <w:right w:val="none" w:sz="0" w:space="0" w:color="auto"/>
      </w:divBdr>
    </w:div>
    <w:div w:id="914365864">
      <w:bodyDiv w:val="1"/>
      <w:marLeft w:val="0"/>
      <w:marRight w:val="0"/>
      <w:marTop w:val="0"/>
      <w:marBottom w:val="0"/>
      <w:divBdr>
        <w:top w:val="none" w:sz="0" w:space="0" w:color="auto"/>
        <w:left w:val="none" w:sz="0" w:space="0" w:color="auto"/>
        <w:bottom w:val="none" w:sz="0" w:space="0" w:color="auto"/>
        <w:right w:val="none" w:sz="0" w:space="0" w:color="auto"/>
      </w:divBdr>
    </w:div>
    <w:div w:id="950010919">
      <w:bodyDiv w:val="1"/>
      <w:marLeft w:val="0"/>
      <w:marRight w:val="0"/>
      <w:marTop w:val="0"/>
      <w:marBottom w:val="0"/>
      <w:divBdr>
        <w:top w:val="none" w:sz="0" w:space="0" w:color="auto"/>
        <w:left w:val="none" w:sz="0" w:space="0" w:color="auto"/>
        <w:bottom w:val="none" w:sz="0" w:space="0" w:color="auto"/>
        <w:right w:val="none" w:sz="0" w:space="0" w:color="auto"/>
      </w:divBdr>
    </w:div>
    <w:div w:id="954796405">
      <w:bodyDiv w:val="1"/>
      <w:marLeft w:val="0"/>
      <w:marRight w:val="0"/>
      <w:marTop w:val="0"/>
      <w:marBottom w:val="0"/>
      <w:divBdr>
        <w:top w:val="none" w:sz="0" w:space="0" w:color="auto"/>
        <w:left w:val="none" w:sz="0" w:space="0" w:color="auto"/>
        <w:bottom w:val="none" w:sz="0" w:space="0" w:color="auto"/>
        <w:right w:val="none" w:sz="0" w:space="0" w:color="auto"/>
      </w:divBdr>
    </w:div>
    <w:div w:id="975910780">
      <w:bodyDiv w:val="1"/>
      <w:marLeft w:val="0"/>
      <w:marRight w:val="0"/>
      <w:marTop w:val="0"/>
      <w:marBottom w:val="0"/>
      <w:divBdr>
        <w:top w:val="none" w:sz="0" w:space="0" w:color="auto"/>
        <w:left w:val="none" w:sz="0" w:space="0" w:color="auto"/>
        <w:bottom w:val="none" w:sz="0" w:space="0" w:color="auto"/>
        <w:right w:val="none" w:sz="0" w:space="0" w:color="auto"/>
      </w:divBdr>
    </w:div>
    <w:div w:id="980883531">
      <w:bodyDiv w:val="1"/>
      <w:marLeft w:val="0"/>
      <w:marRight w:val="0"/>
      <w:marTop w:val="0"/>
      <w:marBottom w:val="0"/>
      <w:divBdr>
        <w:top w:val="none" w:sz="0" w:space="0" w:color="auto"/>
        <w:left w:val="none" w:sz="0" w:space="0" w:color="auto"/>
        <w:bottom w:val="none" w:sz="0" w:space="0" w:color="auto"/>
        <w:right w:val="none" w:sz="0" w:space="0" w:color="auto"/>
      </w:divBdr>
    </w:div>
    <w:div w:id="1056049388">
      <w:bodyDiv w:val="1"/>
      <w:marLeft w:val="0"/>
      <w:marRight w:val="0"/>
      <w:marTop w:val="0"/>
      <w:marBottom w:val="0"/>
      <w:divBdr>
        <w:top w:val="none" w:sz="0" w:space="0" w:color="auto"/>
        <w:left w:val="none" w:sz="0" w:space="0" w:color="auto"/>
        <w:bottom w:val="none" w:sz="0" w:space="0" w:color="auto"/>
        <w:right w:val="none" w:sz="0" w:space="0" w:color="auto"/>
      </w:divBdr>
    </w:div>
    <w:div w:id="1062564905">
      <w:bodyDiv w:val="1"/>
      <w:marLeft w:val="0"/>
      <w:marRight w:val="0"/>
      <w:marTop w:val="0"/>
      <w:marBottom w:val="0"/>
      <w:divBdr>
        <w:top w:val="none" w:sz="0" w:space="0" w:color="auto"/>
        <w:left w:val="none" w:sz="0" w:space="0" w:color="auto"/>
        <w:bottom w:val="none" w:sz="0" w:space="0" w:color="auto"/>
        <w:right w:val="none" w:sz="0" w:space="0" w:color="auto"/>
      </w:divBdr>
    </w:div>
    <w:div w:id="1183520987">
      <w:bodyDiv w:val="1"/>
      <w:marLeft w:val="0"/>
      <w:marRight w:val="0"/>
      <w:marTop w:val="0"/>
      <w:marBottom w:val="0"/>
      <w:divBdr>
        <w:top w:val="none" w:sz="0" w:space="0" w:color="auto"/>
        <w:left w:val="none" w:sz="0" w:space="0" w:color="auto"/>
        <w:bottom w:val="none" w:sz="0" w:space="0" w:color="auto"/>
        <w:right w:val="none" w:sz="0" w:space="0" w:color="auto"/>
      </w:divBdr>
    </w:div>
    <w:div w:id="1213075025">
      <w:bodyDiv w:val="1"/>
      <w:marLeft w:val="0"/>
      <w:marRight w:val="0"/>
      <w:marTop w:val="0"/>
      <w:marBottom w:val="0"/>
      <w:divBdr>
        <w:top w:val="none" w:sz="0" w:space="0" w:color="auto"/>
        <w:left w:val="none" w:sz="0" w:space="0" w:color="auto"/>
        <w:bottom w:val="none" w:sz="0" w:space="0" w:color="auto"/>
        <w:right w:val="none" w:sz="0" w:space="0" w:color="auto"/>
      </w:divBdr>
    </w:div>
    <w:div w:id="1223516784">
      <w:bodyDiv w:val="1"/>
      <w:marLeft w:val="0"/>
      <w:marRight w:val="0"/>
      <w:marTop w:val="0"/>
      <w:marBottom w:val="0"/>
      <w:divBdr>
        <w:top w:val="none" w:sz="0" w:space="0" w:color="auto"/>
        <w:left w:val="none" w:sz="0" w:space="0" w:color="auto"/>
        <w:bottom w:val="none" w:sz="0" w:space="0" w:color="auto"/>
        <w:right w:val="none" w:sz="0" w:space="0" w:color="auto"/>
      </w:divBdr>
    </w:div>
    <w:div w:id="1230384266">
      <w:bodyDiv w:val="1"/>
      <w:marLeft w:val="0"/>
      <w:marRight w:val="0"/>
      <w:marTop w:val="0"/>
      <w:marBottom w:val="0"/>
      <w:divBdr>
        <w:top w:val="none" w:sz="0" w:space="0" w:color="auto"/>
        <w:left w:val="none" w:sz="0" w:space="0" w:color="auto"/>
        <w:bottom w:val="none" w:sz="0" w:space="0" w:color="auto"/>
        <w:right w:val="none" w:sz="0" w:space="0" w:color="auto"/>
      </w:divBdr>
    </w:div>
    <w:div w:id="1233662563">
      <w:bodyDiv w:val="1"/>
      <w:marLeft w:val="0"/>
      <w:marRight w:val="0"/>
      <w:marTop w:val="0"/>
      <w:marBottom w:val="0"/>
      <w:divBdr>
        <w:top w:val="none" w:sz="0" w:space="0" w:color="auto"/>
        <w:left w:val="none" w:sz="0" w:space="0" w:color="auto"/>
        <w:bottom w:val="none" w:sz="0" w:space="0" w:color="auto"/>
        <w:right w:val="none" w:sz="0" w:space="0" w:color="auto"/>
      </w:divBdr>
    </w:div>
    <w:div w:id="1255699842">
      <w:bodyDiv w:val="1"/>
      <w:marLeft w:val="0"/>
      <w:marRight w:val="0"/>
      <w:marTop w:val="0"/>
      <w:marBottom w:val="0"/>
      <w:divBdr>
        <w:top w:val="none" w:sz="0" w:space="0" w:color="auto"/>
        <w:left w:val="none" w:sz="0" w:space="0" w:color="auto"/>
        <w:bottom w:val="none" w:sz="0" w:space="0" w:color="auto"/>
        <w:right w:val="none" w:sz="0" w:space="0" w:color="auto"/>
      </w:divBdr>
    </w:div>
    <w:div w:id="1264651650">
      <w:bodyDiv w:val="1"/>
      <w:marLeft w:val="0"/>
      <w:marRight w:val="0"/>
      <w:marTop w:val="0"/>
      <w:marBottom w:val="0"/>
      <w:divBdr>
        <w:top w:val="none" w:sz="0" w:space="0" w:color="auto"/>
        <w:left w:val="none" w:sz="0" w:space="0" w:color="auto"/>
        <w:bottom w:val="none" w:sz="0" w:space="0" w:color="auto"/>
        <w:right w:val="none" w:sz="0" w:space="0" w:color="auto"/>
      </w:divBdr>
    </w:div>
    <w:div w:id="1331058562">
      <w:bodyDiv w:val="1"/>
      <w:marLeft w:val="0"/>
      <w:marRight w:val="0"/>
      <w:marTop w:val="0"/>
      <w:marBottom w:val="0"/>
      <w:divBdr>
        <w:top w:val="none" w:sz="0" w:space="0" w:color="auto"/>
        <w:left w:val="none" w:sz="0" w:space="0" w:color="auto"/>
        <w:bottom w:val="none" w:sz="0" w:space="0" w:color="auto"/>
        <w:right w:val="none" w:sz="0" w:space="0" w:color="auto"/>
      </w:divBdr>
    </w:div>
    <w:div w:id="1344865989">
      <w:bodyDiv w:val="1"/>
      <w:marLeft w:val="0"/>
      <w:marRight w:val="0"/>
      <w:marTop w:val="0"/>
      <w:marBottom w:val="0"/>
      <w:divBdr>
        <w:top w:val="none" w:sz="0" w:space="0" w:color="auto"/>
        <w:left w:val="none" w:sz="0" w:space="0" w:color="auto"/>
        <w:bottom w:val="none" w:sz="0" w:space="0" w:color="auto"/>
        <w:right w:val="none" w:sz="0" w:space="0" w:color="auto"/>
      </w:divBdr>
    </w:div>
    <w:div w:id="1383098536">
      <w:bodyDiv w:val="1"/>
      <w:marLeft w:val="0"/>
      <w:marRight w:val="0"/>
      <w:marTop w:val="0"/>
      <w:marBottom w:val="0"/>
      <w:divBdr>
        <w:top w:val="none" w:sz="0" w:space="0" w:color="auto"/>
        <w:left w:val="none" w:sz="0" w:space="0" w:color="auto"/>
        <w:bottom w:val="none" w:sz="0" w:space="0" w:color="auto"/>
        <w:right w:val="none" w:sz="0" w:space="0" w:color="auto"/>
      </w:divBdr>
    </w:div>
    <w:div w:id="1401976649">
      <w:bodyDiv w:val="1"/>
      <w:marLeft w:val="0"/>
      <w:marRight w:val="0"/>
      <w:marTop w:val="0"/>
      <w:marBottom w:val="0"/>
      <w:divBdr>
        <w:top w:val="none" w:sz="0" w:space="0" w:color="auto"/>
        <w:left w:val="none" w:sz="0" w:space="0" w:color="auto"/>
        <w:bottom w:val="none" w:sz="0" w:space="0" w:color="auto"/>
        <w:right w:val="none" w:sz="0" w:space="0" w:color="auto"/>
      </w:divBdr>
    </w:div>
    <w:div w:id="1452359703">
      <w:bodyDiv w:val="1"/>
      <w:marLeft w:val="0"/>
      <w:marRight w:val="0"/>
      <w:marTop w:val="0"/>
      <w:marBottom w:val="0"/>
      <w:divBdr>
        <w:top w:val="none" w:sz="0" w:space="0" w:color="auto"/>
        <w:left w:val="none" w:sz="0" w:space="0" w:color="auto"/>
        <w:bottom w:val="none" w:sz="0" w:space="0" w:color="auto"/>
        <w:right w:val="none" w:sz="0" w:space="0" w:color="auto"/>
      </w:divBdr>
    </w:div>
    <w:div w:id="1461997288">
      <w:bodyDiv w:val="1"/>
      <w:marLeft w:val="0"/>
      <w:marRight w:val="0"/>
      <w:marTop w:val="0"/>
      <w:marBottom w:val="0"/>
      <w:divBdr>
        <w:top w:val="none" w:sz="0" w:space="0" w:color="auto"/>
        <w:left w:val="none" w:sz="0" w:space="0" w:color="auto"/>
        <w:bottom w:val="none" w:sz="0" w:space="0" w:color="auto"/>
        <w:right w:val="none" w:sz="0" w:space="0" w:color="auto"/>
      </w:divBdr>
    </w:div>
    <w:div w:id="1479565532">
      <w:bodyDiv w:val="1"/>
      <w:marLeft w:val="0"/>
      <w:marRight w:val="0"/>
      <w:marTop w:val="0"/>
      <w:marBottom w:val="0"/>
      <w:divBdr>
        <w:top w:val="none" w:sz="0" w:space="0" w:color="auto"/>
        <w:left w:val="none" w:sz="0" w:space="0" w:color="auto"/>
        <w:bottom w:val="none" w:sz="0" w:space="0" w:color="auto"/>
        <w:right w:val="none" w:sz="0" w:space="0" w:color="auto"/>
      </w:divBdr>
    </w:div>
    <w:div w:id="1499349390">
      <w:bodyDiv w:val="1"/>
      <w:marLeft w:val="0"/>
      <w:marRight w:val="0"/>
      <w:marTop w:val="0"/>
      <w:marBottom w:val="0"/>
      <w:divBdr>
        <w:top w:val="none" w:sz="0" w:space="0" w:color="auto"/>
        <w:left w:val="none" w:sz="0" w:space="0" w:color="auto"/>
        <w:bottom w:val="none" w:sz="0" w:space="0" w:color="auto"/>
        <w:right w:val="none" w:sz="0" w:space="0" w:color="auto"/>
      </w:divBdr>
    </w:div>
    <w:div w:id="1514107287">
      <w:bodyDiv w:val="1"/>
      <w:marLeft w:val="0"/>
      <w:marRight w:val="0"/>
      <w:marTop w:val="0"/>
      <w:marBottom w:val="0"/>
      <w:divBdr>
        <w:top w:val="none" w:sz="0" w:space="0" w:color="auto"/>
        <w:left w:val="none" w:sz="0" w:space="0" w:color="auto"/>
        <w:bottom w:val="none" w:sz="0" w:space="0" w:color="auto"/>
        <w:right w:val="none" w:sz="0" w:space="0" w:color="auto"/>
      </w:divBdr>
    </w:div>
    <w:div w:id="1542859679">
      <w:bodyDiv w:val="1"/>
      <w:marLeft w:val="0"/>
      <w:marRight w:val="0"/>
      <w:marTop w:val="0"/>
      <w:marBottom w:val="0"/>
      <w:divBdr>
        <w:top w:val="none" w:sz="0" w:space="0" w:color="auto"/>
        <w:left w:val="none" w:sz="0" w:space="0" w:color="auto"/>
        <w:bottom w:val="none" w:sz="0" w:space="0" w:color="auto"/>
        <w:right w:val="none" w:sz="0" w:space="0" w:color="auto"/>
      </w:divBdr>
    </w:div>
    <w:div w:id="1556551405">
      <w:bodyDiv w:val="1"/>
      <w:marLeft w:val="0"/>
      <w:marRight w:val="0"/>
      <w:marTop w:val="0"/>
      <w:marBottom w:val="0"/>
      <w:divBdr>
        <w:top w:val="none" w:sz="0" w:space="0" w:color="auto"/>
        <w:left w:val="none" w:sz="0" w:space="0" w:color="auto"/>
        <w:bottom w:val="none" w:sz="0" w:space="0" w:color="auto"/>
        <w:right w:val="none" w:sz="0" w:space="0" w:color="auto"/>
      </w:divBdr>
    </w:div>
    <w:div w:id="1556771593">
      <w:bodyDiv w:val="1"/>
      <w:marLeft w:val="0"/>
      <w:marRight w:val="0"/>
      <w:marTop w:val="0"/>
      <w:marBottom w:val="0"/>
      <w:divBdr>
        <w:top w:val="none" w:sz="0" w:space="0" w:color="auto"/>
        <w:left w:val="none" w:sz="0" w:space="0" w:color="auto"/>
        <w:bottom w:val="none" w:sz="0" w:space="0" w:color="auto"/>
        <w:right w:val="none" w:sz="0" w:space="0" w:color="auto"/>
      </w:divBdr>
    </w:div>
    <w:div w:id="1557469869">
      <w:bodyDiv w:val="1"/>
      <w:marLeft w:val="0"/>
      <w:marRight w:val="0"/>
      <w:marTop w:val="0"/>
      <w:marBottom w:val="0"/>
      <w:divBdr>
        <w:top w:val="none" w:sz="0" w:space="0" w:color="auto"/>
        <w:left w:val="none" w:sz="0" w:space="0" w:color="auto"/>
        <w:bottom w:val="none" w:sz="0" w:space="0" w:color="auto"/>
        <w:right w:val="none" w:sz="0" w:space="0" w:color="auto"/>
      </w:divBdr>
    </w:div>
    <w:div w:id="1566377109">
      <w:bodyDiv w:val="1"/>
      <w:marLeft w:val="0"/>
      <w:marRight w:val="0"/>
      <w:marTop w:val="0"/>
      <w:marBottom w:val="0"/>
      <w:divBdr>
        <w:top w:val="none" w:sz="0" w:space="0" w:color="auto"/>
        <w:left w:val="none" w:sz="0" w:space="0" w:color="auto"/>
        <w:bottom w:val="none" w:sz="0" w:space="0" w:color="auto"/>
        <w:right w:val="none" w:sz="0" w:space="0" w:color="auto"/>
      </w:divBdr>
    </w:div>
    <w:div w:id="1581212622">
      <w:bodyDiv w:val="1"/>
      <w:marLeft w:val="0"/>
      <w:marRight w:val="0"/>
      <w:marTop w:val="0"/>
      <w:marBottom w:val="0"/>
      <w:divBdr>
        <w:top w:val="none" w:sz="0" w:space="0" w:color="auto"/>
        <w:left w:val="none" w:sz="0" w:space="0" w:color="auto"/>
        <w:bottom w:val="none" w:sz="0" w:space="0" w:color="auto"/>
        <w:right w:val="none" w:sz="0" w:space="0" w:color="auto"/>
      </w:divBdr>
    </w:div>
    <w:div w:id="1622348086">
      <w:bodyDiv w:val="1"/>
      <w:marLeft w:val="0"/>
      <w:marRight w:val="0"/>
      <w:marTop w:val="0"/>
      <w:marBottom w:val="0"/>
      <w:divBdr>
        <w:top w:val="none" w:sz="0" w:space="0" w:color="auto"/>
        <w:left w:val="none" w:sz="0" w:space="0" w:color="auto"/>
        <w:bottom w:val="none" w:sz="0" w:space="0" w:color="auto"/>
        <w:right w:val="none" w:sz="0" w:space="0" w:color="auto"/>
      </w:divBdr>
    </w:div>
    <w:div w:id="1686714692">
      <w:bodyDiv w:val="1"/>
      <w:marLeft w:val="0"/>
      <w:marRight w:val="0"/>
      <w:marTop w:val="0"/>
      <w:marBottom w:val="0"/>
      <w:divBdr>
        <w:top w:val="none" w:sz="0" w:space="0" w:color="auto"/>
        <w:left w:val="none" w:sz="0" w:space="0" w:color="auto"/>
        <w:bottom w:val="none" w:sz="0" w:space="0" w:color="auto"/>
        <w:right w:val="none" w:sz="0" w:space="0" w:color="auto"/>
      </w:divBdr>
    </w:div>
    <w:div w:id="1694845000">
      <w:bodyDiv w:val="1"/>
      <w:marLeft w:val="0"/>
      <w:marRight w:val="0"/>
      <w:marTop w:val="0"/>
      <w:marBottom w:val="0"/>
      <w:divBdr>
        <w:top w:val="none" w:sz="0" w:space="0" w:color="auto"/>
        <w:left w:val="none" w:sz="0" w:space="0" w:color="auto"/>
        <w:bottom w:val="none" w:sz="0" w:space="0" w:color="auto"/>
        <w:right w:val="none" w:sz="0" w:space="0" w:color="auto"/>
      </w:divBdr>
    </w:div>
    <w:div w:id="1732993946">
      <w:bodyDiv w:val="1"/>
      <w:marLeft w:val="0"/>
      <w:marRight w:val="0"/>
      <w:marTop w:val="0"/>
      <w:marBottom w:val="0"/>
      <w:divBdr>
        <w:top w:val="none" w:sz="0" w:space="0" w:color="auto"/>
        <w:left w:val="none" w:sz="0" w:space="0" w:color="auto"/>
        <w:bottom w:val="none" w:sz="0" w:space="0" w:color="auto"/>
        <w:right w:val="none" w:sz="0" w:space="0" w:color="auto"/>
      </w:divBdr>
    </w:div>
    <w:div w:id="1741558061">
      <w:bodyDiv w:val="1"/>
      <w:marLeft w:val="0"/>
      <w:marRight w:val="0"/>
      <w:marTop w:val="0"/>
      <w:marBottom w:val="0"/>
      <w:divBdr>
        <w:top w:val="none" w:sz="0" w:space="0" w:color="auto"/>
        <w:left w:val="none" w:sz="0" w:space="0" w:color="auto"/>
        <w:bottom w:val="none" w:sz="0" w:space="0" w:color="auto"/>
        <w:right w:val="none" w:sz="0" w:space="0" w:color="auto"/>
      </w:divBdr>
    </w:div>
    <w:div w:id="1763067765">
      <w:bodyDiv w:val="1"/>
      <w:marLeft w:val="0"/>
      <w:marRight w:val="0"/>
      <w:marTop w:val="0"/>
      <w:marBottom w:val="0"/>
      <w:divBdr>
        <w:top w:val="none" w:sz="0" w:space="0" w:color="auto"/>
        <w:left w:val="none" w:sz="0" w:space="0" w:color="auto"/>
        <w:bottom w:val="none" w:sz="0" w:space="0" w:color="auto"/>
        <w:right w:val="none" w:sz="0" w:space="0" w:color="auto"/>
      </w:divBdr>
    </w:div>
    <w:div w:id="1779442476">
      <w:bodyDiv w:val="1"/>
      <w:marLeft w:val="0"/>
      <w:marRight w:val="0"/>
      <w:marTop w:val="0"/>
      <w:marBottom w:val="0"/>
      <w:divBdr>
        <w:top w:val="none" w:sz="0" w:space="0" w:color="auto"/>
        <w:left w:val="none" w:sz="0" w:space="0" w:color="auto"/>
        <w:bottom w:val="none" w:sz="0" w:space="0" w:color="auto"/>
        <w:right w:val="none" w:sz="0" w:space="0" w:color="auto"/>
      </w:divBdr>
    </w:div>
    <w:div w:id="1781560111">
      <w:bodyDiv w:val="1"/>
      <w:marLeft w:val="0"/>
      <w:marRight w:val="0"/>
      <w:marTop w:val="0"/>
      <w:marBottom w:val="0"/>
      <w:divBdr>
        <w:top w:val="none" w:sz="0" w:space="0" w:color="auto"/>
        <w:left w:val="none" w:sz="0" w:space="0" w:color="auto"/>
        <w:bottom w:val="none" w:sz="0" w:space="0" w:color="auto"/>
        <w:right w:val="none" w:sz="0" w:space="0" w:color="auto"/>
      </w:divBdr>
    </w:div>
    <w:div w:id="1846632407">
      <w:bodyDiv w:val="1"/>
      <w:marLeft w:val="0"/>
      <w:marRight w:val="0"/>
      <w:marTop w:val="0"/>
      <w:marBottom w:val="0"/>
      <w:divBdr>
        <w:top w:val="none" w:sz="0" w:space="0" w:color="auto"/>
        <w:left w:val="none" w:sz="0" w:space="0" w:color="auto"/>
        <w:bottom w:val="none" w:sz="0" w:space="0" w:color="auto"/>
        <w:right w:val="none" w:sz="0" w:space="0" w:color="auto"/>
      </w:divBdr>
    </w:div>
    <w:div w:id="1886720462">
      <w:bodyDiv w:val="1"/>
      <w:marLeft w:val="0"/>
      <w:marRight w:val="0"/>
      <w:marTop w:val="0"/>
      <w:marBottom w:val="0"/>
      <w:divBdr>
        <w:top w:val="none" w:sz="0" w:space="0" w:color="auto"/>
        <w:left w:val="none" w:sz="0" w:space="0" w:color="auto"/>
        <w:bottom w:val="none" w:sz="0" w:space="0" w:color="auto"/>
        <w:right w:val="none" w:sz="0" w:space="0" w:color="auto"/>
      </w:divBdr>
    </w:div>
    <w:div w:id="1887524226">
      <w:bodyDiv w:val="1"/>
      <w:marLeft w:val="0"/>
      <w:marRight w:val="0"/>
      <w:marTop w:val="0"/>
      <w:marBottom w:val="0"/>
      <w:divBdr>
        <w:top w:val="none" w:sz="0" w:space="0" w:color="auto"/>
        <w:left w:val="none" w:sz="0" w:space="0" w:color="auto"/>
        <w:bottom w:val="none" w:sz="0" w:space="0" w:color="auto"/>
        <w:right w:val="none" w:sz="0" w:space="0" w:color="auto"/>
      </w:divBdr>
    </w:div>
    <w:div w:id="1893539418">
      <w:bodyDiv w:val="1"/>
      <w:marLeft w:val="0"/>
      <w:marRight w:val="0"/>
      <w:marTop w:val="0"/>
      <w:marBottom w:val="0"/>
      <w:divBdr>
        <w:top w:val="none" w:sz="0" w:space="0" w:color="auto"/>
        <w:left w:val="none" w:sz="0" w:space="0" w:color="auto"/>
        <w:bottom w:val="none" w:sz="0" w:space="0" w:color="auto"/>
        <w:right w:val="none" w:sz="0" w:space="0" w:color="auto"/>
      </w:divBdr>
    </w:div>
    <w:div w:id="1916237994">
      <w:bodyDiv w:val="1"/>
      <w:marLeft w:val="0"/>
      <w:marRight w:val="0"/>
      <w:marTop w:val="0"/>
      <w:marBottom w:val="0"/>
      <w:divBdr>
        <w:top w:val="none" w:sz="0" w:space="0" w:color="auto"/>
        <w:left w:val="none" w:sz="0" w:space="0" w:color="auto"/>
        <w:bottom w:val="none" w:sz="0" w:space="0" w:color="auto"/>
        <w:right w:val="none" w:sz="0" w:space="0" w:color="auto"/>
      </w:divBdr>
    </w:div>
    <w:div w:id="1918854835">
      <w:bodyDiv w:val="1"/>
      <w:marLeft w:val="0"/>
      <w:marRight w:val="0"/>
      <w:marTop w:val="0"/>
      <w:marBottom w:val="0"/>
      <w:divBdr>
        <w:top w:val="none" w:sz="0" w:space="0" w:color="auto"/>
        <w:left w:val="none" w:sz="0" w:space="0" w:color="auto"/>
        <w:bottom w:val="none" w:sz="0" w:space="0" w:color="auto"/>
        <w:right w:val="none" w:sz="0" w:space="0" w:color="auto"/>
      </w:divBdr>
    </w:div>
    <w:div w:id="1933514611">
      <w:bodyDiv w:val="1"/>
      <w:marLeft w:val="0"/>
      <w:marRight w:val="0"/>
      <w:marTop w:val="0"/>
      <w:marBottom w:val="0"/>
      <w:divBdr>
        <w:top w:val="none" w:sz="0" w:space="0" w:color="auto"/>
        <w:left w:val="none" w:sz="0" w:space="0" w:color="auto"/>
        <w:bottom w:val="none" w:sz="0" w:space="0" w:color="auto"/>
        <w:right w:val="none" w:sz="0" w:space="0" w:color="auto"/>
      </w:divBdr>
    </w:div>
    <w:div w:id="1957561391">
      <w:bodyDiv w:val="1"/>
      <w:marLeft w:val="0"/>
      <w:marRight w:val="0"/>
      <w:marTop w:val="0"/>
      <w:marBottom w:val="0"/>
      <w:divBdr>
        <w:top w:val="none" w:sz="0" w:space="0" w:color="auto"/>
        <w:left w:val="none" w:sz="0" w:space="0" w:color="auto"/>
        <w:bottom w:val="none" w:sz="0" w:space="0" w:color="auto"/>
        <w:right w:val="none" w:sz="0" w:space="0" w:color="auto"/>
      </w:divBdr>
    </w:div>
    <w:div w:id="1984846649">
      <w:bodyDiv w:val="1"/>
      <w:marLeft w:val="0"/>
      <w:marRight w:val="0"/>
      <w:marTop w:val="0"/>
      <w:marBottom w:val="0"/>
      <w:divBdr>
        <w:top w:val="none" w:sz="0" w:space="0" w:color="auto"/>
        <w:left w:val="none" w:sz="0" w:space="0" w:color="auto"/>
        <w:bottom w:val="none" w:sz="0" w:space="0" w:color="auto"/>
        <w:right w:val="none" w:sz="0" w:space="0" w:color="auto"/>
      </w:divBdr>
    </w:div>
    <w:div w:id="2036885099">
      <w:bodyDiv w:val="1"/>
      <w:marLeft w:val="0"/>
      <w:marRight w:val="0"/>
      <w:marTop w:val="0"/>
      <w:marBottom w:val="0"/>
      <w:divBdr>
        <w:top w:val="none" w:sz="0" w:space="0" w:color="auto"/>
        <w:left w:val="none" w:sz="0" w:space="0" w:color="auto"/>
        <w:bottom w:val="none" w:sz="0" w:space="0" w:color="auto"/>
        <w:right w:val="none" w:sz="0" w:space="0" w:color="auto"/>
      </w:divBdr>
      <w:divsChild>
        <w:div w:id="40323292">
          <w:marLeft w:val="0"/>
          <w:marRight w:val="0"/>
          <w:marTop w:val="0"/>
          <w:marBottom w:val="0"/>
          <w:divBdr>
            <w:top w:val="none" w:sz="0" w:space="0" w:color="auto"/>
            <w:left w:val="none" w:sz="0" w:space="0" w:color="auto"/>
            <w:bottom w:val="none" w:sz="0" w:space="0" w:color="auto"/>
            <w:right w:val="none" w:sz="0" w:space="0" w:color="auto"/>
          </w:divBdr>
        </w:div>
        <w:div w:id="1174302731">
          <w:marLeft w:val="0"/>
          <w:marRight w:val="0"/>
          <w:marTop w:val="0"/>
          <w:marBottom w:val="0"/>
          <w:divBdr>
            <w:top w:val="none" w:sz="0" w:space="0" w:color="auto"/>
            <w:left w:val="none" w:sz="0" w:space="0" w:color="auto"/>
            <w:bottom w:val="none" w:sz="0" w:space="0" w:color="auto"/>
            <w:right w:val="none" w:sz="0" w:space="0" w:color="auto"/>
          </w:divBdr>
        </w:div>
        <w:div w:id="1244686340">
          <w:marLeft w:val="0"/>
          <w:marRight w:val="0"/>
          <w:marTop w:val="0"/>
          <w:marBottom w:val="0"/>
          <w:divBdr>
            <w:top w:val="none" w:sz="0" w:space="0" w:color="auto"/>
            <w:left w:val="none" w:sz="0" w:space="0" w:color="auto"/>
            <w:bottom w:val="none" w:sz="0" w:space="0" w:color="auto"/>
            <w:right w:val="none" w:sz="0" w:space="0" w:color="auto"/>
          </w:divBdr>
        </w:div>
        <w:div w:id="1561744909">
          <w:marLeft w:val="0"/>
          <w:marRight w:val="0"/>
          <w:marTop w:val="0"/>
          <w:marBottom w:val="0"/>
          <w:divBdr>
            <w:top w:val="none" w:sz="0" w:space="0" w:color="auto"/>
            <w:left w:val="none" w:sz="0" w:space="0" w:color="auto"/>
            <w:bottom w:val="none" w:sz="0" w:space="0" w:color="auto"/>
            <w:right w:val="none" w:sz="0" w:space="0" w:color="auto"/>
          </w:divBdr>
        </w:div>
        <w:div w:id="1659992699">
          <w:marLeft w:val="0"/>
          <w:marRight w:val="0"/>
          <w:marTop w:val="0"/>
          <w:marBottom w:val="0"/>
          <w:divBdr>
            <w:top w:val="none" w:sz="0" w:space="0" w:color="auto"/>
            <w:left w:val="none" w:sz="0" w:space="0" w:color="auto"/>
            <w:bottom w:val="none" w:sz="0" w:space="0" w:color="auto"/>
            <w:right w:val="none" w:sz="0" w:space="0" w:color="auto"/>
          </w:divBdr>
        </w:div>
      </w:divsChild>
    </w:div>
    <w:div w:id="2040888814">
      <w:bodyDiv w:val="1"/>
      <w:marLeft w:val="0"/>
      <w:marRight w:val="0"/>
      <w:marTop w:val="0"/>
      <w:marBottom w:val="0"/>
      <w:divBdr>
        <w:top w:val="none" w:sz="0" w:space="0" w:color="auto"/>
        <w:left w:val="none" w:sz="0" w:space="0" w:color="auto"/>
        <w:bottom w:val="none" w:sz="0" w:space="0" w:color="auto"/>
        <w:right w:val="none" w:sz="0" w:space="0" w:color="auto"/>
      </w:divBdr>
    </w:div>
    <w:div w:id="2063209383">
      <w:bodyDiv w:val="1"/>
      <w:marLeft w:val="0"/>
      <w:marRight w:val="0"/>
      <w:marTop w:val="0"/>
      <w:marBottom w:val="0"/>
      <w:divBdr>
        <w:top w:val="none" w:sz="0" w:space="0" w:color="auto"/>
        <w:left w:val="none" w:sz="0" w:space="0" w:color="auto"/>
        <w:bottom w:val="none" w:sz="0" w:space="0" w:color="auto"/>
        <w:right w:val="none" w:sz="0" w:space="0" w:color="auto"/>
      </w:divBdr>
    </w:div>
    <w:div w:id="2068020546">
      <w:bodyDiv w:val="1"/>
      <w:marLeft w:val="0"/>
      <w:marRight w:val="0"/>
      <w:marTop w:val="0"/>
      <w:marBottom w:val="0"/>
      <w:divBdr>
        <w:top w:val="none" w:sz="0" w:space="0" w:color="auto"/>
        <w:left w:val="none" w:sz="0" w:space="0" w:color="auto"/>
        <w:bottom w:val="none" w:sz="0" w:space="0" w:color="auto"/>
        <w:right w:val="none" w:sz="0" w:space="0" w:color="auto"/>
      </w:divBdr>
    </w:div>
    <w:div w:id="2068140086">
      <w:bodyDiv w:val="1"/>
      <w:marLeft w:val="0"/>
      <w:marRight w:val="0"/>
      <w:marTop w:val="0"/>
      <w:marBottom w:val="0"/>
      <w:divBdr>
        <w:top w:val="none" w:sz="0" w:space="0" w:color="auto"/>
        <w:left w:val="none" w:sz="0" w:space="0" w:color="auto"/>
        <w:bottom w:val="none" w:sz="0" w:space="0" w:color="auto"/>
        <w:right w:val="none" w:sz="0" w:space="0" w:color="auto"/>
      </w:divBdr>
    </w:div>
    <w:div w:id="2075472990">
      <w:bodyDiv w:val="1"/>
      <w:marLeft w:val="0"/>
      <w:marRight w:val="0"/>
      <w:marTop w:val="0"/>
      <w:marBottom w:val="0"/>
      <w:divBdr>
        <w:top w:val="none" w:sz="0" w:space="0" w:color="auto"/>
        <w:left w:val="none" w:sz="0" w:space="0" w:color="auto"/>
        <w:bottom w:val="none" w:sz="0" w:space="0" w:color="auto"/>
        <w:right w:val="none" w:sz="0" w:space="0" w:color="auto"/>
      </w:divBdr>
    </w:div>
    <w:div w:id="21283509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coeweb.istat.it/" TargetMode="External"/><Relationship Id="rId26" Type="http://schemas.openxmlformats.org/officeDocument/2006/relationships/header" Target="header2.xml"/><Relationship Id="rId39" Type="http://schemas.openxmlformats.org/officeDocument/2006/relationships/hyperlink" Target="https://www.coeweb.istat.it/" TargetMode="External"/><Relationship Id="rId21" Type="http://schemas.openxmlformats.org/officeDocument/2006/relationships/chart" Target="charts/chart3.xml"/><Relationship Id="rId34" Type="http://schemas.openxmlformats.org/officeDocument/2006/relationships/header" Target="header3.xml"/><Relationship Id="rId42" Type="http://schemas.openxmlformats.org/officeDocument/2006/relationships/hyperlink" Target="https://www.istat.it/it/informazioni-e-servizi/per-i-giornalisti/appuntamenti/calendario-diffusioni-ed-eventi" TargetMode="External"/><Relationship Id="rId47" Type="http://schemas.openxmlformats.org/officeDocument/2006/relationships/hyperlink" Target="http://www.istat.it/it/archivio/esportazioni+delle+regioni" TargetMode="External"/><Relationship Id="rId50" Type="http://schemas.openxmlformats.org/officeDocument/2006/relationships/hyperlink" Target="http://www.istat.it/it/archivio/45225" TargetMode="External"/><Relationship Id="rId55" Type="http://schemas.openxmlformats.org/officeDocument/2006/relationships/hyperlink" Target="mailto:causo@istat.it"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dati.istat.it/" TargetMode="External"/><Relationship Id="rId29" Type="http://schemas.openxmlformats.org/officeDocument/2006/relationships/chart" Target="charts/chart8.xml"/><Relationship Id="rId11" Type="http://schemas.openxmlformats.org/officeDocument/2006/relationships/footnotes" Target="footnotes.xml"/><Relationship Id="rId24" Type="http://schemas.openxmlformats.org/officeDocument/2006/relationships/header" Target="header1.xml"/><Relationship Id="rId32" Type="http://schemas.openxmlformats.org/officeDocument/2006/relationships/chart" Target="charts/chart11.xml"/><Relationship Id="rId37" Type="http://schemas.openxmlformats.org/officeDocument/2006/relationships/hyperlink" Target="http://ec.europa.eu/eurostat/documents/3859598/5902521/KS-RA-07-015-EN.PDF" TargetMode="External"/><Relationship Id="rId40" Type="http://schemas.openxmlformats.org/officeDocument/2006/relationships/hyperlink" Target="https://ec.europa.eu/eurostat/data/metadata/covid-19-support-for-statisticians" TargetMode="External"/><Relationship Id="rId45" Type="http://schemas.openxmlformats.org/officeDocument/2006/relationships/hyperlink" Target="http://www.istat.it/it/archivio/commercio+estero+e+prezzi+import" TargetMode="External"/><Relationship Id="rId53" Type="http://schemas.openxmlformats.org/officeDocument/2006/relationships/hyperlink" Target="https://www.istat.it/it/files/2018/05/nota_informativa_prezzi_import.pdf" TargetMode="External"/><Relationship Id="rId58" Type="http://schemas.openxmlformats.org/officeDocument/2006/relationships/hyperlink" Target="mailto:lodorazi@istat.it" TargetMode="Externa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chart" Target="charts/chart4.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header" Target="header4.xml"/><Relationship Id="rId43" Type="http://schemas.openxmlformats.org/officeDocument/2006/relationships/hyperlink" Target="http://www.istat.it/it/congiuntura/revisioni" TargetMode="External"/><Relationship Id="rId48" Type="http://schemas.openxmlformats.org/officeDocument/2006/relationships/hyperlink" Target="http://ec.europa.eu/eurostat/data/database" TargetMode="External"/><Relationship Id="rId56" Type="http://schemas.openxmlformats.org/officeDocument/2006/relationships/hyperlink" Target="mailto:vendetti@istat.it" TargetMode="External"/><Relationship Id="rId8" Type="http://schemas.openxmlformats.org/officeDocument/2006/relationships/styles" Target="styles.xml"/><Relationship Id="rId51" Type="http://schemas.openxmlformats.org/officeDocument/2006/relationships/hyperlink" Target="http://www.istat.it/it/files/2016/02/Prezzi-all-importazione-dei-prodotti-industriali-Nota-informativa.pdf?title=Prezzi+all%E2%80%99importazione+dei+prodotti+industriali+-+16%2Ffeb%2F2016+-+Nota+informativa.pdf"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istat.it/it/congiuntura" TargetMode="External"/><Relationship Id="rId25" Type="http://schemas.openxmlformats.org/officeDocument/2006/relationships/footer" Target="footer1.xml"/><Relationship Id="rId33" Type="http://schemas.openxmlformats.org/officeDocument/2006/relationships/chart" Target="charts/chart12.xml"/><Relationship Id="rId38" Type="http://schemas.openxmlformats.org/officeDocument/2006/relationships/header" Target="header5.xml"/><Relationship Id="rId46" Type="http://schemas.openxmlformats.org/officeDocument/2006/relationships/hyperlink" Target="http://www.istat.it/it/archivio/commercio+estero+extra+ue" TargetMode="External"/><Relationship Id="rId59" Type="http://schemas.openxmlformats.org/officeDocument/2006/relationships/header" Target="header6.xml"/><Relationship Id="rId20" Type="http://schemas.openxmlformats.org/officeDocument/2006/relationships/chart" Target="charts/chart2.xml"/><Relationship Id="rId41" Type="http://schemas.openxmlformats.org/officeDocument/2006/relationships/hyperlink" Target="https://www.istat.it/it/istituto-nazionale-di-statistica/organizzazione/normativa" TargetMode="External"/><Relationship Id="rId54" Type="http://schemas.openxmlformats.org/officeDocument/2006/relationships/hyperlink" Target="https://www.istat.it/it/files/2020/12/nota_informativa_revisioni_commercio_estero.pdf"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5.png"/><Relationship Id="rId23" Type="http://schemas.openxmlformats.org/officeDocument/2006/relationships/chart" Target="charts/chart5.xml"/><Relationship Id="rId28" Type="http://schemas.openxmlformats.org/officeDocument/2006/relationships/chart" Target="charts/chart7.xml"/><Relationship Id="rId36" Type="http://schemas.openxmlformats.org/officeDocument/2006/relationships/hyperlink" Target="https://unstats.un.org/unsd/cr/registry/docs/i4_SNA.pdf" TargetMode="External"/><Relationship Id="rId49" Type="http://schemas.openxmlformats.org/officeDocument/2006/relationships/hyperlink" Target="https://www.istat.it/it/files/2011/03/testointegrale20080225.pdf" TargetMode="External"/><Relationship Id="rId57" Type="http://schemas.openxmlformats.org/officeDocument/2006/relationships/hyperlink" Target="mailto:sibio@istat.it" TargetMode="External"/><Relationship Id="rId10" Type="http://schemas.openxmlformats.org/officeDocument/2006/relationships/webSettings" Target="webSettings.xml"/><Relationship Id="rId31" Type="http://schemas.openxmlformats.org/officeDocument/2006/relationships/chart" Target="charts/chart10.xml"/><Relationship Id="rId44" Type="http://schemas.openxmlformats.org/officeDocument/2006/relationships/hyperlink" Target="http://www.istat.it/it/files/2016/07/scheda-CommercioEstero-e-prezzi-allimport-dei-prodotti-industriali.pdf" TargetMode="External"/><Relationship Id="rId52" Type="http://schemas.openxmlformats.org/officeDocument/2006/relationships/hyperlink" Target="http://www.istat.it/it/files/2015/11/Ricostruzione-serie-indici-2005-2009.pdf?title=Prezzi+all%27importazione+dei+prodotti+industriali+-+17%2Fnov%2F2015+-+Ricostruzione+serie.pdf"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Settembre_2022\coe_pi_mondo_92022_new.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Settembre_2022\coe_pi_mondo_92022_new.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Settembre_2022\coe_pi_mondo_92022_new.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Settembre_2022\GraficiElabImport09_2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Settembre_2022\coe_pi_mondo_92022_new.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Settembre_2022\coe_pi_mondo_92022_new.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Settembre_2022\coe_pi_mondo_92022_new.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Settembre_2022\GraficiElabImport09_2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Settembre_2022\coe_pi_mondo_92022_new.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Settembre_2022\coe_pi_mondo_92022_new.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Settembre_2022\coe_pi_mondo_92022_new.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Settembre_2022\coe_pi_mondo_92022_new.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5"/>
          <c:order val="4"/>
          <c:tx>
            <c:strRef>
              <c:f>'figura 1'!$G$4</c:f>
              <c:strCache>
                <c:ptCount val="1"/>
                <c:pt idx="0">
                  <c:v>Saldi (scala destra)</c:v>
                </c:pt>
              </c:strCache>
            </c:strRef>
          </c:tx>
          <c:spPr>
            <a:solidFill>
              <a:srgbClr val="A6A6A6"/>
            </a:solidFill>
            <a:ln w="6350" cap="flat" cmpd="sng" algn="ctr">
              <a:solidFill>
                <a:schemeClr val="bg1"/>
              </a:solidFill>
              <a:prstDash val="solid"/>
              <a:round/>
              <a:headEnd type="none" w="med" len="med"/>
              <a:tailEnd type="none" w="med" len="med"/>
            </a:ln>
            <a:effectLst/>
          </c:spPr>
          <c:invertIfNegative val="0"/>
          <c:val>
            <c:numRef>
              <c:f>'figura 1'!$G$65:$G$136</c:f>
              <c:numCache>
                <c:formatCode>0</c:formatCode>
                <c:ptCount val="72"/>
                <c:pt idx="0">
                  <c:v>4347</c:v>
                </c:pt>
                <c:pt idx="1">
                  <c:v>2940</c:v>
                </c:pt>
                <c:pt idx="2">
                  <c:v>4379</c:v>
                </c:pt>
                <c:pt idx="3">
                  <c:v>3915</c:v>
                </c:pt>
                <c:pt idx="4">
                  <c:v>3397</c:v>
                </c:pt>
                <c:pt idx="5">
                  <c:v>3609</c:v>
                </c:pt>
                <c:pt idx="6">
                  <c:v>3291</c:v>
                </c:pt>
                <c:pt idx="7">
                  <c:v>4250</c:v>
                </c:pt>
                <c:pt idx="8">
                  <c:v>5096</c:v>
                </c:pt>
                <c:pt idx="9">
                  <c:v>4226</c:v>
                </c:pt>
                <c:pt idx="10">
                  <c:v>4267</c:v>
                </c:pt>
                <c:pt idx="11">
                  <c:v>4283</c:v>
                </c:pt>
                <c:pt idx="12">
                  <c:v>3951</c:v>
                </c:pt>
                <c:pt idx="13">
                  <c:v>3936</c:v>
                </c:pt>
                <c:pt idx="14">
                  <c:v>3711</c:v>
                </c:pt>
                <c:pt idx="15">
                  <c:v>3402</c:v>
                </c:pt>
                <c:pt idx="16">
                  <c:v>2253</c:v>
                </c:pt>
                <c:pt idx="17">
                  <c:v>4138</c:v>
                </c:pt>
                <c:pt idx="18">
                  <c:v>2851</c:v>
                </c:pt>
                <c:pt idx="19">
                  <c:v>3941</c:v>
                </c:pt>
                <c:pt idx="20">
                  <c:v>2447</c:v>
                </c:pt>
                <c:pt idx="21">
                  <c:v>2877</c:v>
                </c:pt>
                <c:pt idx="22">
                  <c:v>3687</c:v>
                </c:pt>
                <c:pt idx="23">
                  <c:v>1900</c:v>
                </c:pt>
                <c:pt idx="24">
                  <c:v>4745</c:v>
                </c:pt>
                <c:pt idx="25">
                  <c:v>4305</c:v>
                </c:pt>
                <c:pt idx="26">
                  <c:v>4445</c:v>
                </c:pt>
                <c:pt idx="27">
                  <c:v>3935</c:v>
                </c:pt>
                <c:pt idx="28">
                  <c:v>3903</c:v>
                </c:pt>
                <c:pt idx="29">
                  <c:v>5089</c:v>
                </c:pt>
                <c:pt idx="30">
                  <c:v>4687</c:v>
                </c:pt>
                <c:pt idx="31">
                  <c:v>4638</c:v>
                </c:pt>
                <c:pt idx="32">
                  <c:v>4459</c:v>
                </c:pt>
                <c:pt idx="33">
                  <c:v>6939</c:v>
                </c:pt>
                <c:pt idx="34">
                  <c:v>4899</c:v>
                </c:pt>
                <c:pt idx="35">
                  <c:v>4979</c:v>
                </c:pt>
                <c:pt idx="36">
                  <c:v>4562</c:v>
                </c:pt>
                <c:pt idx="37">
                  <c:v>6103</c:v>
                </c:pt>
                <c:pt idx="38">
                  <c:v>5417</c:v>
                </c:pt>
                <c:pt idx="39">
                  <c:v>-1077</c:v>
                </c:pt>
                <c:pt idx="40">
                  <c:v>5076</c:v>
                </c:pt>
                <c:pt idx="41">
                  <c:v>5445</c:v>
                </c:pt>
                <c:pt idx="42">
                  <c:v>5949</c:v>
                </c:pt>
                <c:pt idx="43">
                  <c:v>6413</c:v>
                </c:pt>
                <c:pt idx="44">
                  <c:v>7102</c:v>
                </c:pt>
                <c:pt idx="45">
                  <c:v>6024</c:v>
                </c:pt>
                <c:pt idx="46">
                  <c:v>6720</c:v>
                </c:pt>
                <c:pt idx="47">
                  <c:v>5824</c:v>
                </c:pt>
                <c:pt idx="48">
                  <c:v>6096</c:v>
                </c:pt>
                <c:pt idx="49">
                  <c:v>5522</c:v>
                </c:pt>
                <c:pt idx="50">
                  <c:v>4367</c:v>
                </c:pt>
                <c:pt idx="51">
                  <c:v>5373</c:v>
                </c:pt>
                <c:pt idx="52">
                  <c:v>4113</c:v>
                </c:pt>
                <c:pt idx="53">
                  <c:v>3927</c:v>
                </c:pt>
                <c:pt idx="54">
                  <c:v>4359</c:v>
                </c:pt>
                <c:pt idx="55">
                  <c:v>2769</c:v>
                </c:pt>
                <c:pt idx="56">
                  <c:v>2241</c:v>
                </c:pt>
                <c:pt idx="57">
                  <c:v>1333</c:v>
                </c:pt>
                <c:pt idx="58">
                  <c:v>1515</c:v>
                </c:pt>
                <c:pt idx="59">
                  <c:v>-2714</c:v>
                </c:pt>
                <c:pt idx="60">
                  <c:v>-437</c:v>
                </c:pt>
                <c:pt idx="61">
                  <c:v>-950</c:v>
                </c:pt>
                <c:pt idx="62">
                  <c:v>-1477</c:v>
                </c:pt>
                <c:pt idx="63">
                  <c:v>-3850</c:v>
                </c:pt>
                <c:pt idx="64">
                  <c:v>-1646</c:v>
                </c:pt>
                <c:pt idx="65">
                  <c:v>-4008</c:v>
                </c:pt>
                <c:pt idx="66">
                  <c:v>-3740</c:v>
                </c:pt>
                <c:pt idx="67">
                  <c:v>-7885</c:v>
                </c:pt>
                <c:pt idx="68">
                  <c:v>-6062</c:v>
                </c:pt>
              </c:numCache>
            </c:numRef>
          </c:val>
          <c:extLst>
            <c:ext xmlns:c16="http://schemas.microsoft.com/office/drawing/2014/chart" uri="{C3380CC4-5D6E-409C-BE32-E72D297353CC}">
              <c16:uniqueId val="{00000000-63D9-407A-B71F-552C08283D58}"/>
            </c:ext>
          </c:extLst>
        </c:ser>
        <c:dLbls>
          <c:showLegendKey val="0"/>
          <c:showVal val="0"/>
          <c:showCatName val="0"/>
          <c:showSerName val="0"/>
          <c:showPercent val="0"/>
          <c:showBubbleSize val="0"/>
        </c:dLbls>
        <c:gapWidth val="0"/>
        <c:axId val="204585296"/>
        <c:axId val="204584736"/>
      </c:barChart>
      <c:lineChart>
        <c:grouping val="standard"/>
        <c:varyColors val="0"/>
        <c:ser>
          <c:idx val="2"/>
          <c:order val="0"/>
          <c:tx>
            <c:strRef>
              <c:f>'figura 1'!$C$4</c:f>
              <c:strCache>
                <c:ptCount val="1"/>
                <c:pt idx="0">
                  <c:v>Export - mensile</c:v>
                </c:pt>
              </c:strCache>
            </c:strRef>
          </c:tx>
          <c:spPr>
            <a:ln w="12700" cap="flat" cmpd="sng" algn="ctr">
              <a:solidFill>
                <a:srgbClr val="003B5C"/>
              </a:solidFill>
              <a:prstDash val="sysDash"/>
              <a:round/>
              <a:headEnd type="none" w="med" len="med"/>
              <a:tailEnd type="none" w="med" len="med"/>
            </a:ln>
            <a:effectLst/>
          </c:spPr>
          <c:marker>
            <c:symbol val="none"/>
          </c:marker>
          <c:cat>
            <c:numRef>
              <c:f>'figura 1'!$B$65:$B$136</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'figura 1'!$C$65:$C$136</c:f>
              <c:numCache>
                <c:formatCode>0</c:formatCode>
                <c:ptCount val="72"/>
                <c:pt idx="0">
                  <c:v>36955</c:v>
                </c:pt>
                <c:pt idx="1">
                  <c:v>36377</c:v>
                </c:pt>
                <c:pt idx="2">
                  <c:v>37849</c:v>
                </c:pt>
                <c:pt idx="3">
                  <c:v>36869</c:v>
                </c:pt>
                <c:pt idx="4">
                  <c:v>37654</c:v>
                </c:pt>
                <c:pt idx="5">
                  <c:v>37260</c:v>
                </c:pt>
                <c:pt idx="6">
                  <c:v>37019</c:v>
                </c:pt>
                <c:pt idx="7">
                  <c:v>38355</c:v>
                </c:pt>
                <c:pt idx="8">
                  <c:v>37726</c:v>
                </c:pt>
                <c:pt idx="9">
                  <c:v>38003</c:v>
                </c:pt>
                <c:pt idx="10">
                  <c:v>38873</c:v>
                </c:pt>
                <c:pt idx="11">
                  <c:v>39949</c:v>
                </c:pt>
                <c:pt idx="12">
                  <c:v>37920</c:v>
                </c:pt>
                <c:pt idx="13">
                  <c:v>37868</c:v>
                </c:pt>
                <c:pt idx="14">
                  <c:v>38244</c:v>
                </c:pt>
                <c:pt idx="15">
                  <c:v>38389</c:v>
                </c:pt>
                <c:pt idx="16">
                  <c:v>37547</c:v>
                </c:pt>
                <c:pt idx="17">
                  <c:v>39694</c:v>
                </c:pt>
                <c:pt idx="18">
                  <c:v>39308</c:v>
                </c:pt>
                <c:pt idx="19">
                  <c:v>39864</c:v>
                </c:pt>
                <c:pt idx="20">
                  <c:v>38489</c:v>
                </c:pt>
                <c:pt idx="21">
                  <c:v>39909</c:v>
                </c:pt>
                <c:pt idx="22">
                  <c:v>40037</c:v>
                </c:pt>
                <c:pt idx="23">
                  <c:v>38727</c:v>
                </c:pt>
                <c:pt idx="24">
                  <c:v>39942</c:v>
                </c:pt>
                <c:pt idx="25">
                  <c:v>39431</c:v>
                </c:pt>
                <c:pt idx="26">
                  <c:v>40022</c:v>
                </c:pt>
                <c:pt idx="27">
                  <c:v>39714</c:v>
                </c:pt>
                <c:pt idx="28">
                  <c:v>40394</c:v>
                </c:pt>
                <c:pt idx="29">
                  <c:v>40765</c:v>
                </c:pt>
                <c:pt idx="30">
                  <c:v>40230</c:v>
                </c:pt>
                <c:pt idx="31">
                  <c:v>39612</c:v>
                </c:pt>
                <c:pt idx="32">
                  <c:v>40755</c:v>
                </c:pt>
                <c:pt idx="33">
                  <c:v>41664</c:v>
                </c:pt>
                <c:pt idx="34">
                  <c:v>39134</c:v>
                </c:pt>
                <c:pt idx="35">
                  <c:v>40496</c:v>
                </c:pt>
                <c:pt idx="36">
                  <c:v>40656</c:v>
                </c:pt>
                <c:pt idx="37">
                  <c:v>40474</c:v>
                </c:pt>
                <c:pt idx="38">
                  <c:v>33722</c:v>
                </c:pt>
                <c:pt idx="39">
                  <c:v>21843</c:v>
                </c:pt>
                <c:pt idx="40">
                  <c:v>30324</c:v>
                </c:pt>
                <c:pt idx="41">
                  <c:v>34808</c:v>
                </c:pt>
                <c:pt idx="42">
                  <c:v>37248</c:v>
                </c:pt>
                <c:pt idx="43">
                  <c:v>38190</c:v>
                </c:pt>
                <c:pt idx="44">
                  <c:v>39485</c:v>
                </c:pt>
                <c:pt idx="45">
                  <c:v>39149</c:v>
                </c:pt>
                <c:pt idx="46">
                  <c:v>40843</c:v>
                </c:pt>
                <c:pt idx="47">
                  <c:v>39409</c:v>
                </c:pt>
                <c:pt idx="48">
                  <c:v>40124</c:v>
                </c:pt>
                <c:pt idx="49">
                  <c:v>40275</c:v>
                </c:pt>
                <c:pt idx="50">
                  <c:v>41440</c:v>
                </c:pt>
                <c:pt idx="51">
                  <c:v>43034</c:v>
                </c:pt>
                <c:pt idx="52">
                  <c:v>41758</c:v>
                </c:pt>
                <c:pt idx="53">
                  <c:v>42959</c:v>
                </c:pt>
                <c:pt idx="54">
                  <c:v>44174</c:v>
                </c:pt>
                <c:pt idx="55">
                  <c:v>44421</c:v>
                </c:pt>
                <c:pt idx="56">
                  <c:v>43930</c:v>
                </c:pt>
                <c:pt idx="57">
                  <c:v>44823</c:v>
                </c:pt>
                <c:pt idx="58">
                  <c:v>46161</c:v>
                </c:pt>
                <c:pt idx="59">
                  <c:v>45837</c:v>
                </c:pt>
                <c:pt idx="60">
                  <c:v>48099</c:v>
                </c:pt>
                <c:pt idx="61">
                  <c:v>48998</c:v>
                </c:pt>
                <c:pt idx="62">
                  <c:v>50083</c:v>
                </c:pt>
                <c:pt idx="63">
                  <c:v>50733</c:v>
                </c:pt>
                <c:pt idx="64">
                  <c:v>53193</c:v>
                </c:pt>
                <c:pt idx="65">
                  <c:v>52137</c:v>
                </c:pt>
                <c:pt idx="66">
                  <c:v>54309</c:v>
                </c:pt>
                <c:pt idx="67">
                  <c:v>52580</c:v>
                </c:pt>
                <c:pt idx="68">
                  <c:v>53403</c:v>
                </c:pt>
              </c:numCache>
            </c:numRef>
          </c:val>
          <c:smooth val="0"/>
          <c:extLst>
            <c:ext xmlns:c16="http://schemas.microsoft.com/office/drawing/2014/chart" uri="{C3380CC4-5D6E-409C-BE32-E72D297353CC}">
              <c16:uniqueId val="{00000001-63D9-407A-B71F-552C08283D58}"/>
            </c:ext>
          </c:extLst>
        </c:ser>
        <c:ser>
          <c:idx val="4"/>
          <c:order val="1"/>
          <c:tx>
            <c:strRef>
              <c:f>'figura 1'!$D$4</c:f>
              <c:strCache>
                <c:ptCount val="1"/>
                <c:pt idx="0">
                  <c:v>Export - media 3m</c:v>
                </c:pt>
              </c:strCache>
            </c:strRef>
          </c:tx>
          <c:spPr>
            <a:ln w="28575" cap="rnd">
              <a:solidFill>
                <a:srgbClr val="003B5C"/>
              </a:solidFill>
              <a:round/>
            </a:ln>
            <a:effectLst/>
          </c:spPr>
          <c:marker>
            <c:symbol val="none"/>
          </c:marker>
          <c:cat>
            <c:numRef>
              <c:f>'figura 1'!$B$65:$B$136</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'figura 1'!$D$65:$D$136</c:f>
              <c:numCache>
                <c:formatCode>0</c:formatCode>
                <c:ptCount val="72"/>
                <c:pt idx="0">
                  <c:v>36696</c:v>
                </c:pt>
                <c:pt idx="1">
                  <c:v>37060.333333333336</c:v>
                </c:pt>
                <c:pt idx="2">
                  <c:v>37031.666666666672</c:v>
                </c:pt>
                <c:pt idx="3">
                  <c:v>37457.333333333328</c:v>
                </c:pt>
                <c:pt idx="4">
                  <c:v>37261</c:v>
                </c:pt>
                <c:pt idx="5">
                  <c:v>37311</c:v>
                </c:pt>
                <c:pt idx="6">
                  <c:v>37544.666666666672</c:v>
                </c:pt>
                <c:pt idx="7">
                  <c:v>37700</c:v>
                </c:pt>
                <c:pt idx="8">
                  <c:v>38028</c:v>
                </c:pt>
                <c:pt idx="9">
                  <c:v>38200.666666666672</c:v>
                </c:pt>
                <c:pt idx="10">
                  <c:v>38941.666666666664</c:v>
                </c:pt>
                <c:pt idx="11">
                  <c:v>38914</c:v>
                </c:pt>
                <c:pt idx="12">
                  <c:v>38579</c:v>
                </c:pt>
                <c:pt idx="13">
                  <c:v>38010.666666666672</c:v>
                </c:pt>
                <c:pt idx="14">
                  <c:v>38167</c:v>
                </c:pt>
                <c:pt idx="15">
                  <c:v>38060</c:v>
                </c:pt>
                <c:pt idx="16">
                  <c:v>38543.333333333328</c:v>
                </c:pt>
                <c:pt idx="17">
                  <c:v>38849.666666666664</c:v>
                </c:pt>
                <c:pt idx="18">
                  <c:v>39622</c:v>
                </c:pt>
                <c:pt idx="19">
                  <c:v>39220.333333333328</c:v>
                </c:pt>
                <c:pt idx="20">
                  <c:v>39420.666666666672</c:v>
                </c:pt>
                <c:pt idx="21">
                  <c:v>39478.333333333336</c:v>
                </c:pt>
                <c:pt idx="22">
                  <c:v>39557.666666666664</c:v>
                </c:pt>
                <c:pt idx="23">
                  <c:v>39568.666666666672</c:v>
                </c:pt>
                <c:pt idx="24">
                  <c:v>39366.666666666672</c:v>
                </c:pt>
                <c:pt idx="25">
                  <c:v>39798.333333333328</c:v>
                </c:pt>
                <c:pt idx="26">
                  <c:v>39722.333333333336</c:v>
                </c:pt>
                <c:pt idx="27">
                  <c:v>40043.333333333328</c:v>
                </c:pt>
                <c:pt idx="28">
                  <c:v>40291</c:v>
                </c:pt>
                <c:pt idx="29">
                  <c:v>40463</c:v>
                </c:pt>
                <c:pt idx="30">
                  <c:v>40202.333333333328</c:v>
                </c:pt>
                <c:pt idx="31">
                  <c:v>40199</c:v>
                </c:pt>
                <c:pt idx="32">
                  <c:v>40677</c:v>
                </c:pt>
                <c:pt idx="33">
                  <c:v>40517.666666666664</c:v>
                </c:pt>
                <c:pt idx="34">
                  <c:v>40431.333333333328</c:v>
                </c:pt>
                <c:pt idx="35">
                  <c:v>40095.333333333328</c:v>
                </c:pt>
                <c:pt idx="36">
                  <c:v>40542</c:v>
                </c:pt>
                <c:pt idx="37">
                  <c:v>38284</c:v>
                </c:pt>
                <c:pt idx="38">
                  <c:v>32013</c:v>
                </c:pt>
                <c:pt idx="39">
                  <c:v>28629.666666666668</c:v>
                </c:pt>
                <c:pt idx="40">
                  <c:v>28991.666666666664</c:v>
                </c:pt>
                <c:pt idx="41">
                  <c:v>34126.666666666664</c:v>
                </c:pt>
                <c:pt idx="42">
                  <c:v>36748.666666666672</c:v>
                </c:pt>
                <c:pt idx="43">
                  <c:v>38307.666666666672</c:v>
                </c:pt>
                <c:pt idx="44">
                  <c:v>38941.333333333328</c:v>
                </c:pt>
                <c:pt idx="45">
                  <c:v>39825.666666666664</c:v>
                </c:pt>
                <c:pt idx="46">
                  <c:v>39800.333333333328</c:v>
                </c:pt>
                <c:pt idx="47">
                  <c:v>40125.333333333328</c:v>
                </c:pt>
                <c:pt idx="48">
                  <c:v>39936</c:v>
                </c:pt>
                <c:pt idx="49">
                  <c:v>40613</c:v>
                </c:pt>
                <c:pt idx="50">
                  <c:v>41583</c:v>
                </c:pt>
                <c:pt idx="51">
                  <c:v>42077.333333333328</c:v>
                </c:pt>
                <c:pt idx="52">
                  <c:v>42583.666666666672</c:v>
                </c:pt>
                <c:pt idx="53">
                  <c:v>42963.666666666664</c:v>
                </c:pt>
                <c:pt idx="54">
                  <c:v>43851.333333333336</c:v>
                </c:pt>
                <c:pt idx="55">
                  <c:v>44175</c:v>
                </c:pt>
                <c:pt idx="56">
                  <c:v>44391.333333333336</c:v>
                </c:pt>
                <c:pt idx="57">
                  <c:v>44971.333333333328</c:v>
                </c:pt>
                <c:pt idx="58">
                  <c:v>45607</c:v>
                </c:pt>
                <c:pt idx="59">
                  <c:v>46699</c:v>
                </c:pt>
                <c:pt idx="60">
                  <c:v>47644.666666666672</c:v>
                </c:pt>
                <c:pt idx="61">
                  <c:v>49060</c:v>
                </c:pt>
                <c:pt idx="62">
                  <c:v>49938</c:v>
                </c:pt>
                <c:pt idx="63">
                  <c:v>51336.333333333336</c:v>
                </c:pt>
                <c:pt idx="64">
                  <c:v>52021</c:v>
                </c:pt>
                <c:pt idx="65">
                  <c:v>53213</c:v>
                </c:pt>
                <c:pt idx="66">
                  <c:v>53008.666666666672</c:v>
                </c:pt>
                <c:pt idx="67">
                  <c:v>53430.666666666664</c:v>
                </c:pt>
              </c:numCache>
            </c:numRef>
          </c:val>
          <c:smooth val="0"/>
          <c:extLst>
            <c:ext xmlns:c16="http://schemas.microsoft.com/office/drawing/2014/chart" uri="{C3380CC4-5D6E-409C-BE32-E72D297353CC}">
              <c16:uniqueId val="{00000002-63D9-407A-B71F-552C08283D58}"/>
            </c:ext>
          </c:extLst>
        </c:ser>
        <c:ser>
          <c:idx val="1"/>
          <c:order val="2"/>
          <c:tx>
            <c:strRef>
              <c:f>'figura 1'!$E$4</c:f>
              <c:strCache>
                <c:ptCount val="1"/>
                <c:pt idx="0">
                  <c:v>Import - mensile</c:v>
                </c:pt>
              </c:strCache>
            </c:strRef>
          </c:tx>
          <c:spPr>
            <a:ln w="12700" cap="flat" cmpd="sng" algn="ctr">
              <a:solidFill>
                <a:srgbClr val="D22630"/>
              </a:solidFill>
              <a:prstDash val="sysDash"/>
              <a:round/>
              <a:headEnd type="none" w="med" len="med"/>
              <a:tailEnd type="none" w="med" len="med"/>
            </a:ln>
            <a:effectLst/>
          </c:spPr>
          <c:marker>
            <c:symbol val="none"/>
          </c:marker>
          <c:cat>
            <c:numRef>
              <c:f>'figura 1'!$B$65:$B$136</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'figura 1'!$E$65:$E$136</c:f>
              <c:numCache>
                <c:formatCode>0</c:formatCode>
                <c:ptCount val="72"/>
                <c:pt idx="0">
                  <c:v>32608</c:v>
                </c:pt>
                <c:pt idx="1">
                  <c:v>33437</c:v>
                </c:pt>
                <c:pt idx="2">
                  <c:v>33470</c:v>
                </c:pt>
                <c:pt idx="3">
                  <c:v>32954</c:v>
                </c:pt>
                <c:pt idx="4">
                  <c:v>34257</c:v>
                </c:pt>
                <c:pt idx="5">
                  <c:v>33651</c:v>
                </c:pt>
                <c:pt idx="6">
                  <c:v>33728</c:v>
                </c:pt>
                <c:pt idx="7">
                  <c:v>34105</c:v>
                </c:pt>
                <c:pt idx="8">
                  <c:v>32630</c:v>
                </c:pt>
                <c:pt idx="9">
                  <c:v>33777</c:v>
                </c:pt>
                <c:pt idx="10">
                  <c:v>34606</c:v>
                </c:pt>
                <c:pt idx="11">
                  <c:v>35666</c:v>
                </c:pt>
                <c:pt idx="12">
                  <c:v>33969</c:v>
                </c:pt>
                <c:pt idx="13">
                  <c:v>33932</c:v>
                </c:pt>
                <c:pt idx="14">
                  <c:v>34533</c:v>
                </c:pt>
                <c:pt idx="15">
                  <c:v>34987</c:v>
                </c:pt>
                <c:pt idx="16">
                  <c:v>35294</c:v>
                </c:pt>
                <c:pt idx="17">
                  <c:v>35556</c:v>
                </c:pt>
                <c:pt idx="18">
                  <c:v>36457</c:v>
                </c:pt>
                <c:pt idx="19">
                  <c:v>35923</c:v>
                </c:pt>
                <c:pt idx="20">
                  <c:v>36042</c:v>
                </c:pt>
                <c:pt idx="21">
                  <c:v>37032</c:v>
                </c:pt>
                <c:pt idx="22">
                  <c:v>36350</c:v>
                </c:pt>
                <c:pt idx="23">
                  <c:v>36827</c:v>
                </c:pt>
                <c:pt idx="24">
                  <c:v>35197</c:v>
                </c:pt>
                <c:pt idx="25">
                  <c:v>35126</c:v>
                </c:pt>
                <c:pt idx="26">
                  <c:v>35577</c:v>
                </c:pt>
                <c:pt idx="27">
                  <c:v>35779</c:v>
                </c:pt>
                <c:pt idx="28">
                  <c:v>36491</c:v>
                </c:pt>
                <c:pt idx="29">
                  <c:v>35676</c:v>
                </c:pt>
                <c:pt idx="30">
                  <c:v>35543</c:v>
                </c:pt>
                <c:pt idx="31">
                  <c:v>34974</c:v>
                </c:pt>
                <c:pt idx="32">
                  <c:v>36296</c:v>
                </c:pt>
                <c:pt idx="33">
                  <c:v>34725</c:v>
                </c:pt>
                <c:pt idx="34">
                  <c:v>34235</c:v>
                </c:pt>
                <c:pt idx="35">
                  <c:v>35517</c:v>
                </c:pt>
                <c:pt idx="36">
                  <c:v>36094</c:v>
                </c:pt>
                <c:pt idx="37">
                  <c:v>34371</c:v>
                </c:pt>
                <c:pt idx="38">
                  <c:v>28305</c:v>
                </c:pt>
                <c:pt idx="39">
                  <c:v>22920</c:v>
                </c:pt>
                <c:pt idx="40">
                  <c:v>25248</c:v>
                </c:pt>
                <c:pt idx="41">
                  <c:v>29363</c:v>
                </c:pt>
                <c:pt idx="42">
                  <c:v>31299</c:v>
                </c:pt>
                <c:pt idx="43">
                  <c:v>31777</c:v>
                </c:pt>
                <c:pt idx="44">
                  <c:v>32383</c:v>
                </c:pt>
                <c:pt idx="45">
                  <c:v>33125</c:v>
                </c:pt>
                <c:pt idx="46">
                  <c:v>34123</c:v>
                </c:pt>
                <c:pt idx="47">
                  <c:v>33585</c:v>
                </c:pt>
                <c:pt idx="48">
                  <c:v>34028</c:v>
                </c:pt>
                <c:pt idx="49">
                  <c:v>34753</c:v>
                </c:pt>
                <c:pt idx="50">
                  <c:v>37073</c:v>
                </c:pt>
                <c:pt idx="51">
                  <c:v>37661</c:v>
                </c:pt>
                <c:pt idx="52">
                  <c:v>37645</c:v>
                </c:pt>
                <c:pt idx="53">
                  <c:v>39032</c:v>
                </c:pt>
                <c:pt idx="54">
                  <c:v>39815</c:v>
                </c:pt>
                <c:pt idx="55">
                  <c:v>41652</c:v>
                </c:pt>
                <c:pt idx="56">
                  <c:v>41689</c:v>
                </c:pt>
                <c:pt idx="57">
                  <c:v>43490</c:v>
                </c:pt>
                <c:pt idx="58">
                  <c:v>44646</c:v>
                </c:pt>
                <c:pt idx="59">
                  <c:v>48551</c:v>
                </c:pt>
                <c:pt idx="60">
                  <c:v>48536</c:v>
                </c:pt>
                <c:pt idx="61">
                  <c:v>49948</c:v>
                </c:pt>
                <c:pt idx="62">
                  <c:v>51560</c:v>
                </c:pt>
                <c:pt idx="63">
                  <c:v>54583</c:v>
                </c:pt>
                <c:pt idx="64">
                  <c:v>54839</c:v>
                </c:pt>
                <c:pt idx="65">
                  <c:v>56145</c:v>
                </c:pt>
                <c:pt idx="66">
                  <c:v>58049</c:v>
                </c:pt>
                <c:pt idx="67">
                  <c:v>60465</c:v>
                </c:pt>
                <c:pt idx="68">
                  <c:v>59465</c:v>
                </c:pt>
              </c:numCache>
            </c:numRef>
          </c:val>
          <c:smooth val="0"/>
          <c:extLst>
            <c:ext xmlns:c16="http://schemas.microsoft.com/office/drawing/2014/chart" uri="{C3380CC4-5D6E-409C-BE32-E72D297353CC}">
              <c16:uniqueId val="{00000003-63D9-407A-B71F-552C08283D58}"/>
            </c:ext>
          </c:extLst>
        </c:ser>
        <c:ser>
          <c:idx val="3"/>
          <c:order val="3"/>
          <c:tx>
            <c:strRef>
              <c:f>'figura 1'!$F$4</c:f>
              <c:strCache>
                <c:ptCount val="1"/>
                <c:pt idx="0">
                  <c:v>Import - media 3m</c:v>
                </c:pt>
              </c:strCache>
            </c:strRef>
          </c:tx>
          <c:spPr>
            <a:ln w="28575" cap="rnd">
              <a:solidFill>
                <a:srgbClr val="D22630"/>
              </a:solidFill>
              <a:round/>
            </a:ln>
            <a:effectLst/>
          </c:spPr>
          <c:marker>
            <c:symbol val="none"/>
          </c:marker>
          <c:cat>
            <c:numRef>
              <c:f>'figura 1'!$B$65:$B$136</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'figura 1'!$F$65:$F$136</c:f>
              <c:numCache>
                <c:formatCode>0</c:formatCode>
                <c:ptCount val="72"/>
                <c:pt idx="0">
                  <c:v>32816.666666666672</c:v>
                </c:pt>
                <c:pt idx="1">
                  <c:v>33171.666666666672</c:v>
                </c:pt>
                <c:pt idx="2">
                  <c:v>33287</c:v>
                </c:pt>
                <c:pt idx="3">
                  <c:v>33560.333333333328</c:v>
                </c:pt>
                <c:pt idx="4">
                  <c:v>33620.666666666664</c:v>
                </c:pt>
                <c:pt idx="5">
                  <c:v>33878.666666666664</c:v>
                </c:pt>
                <c:pt idx="6">
                  <c:v>33828</c:v>
                </c:pt>
                <c:pt idx="7">
                  <c:v>33487.666666666664</c:v>
                </c:pt>
                <c:pt idx="8">
                  <c:v>33504</c:v>
                </c:pt>
                <c:pt idx="9">
                  <c:v>33671</c:v>
                </c:pt>
                <c:pt idx="10">
                  <c:v>34683</c:v>
                </c:pt>
                <c:pt idx="11">
                  <c:v>34747</c:v>
                </c:pt>
                <c:pt idx="12">
                  <c:v>34522.333333333336</c:v>
                </c:pt>
                <c:pt idx="13">
                  <c:v>34144.666666666664</c:v>
                </c:pt>
                <c:pt idx="14">
                  <c:v>34484</c:v>
                </c:pt>
                <c:pt idx="15">
                  <c:v>34938</c:v>
                </c:pt>
                <c:pt idx="16">
                  <c:v>35279</c:v>
                </c:pt>
                <c:pt idx="17">
                  <c:v>35769</c:v>
                </c:pt>
                <c:pt idx="18">
                  <c:v>35978.666666666664</c:v>
                </c:pt>
                <c:pt idx="19">
                  <c:v>36140.666666666672</c:v>
                </c:pt>
                <c:pt idx="20">
                  <c:v>36332.333333333336</c:v>
                </c:pt>
                <c:pt idx="21">
                  <c:v>36474.666666666672</c:v>
                </c:pt>
                <c:pt idx="22">
                  <c:v>36736.333333333328</c:v>
                </c:pt>
                <c:pt idx="23">
                  <c:v>36124.666666666672</c:v>
                </c:pt>
                <c:pt idx="24">
                  <c:v>35716.666666666664</c:v>
                </c:pt>
                <c:pt idx="25">
                  <c:v>35300</c:v>
                </c:pt>
                <c:pt idx="26">
                  <c:v>35494</c:v>
                </c:pt>
                <c:pt idx="27">
                  <c:v>35949</c:v>
                </c:pt>
                <c:pt idx="28">
                  <c:v>35982</c:v>
                </c:pt>
                <c:pt idx="29">
                  <c:v>35903.333333333328</c:v>
                </c:pt>
                <c:pt idx="30">
                  <c:v>35397.666666666672</c:v>
                </c:pt>
                <c:pt idx="31">
                  <c:v>35604.333333333336</c:v>
                </c:pt>
                <c:pt idx="32">
                  <c:v>35331.666666666664</c:v>
                </c:pt>
                <c:pt idx="33">
                  <c:v>35085.333333333336</c:v>
                </c:pt>
                <c:pt idx="34">
                  <c:v>34825.666666666664</c:v>
                </c:pt>
                <c:pt idx="35">
                  <c:v>35282</c:v>
                </c:pt>
                <c:pt idx="36">
                  <c:v>35327.333333333328</c:v>
                </c:pt>
                <c:pt idx="37">
                  <c:v>32923.333333333336</c:v>
                </c:pt>
                <c:pt idx="38">
                  <c:v>28532</c:v>
                </c:pt>
                <c:pt idx="39">
                  <c:v>25491</c:v>
                </c:pt>
                <c:pt idx="40">
                  <c:v>25843.666666666668</c:v>
                </c:pt>
                <c:pt idx="41">
                  <c:v>28636.666666666664</c:v>
                </c:pt>
                <c:pt idx="42">
                  <c:v>30813</c:v>
                </c:pt>
                <c:pt idx="43">
                  <c:v>31819.666666666668</c:v>
                </c:pt>
                <c:pt idx="44">
                  <c:v>32428.333333333332</c:v>
                </c:pt>
                <c:pt idx="45">
                  <c:v>33210.333333333336</c:v>
                </c:pt>
                <c:pt idx="46">
                  <c:v>33611</c:v>
                </c:pt>
                <c:pt idx="47">
                  <c:v>33912</c:v>
                </c:pt>
                <c:pt idx="48">
                  <c:v>34122</c:v>
                </c:pt>
                <c:pt idx="49">
                  <c:v>35284.666666666672</c:v>
                </c:pt>
                <c:pt idx="50">
                  <c:v>36495.666666666672</c:v>
                </c:pt>
                <c:pt idx="51">
                  <c:v>37459.666666666672</c:v>
                </c:pt>
                <c:pt idx="52">
                  <c:v>38112.666666666664</c:v>
                </c:pt>
                <c:pt idx="53">
                  <c:v>38830.666666666664</c:v>
                </c:pt>
                <c:pt idx="54">
                  <c:v>40166.333333333328</c:v>
                </c:pt>
                <c:pt idx="55">
                  <c:v>41052</c:v>
                </c:pt>
                <c:pt idx="56">
                  <c:v>42277</c:v>
                </c:pt>
                <c:pt idx="57">
                  <c:v>43275</c:v>
                </c:pt>
                <c:pt idx="58">
                  <c:v>45562.333333333328</c:v>
                </c:pt>
                <c:pt idx="59">
                  <c:v>47244.333333333328</c:v>
                </c:pt>
                <c:pt idx="60">
                  <c:v>49011.666666666672</c:v>
                </c:pt>
                <c:pt idx="61">
                  <c:v>50014.666666666664</c:v>
                </c:pt>
                <c:pt idx="62">
                  <c:v>52030.333333333336</c:v>
                </c:pt>
                <c:pt idx="63">
                  <c:v>53660.666666666664</c:v>
                </c:pt>
                <c:pt idx="64">
                  <c:v>55189</c:v>
                </c:pt>
                <c:pt idx="65">
                  <c:v>56344.333333333328</c:v>
                </c:pt>
                <c:pt idx="66">
                  <c:v>58219.666666666672</c:v>
                </c:pt>
                <c:pt idx="67">
                  <c:v>59326.333333333336</c:v>
                </c:pt>
              </c:numCache>
            </c:numRef>
          </c:val>
          <c:smooth val="0"/>
          <c:extLst>
            <c:ext xmlns:c16="http://schemas.microsoft.com/office/drawing/2014/chart" uri="{C3380CC4-5D6E-409C-BE32-E72D297353CC}">
              <c16:uniqueId val="{00000004-63D9-407A-B71F-552C08283D58}"/>
            </c:ext>
          </c:extLst>
        </c:ser>
        <c:dLbls>
          <c:showLegendKey val="0"/>
          <c:showVal val="0"/>
          <c:showCatName val="0"/>
          <c:showSerName val="0"/>
          <c:showPercent val="0"/>
          <c:showBubbleSize val="0"/>
        </c:dLbls>
        <c:marker val="1"/>
        <c:smooth val="0"/>
        <c:axId val="204583616"/>
        <c:axId val="204584176"/>
      </c:lineChart>
      <c:catAx>
        <c:axId val="204583616"/>
        <c:scaling>
          <c:orientation val="minMax"/>
        </c:scaling>
        <c:delete val="0"/>
        <c:axPos val="b"/>
        <c:majorGridlines>
          <c:spPr>
            <a:ln w="6350" cap="flat" cmpd="sng" algn="ctr">
              <a:solidFill>
                <a:srgbClr val="FFFFFF"/>
              </a:solidFill>
              <a:prstDash val="solid"/>
              <a:round/>
              <a:headEnd type="none" w="med" len="med"/>
              <a:tailEnd type="none" w="med" len="med"/>
            </a:ln>
            <a:effectLst/>
          </c:spPr>
        </c:majorGridlines>
        <c:numFmt formatCode="General" sourceLinked="1"/>
        <c:majorTickMark val="none"/>
        <c:minorTickMark val="none"/>
        <c:tickLblPos val="low"/>
        <c:spPr>
          <a:noFill/>
          <a:ln w="9525" cap="flat" cmpd="sng" algn="ctr">
            <a:solidFill>
              <a:schemeClr val="bg1"/>
            </a:solidFill>
            <a:round/>
          </a:ln>
          <a:effectLst/>
        </c:spPr>
        <c:txPr>
          <a:bodyPr rot="-60000000" spcFirstLastPara="1" vertOverflow="ellipsis" vert="horz" wrap="square" anchor="ctr" anchorCtr="1"/>
          <a:lstStyle/>
          <a:p>
            <a:pPr>
              <a:defRPr sz="1000" b="1" i="0" u="none" strike="noStrike" kern="1200" baseline="0">
                <a:solidFill>
                  <a:srgbClr val="000000"/>
                </a:solidFill>
                <a:latin typeface="Arial Narrow"/>
                <a:ea typeface="Arial Narrow"/>
                <a:cs typeface="Arial Narrow"/>
              </a:defRPr>
            </a:pPr>
            <a:endParaRPr lang="it-IT"/>
          </a:p>
        </c:txPr>
        <c:crossAx val="204584176"/>
        <c:crosses val="autoZero"/>
        <c:auto val="1"/>
        <c:lblAlgn val="ctr"/>
        <c:lblOffset val="0"/>
        <c:tickMarkSkip val="3"/>
        <c:noMultiLvlLbl val="0"/>
      </c:catAx>
      <c:valAx>
        <c:axId val="204584176"/>
        <c:scaling>
          <c:orientation val="minMax"/>
          <c:max val="65000"/>
          <c:min val="20000"/>
        </c:scaling>
        <c:delete val="0"/>
        <c:axPos val="l"/>
        <c:majorGridlines>
          <c:spPr>
            <a:ln w="9525" cap="flat" cmpd="sng" algn="ctr">
              <a:solidFill>
                <a:srgbClr val="FFFFFF">
                  <a:lumMod val="100000"/>
                </a:srgbClr>
              </a:solidFill>
              <a:round/>
            </a:ln>
            <a:effectLst/>
          </c:spPr>
        </c:majorGridlines>
        <c:numFmt formatCode="0" sourceLinked="1"/>
        <c:majorTickMark val="none"/>
        <c:minorTickMark val="none"/>
        <c:tickLblPos val="nextTo"/>
        <c:spPr>
          <a:noFill/>
          <a:ln>
            <a:noFill/>
          </a:ln>
          <a:effectLst/>
          <a:extLst>
            <a:ext uri="{91240B29-F687-4F45-9708-019B960494DF}">
              <a14:hiddenLine xmlns:a14="http://schemas.microsoft.com/office/drawing/2010/main">
                <a:noFill/>
              </a14:hiddenLine>
            </a:ext>
          </a:extLst>
        </c:spPr>
        <c:txPr>
          <a:bodyPr rot="-60000000" spcFirstLastPara="1" vertOverflow="ellipsis" vert="horz" wrap="square" anchor="ctr" anchorCtr="1"/>
          <a:lstStyle/>
          <a:p>
            <a:pPr>
              <a:defRPr sz="900" b="0" i="0" u="none" strike="noStrike" kern="1200" baseline="0">
                <a:solidFill>
                  <a:srgbClr val="000000"/>
                </a:solidFill>
                <a:latin typeface="Arial Narrow"/>
                <a:ea typeface="Arial Narrow"/>
                <a:cs typeface="Arial Narrow"/>
              </a:defRPr>
            </a:pPr>
            <a:endParaRPr lang="it-IT"/>
          </a:p>
        </c:txPr>
        <c:crossAx val="204583616"/>
        <c:crosses val="autoZero"/>
        <c:crossBetween val="between"/>
        <c:dispUnits>
          <c:builtInUnit val="thousands"/>
        </c:dispUnits>
      </c:valAx>
      <c:valAx>
        <c:axId val="204584736"/>
        <c:scaling>
          <c:orientation val="minMax"/>
          <c:max val="10000"/>
          <c:min val="-1000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a:ea typeface="Arial Narrow"/>
                <a:cs typeface="Arial Narrow"/>
              </a:defRPr>
            </a:pPr>
            <a:endParaRPr lang="it-IT"/>
          </a:p>
        </c:txPr>
        <c:crossAx val="204585296"/>
        <c:crosses val="max"/>
        <c:crossBetween val="between"/>
        <c:majorUnit val="2000"/>
        <c:dispUnits>
          <c:builtInUnit val="thousands"/>
        </c:dispUnits>
      </c:valAx>
      <c:catAx>
        <c:axId val="204585296"/>
        <c:scaling>
          <c:orientation val="minMax"/>
        </c:scaling>
        <c:delete val="1"/>
        <c:axPos val="b"/>
        <c:majorGridlines>
          <c:spPr>
            <a:ln w="15875" cap="flat" cmpd="sng" algn="ctr">
              <a:solidFill>
                <a:schemeClr val="bg1"/>
              </a:solidFill>
              <a:round/>
            </a:ln>
            <a:effectLst/>
          </c:spPr>
        </c:majorGridlines>
        <c:majorTickMark val="out"/>
        <c:minorTickMark val="none"/>
        <c:tickLblPos val="nextTo"/>
        <c:crossAx val="204584736"/>
        <c:crossesAt val="0"/>
        <c:auto val="1"/>
        <c:lblAlgn val="ctr"/>
        <c:lblOffset val="100"/>
        <c:tickMarkSkip val="12"/>
        <c:noMultiLvlLbl val="0"/>
      </c:catAx>
      <c:spPr>
        <a:solidFill>
          <a:srgbClr val="DDDDDD"/>
        </a:solidFill>
        <a:ln w="9525" cap="flat" cmpd="sng" algn="ctr">
          <a:solidFill>
            <a:schemeClr val="bg1"/>
          </a:solidFill>
          <a:prstDash val="solid"/>
          <a:round/>
          <a:headEnd type="none" w="med" len="med"/>
          <a:tailEnd type="none" w="med" len="med"/>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Narrow"/>
              <a:ea typeface="Arial Narrow"/>
              <a:cs typeface="Arial Narrow"/>
            </a:defRPr>
          </a:pPr>
          <a:endParaRPr lang="it-IT"/>
        </a:p>
      </c:txPr>
    </c:legend>
    <c:plotVisOnly val="1"/>
    <c:dispBlanksAs val="gap"/>
    <c:showDLblsOverMax val="0"/>
  </c:chart>
  <c:spPr>
    <a:solidFill>
      <a:srgbClr val="DDDDDD"/>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solidFill>
            <a:srgbClr val="000000"/>
          </a:solidFill>
          <a:latin typeface="Arial Narrow"/>
          <a:ea typeface="Arial Narrow"/>
          <a:cs typeface="Arial Narrow"/>
        </a:defRPr>
      </a:pPr>
      <a:endParaRPr lang="it-I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spc="0" baseline="0">
                <a:solidFill>
                  <a:srgbClr val="000000"/>
                </a:solidFill>
                <a:latin typeface="Arial Narrow" panose="020B0606020202030204" pitchFamily="34" charset="0"/>
                <a:ea typeface="+mn-ea"/>
                <a:cs typeface="+mn-cs"/>
              </a:defRPr>
            </a:pPr>
            <a:r>
              <a:rPr lang="en-US" b="1"/>
              <a:t>Valori medi unitari</a:t>
            </a:r>
          </a:p>
        </c:rich>
      </c:tx>
      <c:layout>
        <c:manualLayout>
          <c:xMode val="edge"/>
          <c:yMode val="edge"/>
          <c:x val="0.32500246913580255"/>
          <c:y val="1.1423431526872049E-2"/>
        </c:manualLayout>
      </c:layout>
      <c:overlay val="1"/>
      <c:spPr>
        <a:noFill/>
        <a:ln>
          <a:noFill/>
        </a:ln>
        <a:effectLst/>
      </c:spPr>
    </c:title>
    <c:autoTitleDeleted val="0"/>
    <c:plotArea>
      <c:layout>
        <c:manualLayout>
          <c:layoutTarget val="inner"/>
          <c:xMode val="edge"/>
          <c:yMode val="edge"/>
          <c:x val="3.8200031242677498E-2"/>
          <c:y val="0.1838210029233191"/>
          <c:w val="0.9225041907245296"/>
          <c:h val="0.72395322689453567"/>
        </c:manualLayout>
      </c:layout>
      <c:lineChart>
        <c:grouping val="standard"/>
        <c:varyColors val="0"/>
        <c:ser>
          <c:idx val="0"/>
          <c:order val="0"/>
          <c:tx>
            <c:strRef>
              <c:f>'figura 10'!$D$16</c:f>
              <c:strCache>
                <c:ptCount val="1"/>
                <c:pt idx="0">
                  <c:v>Esportazioni</c:v>
                </c:pt>
              </c:strCache>
            </c:strRef>
          </c:tx>
          <c:spPr>
            <a:ln w="19050" cap="rnd" cmpd="sng" algn="ctr">
              <a:solidFill>
                <a:srgbClr val="003B5C"/>
              </a:solidFill>
              <a:prstDash val="solid"/>
              <a:round/>
              <a:headEnd type="none" w="med" len="med"/>
              <a:tailEnd type="none" w="med" len="med"/>
            </a:ln>
            <a:effectLst/>
          </c:spPr>
          <c:marker>
            <c:symbol val="none"/>
          </c:marker>
          <c:cat>
            <c:numRef>
              <c:f>'figura 10'!$C$77:$C$136</c:f>
              <c:numCache>
                <c:formatCode>General</c:formatCode>
                <c:ptCount val="60"/>
                <c:pt idx="5" formatCode="0">
                  <c:v>2018</c:v>
                </c:pt>
                <c:pt idx="17" formatCode="0">
                  <c:v>2019</c:v>
                </c:pt>
                <c:pt idx="29" formatCode="0">
                  <c:v>2020</c:v>
                </c:pt>
                <c:pt idx="41" formatCode="0">
                  <c:v>2021</c:v>
                </c:pt>
                <c:pt idx="53" formatCode="0">
                  <c:v>2022</c:v>
                </c:pt>
              </c:numCache>
            </c:numRef>
          </c:cat>
          <c:val>
            <c:numRef>
              <c:f>'figura 10'!$D$77:$D$136</c:f>
              <c:numCache>
                <c:formatCode>0.0</c:formatCode>
                <c:ptCount val="60"/>
                <c:pt idx="0">
                  <c:v>2.0019065776930205</c:v>
                </c:pt>
                <c:pt idx="1">
                  <c:v>1.7224880382775183</c:v>
                </c:pt>
                <c:pt idx="2">
                  <c:v>1.6252390057361339</c:v>
                </c:pt>
                <c:pt idx="3">
                  <c:v>1.7291066282420644</c:v>
                </c:pt>
                <c:pt idx="4">
                  <c:v>3.1639501438159243</c:v>
                </c:pt>
                <c:pt idx="5">
                  <c:v>4.5148895292987277</c:v>
                </c:pt>
                <c:pt idx="6">
                  <c:v>4.5192307692307736</c:v>
                </c:pt>
                <c:pt idx="7">
                  <c:v>4.711538461538467</c:v>
                </c:pt>
                <c:pt idx="8">
                  <c:v>5.1158301158301214</c:v>
                </c:pt>
                <c:pt idx="9">
                  <c:v>4.6979865771812115</c:v>
                </c:pt>
                <c:pt idx="10">
                  <c:v>3.6053130929791308</c:v>
                </c:pt>
                <c:pt idx="11">
                  <c:v>3.0217186024551381</c:v>
                </c:pt>
                <c:pt idx="12">
                  <c:v>2.8037383177570092</c:v>
                </c:pt>
                <c:pt idx="13">
                  <c:v>3.7629350893697051</c:v>
                </c:pt>
                <c:pt idx="14">
                  <c:v>4.2333019755409254</c:v>
                </c:pt>
                <c:pt idx="15">
                  <c:v>5.6657223796033946</c:v>
                </c:pt>
                <c:pt idx="16">
                  <c:v>4.5539033457249047</c:v>
                </c:pt>
                <c:pt idx="17">
                  <c:v>3.033088235294116</c:v>
                </c:pt>
                <c:pt idx="18">
                  <c:v>3.3118675252989931</c:v>
                </c:pt>
                <c:pt idx="19">
                  <c:v>2.4793388429752241</c:v>
                </c:pt>
                <c:pt idx="20">
                  <c:v>2.7548209366391205</c:v>
                </c:pt>
                <c:pt idx="21">
                  <c:v>3.1135531135531096</c:v>
                </c:pt>
                <c:pt idx="22">
                  <c:v>3.6630036630036642</c:v>
                </c:pt>
                <c:pt idx="23">
                  <c:v>4.307974335472025</c:v>
                </c:pt>
                <c:pt idx="24">
                  <c:v>3.0909090909090935</c:v>
                </c:pt>
                <c:pt idx="25">
                  <c:v>1.9945602901178603</c:v>
                </c:pt>
                <c:pt idx="26">
                  <c:v>0.36101083032492909</c:v>
                </c:pt>
                <c:pt idx="27">
                  <c:v>-1.9660411081322593</c:v>
                </c:pt>
                <c:pt idx="28">
                  <c:v>-0.9777777777777743</c:v>
                </c:pt>
                <c:pt idx="29">
                  <c:v>0.62444246208741561</c:v>
                </c:pt>
                <c:pt idx="30">
                  <c:v>-0.62333036509349427</c:v>
                </c:pt>
                <c:pt idx="31">
                  <c:v>-0.71684587813621192</c:v>
                </c:pt>
                <c:pt idx="32">
                  <c:v>-0.26809651474529517</c:v>
                </c:pt>
                <c:pt idx="33">
                  <c:v>-0.7992895204262993</c:v>
                </c:pt>
                <c:pt idx="34">
                  <c:v>-0.97173144876325068</c:v>
                </c:pt>
                <c:pt idx="35">
                  <c:v>-0.70298769771528669</c:v>
                </c:pt>
                <c:pt idx="36">
                  <c:v>2.0282186948853536</c:v>
                </c:pt>
                <c:pt idx="37">
                  <c:v>4.2666666666666657</c:v>
                </c:pt>
                <c:pt idx="38">
                  <c:v>6.9244604316546656</c:v>
                </c:pt>
                <c:pt idx="39">
                  <c:v>8.8422971741112235</c:v>
                </c:pt>
                <c:pt idx="40">
                  <c:v>8.2585278276481091</c:v>
                </c:pt>
                <c:pt idx="41">
                  <c:v>7.4468085106383057</c:v>
                </c:pt>
                <c:pt idx="42">
                  <c:v>10.035842293906796</c:v>
                </c:pt>
                <c:pt idx="43">
                  <c:v>12.454873646209407</c:v>
                </c:pt>
                <c:pt idx="44">
                  <c:v>12.903225806451601</c:v>
                </c:pt>
                <c:pt idx="45">
                  <c:v>12.533572068039391</c:v>
                </c:pt>
                <c:pt idx="46">
                  <c:v>14.272970561998207</c:v>
                </c:pt>
                <c:pt idx="47">
                  <c:v>15.221238938053105</c:v>
                </c:pt>
                <c:pt idx="48">
                  <c:v>17.718236819360399</c:v>
                </c:pt>
                <c:pt idx="49">
                  <c:v>17.817561807331643</c:v>
                </c:pt>
                <c:pt idx="50">
                  <c:v>19.596299411269982</c:v>
                </c:pt>
                <c:pt idx="51">
                  <c:v>20.268006700167504</c:v>
                </c:pt>
                <c:pt idx="52">
                  <c:v>22.553897180762846</c:v>
                </c:pt>
                <c:pt idx="53">
                  <c:v>23.184818481848197</c:v>
                </c:pt>
                <c:pt idx="54">
                  <c:v>20.928338762214992</c:v>
                </c:pt>
                <c:pt idx="55">
                  <c:v>21.508828250401294</c:v>
                </c:pt>
                <c:pt idx="56">
                  <c:v>19.047619047619051</c:v>
                </c:pt>
              </c:numCache>
            </c:numRef>
          </c:val>
          <c:smooth val="0"/>
          <c:extLst>
            <c:ext xmlns:c16="http://schemas.microsoft.com/office/drawing/2014/chart" uri="{C3380CC4-5D6E-409C-BE32-E72D297353CC}">
              <c16:uniqueId val="{00000000-F0F0-4DB2-916E-E3BA0E28AB46}"/>
            </c:ext>
          </c:extLst>
        </c:ser>
        <c:ser>
          <c:idx val="1"/>
          <c:order val="1"/>
          <c:tx>
            <c:strRef>
              <c:f>'figura 10'!$E$16</c:f>
              <c:strCache>
                <c:ptCount val="1"/>
                <c:pt idx="0">
                  <c:v>Importazioni</c:v>
                </c:pt>
              </c:strCache>
            </c:strRef>
          </c:tx>
          <c:spPr>
            <a:ln w="19050" cap="rnd" cmpd="sng" algn="ctr">
              <a:solidFill>
                <a:srgbClr val="D22630"/>
              </a:solidFill>
              <a:prstDash val="sysDash"/>
              <a:round/>
              <a:headEnd type="none" w="med" len="med"/>
              <a:tailEnd type="none" w="med" len="med"/>
            </a:ln>
            <a:effectLst/>
          </c:spPr>
          <c:marker>
            <c:symbol val="none"/>
          </c:marker>
          <c:cat>
            <c:numRef>
              <c:f>'figura 10'!$C$77:$C$136</c:f>
              <c:numCache>
                <c:formatCode>General</c:formatCode>
                <c:ptCount val="60"/>
                <c:pt idx="5" formatCode="0">
                  <c:v>2018</c:v>
                </c:pt>
                <c:pt idx="17" formatCode="0">
                  <c:v>2019</c:v>
                </c:pt>
                <c:pt idx="29" formatCode="0">
                  <c:v>2020</c:v>
                </c:pt>
                <c:pt idx="41" formatCode="0">
                  <c:v>2021</c:v>
                </c:pt>
                <c:pt idx="53" formatCode="0">
                  <c:v>2022</c:v>
                </c:pt>
              </c:numCache>
            </c:numRef>
          </c:cat>
          <c:val>
            <c:numRef>
              <c:f>'figura 10'!$E$77:$E$136</c:f>
              <c:numCache>
                <c:formatCode>0.0</c:formatCode>
                <c:ptCount val="60"/>
                <c:pt idx="0">
                  <c:v>1.8464528668610143</c:v>
                </c:pt>
                <c:pt idx="1">
                  <c:v>1.5549076773566384</c:v>
                </c:pt>
                <c:pt idx="2">
                  <c:v>0.58027079303674611</c:v>
                </c:pt>
                <c:pt idx="3">
                  <c:v>1.257253384912957</c:v>
                </c:pt>
                <c:pt idx="4">
                  <c:v>3.7037037037037095</c:v>
                </c:pt>
                <c:pt idx="5">
                  <c:v>6.9169960474308283</c:v>
                </c:pt>
                <c:pt idx="6">
                  <c:v>8.8118811881188179</c:v>
                </c:pt>
                <c:pt idx="7">
                  <c:v>8.2758620689655373</c:v>
                </c:pt>
                <c:pt idx="8">
                  <c:v>8.7301587301587347</c:v>
                </c:pt>
                <c:pt idx="9">
                  <c:v>7.3457394711067536</c:v>
                </c:pt>
                <c:pt idx="10">
                  <c:v>6.7307692307692264</c:v>
                </c:pt>
                <c:pt idx="11">
                  <c:v>3.5339063992359314</c:v>
                </c:pt>
                <c:pt idx="12">
                  <c:v>3.3396946564885468</c:v>
                </c:pt>
                <c:pt idx="13">
                  <c:v>3.6363636363636402</c:v>
                </c:pt>
                <c:pt idx="14">
                  <c:v>4.1346153846153726</c:v>
                </c:pt>
                <c:pt idx="15">
                  <c:v>4.2979942693409896</c:v>
                </c:pt>
                <c:pt idx="16">
                  <c:v>2.6315789473684248</c:v>
                </c:pt>
                <c:pt idx="17">
                  <c:v>-0.46210720887246737</c:v>
                </c:pt>
                <c:pt idx="18">
                  <c:v>-2.365787079162871</c:v>
                </c:pt>
                <c:pt idx="19">
                  <c:v>-3.8216560509554114</c:v>
                </c:pt>
                <c:pt idx="20">
                  <c:v>-2.6459854014598534</c:v>
                </c:pt>
                <c:pt idx="21">
                  <c:v>-2.1897810218978151</c:v>
                </c:pt>
                <c:pt idx="22">
                  <c:v>-3.4234234234234293</c:v>
                </c:pt>
                <c:pt idx="23">
                  <c:v>0.2767527675276682</c:v>
                </c:pt>
                <c:pt idx="24">
                  <c:v>0.46168051708218627</c:v>
                </c:pt>
                <c:pt idx="25">
                  <c:v>-1.7543859649122737</c:v>
                </c:pt>
                <c:pt idx="26">
                  <c:v>-3.9704524469067337</c:v>
                </c:pt>
                <c:pt idx="27">
                  <c:v>-8.7912087912087884</c:v>
                </c:pt>
                <c:pt idx="28">
                  <c:v>-10.256410256410263</c:v>
                </c:pt>
                <c:pt idx="29">
                  <c:v>-7.3351903435468842</c:v>
                </c:pt>
                <c:pt idx="30">
                  <c:v>-4.8462255358806914</c:v>
                </c:pt>
                <c:pt idx="31">
                  <c:v>-5.0141911069063241</c:v>
                </c:pt>
                <c:pt idx="32">
                  <c:v>-5.3420805998125473</c:v>
                </c:pt>
                <c:pt idx="33">
                  <c:v>-5.7835820895522403</c:v>
                </c:pt>
                <c:pt idx="34">
                  <c:v>-3.7313432835820919</c:v>
                </c:pt>
                <c:pt idx="35">
                  <c:v>-3.6798528058877622</c:v>
                </c:pt>
                <c:pt idx="36">
                  <c:v>-0.82720588235294201</c:v>
                </c:pt>
                <c:pt idx="37">
                  <c:v>2.5375939849624132</c:v>
                </c:pt>
                <c:pt idx="38">
                  <c:v>7.4038461538461462</c:v>
                </c:pt>
                <c:pt idx="39">
                  <c:v>14.156626506024082</c:v>
                </c:pt>
                <c:pt idx="40">
                  <c:v>19.795918367346943</c:v>
                </c:pt>
                <c:pt idx="41">
                  <c:v>18.236472945891791</c:v>
                </c:pt>
                <c:pt idx="42">
                  <c:v>20.470127326150816</c:v>
                </c:pt>
                <c:pt idx="43">
                  <c:v>24.900398406374507</c:v>
                </c:pt>
                <c:pt idx="44">
                  <c:v>26.831683168316829</c:v>
                </c:pt>
                <c:pt idx="45">
                  <c:v>32.871287128712851</c:v>
                </c:pt>
                <c:pt idx="46">
                  <c:v>33.817829457364326</c:v>
                </c:pt>
                <c:pt idx="47">
                  <c:v>33.428844317096491</c:v>
                </c:pt>
                <c:pt idx="48">
                  <c:v>39.944392956441163</c:v>
                </c:pt>
                <c:pt idx="49">
                  <c:v>36.938588450962413</c:v>
                </c:pt>
                <c:pt idx="50">
                  <c:v>40.913160250671439</c:v>
                </c:pt>
                <c:pt idx="51">
                  <c:v>44.5910290237467</c:v>
                </c:pt>
                <c:pt idx="52">
                  <c:v>39.437819420783654</c:v>
                </c:pt>
                <c:pt idx="53">
                  <c:v>42.372881355932208</c:v>
                </c:pt>
                <c:pt idx="54">
                  <c:v>42.195121951219505</c:v>
                </c:pt>
                <c:pt idx="55">
                  <c:v>47.76714513556621</c:v>
                </c:pt>
                <c:pt idx="56">
                  <c:v>40.983606557377044</c:v>
                </c:pt>
              </c:numCache>
            </c:numRef>
          </c:val>
          <c:smooth val="0"/>
          <c:extLst>
            <c:ext xmlns:c16="http://schemas.microsoft.com/office/drawing/2014/chart" uri="{C3380CC4-5D6E-409C-BE32-E72D297353CC}">
              <c16:uniqueId val="{00000001-F0F0-4DB2-916E-E3BA0E28AB46}"/>
            </c:ext>
          </c:extLst>
        </c:ser>
        <c:dLbls>
          <c:showLegendKey val="0"/>
          <c:showVal val="0"/>
          <c:showCatName val="0"/>
          <c:showSerName val="0"/>
          <c:showPercent val="0"/>
          <c:showBubbleSize val="0"/>
        </c:dLbls>
        <c:marker val="1"/>
        <c:smooth val="0"/>
        <c:axId val="237639504"/>
        <c:axId val="237640064"/>
      </c:lineChart>
      <c:lineChart>
        <c:grouping val="standard"/>
        <c:varyColors val="0"/>
        <c:ser>
          <c:idx val="2"/>
          <c:order val="2"/>
          <c:spPr>
            <a:ln w="28575" cap="rnd">
              <a:solidFill>
                <a:srgbClr val="FFFFFF"/>
              </a:solidFill>
              <a:round/>
            </a:ln>
            <a:effectLst/>
          </c:spPr>
          <c:marker>
            <c:symbol val="none"/>
          </c:marker>
          <c:cat>
            <c:numRef>
              <c:f>'figura 10'!$C$17:$C$76</c:f>
              <c:numCache>
                <c:formatCode>General</c:formatCode>
                <c:ptCount val="60"/>
                <c:pt idx="5" formatCode="0">
                  <c:v>2013</c:v>
                </c:pt>
                <c:pt idx="17" formatCode="0">
                  <c:v>2014</c:v>
                </c:pt>
                <c:pt idx="29" formatCode="0">
                  <c:v>2015</c:v>
                </c:pt>
                <c:pt idx="41" formatCode="0">
                  <c:v>2016</c:v>
                </c:pt>
                <c:pt idx="53" formatCode="0">
                  <c:v>2017</c:v>
                </c:pt>
              </c:numCache>
            </c:numRef>
          </c:cat>
          <c:val>
            <c:numRef>
              <c:f>'figura 10'!$FR$2:$FR$45</c:f>
              <c:numCache>
                <c:formatCode>General</c:formatCode>
                <c:ptCount val="44"/>
              </c:numCache>
            </c:numRef>
          </c:val>
          <c:smooth val="0"/>
          <c:extLst>
            <c:ext xmlns:c16="http://schemas.microsoft.com/office/drawing/2014/chart" uri="{C3380CC4-5D6E-409C-BE32-E72D297353CC}">
              <c16:uniqueId val="{00000002-F0F0-4DB2-916E-E3BA0E28AB46}"/>
            </c:ext>
          </c:extLst>
        </c:ser>
        <c:dLbls>
          <c:showLegendKey val="0"/>
          <c:showVal val="0"/>
          <c:showCatName val="0"/>
          <c:showSerName val="0"/>
          <c:showPercent val="0"/>
          <c:showBubbleSize val="0"/>
        </c:dLbls>
        <c:marker val="1"/>
        <c:smooth val="0"/>
        <c:axId val="237641184"/>
        <c:axId val="237640624"/>
      </c:lineChart>
      <c:catAx>
        <c:axId val="237639504"/>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rgbClr val="000000"/>
                </a:solidFill>
                <a:latin typeface="Arial Narrow" panose="020B0606020202030204" pitchFamily="34" charset="0"/>
                <a:ea typeface="+mn-ea"/>
                <a:cs typeface="+mn-cs"/>
              </a:defRPr>
            </a:pPr>
            <a:endParaRPr lang="it-IT"/>
          </a:p>
        </c:txPr>
        <c:crossAx val="237640064"/>
        <c:crosses val="autoZero"/>
        <c:auto val="1"/>
        <c:lblAlgn val="ctr"/>
        <c:lblOffset val="0"/>
        <c:tickMarkSkip val="3"/>
        <c:noMultiLvlLbl val="0"/>
      </c:catAx>
      <c:valAx>
        <c:axId val="237640064"/>
        <c:scaling>
          <c:orientation val="minMax"/>
          <c:max val="75"/>
          <c:min val="-50"/>
        </c:scaling>
        <c:delete val="0"/>
        <c:axPos val="l"/>
        <c:majorGridlines>
          <c:spPr>
            <a:ln w="6350" cap="flat" cmpd="sng" algn="ctr">
              <a:solidFill>
                <a:srgbClr val="A6A6A6"/>
              </a:solidFill>
              <a:prstDash val="sysDash"/>
              <a:round/>
              <a:headEnd type="none" w="med" len="med"/>
              <a:tailEnd type="none" w="med" len="med"/>
            </a:ln>
            <a:effectLst/>
          </c:spPr>
        </c:majorGridlines>
        <c:title>
          <c:tx>
            <c:rich>
              <a:bodyPr rot="0" spcFirstLastPara="1" vertOverflow="ellipsis" wrap="square" anchor="ctr" anchorCtr="1"/>
              <a:lstStyle/>
              <a:p>
                <a:pPr>
                  <a:defRPr sz="900" b="0" i="0" u="none" strike="noStrike" kern="1200" baseline="0">
                    <a:solidFill>
                      <a:srgbClr val="000000"/>
                    </a:solidFill>
                    <a:latin typeface="Arial Narrow" panose="020B0606020202030204" pitchFamily="34" charset="0"/>
                    <a:ea typeface="+mn-ea"/>
                    <a:cs typeface="+mn-cs"/>
                  </a:defRPr>
                </a:pPr>
                <a:r>
                  <a:rPr lang="it-IT"/>
                  <a:t>%</a:t>
                </a:r>
              </a:p>
            </c:rich>
          </c:tx>
          <c:layout>
            <c:manualLayout>
              <c:xMode val="edge"/>
              <c:yMode val="edge"/>
              <c:x val="5.8228395061728395E-3"/>
              <c:y val="1.5138439410284071E-2"/>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237639504"/>
        <c:crosses val="autoZero"/>
        <c:crossBetween val="between"/>
        <c:majorUnit val="25"/>
      </c:valAx>
      <c:valAx>
        <c:axId val="237640624"/>
        <c:scaling>
          <c:orientation val="minMax"/>
        </c:scaling>
        <c:delete val="1"/>
        <c:axPos val="r"/>
        <c:numFmt formatCode="General" sourceLinked="1"/>
        <c:majorTickMark val="out"/>
        <c:minorTickMark val="none"/>
        <c:tickLblPos val="nextTo"/>
        <c:crossAx val="237641184"/>
        <c:crosses val="max"/>
        <c:crossBetween val="between"/>
      </c:valAx>
      <c:catAx>
        <c:axId val="237641184"/>
        <c:scaling>
          <c:orientation val="minMax"/>
        </c:scaling>
        <c:delete val="1"/>
        <c:axPos val="t"/>
        <c:majorGridlines>
          <c:spPr>
            <a:ln w="6350" cap="flat" cmpd="sng" algn="ctr">
              <a:solidFill>
                <a:srgbClr val="A6A6A6"/>
              </a:solidFill>
              <a:prstDash val="solid"/>
              <a:round/>
              <a:headEnd type="none" w="med" len="med"/>
              <a:tailEnd type="none" w="med" len="med"/>
            </a:ln>
            <a:effectLst/>
          </c:spPr>
        </c:majorGridlines>
        <c:numFmt formatCode="General" sourceLinked="1"/>
        <c:majorTickMark val="out"/>
        <c:minorTickMark val="none"/>
        <c:tickLblPos val="nextTo"/>
        <c:crossAx val="237640624"/>
        <c:crosses val="max"/>
        <c:auto val="1"/>
        <c:lblAlgn val="ctr"/>
        <c:lblOffset val="100"/>
        <c:tickMarkSkip val="12"/>
        <c:noMultiLvlLbl val="0"/>
      </c:catAx>
      <c:spPr>
        <a:solidFill>
          <a:srgbClr val="FFFFFF"/>
        </a:solidFill>
        <a:ln w="9525" cap="flat" cmpd="sng" algn="ctr">
          <a:solidFill>
            <a:schemeClr val="bg1">
              <a:lumMod val="85000"/>
            </a:schemeClr>
          </a:solidFill>
          <a:prstDash val="solid"/>
          <a:round/>
          <a:headEnd type="none" w="med" len="med"/>
          <a:tailEnd type="none" w="med" len="med"/>
        </a:ln>
        <a:effectLst/>
      </c:spPr>
    </c:plotArea>
    <c:legend>
      <c:legendPos val="t"/>
      <c:legendEntry>
        <c:idx val="2"/>
        <c:delete val="1"/>
      </c:legendEntry>
      <c:layout>
        <c:manualLayout>
          <c:xMode val="edge"/>
          <c:yMode val="edge"/>
          <c:x val="0.14301820987654318"/>
          <c:y val="9.7099167978412407E-2"/>
          <c:w val="0.74563518518518523"/>
          <c:h val="9.1890712840116934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legend>
    <c:plotVisOnly val="1"/>
    <c:dispBlanksAs val="gap"/>
    <c:showDLblsOverMax val="0"/>
  </c:chart>
  <c:spPr>
    <a:solidFill>
      <a:srgbClr val="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solidFill>
            <a:srgbClr val="000000"/>
          </a:solidFill>
          <a:latin typeface="Arial Narrow" panose="020B0606020202030204" pitchFamily="34" charset="0"/>
        </a:defRPr>
      </a:pPr>
      <a:endParaRPr lang="it-I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spc="0" baseline="0">
                <a:solidFill>
                  <a:srgbClr val="000000"/>
                </a:solidFill>
                <a:latin typeface="Arial Narrow" panose="020B0606020202030204" pitchFamily="34" charset="0"/>
                <a:ea typeface="+mn-ea"/>
                <a:cs typeface="+mn-cs"/>
              </a:defRPr>
            </a:pPr>
            <a:r>
              <a:rPr lang="en-US" b="1"/>
              <a:t>Volumi</a:t>
            </a:r>
          </a:p>
        </c:rich>
      </c:tx>
      <c:layout>
        <c:manualLayout>
          <c:xMode val="edge"/>
          <c:yMode val="edge"/>
          <c:x val="0.45780370370370371"/>
          <c:y val="0"/>
        </c:manualLayout>
      </c:layout>
      <c:overlay val="1"/>
      <c:spPr>
        <a:noFill/>
        <a:ln>
          <a:noFill/>
        </a:ln>
        <a:effectLst/>
      </c:spPr>
    </c:title>
    <c:autoTitleDeleted val="0"/>
    <c:plotArea>
      <c:layout>
        <c:manualLayout>
          <c:layoutTarget val="inner"/>
          <c:xMode val="edge"/>
          <c:yMode val="edge"/>
          <c:x val="3.8200031242677498E-2"/>
          <c:y val="0.17810928715988306"/>
          <c:w val="0.9225041907245296"/>
          <c:h val="0.72966494265797155"/>
        </c:manualLayout>
      </c:layout>
      <c:lineChart>
        <c:grouping val="standard"/>
        <c:varyColors val="0"/>
        <c:ser>
          <c:idx val="0"/>
          <c:order val="0"/>
          <c:tx>
            <c:strRef>
              <c:f>'figura 10'!$D$16</c:f>
              <c:strCache>
                <c:ptCount val="1"/>
                <c:pt idx="0">
                  <c:v>Esportazioni</c:v>
                </c:pt>
              </c:strCache>
            </c:strRef>
          </c:tx>
          <c:spPr>
            <a:ln w="19050" cap="rnd" cmpd="sng" algn="ctr">
              <a:solidFill>
                <a:srgbClr val="003B5C"/>
              </a:solidFill>
              <a:prstDash val="solid"/>
              <a:round/>
              <a:headEnd type="none" w="med" len="med"/>
              <a:tailEnd type="none" w="med" len="med"/>
            </a:ln>
            <a:effectLst/>
          </c:spPr>
          <c:marker>
            <c:symbol val="none"/>
          </c:marker>
          <c:cat>
            <c:numRef>
              <c:f>'figura 10'!$C$77:$C$136</c:f>
              <c:numCache>
                <c:formatCode>General</c:formatCode>
                <c:ptCount val="60"/>
                <c:pt idx="5" formatCode="0">
                  <c:v>2018</c:v>
                </c:pt>
                <c:pt idx="17" formatCode="0">
                  <c:v>2019</c:v>
                </c:pt>
                <c:pt idx="29" formatCode="0">
                  <c:v>2020</c:v>
                </c:pt>
                <c:pt idx="41" formatCode="0">
                  <c:v>2021</c:v>
                </c:pt>
                <c:pt idx="53" formatCode="0">
                  <c:v>2022</c:v>
                </c:pt>
              </c:numCache>
            </c:numRef>
          </c:cat>
          <c:val>
            <c:numRef>
              <c:f>'figura 10'!$F$77:$F$136</c:f>
              <c:numCache>
                <c:formatCode>0.0</c:formatCode>
                <c:ptCount val="60"/>
                <c:pt idx="0">
                  <c:v>7.3198198198198128</c:v>
                </c:pt>
                <c:pt idx="1">
                  <c:v>2.4665981500513965</c:v>
                </c:pt>
                <c:pt idx="2">
                  <c:v>-2.8813559322033768</c:v>
                </c:pt>
                <c:pt idx="3">
                  <c:v>5.4621848739495817</c:v>
                </c:pt>
                <c:pt idx="4">
                  <c:v>-4.0034812880765855</c:v>
                </c:pt>
                <c:pt idx="5">
                  <c:v>2.164111812443636</c:v>
                </c:pt>
                <c:pt idx="6">
                  <c:v>2.7506654835847399</c:v>
                </c:pt>
                <c:pt idx="7">
                  <c:v>0</c:v>
                </c:pt>
                <c:pt idx="8">
                  <c:v>-7.1227741330833965</c:v>
                </c:pt>
                <c:pt idx="9">
                  <c:v>5.3908355795148282</c:v>
                </c:pt>
                <c:pt idx="10">
                  <c:v>-1.6888888888888829</c:v>
                </c:pt>
                <c:pt idx="11">
                  <c:v>-5.0595238095238102</c:v>
                </c:pt>
                <c:pt idx="12">
                  <c:v>0.83945435466948481</c:v>
                </c:pt>
                <c:pt idx="13">
                  <c:v>0.3009027081243687</c:v>
                </c:pt>
                <c:pt idx="14">
                  <c:v>-3.6649214659685896</c:v>
                </c:pt>
                <c:pt idx="15">
                  <c:v>0.49800796812749581</c:v>
                </c:pt>
                <c:pt idx="16">
                  <c:v>3.5358114233907543</c:v>
                </c:pt>
                <c:pt idx="17">
                  <c:v>-5.7369814651368074</c:v>
                </c:pt>
                <c:pt idx="18">
                  <c:v>3.2815198618307591</c:v>
                </c:pt>
                <c:pt idx="19">
                  <c:v>-5.3593179049939152</c:v>
                </c:pt>
                <c:pt idx="20">
                  <c:v>4.1372351160443941</c:v>
                </c:pt>
                <c:pt idx="21">
                  <c:v>2.0460358056266017</c:v>
                </c:pt>
                <c:pt idx="22">
                  <c:v>-5.8770343580470126</c:v>
                </c:pt>
                <c:pt idx="23">
                  <c:v>0.52246603970741035</c:v>
                </c:pt>
                <c:pt idx="24">
                  <c:v>-1.1446409989594315</c:v>
                </c:pt>
                <c:pt idx="25">
                  <c:v>2.9000000000000057</c:v>
                </c:pt>
                <c:pt idx="26">
                  <c:v>-14.945652173913047</c:v>
                </c:pt>
                <c:pt idx="27">
                  <c:v>-41.625371655104068</c:v>
                </c:pt>
                <c:pt idx="28">
                  <c:v>-29.071803852889673</c:v>
                </c:pt>
                <c:pt idx="29">
                  <c:v>-12.359550561797747</c:v>
                </c:pt>
                <c:pt idx="30">
                  <c:v>-6.9397993311036998</c:v>
                </c:pt>
                <c:pt idx="31">
                  <c:v>-5.4054054054054035</c:v>
                </c:pt>
                <c:pt idx="32">
                  <c:v>2.6162790697674438</c:v>
                </c:pt>
                <c:pt idx="33">
                  <c:v>-6.6833751044277392</c:v>
                </c:pt>
                <c:pt idx="34">
                  <c:v>3.1700288184437966</c:v>
                </c:pt>
                <c:pt idx="35">
                  <c:v>4.6777546777546775</c:v>
                </c:pt>
                <c:pt idx="36">
                  <c:v>-10.210526315789465</c:v>
                </c:pt>
                <c:pt idx="37">
                  <c:v>-6.2196307094266388</c:v>
                </c:pt>
                <c:pt idx="38">
                  <c:v>20.447284345047919</c:v>
                </c:pt>
                <c:pt idx="39">
                  <c:v>82.003395585738559</c:v>
                </c:pt>
                <c:pt idx="40">
                  <c:v>30.987654320987644</c:v>
                </c:pt>
                <c:pt idx="41">
                  <c:v>16.880341880341874</c:v>
                </c:pt>
                <c:pt idx="42">
                  <c:v>5.6603773584905781</c:v>
                </c:pt>
                <c:pt idx="43">
                  <c:v>4.4897959183673493</c:v>
                </c:pt>
                <c:pt idx="44">
                  <c:v>-1.5108593012275975</c:v>
                </c:pt>
                <c:pt idx="45">
                  <c:v>-3.8495971351835152</c:v>
                </c:pt>
                <c:pt idx="46">
                  <c:v>2.7932960893854784</c:v>
                </c:pt>
                <c:pt idx="47">
                  <c:v>1.3902681231380285</c:v>
                </c:pt>
                <c:pt idx="48">
                  <c:v>3.165298944900357</c:v>
                </c:pt>
                <c:pt idx="49">
                  <c:v>3.3160621761658149</c:v>
                </c:pt>
                <c:pt idx="50">
                  <c:v>2.5641025641025692</c:v>
                </c:pt>
                <c:pt idx="51">
                  <c:v>-5.0373134328358304</c:v>
                </c:pt>
                <c:pt idx="52">
                  <c:v>4.9952874646559735</c:v>
                </c:pt>
                <c:pt idx="53">
                  <c:v>-2.5594149908592385</c:v>
                </c:pt>
                <c:pt idx="54">
                  <c:v>-3.4013605442176953</c:v>
                </c:pt>
                <c:pt idx="55">
                  <c:v>2.3437500000000142</c:v>
                </c:pt>
                <c:pt idx="56">
                  <c:v>2.1093000958772876</c:v>
                </c:pt>
              </c:numCache>
            </c:numRef>
          </c:val>
          <c:smooth val="0"/>
          <c:extLst>
            <c:ext xmlns:c16="http://schemas.microsoft.com/office/drawing/2014/chart" uri="{C3380CC4-5D6E-409C-BE32-E72D297353CC}">
              <c16:uniqueId val="{00000000-5D1A-4E4C-9CC7-7CD5A906602B}"/>
            </c:ext>
          </c:extLst>
        </c:ser>
        <c:ser>
          <c:idx val="1"/>
          <c:order val="1"/>
          <c:tx>
            <c:strRef>
              <c:f>'figura 10'!$E$16</c:f>
              <c:strCache>
                <c:ptCount val="1"/>
                <c:pt idx="0">
                  <c:v>Importazioni</c:v>
                </c:pt>
              </c:strCache>
            </c:strRef>
          </c:tx>
          <c:spPr>
            <a:ln w="19050" cap="rnd" cmpd="sng" algn="ctr">
              <a:solidFill>
                <a:srgbClr val="D22630"/>
              </a:solidFill>
              <a:prstDash val="sysDash"/>
              <a:round/>
              <a:headEnd type="none" w="med" len="med"/>
              <a:tailEnd type="none" w="med" len="med"/>
            </a:ln>
            <a:effectLst/>
          </c:spPr>
          <c:marker>
            <c:symbol val="none"/>
          </c:marker>
          <c:cat>
            <c:numRef>
              <c:f>'figura 10'!$C$77:$C$136</c:f>
              <c:numCache>
                <c:formatCode>General</c:formatCode>
                <c:ptCount val="60"/>
                <c:pt idx="5" formatCode="0">
                  <c:v>2018</c:v>
                </c:pt>
                <c:pt idx="17" formatCode="0">
                  <c:v>2019</c:v>
                </c:pt>
                <c:pt idx="29" formatCode="0">
                  <c:v>2020</c:v>
                </c:pt>
                <c:pt idx="41" formatCode="0">
                  <c:v>2021</c:v>
                </c:pt>
                <c:pt idx="53" formatCode="0">
                  <c:v>2022</c:v>
                </c:pt>
              </c:numCache>
            </c:numRef>
          </c:cat>
          <c:val>
            <c:numRef>
              <c:f>'figura 10'!$G$77:$G$136</c:f>
              <c:numCache>
                <c:formatCode>0.0</c:formatCode>
                <c:ptCount val="60"/>
                <c:pt idx="0">
                  <c:v>7.3891625615763701</c:v>
                </c:pt>
                <c:pt idx="1">
                  <c:v>-0.38647342995167833</c:v>
                </c:pt>
                <c:pt idx="2">
                  <c:v>-0.51546391752579268</c:v>
                </c:pt>
                <c:pt idx="3">
                  <c:v>9.1386554621848717</c:v>
                </c:pt>
                <c:pt idx="4">
                  <c:v>-2.1514629948364785</c:v>
                </c:pt>
                <c:pt idx="5">
                  <c:v>-1.594331266607611</c:v>
                </c:pt>
                <c:pt idx="6">
                  <c:v>1.3799448022079162</c:v>
                </c:pt>
                <c:pt idx="7">
                  <c:v>-1.3048635824436445</c:v>
                </c:pt>
                <c:pt idx="8">
                  <c:v>-2.2140221402214024</c:v>
                </c:pt>
                <c:pt idx="9">
                  <c:v>7.0333633904418491</c:v>
                </c:pt>
                <c:pt idx="10">
                  <c:v>-2.5800711743772382</c:v>
                </c:pt>
                <c:pt idx="11">
                  <c:v>1.1247443762781302</c:v>
                </c:pt>
                <c:pt idx="12">
                  <c:v>-1.467889908256879</c:v>
                </c:pt>
                <c:pt idx="13">
                  <c:v>-0.29097963142581307</c:v>
                </c:pt>
                <c:pt idx="14">
                  <c:v>-4.231433506044894</c:v>
                </c:pt>
                <c:pt idx="15">
                  <c:v>1.6361886429258874</c:v>
                </c:pt>
                <c:pt idx="16">
                  <c:v>0.26385224274406482</c:v>
                </c:pt>
                <c:pt idx="17">
                  <c:v>-4.5904590459045949</c:v>
                </c:pt>
                <c:pt idx="18">
                  <c:v>4.5372050816696827</c:v>
                </c:pt>
                <c:pt idx="19">
                  <c:v>-0.48076923076924061</c:v>
                </c:pt>
                <c:pt idx="20">
                  <c:v>5.0943396226415132</c:v>
                </c:pt>
                <c:pt idx="21">
                  <c:v>-3.4540859309182821</c:v>
                </c:pt>
                <c:pt idx="22">
                  <c:v>-2.6484018264840046</c:v>
                </c:pt>
                <c:pt idx="23">
                  <c:v>-2.0222446916076819</c:v>
                </c:pt>
                <c:pt idx="24">
                  <c:v>1.1173184357541857</c:v>
                </c:pt>
                <c:pt idx="25">
                  <c:v>1.264591439688715</c:v>
                </c:pt>
                <c:pt idx="26">
                  <c:v>-15.058611361587012</c:v>
                </c:pt>
                <c:pt idx="27">
                  <c:v>-28.219696969696969</c:v>
                </c:pt>
                <c:pt idx="28">
                  <c:v>-26.578947368421041</c:v>
                </c:pt>
                <c:pt idx="29">
                  <c:v>-8.1132075471698073</c:v>
                </c:pt>
                <c:pt idx="30">
                  <c:v>-8.7673611111111143</c:v>
                </c:pt>
                <c:pt idx="31">
                  <c:v>-6.1594202898550634</c:v>
                </c:pt>
                <c:pt idx="32">
                  <c:v>-0.53859964093358315</c:v>
                </c:pt>
                <c:pt idx="33">
                  <c:v>-1.221640488656206</c:v>
                </c:pt>
                <c:pt idx="34">
                  <c:v>1.5947467166979266</c:v>
                </c:pt>
                <c:pt idx="35">
                  <c:v>3.0959752321981426</c:v>
                </c:pt>
                <c:pt idx="36">
                  <c:v>-10.497237569060772</c:v>
                </c:pt>
                <c:pt idx="37">
                  <c:v>-2.6897214217099048</c:v>
                </c:pt>
                <c:pt idx="38">
                  <c:v>27.176220806794049</c:v>
                </c:pt>
                <c:pt idx="39">
                  <c:v>43.799472295514505</c:v>
                </c:pt>
                <c:pt idx="40">
                  <c:v>27.240143369175613</c:v>
                </c:pt>
                <c:pt idx="41">
                  <c:v>13.655030800821351</c:v>
                </c:pt>
                <c:pt idx="42">
                  <c:v>3.8058991436726899</c:v>
                </c:pt>
                <c:pt idx="43">
                  <c:v>8.236808236808244</c:v>
                </c:pt>
                <c:pt idx="44">
                  <c:v>-0.27075812274367195</c:v>
                </c:pt>
                <c:pt idx="45">
                  <c:v>-5.8303886925795041</c:v>
                </c:pt>
                <c:pt idx="46">
                  <c:v>0.46168051708218627</c:v>
                </c:pt>
                <c:pt idx="47">
                  <c:v>9.4094094094093919</c:v>
                </c:pt>
                <c:pt idx="48">
                  <c:v>5.2469135802469111</c:v>
                </c:pt>
                <c:pt idx="49">
                  <c:v>4.4422507403751297</c:v>
                </c:pt>
                <c:pt idx="50">
                  <c:v>-1.3355592654423987</c:v>
                </c:pt>
                <c:pt idx="51">
                  <c:v>-2.6605504587155906</c:v>
                </c:pt>
                <c:pt idx="52">
                  <c:v>5.2582159624413265</c:v>
                </c:pt>
                <c:pt idx="53">
                  <c:v>-0.36133694670280647</c:v>
                </c:pt>
                <c:pt idx="54">
                  <c:v>-0.82493125572869985</c:v>
                </c:pt>
                <c:pt idx="55">
                  <c:v>4.7562425683709932</c:v>
                </c:pt>
                <c:pt idx="56">
                  <c:v>-0.45248868778280382</c:v>
                </c:pt>
              </c:numCache>
            </c:numRef>
          </c:val>
          <c:smooth val="0"/>
          <c:extLst>
            <c:ext xmlns:c16="http://schemas.microsoft.com/office/drawing/2014/chart" uri="{C3380CC4-5D6E-409C-BE32-E72D297353CC}">
              <c16:uniqueId val="{00000001-5D1A-4E4C-9CC7-7CD5A906602B}"/>
            </c:ext>
          </c:extLst>
        </c:ser>
        <c:dLbls>
          <c:showLegendKey val="0"/>
          <c:showVal val="0"/>
          <c:showCatName val="0"/>
          <c:showSerName val="0"/>
          <c:showPercent val="0"/>
          <c:showBubbleSize val="0"/>
        </c:dLbls>
        <c:marker val="1"/>
        <c:smooth val="0"/>
        <c:axId val="238328592"/>
        <c:axId val="238329152"/>
      </c:lineChart>
      <c:lineChart>
        <c:grouping val="standard"/>
        <c:varyColors val="0"/>
        <c:ser>
          <c:idx val="2"/>
          <c:order val="2"/>
          <c:spPr>
            <a:ln w="28575" cap="rnd">
              <a:solidFill>
                <a:srgbClr val="FFFFFF"/>
              </a:solidFill>
              <a:round/>
            </a:ln>
            <a:effectLst/>
          </c:spPr>
          <c:marker>
            <c:symbol val="none"/>
          </c:marker>
          <c:cat>
            <c:numRef>
              <c:f>'figura 10'!$C$17:$C$76</c:f>
              <c:numCache>
                <c:formatCode>General</c:formatCode>
                <c:ptCount val="60"/>
                <c:pt idx="5" formatCode="0">
                  <c:v>2013</c:v>
                </c:pt>
                <c:pt idx="17" formatCode="0">
                  <c:v>2014</c:v>
                </c:pt>
                <c:pt idx="29" formatCode="0">
                  <c:v>2015</c:v>
                </c:pt>
                <c:pt idx="41" formatCode="0">
                  <c:v>2016</c:v>
                </c:pt>
                <c:pt idx="53" formatCode="0">
                  <c:v>2017</c:v>
                </c:pt>
              </c:numCache>
            </c:numRef>
          </c:cat>
          <c:val>
            <c:numRef>
              <c:f>'figura 10'!$FR$2:$FR$45</c:f>
              <c:numCache>
                <c:formatCode>General</c:formatCode>
                <c:ptCount val="44"/>
              </c:numCache>
            </c:numRef>
          </c:val>
          <c:smooth val="0"/>
          <c:extLst>
            <c:ext xmlns:c16="http://schemas.microsoft.com/office/drawing/2014/chart" uri="{C3380CC4-5D6E-409C-BE32-E72D297353CC}">
              <c16:uniqueId val="{00000002-5D1A-4E4C-9CC7-7CD5A906602B}"/>
            </c:ext>
          </c:extLst>
        </c:ser>
        <c:dLbls>
          <c:showLegendKey val="0"/>
          <c:showVal val="0"/>
          <c:showCatName val="0"/>
          <c:showSerName val="0"/>
          <c:showPercent val="0"/>
          <c:showBubbleSize val="0"/>
        </c:dLbls>
        <c:marker val="1"/>
        <c:smooth val="0"/>
        <c:axId val="238330272"/>
        <c:axId val="238329712"/>
      </c:lineChart>
      <c:catAx>
        <c:axId val="238328592"/>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rgbClr val="000000"/>
                </a:solidFill>
                <a:latin typeface="Arial Narrow" panose="020B0606020202030204" pitchFamily="34" charset="0"/>
                <a:ea typeface="+mn-ea"/>
                <a:cs typeface="+mn-cs"/>
              </a:defRPr>
            </a:pPr>
            <a:endParaRPr lang="it-IT"/>
          </a:p>
        </c:txPr>
        <c:crossAx val="238329152"/>
        <c:crosses val="autoZero"/>
        <c:auto val="1"/>
        <c:lblAlgn val="ctr"/>
        <c:lblOffset val="0"/>
        <c:tickMarkSkip val="3"/>
        <c:noMultiLvlLbl val="0"/>
      </c:catAx>
      <c:valAx>
        <c:axId val="238329152"/>
        <c:scaling>
          <c:orientation val="minMax"/>
          <c:max val="100"/>
          <c:min val="-50"/>
        </c:scaling>
        <c:delete val="0"/>
        <c:axPos val="l"/>
        <c:majorGridlines>
          <c:spPr>
            <a:ln w="6350" cap="flat" cmpd="sng" algn="ctr">
              <a:solidFill>
                <a:srgbClr val="A6A6A6"/>
              </a:solidFill>
              <a:prstDash val="sysDash"/>
              <a:round/>
              <a:headEnd type="none" w="med" len="med"/>
              <a:tailEnd type="none" w="med" len="med"/>
            </a:ln>
            <a:effectLst/>
          </c:spPr>
        </c:majorGridlines>
        <c:title>
          <c:tx>
            <c:rich>
              <a:bodyPr rot="0" spcFirstLastPara="1" vertOverflow="ellipsis" wrap="square" anchor="ctr" anchorCtr="1"/>
              <a:lstStyle/>
              <a:p>
                <a:pPr>
                  <a:defRPr sz="900" b="0" i="0" u="none" strike="noStrike" kern="1200" baseline="0">
                    <a:solidFill>
                      <a:srgbClr val="000000"/>
                    </a:solidFill>
                    <a:latin typeface="Arial Narrow" panose="020B0606020202030204" pitchFamily="34" charset="0"/>
                    <a:ea typeface="+mn-ea"/>
                    <a:cs typeface="+mn-cs"/>
                  </a:defRPr>
                </a:pPr>
                <a:r>
                  <a:rPr lang="it-IT"/>
                  <a:t>%</a:t>
                </a:r>
              </a:p>
            </c:rich>
          </c:tx>
          <c:layout>
            <c:manualLayout>
              <c:xMode val="edge"/>
              <c:yMode val="edge"/>
              <c:x val="1.9076057895084685E-3"/>
              <c:y val="2.2167303800314821E-2"/>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238328592"/>
        <c:crosses val="autoZero"/>
        <c:crossBetween val="between"/>
        <c:majorUnit val="25"/>
      </c:valAx>
      <c:valAx>
        <c:axId val="238329712"/>
        <c:scaling>
          <c:orientation val="minMax"/>
        </c:scaling>
        <c:delete val="1"/>
        <c:axPos val="r"/>
        <c:numFmt formatCode="General" sourceLinked="1"/>
        <c:majorTickMark val="out"/>
        <c:minorTickMark val="none"/>
        <c:tickLblPos val="nextTo"/>
        <c:crossAx val="238330272"/>
        <c:crosses val="max"/>
        <c:crossBetween val="between"/>
      </c:valAx>
      <c:catAx>
        <c:axId val="238330272"/>
        <c:scaling>
          <c:orientation val="minMax"/>
        </c:scaling>
        <c:delete val="1"/>
        <c:axPos val="t"/>
        <c:majorGridlines>
          <c:spPr>
            <a:ln w="6350" cap="flat" cmpd="sng" algn="ctr">
              <a:solidFill>
                <a:srgbClr val="A6A6A6"/>
              </a:solidFill>
              <a:prstDash val="solid"/>
              <a:round/>
              <a:headEnd type="none" w="med" len="med"/>
              <a:tailEnd type="none" w="med" len="med"/>
            </a:ln>
            <a:effectLst/>
          </c:spPr>
        </c:majorGridlines>
        <c:numFmt formatCode="General" sourceLinked="1"/>
        <c:majorTickMark val="out"/>
        <c:minorTickMark val="none"/>
        <c:tickLblPos val="nextTo"/>
        <c:crossAx val="238329712"/>
        <c:crosses val="max"/>
        <c:auto val="1"/>
        <c:lblAlgn val="ctr"/>
        <c:lblOffset val="100"/>
        <c:tickMarkSkip val="12"/>
        <c:noMultiLvlLbl val="0"/>
      </c:catAx>
      <c:spPr>
        <a:solidFill>
          <a:srgbClr val="FFFFFF"/>
        </a:solidFill>
        <a:ln w="9525" cap="flat" cmpd="sng" algn="ctr">
          <a:solidFill>
            <a:schemeClr val="bg1">
              <a:lumMod val="85000"/>
            </a:schemeClr>
          </a:solidFill>
          <a:prstDash val="solid"/>
          <a:round/>
          <a:headEnd type="none" w="med" len="med"/>
          <a:tailEnd type="none" w="med" len="med"/>
        </a:ln>
        <a:effectLst/>
      </c:spPr>
    </c:plotArea>
    <c:legend>
      <c:legendPos val="t"/>
      <c:legendEntry>
        <c:idx val="2"/>
        <c:delete val="1"/>
      </c:legendEntry>
      <c:layout>
        <c:manualLayout>
          <c:xMode val="edge"/>
          <c:yMode val="edge"/>
          <c:x val="0.11557993827160494"/>
          <c:y val="8.5675736451540363E-2"/>
          <c:w val="0.78642623456790128"/>
          <c:h val="9.1890712840116934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legend>
    <c:plotVisOnly val="1"/>
    <c:dispBlanksAs val="gap"/>
    <c:showDLblsOverMax val="0"/>
  </c:chart>
  <c:spPr>
    <a:solidFill>
      <a:srgbClr val="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solidFill>
            <a:srgbClr val="000000"/>
          </a:solidFill>
          <a:latin typeface="Arial Narrow" panose="020B0606020202030204" pitchFamily="34" charset="0"/>
        </a:defRPr>
      </a:pPr>
      <a:endParaRPr lang="it-IT"/>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977492947682436E-2"/>
          <c:y val="0.11275701452811358"/>
          <c:w val="0.91523023322108743"/>
          <c:h val="0.77375032346308836"/>
        </c:manualLayout>
      </c:layout>
      <c:barChart>
        <c:barDir val="col"/>
        <c:grouping val="clustered"/>
        <c:varyColors val="0"/>
        <c:ser>
          <c:idx val="0"/>
          <c:order val="0"/>
          <c:tx>
            <c:strRef>
              <c:f>'[GraficiElabImport09_22.xlsx]GR-11 italiano'!$B$1</c:f>
              <c:strCache>
                <c:ptCount val="1"/>
                <c:pt idx="0">
                  <c:v>Area euro</c:v>
                </c:pt>
              </c:strCache>
            </c:strRef>
          </c:tx>
          <c:spPr>
            <a:solidFill>
              <a:srgbClr val="808080"/>
            </a:solidFill>
            <a:ln w="12700">
              <a:solidFill>
                <a:srgbClr val="808080"/>
              </a:solidFill>
              <a:prstDash val="solid"/>
            </a:ln>
          </c:spPr>
          <c:invertIfNegative val="0"/>
          <c:dLbls>
            <c:dLbl>
              <c:idx val="8"/>
              <c:layout>
                <c:manualLayout>
                  <c:x val="-1.2227642968098116E-3"/>
                  <c:y val="5.1896099194497043E-3"/>
                </c:manualLayout>
              </c:layout>
              <c:spPr>
                <a:noFill/>
                <a:ln w="25400">
                  <a:noFill/>
                </a:ln>
              </c:spPr>
              <c:txPr>
                <a:bodyPr/>
                <a:lstStyle/>
                <a:p>
                  <a:pPr>
                    <a:defRPr sz="800" b="0" i="0" u="none" strike="noStrike" baseline="0">
                      <a:solidFill>
                        <a:srgbClr val="000000"/>
                      </a:solidFill>
                      <a:latin typeface="Arial Narrow"/>
                      <a:ea typeface="Arial Narrow"/>
                      <a:cs typeface="Arial Narrow"/>
                    </a:defRPr>
                  </a:pPr>
                  <a:endParaRPr lang="it-I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4E8-4FC3-AF8D-73BA3D3669A9}"/>
                </c:ext>
              </c:extLst>
            </c:dLbl>
            <c:spPr>
              <a:noFill/>
              <a:ln w="25400">
                <a:noFill/>
              </a:ln>
            </c:spPr>
            <c:txPr>
              <a:bodyPr wrap="square" lIns="38100" tIns="19050" rIns="38100" bIns="19050" anchor="ctr">
                <a:spAutoFit/>
              </a:bodyPr>
              <a:lstStyle/>
              <a:p>
                <a:pPr>
                  <a:defRPr sz="800" b="0" i="0" u="none" strike="noStrike" baseline="0">
                    <a:solidFill>
                      <a:srgbClr val="000000"/>
                    </a:solidFill>
                    <a:latin typeface="Arial Narrow"/>
                    <a:ea typeface="Arial Narrow"/>
                    <a:cs typeface="Arial Narrow"/>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'[GraficiElabImport09_22.xlsx]GR-11 italiano'!$A$3:$A$15</c:f>
              <c:strCache>
                <c:ptCount val="13"/>
                <c:pt idx="0">
                  <c:v>CA</c:v>
                </c:pt>
                <c:pt idx="1">
                  <c:v>CB</c:v>
                </c:pt>
                <c:pt idx="2">
                  <c:v>CC</c:v>
                </c:pt>
                <c:pt idx="3">
                  <c:v>CD</c:v>
                </c:pt>
                <c:pt idx="4">
                  <c:v>CE</c:v>
                </c:pt>
                <c:pt idx="5">
                  <c:v>CF</c:v>
                </c:pt>
                <c:pt idx="6">
                  <c:v>CG</c:v>
                </c:pt>
                <c:pt idx="7">
                  <c:v>CH</c:v>
                </c:pt>
                <c:pt idx="8">
                  <c:v>CI</c:v>
                </c:pt>
                <c:pt idx="9">
                  <c:v>CJ</c:v>
                </c:pt>
                <c:pt idx="10">
                  <c:v>CK</c:v>
                </c:pt>
                <c:pt idx="11">
                  <c:v>CL</c:v>
                </c:pt>
                <c:pt idx="12">
                  <c:v>CM</c:v>
                </c:pt>
              </c:strCache>
            </c:strRef>
          </c:cat>
          <c:val>
            <c:numRef>
              <c:f>'[GraficiElabImport09_22.xlsx]GR-11 italiano'!$B$3:$B$15</c:f>
              <c:numCache>
                <c:formatCode>0.0</c:formatCode>
                <c:ptCount val="13"/>
                <c:pt idx="0">
                  <c:v>15.4</c:v>
                </c:pt>
                <c:pt idx="1">
                  <c:v>6.9</c:v>
                </c:pt>
                <c:pt idx="2">
                  <c:v>28.8</c:v>
                </c:pt>
                <c:pt idx="3">
                  <c:v>32.6</c:v>
                </c:pt>
                <c:pt idx="4">
                  <c:v>16.2</c:v>
                </c:pt>
                <c:pt idx="5">
                  <c:v>3.7</c:v>
                </c:pt>
                <c:pt idx="6">
                  <c:v>14</c:v>
                </c:pt>
                <c:pt idx="7">
                  <c:v>8.1999999999999993</c:v>
                </c:pt>
                <c:pt idx="8">
                  <c:v>4.4000000000000004</c:v>
                </c:pt>
                <c:pt idx="9">
                  <c:v>6.8</c:v>
                </c:pt>
                <c:pt idx="10">
                  <c:v>5.8</c:v>
                </c:pt>
                <c:pt idx="11">
                  <c:v>4.8</c:v>
                </c:pt>
                <c:pt idx="12">
                  <c:v>3.2</c:v>
                </c:pt>
              </c:numCache>
            </c:numRef>
          </c:val>
          <c:extLst>
            <c:ext xmlns:c16="http://schemas.microsoft.com/office/drawing/2014/chart" uri="{C3380CC4-5D6E-409C-BE32-E72D297353CC}">
              <c16:uniqueId val="{00000001-C4E8-4FC3-AF8D-73BA3D3669A9}"/>
            </c:ext>
          </c:extLst>
        </c:ser>
        <c:ser>
          <c:idx val="1"/>
          <c:order val="1"/>
          <c:tx>
            <c:strRef>
              <c:f>'[GraficiElabImport09_22.xlsx]GR-11 italiano'!$C$1:$D$1</c:f>
              <c:strCache>
                <c:ptCount val="1"/>
                <c:pt idx="0">
                  <c:v>Area non euro</c:v>
                </c:pt>
              </c:strCache>
            </c:strRef>
          </c:tx>
          <c:spPr>
            <a:solidFill>
              <a:srgbClr val="FF0000"/>
            </a:solidFill>
            <a:ln w="12700">
              <a:solidFill>
                <a:srgbClr val="FF0000"/>
              </a:solidFill>
              <a:prstDash val="solid"/>
            </a:ln>
          </c:spPr>
          <c:invertIfNegative val="0"/>
          <c:dLbls>
            <c:dLbl>
              <c:idx val="2"/>
              <c:layout>
                <c:manualLayout>
                  <c:x val="3.482652572909274E-3"/>
                  <c:y val="4.8102090686939726E-3"/>
                </c:manualLayout>
              </c:layout>
              <c:spPr>
                <a:noFill/>
                <a:ln w="25400">
                  <a:noFill/>
                </a:ln>
              </c:spPr>
              <c:txPr>
                <a:bodyPr/>
                <a:lstStyle/>
                <a:p>
                  <a:pPr>
                    <a:defRPr sz="800" b="0" i="0" u="none" strike="noStrike" baseline="0">
                      <a:solidFill>
                        <a:srgbClr val="000000"/>
                      </a:solidFill>
                      <a:latin typeface="Arial Narrow"/>
                      <a:ea typeface="Arial Narrow"/>
                      <a:cs typeface="Arial Narrow"/>
                    </a:defRPr>
                  </a:pPr>
                  <a:endParaRPr lang="it-I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4E8-4FC3-AF8D-73BA3D3669A9}"/>
                </c:ext>
              </c:extLst>
            </c:dLbl>
            <c:dLbl>
              <c:idx val="8"/>
              <c:layout>
                <c:manualLayout>
                  <c:x val="3.2256354554862279E-3"/>
                  <c:y val="-2.775853018372703E-2"/>
                </c:manualLayout>
              </c:layout>
              <c:spPr>
                <a:noFill/>
                <a:ln w="25400">
                  <a:noFill/>
                </a:ln>
              </c:spPr>
              <c:txPr>
                <a:bodyPr/>
                <a:lstStyle/>
                <a:p>
                  <a:pPr>
                    <a:defRPr sz="800" b="0" i="0" u="none" strike="noStrike" baseline="0">
                      <a:solidFill>
                        <a:srgbClr val="000000"/>
                      </a:solidFill>
                      <a:latin typeface="Arial Narrow"/>
                      <a:ea typeface="Arial Narrow"/>
                      <a:cs typeface="Arial Narrow"/>
                    </a:defRPr>
                  </a:pPr>
                  <a:endParaRPr lang="it-I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4E8-4FC3-AF8D-73BA3D3669A9}"/>
                </c:ext>
              </c:extLst>
            </c:dLbl>
            <c:spPr>
              <a:noFill/>
              <a:ln w="25400">
                <a:noFill/>
              </a:ln>
            </c:spPr>
            <c:txPr>
              <a:bodyPr wrap="square" lIns="38100" tIns="19050" rIns="38100" bIns="19050" anchor="ctr">
                <a:spAutoFit/>
              </a:bodyPr>
              <a:lstStyle/>
              <a:p>
                <a:pPr>
                  <a:defRPr sz="800" b="0" i="0" u="none" strike="noStrike" baseline="0">
                    <a:solidFill>
                      <a:srgbClr val="000000"/>
                    </a:solidFill>
                    <a:latin typeface="Arial Narrow"/>
                    <a:ea typeface="Arial Narrow"/>
                    <a:cs typeface="Arial Narrow"/>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'[GraficiElabImport09_22.xlsx]GR-11 italiano'!$A$3:$A$15</c:f>
              <c:strCache>
                <c:ptCount val="13"/>
                <c:pt idx="0">
                  <c:v>CA</c:v>
                </c:pt>
                <c:pt idx="1">
                  <c:v>CB</c:v>
                </c:pt>
                <c:pt idx="2">
                  <c:v>CC</c:v>
                </c:pt>
                <c:pt idx="3">
                  <c:v>CD</c:v>
                </c:pt>
                <c:pt idx="4">
                  <c:v>CE</c:v>
                </c:pt>
                <c:pt idx="5">
                  <c:v>CF</c:v>
                </c:pt>
                <c:pt idx="6">
                  <c:v>CG</c:v>
                </c:pt>
                <c:pt idx="7">
                  <c:v>CH</c:v>
                </c:pt>
                <c:pt idx="8">
                  <c:v>CI</c:v>
                </c:pt>
                <c:pt idx="9">
                  <c:v>CJ</c:v>
                </c:pt>
                <c:pt idx="10">
                  <c:v>CK</c:v>
                </c:pt>
                <c:pt idx="11">
                  <c:v>CL</c:v>
                </c:pt>
                <c:pt idx="12">
                  <c:v>CM</c:v>
                </c:pt>
              </c:strCache>
            </c:strRef>
          </c:cat>
          <c:val>
            <c:numRef>
              <c:f>'[GraficiElabImport09_22.xlsx]GR-11 italiano'!$C$3:$C$15</c:f>
              <c:numCache>
                <c:formatCode>0.0</c:formatCode>
                <c:ptCount val="13"/>
                <c:pt idx="0">
                  <c:v>16.399999999999999</c:v>
                </c:pt>
                <c:pt idx="1">
                  <c:v>11.6</c:v>
                </c:pt>
                <c:pt idx="2">
                  <c:v>24</c:v>
                </c:pt>
                <c:pt idx="3">
                  <c:v>39.700000000000003</c:v>
                </c:pt>
                <c:pt idx="4">
                  <c:v>16.7</c:v>
                </c:pt>
                <c:pt idx="5">
                  <c:v>-0.3</c:v>
                </c:pt>
                <c:pt idx="6">
                  <c:v>8.1</c:v>
                </c:pt>
                <c:pt idx="7">
                  <c:v>14.6</c:v>
                </c:pt>
                <c:pt idx="8">
                  <c:v>4.9000000000000004</c:v>
                </c:pt>
                <c:pt idx="9">
                  <c:v>8.1</c:v>
                </c:pt>
                <c:pt idx="10">
                  <c:v>7.5</c:v>
                </c:pt>
                <c:pt idx="11">
                  <c:v>6.7</c:v>
                </c:pt>
                <c:pt idx="12">
                  <c:v>6</c:v>
                </c:pt>
              </c:numCache>
            </c:numRef>
          </c:val>
          <c:extLst>
            <c:ext xmlns:c16="http://schemas.microsoft.com/office/drawing/2014/chart" uri="{C3380CC4-5D6E-409C-BE32-E72D297353CC}">
              <c16:uniqueId val="{00000004-C4E8-4FC3-AF8D-73BA3D3669A9}"/>
            </c:ext>
          </c:extLst>
        </c:ser>
        <c:dLbls>
          <c:showLegendKey val="0"/>
          <c:showVal val="0"/>
          <c:showCatName val="0"/>
          <c:showSerName val="0"/>
          <c:showPercent val="0"/>
          <c:showBubbleSize val="0"/>
        </c:dLbls>
        <c:gapWidth val="30"/>
        <c:axId val="242107616"/>
        <c:axId val="239661376"/>
      </c:barChart>
      <c:catAx>
        <c:axId val="242107616"/>
        <c:scaling>
          <c:orientation val="minMax"/>
        </c:scaling>
        <c:delete val="0"/>
        <c:axPos val="b"/>
        <c:majorGridlines>
          <c:spPr>
            <a:ln>
              <a:prstDash val="sysDash"/>
            </a:ln>
          </c:spPr>
        </c:majorGridlines>
        <c:numFmt formatCode="General" sourceLinked="1"/>
        <c:majorTickMark val="none"/>
        <c:minorTickMark val="none"/>
        <c:tickLblPos val="low"/>
        <c:spPr>
          <a:ln w="12700">
            <a:solidFill>
              <a:srgbClr val="808080"/>
            </a:solidFill>
            <a:prstDash val="solid"/>
          </a:ln>
        </c:spPr>
        <c:txPr>
          <a:bodyPr rot="0" vert="horz"/>
          <a:lstStyle/>
          <a:p>
            <a:pPr>
              <a:defRPr sz="875" b="1" i="0" u="none" strike="noStrike" baseline="0">
                <a:solidFill>
                  <a:srgbClr val="808080"/>
                </a:solidFill>
                <a:latin typeface="Arial Narrow"/>
                <a:ea typeface="Arial Narrow"/>
                <a:cs typeface="Arial Narrow"/>
              </a:defRPr>
            </a:pPr>
            <a:endParaRPr lang="it-IT"/>
          </a:p>
        </c:txPr>
        <c:crossAx val="239661376"/>
        <c:crosses val="autoZero"/>
        <c:auto val="1"/>
        <c:lblAlgn val="ctr"/>
        <c:lblOffset val="100"/>
        <c:tickLblSkip val="1"/>
        <c:tickMarkSkip val="1"/>
        <c:noMultiLvlLbl val="0"/>
      </c:catAx>
      <c:valAx>
        <c:axId val="239661376"/>
        <c:scaling>
          <c:orientation val="minMax"/>
        </c:scaling>
        <c:delete val="0"/>
        <c:axPos val="l"/>
        <c:majorGridlines>
          <c:spPr>
            <a:ln>
              <a:prstDash val="sysDash"/>
            </a:ln>
          </c:spPr>
        </c:majorGridlines>
        <c:numFmt formatCode="0" sourceLinked="0"/>
        <c:majorTickMark val="out"/>
        <c:minorTickMark val="none"/>
        <c:tickLblPos val="nextTo"/>
        <c:spPr>
          <a:ln>
            <a:noFill/>
          </a:ln>
        </c:spPr>
        <c:txPr>
          <a:bodyPr rot="0" vert="horz"/>
          <a:lstStyle/>
          <a:p>
            <a:pPr>
              <a:defRPr sz="800" b="0" i="0" u="none" strike="noStrike" baseline="0">
                <a:solidFill>
                  <a:srgbClr val="000000"/>
                </a:solidFill>
                <a:latin typeface="Arial Narrow"/>
                <a:ea typeface="Arial Narrow"/>
                <a:cs typeface="Arial Narrow"/>
              </a:defRPr>
            </a:pPr>
            <a:endParaRPr lang="it-IT"/>
          </a:p>
        </c:txPr>
        <c:crossAx val="242107616"/>
        <c:crosses val="autoZero"/>
        <c:crossBetween val="between"/>
        <c:majorUnit val="10"/>
      </c:valAx>
    </c:plotArea>
    <c:legend>
      <c:legendPos val="t"/>
      <c:legendEntry>
        <c:idx val="0"/>
        <c:txPr>
          <a:bodyPr/>
          <a:lstStyle/>
          <a:p>
            <a:pPr>
              <a:defRPr sz="845" b="0" i="0" u="none" strike="noStrike" baseline="0">
                <a:solidFill>
                  <a:srgbClr val="000000"/>
                </a:solidFill>
                <a:latin typeface="Arial Narrow"/>
                <a:ea typeface="Arial Narrow"/>
                <a:cs typeface="Arial Narrow"/>
              </a:defRPr>
            </a:pPr>
            <a:endParaRPr lang="it-IT"/>
          </a:p>
        </c:txPr>
      </c:legendEntry>
      <c:legendEntry>
        <c:idx val="1"/>
        <c:txPr>
          <a:bodyPr/>
          <a:lstStyle/>
          <a:p>
            <a:pPr>
              <a:defRPr sz="845" b="0" i="0" u="none" strike="noStrike" baseline="0">
                <a:solidFill>
                  <a:srgbClr val="000000"/>
                </a:solidFill>
                <a:latin typeface="Arial Narrow"/>
                <a:ea typeface="Arial Narrow"/>
                <a:cs typeface="Arial Narrow"/>
              </a:defRPr>
            </a:pPr>
            <a:endParaRPr lang="it-IT"/>
          </a:p>
        </c:txPr>
      </c:legendEntry>
      <c:layout>
        <c:manualLayout>
          <c:xMode val="edge"/>
          <c:yMode val="edge"/>
          <c:x val="0.39522108506459575"/>
          <c:y val="1.7641870038224053E-2"/>
          <c:w val="0.20955782987080848"/>
          <c:h val="9.0998247389026385E-2"/>
        </c:manualLayout>
      </c:layout>
      <c:overlay val="0"/>
      <c:spPr>
        <a:noFill/>
        <a:ln w="25400">
          <a:noFill/>
        </a:ln>
      </c:spPr>
      <c:txPr>
        <a:bodyPr/>
        <a:lstStyle/>
        <a:p>
          <a:pPr>
            <a:defRPr sz="365" b="0" i="0" u="none" strike="noStrike" baseline="0">
              <a:solidFill>
                <a:srgbClr val="000000"/>
              </a:solidFill>
              <a:latin typeface="Arial Narrow"/>
              <a:ea typeface="Arial Narrow"/>
              <a:cs typeface="Arial Narrow"/>
            </a:defRPr>
          </a:pPr>
          <a:endParaRPr lang="it-IT"/>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Narrow"/>
          <a:ea typeface="Arial Narrow"/>
          <a:cs typeface="Arial Narrow"/>
        </a:defRPr>
      </a:pPr>
      <a:endParaRPr lang="it-I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409703152988609E-2"/>
          <c:y val="0.11942609975251388"/>
          <c:w val="0.92470376179061697"/>
          <c:h val="0.76081558939600014"/>
        </c:manualLayout>
      </c:layout>
      <c:lineChart>
        <c:grouping val="standard"/>
        <c:varyColors val="0"/>
        <c:ser>
          <c:idx val="0"/>
          <c:order val="0"/>
          <c:tx>
            <c:strRef>
              <c:f>'figure 2 e 3 '!$C$4</c:f>
              <c:strCache>
                <c:ptCount val="1"/>
                <c:pt idx="0">
                  <c:v>esportazioni</c:v>
                </c:pt>
              </c:strCache>
            </c:strRef>
          </c:tx>
          <c:spPr>
            <a:ln w="12700" cap="rnd" cmpd="sng" algn="ctr">
              <a:solidFill>
                <a:srgbClr val="003B5C"/>
              </a:solidFill>
              <a:prstDash val="sysDash"/>
              <a:round/>
              <a:headEnd type="none" w="med" len="med"/>
              <a:tailEnd type="none" w="med" len="med"/>
            </a:ln>
            <a:effectLst/>
          </c:spPr>
          <c:marker>
            <c:symbol val="none"/>
          </c:marker>
          <c:cat>
            <c:numRef>
              <c:f>'figure 2 e 3 '!$B$67:$B$138</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'figure 2 e 3 '!$C$67:$C$138</c:f>
              <c:numCache>
                <c:formatCode>0</c:formatCode>
                <c:ptCount val="72"/>
                <c:pt idx="0">
                  <c:v>18423</c:v>
                </c:pt>
                <c:pt idx="1">
                  <c:v>18465</c:v>
                </c:pt>
                <c:pt idx="2">
                  <c:v>18842</c:v>
                </c:pt>
                <c:pt idx="3">
                  <c:v>18904</c:v>
                </c:pt>
                <c:pt idx="4">
                  <c:v>19176</c:v>
                </c:pt>
                <c:pt idx="5">
                  <c:v>19041</c:v>
                </c:pt>
                <c:pt idx="6">
                  <c:v>18841</c:v>
                </c:pt>
                <c:pt idx="7">
                  <c:v>19655</c:v>
                </c:pt>
                <c:pt idx="8">
                  <c:v>18908</c:v>
                </c:pt>
                <c:pt idx="9">
                  <c:v>19646</c:v>
                </c:pt>
                <c:pt idx="10">
                  <c:v>19381</c:v>
                </c:pt>
                <c:pt idx="11">
                  <c:v>20194</c:v>
                </c:pt>
                <c:pt idx="12">
                  <c:v>19592</c:v>
                </c:pt>
                <c:pt idx="13">
                  <c:v>19871</c:v>
                </c:pt>
                <c:pt idx="14">
                  <c:v>19523</c:v>
                </c:pt>
                <c:pt idx="15">
                  <c:v>19794</c:v>
                </c:pt>
                <c:pt idx="16">
                  <c:v>19405</c:v>
                </c:pt>
                <c:pt idx="17">
                  <c:v>20168</c:v>
                </c:pt>
                <c:pt idx="18">
                  <c:v>20329</c:v>
                </c:pt>
                <c:pt idx="19">
                  <c:v>20515</c:v>
                </c:pt>
                <c:pt idx="20">
                  <c:v>20066</c:v>
                </c:pt>
                <c:pt idx="21">
                  <c:v>20465</c:v>
                </c:pt>
                <c:pt idx="22">
                  <c:v>20260</c:v>
                </c:pt>
                <c:pt idx="23">
                  <c:v>19966</c:v>
                </c:pt>
                <c:pt idx="24">
                  <c:v>20328</c:v>
                </c:pt>
                <c:pt idx="25">
                  <c:v>20162</c:v>
                </c:pt>
                <c:pt idx="26">
                  <c:v>20461</c:v>
                </c:pt>
                <c:pt idx="27">
                  <c:v>20651</c:v>
                </c:pt>
                <c:pt idx="28">
                  <c:v>20961</c:v>
                </c:pt>
                <c:pt idx="29">
                  <c:v>20679</c:v>
                </c:pt>
                <c:pt idx="30">
                  <c:v>20603</c:v>
                </c:pt>
                <c:pt idx="31">
                  <c:v>20093</c:v>
                </c:pt>
                <c:pt idx="32">
                  <c:v>20868</c:v>
                </c:pt>
                <c:pt idx="33">
                  <c:v>20707</c:v>
                </c:pt>
                <c:pt idx="34">
                  <c:v>20097</c:v>
                </c:pt>
                <c:pt idx="35">
                  <c:v>20867</c:v>
                </c:pt>
                <c:pt idx="36">
                  <c:v>20411</c:v>
                </c:pt>
                <c:pt idx="37">
                  <c:v>20312</c:v>
                </c:pt>
                <c:pt idx="38">
                  <c:v>17271</c:v>
                </c:pt>
                <c:pt idx="39">
                  <c:v>11657</c:v>
                </c:pt>
                <c:pt idx="40">
                  <c:v>16118</c:v>
                </c:pt>
                <c:pt idx="41">
                  <c:v>18233</c:v>
                </c:pt>
                <c:pt idx="42">
                  <c:v>19190</c:v>
                </c:pt>
                <c:pt idx="43">
                  <c:v>20095</c:v>
                </c:pt>
                <c:pt idx="44">
                  <c:v>20106</c:v>
                </c:pt>
                <c:pt idx="45">
                  <c:v>20031</c:v>
                </c:pt>
                <c:pt idx="46">
                  <c:v>21022</c:v>
                </c:pt>
                <c:pt idx="47">
                  <c:v>20339</c:v>
                </c:pt>
                <c:pt idx="48">
                  <c:v>21003</c:v>
                </c:pt>
                <c:pt idx="49">
                  <c:v>21408</c:v>
                </c:pt>
                <c:pt idx="50">
                  <c:v>22101</c:v>
                </c:pt>
                <c:pt idx="51">
                  <c:v>22196</c:v>
                </c:pt>
                <c:pt idx="52">
                  <c:v>21826</c:v>
                </c:pt>
                <c:pt idx="53">
                  <c:v>22797</c:v>
                </c:pt>
                <c:pt idx="54">
                  <c:v>22395</c:v>
                </c:pt>
                <c:pt idx="55">
                  <c:v>23678</c:v>
                </c:pt>
                <c:pt idx="56">
                  <c:v>23622</c:v>
                </c:pt>
                <c:pt idx="57">
                  <c:v>23940</c:v>
                </c:pt>
                <c:pt idx="58">
                  <c:v>24601</c:v>
                </c:pt>
                <c:pt idx="59">
                  <c:v>24681</c:v>
                </c:pt>
                <c:pt idx="60">
                  <c:v>25662</c:v>
                </c:pt>
                <c:pt idx="61">
                  <c:v>26097</c:v>
                </c:pt>
                <c:pt idx="62">
                  <c:v>26663</c:v>
                </c:pt>
                <c:pt idx="63">
                  <c:v>26854</c:v>
                </c:pt>
                <c:pt idx="64">
                  <c:v>28193</c:v>
                </c:pt>
                <c:pt idx="65">
                  <c:v>27474</c:v>
                </c:pt>
                <c:pt idx="66">
                  <c:v>28236</c:v>
                </c:pt>
                <c:pt idx="67">
                  <c:v>28287</c:v>
                </c:pt>
                <c:pt idx="68">
                  <c:v>27661</c:v>
                </c:pt>
              </c:numCache>
            </c:numRef>
          </c:val>
          <c:smooth val="0"/>
          <c:extLst>
            <c:ext xmlns:c16="http://schemas.microsoft.com/office/drawing/2014/chart" uri="{C3380CC4-5D6E-409C-BE32-E72D297353CC}">
              <c16:uniqueId val="{00000000-B457-4DE8-9192-D9AF0F80A998}"/>
            </c:ext>
          </c:extLst>
        </c:ser>
        <c:ser>
          <c:idx val="1"/>
          <c:order val="1"/>
          <c:tx>
            <c:strRef>
              <c:f>'figure 2 e 3 '!$D$4</c:f>
              <c:strCache>
                <c:ptCount val="1"/>
                <c:pt idx="0">
                  <c:v>importazioni</c:v>
                </c:pt>
              </c:strCache>
            </c:strRef>
          </c:tx>
          <c:spPr>
            <a:ln w="12700" cap="rnd" cmpd="sng" algn="ctr">
              <a:solidFill>
                <a:srgbClr val="D22630"/>
              </a:solidFill>
              <a:prstDash val="sysDash"/>
              <a:round/>
              <a:headEnd type="none" w="med" len="med"/>
              <a:tailEnd type="none" w="med" len="med"/>
            </a:ln>
            <a:effectLst/>
          </c:spPr>
          <c:marker>
            <c:symbol val="none"/>
          </c:marker>
          <c:cat>
            <c:numRef>
              <c:f>'figure 2 e 3 '!$B$67:$B$138</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'figure 2 e 3 '!$D$67:$D$138</c:f>
              <c:numCache>
                <c:formatCode>0</c:formatCode>
                <c:ptCount val="72"/>
                <c:pt idx="0">
                  <c:v>18013</c:v>
                </c:pt>
                <c:pt idx="1">
                  <c:v>18780</c:v>
                </c:pt>
                <c:pt idx="2">
                  <c:v>18907</c:v>
                </c:pt>
                <c:pt idx="3">
                  <c:v>18593</c:v>
                </c:pt>
                <c:pt idx="4">
                  <c:v>19216</c:v>
                </c:pt>
                <c:pt idx="5">
                  <c:v>19309</c:v>
                </c:pt>
                <c:pt idx="6">
                  <c:v>19762</c:v>
                </c:pt>
                <c:pt idx="7">
                  <c:v>19894</c:v>
                </c:pt>
                <c:pt idx="8">
                  <c:v>19112</c:v>
                </c:pt>
                <c:pt idx="9">
                  <c:v>19849</c:v>
                </c:pt>
                <c:pt idx="10">
                  <c:v>19867</c:v>
                </c:pt>
                <c:pt idx="11">
                  <c:v>20712</c:v>
                </c:pt>
                <c:pt idx="12">
                  <c:v>19730</c:v>
                </c:pt>
                <c:pt idx="13">
                  <c:v>19276</c:v>
                </c:pt>
                <c:pt idx="14">
                  <c:v>19612</c:v>
                </c:pt>
                <c:pt idx="15">
                  <c:v>19518</c:v>
                </c:pt>
                <c:pt idx="16">
                  <c:v>19831</c:v>
                </c:pt>
                <c:pt idx="17">
                  <c:v>19956</c:v>
                </c:pt>
                <c:pt idx="18">
                  <c:v>20555</c:v>
                </c:pt>
                <c:pt idx="19">
                  <c:v>20191</c:v>
                </c:pt>
                <c:pt idx="20">
                  <c:v>19712</c:v>
                </c:pt>
                <c:pt idx="21">
                  <c:v>20537</c:v>
                </c:pt>
                <c:pt idx="22">
                  <c:v>20128</c:v>
                </c:pt>
                <c:pt idx="23">
                  <c:v>20845</c:v>
                </c:pt>
                <c:pt idx="24">
                  <c:v>19965</c:v>
                </c:pt>
                <c:pt idx="25">
                  <c:v>19908</c:v>
                </c:pt>
                <c:pt idx="26">
                  <c:v>20117</c:v>
                </c:pt>
                <c:pt idx="27">
                  <c:v>20327</c:v>
                </c:pt>
                <c:pt idx="28">
                  <c:v>20588</c:v>
                </c:pt>
                <c:pt idx="29">
                  <c:v>20119</c:v>
                </c:pt>
                <c:pt idx="30">
                  <c:v>20137</c:v>
                </c:pt>
                <c:pt idx="31">
                  <c:v>19887</c:v>
                </c:pt>
                <c:pt idx="32">
                  <c:v>20605</c:v>
                </c:pt>
                <c:pt idx="33">
                  <c:v>19953</c:v>
                </c:pt>
                <c:pt idx="34">
                  <c:v>19727</c:v>
                </c:pt>
                <c:pt idx="35">
                  <c:v>20986</c:v>
                </c:pt>
                <c:pt idx="36">
                  <c:v>20488</c:v>
                </c:pt>
                <c:pt idx="37">
                  <c:v>20096</c:v>
                </c:pt>
                <c:pt idx="38">
                  <c:v>16407</c:v>
                </c:pt>
                <c:pt idx="39">
                  <c:v>12591</c:v>
                </c:pt>
                <c:pt idx="40">
                  <c:v>14683</c:v>
                </c:pt>
                <c:pt idx="41">
                  <c:v>16953</c:v>
                </c:pt>
                <c:pt idx="42">
                  <c:v>18314</c:v>
                </c:pt>
                <c:pt idx="43">
                  <c:v>18861</c:v>
                </c:pt>
                <c:pt idx="44">
                  <c:v>19392</c:v>
                </c:pt>
                <c:pt idx="45">
                  <c:v>19687</c:v>
                </c:pt>
                <c:pt idx="46">
                  <c:v>20197</c:v>
                </c:pt>
                <c:pt idx="47">
                  <c:v>20011</c:v>
                </c:pt>
                <c:pt idx="48">
                  <c:v>20377</c:v>
                </c:pt>
                <c:pt idx="49">
                  <c:v>20484</c:v>
                </c:pt>
                <c:pt idx="50">
                  <c:v>21709</c:v>
                </c:pt>
                <c:pt idx="51">
                  <c:v>21388</c:v>
                </c:pt>
                <c:pt idx="52">
                  <c:v>21540</c:v>
                </c:pt>
                <c:pt idx="53">
                  <c:v>22748</c:v>
                </c:pt>
                <c:pt idx="54">
                  <c:v>22775</c:v>
                </c:pt>
                <c:pt idx="55">
                  <c:v>23465</c:v>
                </c:pt>
                <c:pt idx="56">
                  <c:v>22916</c:v>
                </c:pt>
                <c:pt idx="57">
                  <c:v>23575</c:v>
                </c:pt>
                <c:pt idx="58">
                  <c:v>24234</c:v>
                </c:pt>
                <c:pt idx="59">
                  <c:v>26748</c:v>
                </c:pt>
                <c:pt idx="60">
                  <c:v>25738</c:v>
                </c:pt>
                <c:pt idx="61">
                  <c:v>26189</c:v>
                </c:pt>
                <c:pt idx="62">
                  <c:v>26614</c:v>
                </c:pt>
                <c:pt idx="63">
                  <c:v>27980</c:v>
                </c:pt>
                <c:pt idx="64">
                  <c:v>28741</c:v>
                </c:pt>
                <c:pt idx="65">
                  <c:v>27550</c:v>
                </c:pt>
                <c:pt idx="66">
                  <c:v>28222</c:v>
                </c:pt>
                <c:pt idx="67">
                  <c:v>30120</c:v>
                </c:pt>
                <c:pt idx="68">
                  <c:v>28930</c:v>
                </c:pt>
              </c:numCache>
            </c:numRef>
          </c:val>
          <c:smooth val="0"/>
          <c:extLst>
            <c:ext xmlns:c16="http://schemas.microsoft.com/office/drawing/2014/chart" uri="{C3380CC4-5D6E-409C-BE32-E72D297353CC}">
              <c16:uniqueId val="{00000001-B457-4DE8-9192-D9AF0F80A998}"/>
            </c:ext>
          </c:extLst>
        </c:ser>
        <c:ser>
          <c:idx val="2"/>
          <c:order val="2"/>
          <c:tx>
            <c:strRef>
              <c:f>'figure 2 e 3 '!$E$4</c:f>
              <c:strCache>
                <c:ptCount val="1"/>
                <c:pt idx="0">
                  <c:v>mm3mesi export</c:v>
                </c:pt>
              </c:strCache>
            </c:strRef>
          </c:tx>
          <c:spPr>
            <a:ln w="28575" cap="rnd" cmpd="sng" algn="ctr">
              <a:solidFill>
                <a:srgbClr val="003B5C"/>
              </a:solidFill>
              <a:prstDash val="solid"/>
              <a:round/>
              <a:headEnd type="none" w="med" len="med"/>
              <a:tailEnd type="none" w="med" len="med"/>
            </a:ln>
            <a:effectLst/>
          </c:spPr>
          <c:marker>
            <c:symbol val="none"/>
          </c:marker>
          <c:cat>
            <c:numRef>
              <c:f>'figure 2 e 3 '!$B$67:$B$138</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'figure 2 e 3 '!$E$67:$E$138</c:f>
              <c:numCache>
                <c:formatCode>0</c:formatCode>
                <c:ptCount val="72"/>
                <c:pt idx="0">
                  <c:v>18461</c:v>
                </c:pt>
                <c:pt idx="1">
                  <c:v>18576.666666666668</c:v>
                </c:pt>
                <c:pt idx="2">
                  <c:v>18737</c:v>
                </c:pt>
                <c:pt idx="3">
                  <c:v>18974</c:v>
                </c:pt>
                <c:pt idx="4">
                  <c:v>19040.333333333332</c:v>
                </c:pt>
                <c:pt idx="5">
                  <c:v>19019.333333333332</c:v>
                </c:pt>
                <c:pt idx="6">
                  <c:v>19179</c:v>
                </c:pt>
                <c:pt idx="7">
                  <c:v>19134.666666666668</c:v>
                </c:pt>
                <c:pt idx="8">
                  <c:v>19403</c:v>
                </c:pt>
                <c:pt idx="9">
                  <c:v>19311.666666666668</c:v>
                </c:pt>
                <c:pt idx="10">
                  <c:v>19740.333333333332</c:v>
                </c:pt>
                <c:pt idx="11">
                  <c:v>19722.333333333332</c:v>
                </c:pt>
                <c:pt idx="12">
                  <c:v>19885.666666666668</c:v>
                </c:pt>
                <c:pt idx="13">
                  <c:v>19662</c:v>
                </c:pt>
                <c:pt idx="14">
                  <c:v>19729.333333333332</c:v>
                </c:pt>
                <c:pt idx="15">
                  <c:v>19574</c:v>
                </c:pt>
                <c:pt idx="16">
                  <c:v>19789</c:v>
                </c:pt>
                <c:pt idx="17">
                  <c:v>19967.333333333332</c:v>
                </c:pt>
                <c:pt idx="18">
                  <c:v>20337.333333333332</c:v>
                </c:pt>
                <c:pt idx="19">
                  <c:v>20303.333333333332</c:v>
                </c:pt>
                <c:pt idx="20">
                  <c:v>20348.666666666668</c:v>
                </c:pt>
                <c:pt idx="21">
                  <c:v>20263.666666666668</c:v>
                </c:pt>
                <c:pt idx="22">
                  <c:v>20230.333333333332</c:v>
                </c:pt>
                <c:pt idx="23">
                  <c:v>20184.666666666668</c:v>
                </c:pt>
                <c:pt idx="24">
                  <c:v>20152</c:v>
                </c:pt>
                <c:pt idx="25">
                  <c:v>20317</c:v>
                </c:pt>
                <c:pt idx="26">
                  <c:v>20424.666666666668</c:v>
                </c:pt>
                <c:pt idx="27">
                  <c:v>20691</c:v>
                </c:pt>
                <c:pt idx="28">
                  <c:v>20763.666666666668</c:v>
                </c:pt>
                <c:pt idx="29">
                  <c:v>20747.666666666668</c:v>
                </c:pt>
                <c:pt idx="30">
                  <c:v>20458.333333333332</c:v>
                </c:pt>
                <c:pt idx="31">
                  <c:v>20521.333333333332</c:v>
                </c:pt>
                <c:pt idx="32">
                  <c:v>20556</c:v>
                </c:pt>
                <c:pt idx="33">
                  <c:v>20557.333333333332</c:v>
                </c:pt>
                <c:pt idx="34">
                  <c:v>20557</c:v>
                </c:pt>
                <c:pt idx="35">
                  <c:v>20458.333333333332</c:v>
                </c:pt>
                <c:pt idx="36">
                  <c:v>20530</c:v>
                </c:pt>
                <c:pt idx="37">
                  <c:v>19331.333333333332</c:v>
                </c:pt>
                <c:pt idx="38">
                  <c:v>16413.333333333332</c:v>
                </c:pt>
                <c:pt idx="39">
                  <c:v>15015.333333333334</c:v>
                </c:pt>
                <c:pt idx="40">
                  <c:v>15336</c:v>
                </c:pt>
                <c:pt idx="41">
                  <c:v>17847</c:v>
                </c:pt>
                <c:pt idx="42">
                  <c:v>19172.666666666668</c:v>
                </c:pt>
                <c:pt idx="43">
                  <c:v>19797</c:v>
                </c:pt>
                <c:pt idx="44">
                  <c:v>20077.333333333332</c:v>
                </c:pt>
                <c:pt idx="45">
                  <c:v>20386.333333333332</c:v>
                </c:pt>
                <c:pt idx="46">
                  <c:v>20464</c:v>
                </c:pt>
                <c:pt idx="47">
                  <c:v>20788</c:v>
                </c:pt>
                <c:pt idx="48">
                  <c:v>20916.666666666668</c:v>
                </c:pt>
                <c:pt idx="49">
                  <c:v>21504</c:v>
                </c:pt>
                <c:pt idx="50">
                  <c:v>21901.666666666668</c:v>
                </c:pt>
                <c:pt idx="51">
                  <c:v>22041</c:v>
                </c:pt>
                <c:pt idx="52">
                  <c:v>22273</c:v>
                </c:pt>
                <c:pt idx="53">
                  <c:v>22339.333333333332</c:v>
                </c:pt>
                <c:pt idx="54">
                  <c:v>22956.666666666668</c:v>
                </c:pt>
                <c:pt idx="55">
                  <c:v>23231.666666666668</c:v>
                </c:pt>
                <c:pt idx="56">
                  <c:v>23746.666666666668</c:v>
                </c:pt>
                <c:pt idx="57">
                  <c:v>24054.333333333332</c:v>
                </c:pt>
                <c:pt idx="58">
                  <c:v>24407.333333333332</c:v>
                </c:pt>
                <c:pt idx="59">
                  <c:v>24981.333333333332</c:v>
                </c:pt>
                <c:pt idx="60">
                  <c:v>25480</c:v>
                </c:pt>
                <c:pt idx="61">
                  <c:v>26140.666666666668</c:v>
                </c:pt>
                <c:pt idx="62">
                  <c:v>26538</c:v>
                </c:pt>
                <c:pt idx="63">
                  <c:v>27236.666666666668</c:v>
                </c:pt>
                <c:pt idx="64">
                  <c:v>27507</c:v>
                </c:pt>
                <c:pt idx="65">
                  <c:v>27967.666666666668</c:v>
                </c:pt>
                <c:pt idx="66">
                  <c:v>27999</c:v>
                </c:pt>
                <c:pt idx="67">
                  <c:v>28061.333333333332</c:v>
                </c:pt>
              </c:numCache>
            </c:numRef>
          </c:val>
          <c:smooth val="0"/>
          <c:extLst>
            <c:ext xmlns:c16="http://schemas.microsoft.com/office/drawing/2014/chart" uri="{C3380CC4-5D6E-409C-BE32-E72D297353CC}">
              <c16:uniqueId val="{00000002-B457-4DE8-9192-D9AF0F80A998}"/>
            </c:ext>
          </c:extLst>
        </c:ser>
        <c:ser>
          <c:idx val="3"/>
          <c:order val="3"/>
          <c:tx>
            <c:strRef>
              <c:f>'figure 2 e 3 '!$F$4</c:f>
              <c:strCache>
                <c:ptCount val="1"/>
                <c:pt idx="0">
                  <c:v>mm3mesi import</c:v>
                </c:pt>
              </c:strCache>
            </c:strRef>
          </c:tx>
          <c:spPr>
            <a:ln w="28575" cap="rnd" cmpd="sng" algn="ctr">
              <a:solidFill>
                <a:srgbClr val="D22630"/>
              </a:solidFill>
              <a:prstDash val="solid"/>
              <a:round/>
              <a:headEnd type="none" w="med" len="med"/>
              <a:tailEnd type="none" w="med" len="med"/>
            </a:ln>
            <a:effectLst/>
          </c:spPr>
          <c:marker>
            <c:symbol val="none"/>
          </c:marker>
          <c:cat>
            <c:numRef>
              <c:f>'figure 2 e 3 '!$B$67:$B$138</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'figure 2 e 3 '!$F$67:$F$138</c:f>
              <c:numCache>
                <c:formatCode>0</c:formatCode>
                <c:ptCount val="72"/>
                <c:pt idx="0">
                  <c:v>18355.666666666668</c:v>
                </c:pt>
                <c:pt idx="1">
                  <c:v>18566.666666666668</c:v>
                </c:pt>
                <c:pt idx="2">
                  <c:v>18760</c:v>
                </c:pt>
                <c:pt idx="3">
                  <c:v>18905.333333333332</c:v>
                </c:pt>
                <c:pt idx="4">
                  <c:v>19039.333333333332</c:v>
                </c:pt>
                <c:pt idx="5">
                  <c:v>19429</c:v>
                </c:pt>
                <c:pt idx="6">
                  <c:v>19655</c:v>
                </c:pt>
                <c:pt idx="7">
                  <c:v>19589.333333333332</c:v>
                </c:pt>
                <c:pt idx="8">
                  <c:v>19618.333333333332</c:v>
                </c:pt>
                <c:pt idx="9">
                  <c:v>19609.333333333332</c:v>
                </c:pt>
                <c:pt idx="10">
                  <c:v>20142.666666666668</c:v>
                </c:pt>
                <c:pt idx="11">
                  <c:v>20103</c:v>
                </c:pt>
                <c:pt idx="12">
                  <c:v>19906</c:v>
                </c:pt>
                <c:pt idx="13">
                  <c:v>19539.333333333332</c:v>
                </c:pt>
                <c:pt idx="14">
                  <c:v>19468.666666666668</c:v>
                </c:pt>
                <c:pt idx="15">
                  <c:v>19653.666666666668</c:v>
                </c:pt>
                <c:pt idx="16">
                  <c:v>19768.333333333332</c:v>
                </c:pt>
                <c:pt idx="17">
                  <c:v>20114</c:v>
                </c:pt>
                <c:pt idx="18">
                  <c:v>20234</c:v>
                </c:pt>
                <c:pt idx="19">
                  <c:v>20152.666666666668</c:v>
                </c:pt>
                <c:pt idx="20">
                  <c:v>20146.666666666668</c:v>
                </c:pt>
                <c:pt idx="21">
                  <c:v>20125.666666666668</c:v>
                </c:pt>
                <c:pt idx="22">
                  <c:v>20503.333333333332</c:v>
                </c:pt>
                <c:pt idx="23">
                  <c:v>20312.666666666668</c:v>
                </c:pt>
                <c:pt idx="24">
                  <c:v>20239.333333333332</c:v>
                </c:pt>
                <c:pt idx="25">
                  <c:v>19996.666666666668</c:v>
                </c:pt>
                <c:pt idx="26">
                  <c:v>20117.333333333332</c:v>
                </c:pt>
                <c:pt idx="27">
                  <c:v>20344</c:v>
                </c:pt>
                <c:pt idx="28">
                  <c:v>20344.666666666668</c:v>
                </c:pt>
                <c:pt idx="29">
                  <c:v>20281.333333333332</c:v>
                </c:pt>
                <c:pt idx="30">
                  <c:v>20047.666666666668</c:v>
                </c:pt>
                <c:pt idx="31">
                  <c:v>20209.666666666668</c:v>
                </c:pt>
                <c:pt idx="32">
                  <c:v>20148.333333333332</c:v>
                </c:pt>
                <c:pt idx="33">
                  <c:v>20095</c:v>
                </c:pt>
                <c:pt idx="34">
                  <c:v>20222</c:v>
                </c:pt>
                <c:pt idx="35">
                  <c:v>20400.333333333332</c:v>
                </c:pt>
                <c:pt idx="36">
                  <c:v>20523.333333333332</c:v>
                </c:pt>
                <c:pt idx="37">
                  <c:v>18997</c:v>
                </c:pt>
                <c:pt idx="38">
                  <c:v>16364.666666666666</c:v>
                </c:pt>
                <c:pt idx="39">
                  <c:v>14560.333333333334</c:v>
                </c:pt>
                <c:pt idx="40">
                  <c:v>14742.333333333334</c:v>
                </c:pt>
                <c:pt idx="41">
                  <c:v>16650</c:v>
                </c:pt>
                <c:pt idx="42">
                  <c:v>18042.666666666668</c:v>
                </c:pt>
                <c:pt idx="43">
                  <c:v>18855.666666666668</c:v>
                </c:pt>
                <c:pt idx="44">
                  <c:v>19313.333333333332</c:v>
                </c:pt>
                <c:pt idx="45">
                  <c:v>19758.666666666668</c:v>
                </c:pt>
                <c:pt idx="46">
                  <c:v>19965</c:v>
                </c:pt>
                <c:pt idx="47">
                  <c:v>20195</c:v>
                </c:pt>
                <c:pt idx="48">
                  <c:v>20290.666666666668</c:v>
                </c:pt>
                <c:pt idx="49">
                  <c:v>20856.666666666668</c:v>
                </c:pt>
                <c:pt idx="50">
                  <c:v>21193.666666666668</c:v>
                </c:pt>
                <c:pt idx="51">
                  <c:v>21545.666666666668</c:v>
                </c:pt>
                <c:pt idx="52">
                  <c:v>21892</c:v>
                </c:pt>
                <c:pt idx="53">
                  <c:v>22354.333333333332</c:v>
                </c:pt>
                <c:pt idx="54">
                  <c:v>22996</c:v>
                </c:pt>
                <c:pt idx="55">
                  <c:v>23052</c:v>
                </c:pt>
                <c:pt idx="56">
                  <c:v>23318.666666666668</c:v>
                </c:pt>
                <c:pt idx="57">
                  <c:v>23575</c:v>
                </c:pt>
                <c:pt idx="58">
                  <c:v>24852.333333333332</c:v>
                </c:pt>
                <c:pt idx="59">
                  <c:v>25573.333333333332</c:v>
                </c:pt>
                <c:pt idx="60">
                  <c:v>26225</c:v>
                </c:pt>
                <c:pt idx="61">
                  <c:v>26180.333333333332</c:v>
                </c:pt>
                <c:pt idx="62">
                  <c:v>26927.666666666668</c:v>
                </c:pt>
                <c:pt idx="63">
                  <c:v>27778.333333333332</c:v>
                </c:pt>
                <c:pt idx="64">
                  <c:v>28090.333333333332</c:v>
                </c:pt>
                <c:pt idx="65">
                  <c:v>28171</c:v>
                </c:pt>
                <c:pt idx="66">
                  <c:v>28630.666666666668</c:v>
                </c:pt>
                <c:pt idx="67">
                  <c:v>29090.666666666668</c:v>
                </c:pt>
              </c:numCache>
            </c:numRef>
          </c:val>
          <c:smooth val="0"/>
          <c:extLst>
            <c:ext xmlns:c16="http://schemas.microsoft.com/office/drawing/2014/chart" uri="{C3380CC4-5D6E-409C-BE32-E72D297353CC}">
              <c16:uniqueId val="{00000003-B457-4DE8-9192-D9AF0F80A998}"/>
            </c:ext>
          </c:extLst>
        </c:ser>
        <c:dLbls>
          <c:showLegendKey val="0"/>
          <c:showVal val="0"/>
          <c:showCatName val="0"/>
          <c:showSerName val="0"/>
          <c:showPercent val="0"/>
          <c:showBubbleSize val="0"/>
        </c:dLbls>
        <c:marker val="1"/>
        <c:smooth val="0"/>
        <c:axId val="209412192"/>
        <c:axId val="209412752"/>
      </c:lineChart>
      <c:lineChart>
        <c:grouping val="standard"/>
        <c:varyColors val="0"/>
        <c:ser>
          <c:idx val="4"/>
          <c:order val="4"/>
          <c:spPr>
            <a:ln w="28575" cap="rnd">
              <a:solidFill>
                <a:srgbClr val="FFFFFF"/>
              </a:solidFill>
              <a:round/>
            </a:ln>
            <a:effectLst/>
          </c:spPr>
          <c:marker>
            <c:symbol val="none"/>
          </c:marker>
          <c:val>
            <c:numRef>
              <c:f>'figure 2 e 3 '!$FO$1:$FO$74</c:f>
              <c:numCache>
                <c:formatCode>General</c:formatCode>
                <c:ptCount val="74"/>
              </c:numCache>
            </c:numRef>
          </c:val>
          <c:smooth val="0"/>
          <c:extLst>
            <c:ext xmlns:c16="http://schemas.microsoft.com/office/drawing/2014/chart" uri="{C3380CC4-5D6E-409C-BE32-E72D297353CC}">
              <c16:uniqueId val="{00000004-B457-4DE8-9192-D9AF0F80A998}"/>
            </c:ext>
          </c:extLst>
        </c:ser>
        <c:dLbls>
          <c:showLegendKey val="0"/>
          <c:showVal val="0"/>
          <c:showCatName val="0"/>
          <c:showSerName val="0"/>
          <c:showPercent val="0"/>
          <c:showBubbleSize val="0"/>
        </c:dLbls>
        <c:marker val="1"/>
        <c:smooth val="0"/>
        <c:axId val="209413872"/>
        <c:axId val="209413312"/>
      </c:lineChart>
      <c:catAx>
        <c:axId val="209412192"/>
        <c:scaling>
          <c:orientation val="minMax"/>
        </c:scaling>
        <c:delete val="0"/>
        <c:axPos val="b"/>
        <c:majorGridlines>
          <c:spPr>
            <a:ln w="6350" cap="flat" cmpd="sng" algn="ctr">
              <a:solidFill>
                <a:srgbClr val="A6A6A6"/>
              </a:solidFill>
              <a:prstDash val="sysDash"/>
              <a:round/>
              <a:headEnd type="none" w="med" len="med"/>
              <a:tailEnd type="none" w="med" len="med"/>
            </a:ln>
            <a:effectLst/>
          </c:spPr>
        </c:majorGridlines>
        <c:numFmt formatCode="General" sourceLinked="1"/>
        <c:majorTickMark val="none"/>
        <c:minorTickMark val="none"/>
        <c:tickLblPos val="low"/>
        <c:spPr>
          <a:no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rot="-60000000" spcFirstLastPara="1" vertOverflow="ellipsis" vert="horz" wrap="square" anchor="ctr" anchorCtr="1"/>
          <a:lstStyle/>
          <a:p>
            <a:pPr>
              <a:defRPr sz="1000" b="1" i="0" u="none" strike="noStrike" kern="1200" baseline="0">
                <a:solidFill>
                  <a:srgbClr val="000000"/>
                </a:solidFill>
                <a:latin typeface="Arial Narrow" panose="020B0606020202030204" pitchFamily="34" charset="0"/>
                <a:ea typeface="+mn-ea"/>
                <a:cs typeface="+mn-cs"/>
              </a:defRPr>
            </a:pPr>
            <a:endParaRPr lang="it-IT"/>
          </a:p>
        </c:txPr>
        <c:crossAx val="209412752"/>
        <c:crosses val="autoZero"/>
        <c:auto val="1"/>
        <c:lblAlgn val="l"/>
        <c:lblOffset val="0"/>
        <c:tickMarkSkip val="3"/>
        <c:noMultiLvlLbl val="0"/>
      </c:catAx>
      <c:valAx>
        <c:axId val="209412752"/>
        <c:scaling>
          <c:orientation val="minMax"/>
          <c:max val="32000"/>
          <c:min val="8000"/>
        </c:scaling>
        <c:delete val="0"/>
        <c:axPos val="l"/>
        <c:majorGridlines>
          <c:spPr>
            <a:ln w="6350" cap="flat" cmpd="sng" algn="ctr">
              <a:solidFill>
                <a:srgbClr val="A6A6A6"/>
              </a:solidFill>
              <a:prstDash val="sysDash"/>
              <a:round/>
              <a:headEnd type="none" w="med" len="med"/>
              <a:tailEnd type="none" w="med" len="me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209412192"/>
        <c:crosses val="autoZero"/>
        <c:crossBetween val="between"/>
        <c:majorUnit val="4000"/>
        <c:dispUnits>
          <c:builtInUnit val="thousands"/>
        </c:dispUnits>
      </c:valAx>
      <c:valAx>
        <c:axId val="209413312"/>
        <c:scaling>
          <c:orientation val="minMax"/>
        </c:scaling>
        <c:delete val="1"/>
        <c:axPos val="r"/>
        <c:numFmt formatCode="General" sourceLinked="1"/>
        <c:majorTickMark val="out"/>
        <c:minorTickMark val="none"/>
        <c:tickLblPos val="nextTo"/>
        <c:crossAx val="209413872"/>
        <c:crosses val="max"/>
        <c:crossBetween val="between"/>
      </c:valAx>
      <c:catAx>
        <c:axId val="209413872"/>
        <c:scaling>
          <c:orientation val="minMax"/>
        </c:scaling>
        <c:delete val="1"/>
        <c:axPos val="t"/>
        <c:majorGridlines>
          <c:spPr>
            <a:ln w="12700" cap="flat" cmpd="sng" algn="ctr">
              <a:solidFill>
                <a:srgbClr val="A6A6A6"/>
              </a:solidFill>
              <a:prstDash val="solid"/>
              <a:round/>
              <a:headEnd type="none" w="med" len="med"/>
              <a:tailEnd type="none" w="med" len="med"/>
            </a:ln>
            <a:effectLst/>
          </c:spPr>
        </c:majorGridlines>
        <c:majorTickMark val="out"/>
        <c:minorTickMark val="none"/>
        <c:tickLblPos val="nextTo"/>
        <c:crossAx val="209413312"/>
        <c:crosses val="max"/>
        <c:auto val="1"/>
        <c:lblAlgn val="ctr"/>
        <c:lblOffset val="100"/>
        <c:tickMarkSkip val="12"/>
        <c:noMultiLvlLbl val="0"/>
      </c:catAx>
      <c:spPr>
        <a:solidFill>
          <a:srgbClr val="FFFFFF"/>
        </a:solidFill>
        <a:ln w="9525" cap="flat" cmpd="sng" algn="ctr">
          <a:solidFill>
            <a:schemeClr val="bg1">
              <a:lumMod val="85000"/>
            </a:schemeClr>
          </a:solidFill>
          <a:prstDash val="solid"/>
          <a:round/>
          <a:headEnd type="none" w="med" len="med"/>
          <a:tailEnd type="none" w="med" len="med"/>
        </a:ln>
        <a:effectLst/>
      </c:spPr>
    </c:plotArea>
    <c:legend>
      <c:legendPos val="t"/>
      <c:legendEntry>
        <c:idx val="4"/>
        <c:delete val="1"/>
      </c:legendEntry>
      <c:layout>
        <c:manualLayout>
          <c:xMode val="edge"/>
          <c:yMode val="edge"/>
          <c:x val="0.17755877059552952"/>
          <c:y val="0"/>
          <c:w val="0.63421706965332536"/>
          <c:h val="8.9783713000070306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legend>
    <c:plotVisOnly val="1"/>
    <c:dispBlanksAs val="gap"/>
    <c:showDLblsOverMax val="0"/>
  </c:chart>
  <c:spPr>
    <a:solidFill>
      <a:srgbClr val="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solidFill>
            <a:srgbClr val="000000"/>
          </a:solidFill>
          <a:latin typeface="Arial Narrow" panose="020B0606020202030204" pitchFamily="34" charset="0"/>
        </a:defRPr>
      </a:pPr>
      <a:endParaRPr lang="it-I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409703152988609E-2"/>
          <c:y val="0.11942609975251388"/>
          <c:w val="0.92470376179061697"/>
          <c:h val="0.76081558939600014"/>
        </c:manualLayout>
      </c:layout>
      <c:lineChart>
        <c:grouping val="standard"/>
        <c:varyColors val="0"/>
        <c:ser>
          <c:idx val="5"/>
          <c:order val="0"/>
          <c:tx>
            <c:strRef>
              <c:f>'figure 2 e 3 '!$C$4</c:f>
              <c:strCache>
                <c:ptCount val="1"/>
                <c:pt idx="0">
                  <c:v>esportazioni</c:v>
                </c:pt>
              </c:strCache>
            </c:strRef>
          </c:tx>
          <c:spPr>
            <a:ln w="12700" cap="rnd" cmpd="sng" algn="ctr">
              <a:solidFill>
                <a:srgbClr val="003B5C"/>
              </a:solidFill>
              <a:prstDash val="sysDash"/>
              <a:round/>
              <a:headEnd type="none" w="med" len="med"/>
              <a:tailEnd type="none" w="med" len="med"/>
            </a:ln>
            <a:effectLst/>
          </c:spPr>
          <c:marker>
            <c:symbol val="none"/>
          </c:marker>
          <c:cat>
            <c:numRef>
              <c:f>'figure 2 e 3 '!$B$67:$B$138</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'figure 2 e 3 '!$G$67:$G$138</c:f>
              <c:numCache>
                <c:formatCode>0</c:formatCode>
                <c:ptCount val="72"/>
                <c:pt idx="0">
                  <c:v>18532</c:v>
                </c:pt>
                <c:pt idx="1">
                  <c:v>17912</c:v>
                </c:pt>
                <c:pt idx="2">
                  <c:v>19007</c:v>
                </c:pt>
                <c:pt idx="3">
                  <c:v>17965</c:v>
                </c:pt>
                <c:pt idx="4">
                  <c:v>18478</c:v>
                </c:pt>
                <c:pt idx="5">
                  <c:v>18219</c:v>
                </c:pt>
                <c:pt idx="6">
                  <c:v>18178</c:v>
                </c:pt>
                <c:pt idx="7">
                  <c:v>18700</c:v>
                </c:pt>
                <c:pt idx="8">
                  <c:v>18818</c:v>
                </c:pt>
                <c:pt idx="9">
                  <c:v>18357</c:v>
                </c:pt>
                <c:pt idx="10">
                  <c:v>19492</c:v>
                </c:pt>
                <c:pt idx="11">
                  <c:v>19755</c:v>
                </c:pt>
                <c:pt idx="12">
                  <c:v>18328</c:v>
                </c:pt>
                <c:pt idx="13">
                  <c:v>17997</c:v>
                </c:pt>
                <c:pt idx="14">
                  <c:v>18721</c:v>
                </c:pt>
                <c:pt idx="15">
                  <c:v>18595</c:v>
                </c:pt>
                <c:pt idx="16">
                  <c:v>18142</c:v>
                </c:pt>
                <c:pt idx="17">
                  <c:v>19526</c:v>
                </c:pt>
                <c:pt idx="18">
                  <c:v>18979</c:v>
                </c:pt>
                <c:pt idx="19">
                  <c:v>19349</c:v>
                </c:pt>
                <c:pt idx="20">
                  <c:v>18423</c:v>
                </c:pt>
                <c:pt idx="21">
                  <c:v>19444</c:v>
                </c:pt>
                <c:pt idx="22">
                  <c:v>19777</c:v>
                </c:pt>
                <c:pt idx="23">
                  <c:v>18761</c:v>
                </c:pt>
                <c:pt idx="24">
                  <c:v>19614</c:v>
                </c:pt>
                <c:pt idx="25">
                  <c:v>19269</c:v>
                </c:pt>
                <c:pt idx="26">
                  <c:v>19561</c:v>
                </c:pt>
                <c:pt idx="27">
                  <c:v>19063</c:v>
                </c:pt>
                <c:pt idx="28">
                  <c:v>19433</c:v>
                </c:pt>
                <c:pt idx="29">
                  <c:v>20086</c:v>
                </c:pt>
                <c:pt idx="30">
                  <c:v>19627</c:v>
                </c:pt>
                <c:pt idx="31">
                  <c:v>19519</c:v>
                </c:pt>
                <c:pt idx="32">
                  <c:v>19887</c:v>
                </c:pt>
                <c:pt idx="33">
                  <c:v>20957</c:v>
                </c:pt>
                <c:pt idx="34">
                  <c:v>19037</c:v>
                </c:pt>
                <c:pt idx="35">
                  <c:v>19629</c:v>
                </c:pt>
                <c:pt idx="36">
                  <c:v>20245</c:v>
                </c:pt>
                <c:pt idx="37">
                  <c:v>20162</c:v>
                </c:pt>
                <c:pt idx="38">
                  <c:v>16451</c:v>
                </c:pt>
                <c:pt idx="39">
                  <c:v>10186</c:v>
                </c:pt>
                <c:pt idx="40">
                  <c:v>14206</c:v>
                </c:pt>
                <c:pt idx="41">
                  <c:v>16575</c:v>
                </c:pt>
                <c:pt idx="42">
                  <c:v>18058</c:v>
                </c:pt>
                <c:pt idx="43">
                  <c:v>18095</c:v>
                </c:pt>
                <c:pt idx="44">
                  <c:v>19379</c:v>
                </c:pt>
                <c:pt idx="45">
                  <c:v>19118</c:v>
                </c:pt>
                <c:pt idx="46">
                  <c:v>19821</c:v>
                </c:pt>
                <c:pt idx="47">
                  <c:v>19070</c:v>
                </c:pt>
                <c:pt idx="48">
                  <c:v>19121</c:v>
                </c:pt>
                <c:pt idx="49">
                  <c:v>18867</c:v>
                </c:pt>
                <c:pt idx="50">
                  <c:v>19339</c:v>
                </c:pt>
                <c:pt idx="51">
                  <c:v>20838</c:v>
                </c:pt>
                <c:pt idx="52">
                  <c:v>19932</c:v>
                </c:pt>
                <c:pt idx="53">
                  <c:v>20162</c:v>
                </c:pt>
                <c:pt idx="54">
                  <c:v>21779</c:v>
                </c:pt>
                <c:pt idx="55">
                  <c:v>20743</c:v>
                </c:pt>
                <c:pt idx="56">
                  <c:v>20308</c:v>
                </c:pt>
                <c:pt idx="57">
                  <c:v>20883</c:v>
                </c:pt>
                <c:pt idx="58">
                  <c:v>21560</c:v>
                </c:pt>
                <c:pt idx="59">
                  <c:v>21156</c:v>
                </c:pt>
                <c:pt idx="60">
                  <c:v>22437</c:v>
                </c:pt>
                <c:pt idx="61">
                  <c:v>22901</c:v>
                </c:pt>
                <c:pt idx="62">
                  <c:v>23420</c:v>
                </c:pt>
                <c:pt idx="63">
                  <c:v>23879</c:v>
                </c:pt>
                <c:pt idx="64">
                  <c:v>25000</c:v>
                </c:pt>
                <c:pt idx="65">
                  <c:v>24663</c:v>
                </c:pt>
                <c:pt idx="66">
                  <c:v>26073</c:v>
                </c:pt>
                <c:pt idx="67">
                  <c:v>24293</c:v>
                </c:pt>
                <c:pt idx="68">
                  <c:v>25742</c:v>
                </c:pt>
              </c:numCache>
            </c:numRef>
          </c:val>
          <c:smooth val="0"/>
          <c:extLst>
            <c:ext xmlns:c16="http://schemas.microsoft.com/office/drawing/2014/chart" uri="{C3380CC4-5D6E-409C-BE32-E72D297353CC}">
              <c16:uniqueId val="{00000000-83CA-49EA-A0A7-3913BEC62AC0}"/>
            </c:ext>
          </c:extLst>
        </c:ser>
        <c:ser>
          <c:idx val="7"/>
          <c:order val="1"/>
          <c:tx>
            <c:strRef>
              <c:f>'figure 2 e 3 '!$E$4</c:f>
              <c:strCache>
                <c:ptCount val="1"/>
                <c:pt idx="0">
                  <c:v>mm3mesi export</c:v>
                </c:pt>
              </c:strCache>
            </c:strRef>
          </c:tx>
          <c:spPr>
            <a:ln w="28575" cap="rnd" cmpd="sng" algn="ctr">
              <a:solidFill>
                <a:srgbClr val="003B5C"/>
              </a:solidFill>
              <a:prstDash val="solid"/>
              <a:round/>
              <a:headEnd type="none" w="med" len="med"/>
              <a:tailEnd type="none" w="med" len="med"/>
            </a:ln>
            <a:effectLst/>
          </c:spPr>
          <c:marker>
            <c:symbol val="none"/>
          </c:marker>
          <c:cat>
            <c:numRef>
              <c:f>'figure 2 e 3 '!$B$67:$B$138</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'figure 2 e 3 '!$I$67:$I$138</c:f>
              <c:numCache>
                <c:formatCode>0</c:formatCode>
                <c:ptCount val="72"/>
                <c:pt idx="0">
                  <c:v>18235</c:v>
                </c:pt>
                <c:pt idx="1">
                  <c:v>18483.666666666668</c:v>
                </c:pt>
                <c:pt idx="2">
                  <c:v>18294.666666666668</c:v>
                </c:pt>
                <c:pt idx="3">
                  <c:v>18483.333333333332</c:v>
                </c:pt>
                <c:pt idx="4">
                  <c:v>18220.666666666668</c:v>
                </c:pt>
                <c:pt idx="5">
                  <c:v>18291.666666666668</c:v>
                </c:pt>
                <c:pt idx="6">
                  <c:v>18365.666666666668</c:v>
                </c:pt>
                <c:pt idx="7">
                  <c:v>18565.333333333332</c:v>
                </c:pt>
                <c:pt idx="8">
                  <c:v>18625</c:v>
                </c:pt>
                <c:pt idx="9">
                  <c:v>18889</c:v>
                </c:pt>
                <c:pt idx="10">
                  <c:v>19201.333333333332</c:v>
                </c:pt>
                <c:pt idx="11">
                  <c:v>19191.666666666668</c:v>
                </c:pt>
                <c:pt idx="12">
                  <c:v>18693.333333333332</c:v>
                </c:pt>
                <c:pt idx="13">
                  <c:v>18348.666666666668</c:v>
                </c:pt>
                <c:pt idx="14">
                  <c:v>18437.666666666668</c:v>
                </c:pt>
                <c:pt idx="15">
                  <c:v>18486</c:v>
                </c:pt>
                <c:pt idx="16">
                  <c:v>18754.333333333332</c:v>
                </c:pt>
                <c:pt idx="17">
                  <c:v>18882.333333333332</c:v>
                </c:pt>
                <c:pt idx="18">
                  <c:v>19284.666666666668</c:v>
                </c:pt>
                <c:pt idx="19">
                  <c:v>18917</c:v>
                </c:pt>
                <c:pt idx="20">
                  <c:v>19072</c:v>
                </c:pt>
                <c:pt idx="21">
                  <c:v>19214.666666666668</c:v>
                </c:pt>
                <c:pt idx="22">
                  <c:v>19327.333333333332</c:v>
                </c:pt>
                <c:pt idx="23">
                  <c:v>19384</c:v>
                </c:pt>
                <c:pt idx="24">
                  <c:v>19214.666666666668</c:v>
                </c:pt>
                <c:pt idx="25">
                  <c:v>19481.333333333332</c:v>
                </c:pt>
                <c:pt idx="26">
                  <c:v>19297.666666666668</c:v>
                </c:pt>
                <c:pt idx="27">
                  <c:v>19352.333333333332</c:v>
                </c:pt>
                <c:pt idx="28">
                  <c:v>19527.333333333332</c:v>
                </c:pt>
                <c:pt idx="29">
                  <c:v>19715.333333333332</c:v>
                </c:pt>
                <c:pt idx="30">
                  <c:v>19744</c:v>
                </c:pt>
                <c:pt idx="31">
                  <c:v>19677.666666666668</c:v>
                </c:pt>
                <c:pt idx="32">
                  <c:v>20121</c:v>
                </c:pt>
                <c:pt idx="33">
                  <c:v>19960.333333333332</c:v>
                </c:pt>
                <c:pt idx="34">
                  <c:v>19874.333333333332</c:v>
                </c:pt>
                <c:pt idx="35">
                  <c:v>19637</c:v>
                </c:pt>
                <c:pt idx="36">
                  <c:v>20012</c:v>
                </c:pt>
                <c:pt idx="37">
                  <c:v>18952.666666666668</c:v>
                </c:pt>
                <c:pt idx="38">
                  <c:v>15599.666666666666</c:v>
                </c:pt>
                <c:pt idx="39">
                  <c:v>13614.333333333334</c:v>
                </c:pt>
                <c:pt idx="40">
                  <c:v>13655.666666666666</c:v>
                </c:pt>
                <c:pt idx="41">
                  <c:v>16279.666666666666</c:v>
                </c:pt>
                <c:pt idx="42">
                  <c:v>17576</c:v>
                </c:pt>
                <c:pt idx="43">
                  <c:v>18510.666666666668</c:v>
                </c:pt>
                <c:pt idx="44">
                  <c:v>18864</c:v>
                </c:pt>
                <c:pt idx="45">
                  <c:v>19439.333333333332</c:v>
                </c:pt>
                <c:pt idx="46">
                  <c:v>19336.333333333332</c:v>
                </c:pt>
                <c:pt idx="47">
                  <c:v>19337.333333333332</c:v>
                </c:pt>
                <c:pt idx="48">
                  <c:v>19019.333333333332</c:v>
                </c:pt>
                <c:pt idx="49">
                  <c:v>19109</c:v>
                </c:pt>
                <c:pt idx="50">
                  <c:v>19681.333333333332</c:v>
                </c:pt>
                <c:pt idx="51">
                  <c:v>20036.333333333332</c:v>
                </c:pt>
                <c:pt idx="52">
                  <c:v>20310.666666666668</c:v>
                </c:pt>
                <c:pt idx="53">
                  <c:v>20624.333333333332</c:v>
                </c:pt>
                <c:pt idx="54">
                  <c:v>20894.666666666668</c:v>
                </c:pt>
                <c:pt idx="55">
                  <c:v>20943.333333333332</c:v>
                </c:pt>
                <c:pt idx="56">
                  <c:v>20644.666666666668</c:v>
                </c:pt>
                <c:pt idx="57">
                  <c:v>20917</c:v>
                </c:pt>
                <c:pt idx="58">
                  <c:v>21199.666666666668</c:v>
                </c:pt>
                <c:pt idx="59">
                  <c:v>21717.666666666668</c:v>
                </c:pt>
                <c:pt idx="60">
                  <c:v>22164.666666666668</c:v>
                </c:pt>
                <c:pt idx="61">
                  <c:v>22919.333333333332</c:v>
                </c:pt>
                <c:pt idx="62">
                  <c:v>23400</c:v>
                </c:pt>
                <c:pt idx="63">
                  <c:v>24099.666666666668</c:v>
                </c:pt>
                <c:pt idx="64">
                  <c:v>24514</c:v>
                </c:pt>
                <c:pt idx="65">
                  <c:v>25245.333333333332</c:v>
                </c:pt>
                <c:pt idx="66">
                  <c:v>25009.666666666668</c:v>
                </c:pt>
                <c:pt idx="67">
                  <c:v>25369.333333333332</c:v>
                </c:pt>
              </c:numCache>
            </c:numRef>
          </c:val>
          <c:smooth val="0"/>
          <c:extLst>
            <c:ext xmlns:c16="http://schemas.microsoft.com/office/drawing/2014/chart" uri="{C3380CC4-5D6E-409C-BE32-E72D297353CC}">
              <c16:uniqueId val="{00000001-83CA-49EA-A0A7-3913BEC62AC0}"/>
            </c:ext>
          </c:extLst>
        </c:ser>
        <c:ser>
          <c:idx val="9"/>
          <c:order val="2"/>
          <c:spPr>
            <a:ln w="28575" cap="rnd">
              <a:solidFill>
                <a:srgbClr val="FFFFFF"/>
              </a:solidFill>
              <a:round/>
            </a:ln>
            <a:effectLst/>
          </c:spPr>
          <c:marker>
            <c:symbol val="none"/>
          </c:marker>
          <c:cat>
            <c:numRef>
              <c:f>'figure 2 e 3 '!$B$67:$B$138</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'figure 2 e 3 '!$FO$1:$FO$74</c:f>
              <c:numCache>
                <c:formatCode>General</c:formatCode>
                <c:ptCount val="74"/>
              </c:numCache>
            </c:numRef>
          </c:val>
          <c:smooth val="0"/>
          <c:extLst>
            <c:ext xmlns:c16="http://schemas.microsoft.com/office/drawing/2014/chart" uri="{C3380CC4-5D6E-409C-BE32-E72D297353CC}">
              <c16:uniqueId val="{00000002-83CA-49EA-A0A7-3913BEC62AC0}"/>
            </c:ext>
          </c:extLst>
        </c:ser>
        <c:ser>
          <c:idx val="1"/>
          <c:order val="3"/>
          <c:tx>
            <c:strRef>
              <c:f>'figure 2 e 3 '!$D$4</c:f>
              <c:strCache>
                <c:ptCount val="1"/>
                <c:pt idx="0">
                  <c:v>importazioni</c:v>
                </c:pt>
              </c:strCache>
            </c:strRef>
          </c:tx>
          <c:spPr>
            <a:ln w="12700" cap="rnd" cmpd="sng" algn="ctr">
              <a:solidFill>
                <a:srgbClr val="D22630"/>
              </a:solidFill>
              <a:prstDash val="sysDash"/>
              <a:round/>
              <a:headEnd type="none" w="med" len="med"/>
              <a:tailEnd type="none" w="med" len="med"/>
            </a:ln>
            <a:effectLst/>
          </c:spPr>
          <c:marker>
            <c:symbol val="none"/>
          </c:marker>
          <c:cat>
            <c:numRef>
              <c:f>'figure 2 e 3 '!$B$67:$B$138</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'figure 2 e 3 '!$H$67:$H$138</c:f>
              <c:numCache>
                <c:formatCode>0</c:formatCode>
                <c:ptCount val="72"/>
                <c:pt idx="0">
                  <c:v>14595</c:v>
                </c:pt>
                <c:pt idx="1">
                  <c:v>14657</c:v>
                </c:pt>
                <c:pt idx="2">
                  <c:v>14563</c:v>
                </c:pt>
                <c:pt idx="3">
                  <c:v>14361</c:v>
                </c:pt>
                <c:pt idx="4">
                  <c:v>15041</c:v>
                </c:pt>
                <c:pt idx="5">
                  <c:v>14342</c:v>
                </c:pt>
                <c:pt idx="6">
                  <c:v>13966</c:v>
                </c:pt>
                <c:pt idx="7">
                  <c:v>14211</c:v>
                </c:pt>
                <c:pt idx="8">
                  <c:v>13518</c:v>
                </c:pt>
                <c:pt idx="9">
                  <c:v>13928</c:v>
                </c:pt>
                <c:pt idx="10">
                  <c:v>14739</c:v>
                </c:pt>
                <c:pt idx="11">
                  <c:v>14954</c:v>
                </c:pt>
                <c:pt idx="12">
                  <c:v>14239</c:v>
                </c:pt>
                <c:pt idx="13">
                  <c:v>14656</c:v>
                </c:pt>
                <c:pt idx="14">
                  <c:v>14921</c:v>
                </c:pt>
                <c:pt idx="15">
                  <c:v>15469</c:v>
                </c:pt>
                <c:pt idx="16">
                  <c:v>15463</c:v>
                </c:pt>
                <c:pt idx="17">
                  <c:v>15600</c:v>
                </c:pt>
                <c:pt idx="18">
                  <c:v>15902</c:v>
                </c:pt>
                <c:pt idx="19">
                  <c:v>15732</c:v>
                </c:pt>
                <c:pt idx="20">
                  <c:v>16330</c:v>
                </c:pt>
                <c:pt idx="21">
                  <c:v>16495</c:v>
                </c:pt>
                <c:pt idx="22">
                  <c:v>16222</c:v>
                </c:pt>
                <c:pt idx="23">
                  <c:v>15982</c:v>
                </c:pt>
                <c:pt idx="24">
                  <c:v>15232</c:v>
                </c:pt>
                <c:pt idx="25">
                  <c:v>15218</c:v>
                </c:pt>
                <c:pt idx="26">
                  <c:v>15460</c:v>
                </c:pt>
                <c:pt idx="27">
                  <c:v>15452</c:v>
                </c:pt>
                <c:pt idx="28">
                  <c:v>15903</c:v>
                </c:pt>
                <c:pt idx="29">
                  <c:v>15557</c:v>
                </c:pt>
                <c:pt idx="30">
                  <c:v>15406</c:v>
                </c:pt>
                <c:pt idx="31">
                  <c:v>15087</c:v>
                </c:pt>
                <c:pt idx="32">
                  <c:v>15691</c:v>
                </c:pt>
                <c:pt idx="33">
                  <c:v>14772</c:v>
                </c:pt>
                <c:pt idx="34">
                  <c:v>14508</c:v>
                </c:pt>
                <c:pt idx="35">
                  <c:v>14531</c:v>
                </c:pt>
                <c:pt idx="36">
                  <c:v>15606</c:v>
                </c:pt>
                <c:pt idx="37">
                  <c:v>14275</c:v>
                </c:pt>
                <c:pt idx="38">
                  <c:v>11898</c:v>
                </c:pt>
                <c:pt idx="39">
                  <c:v>10329</c:v>
                </c:pt>
                <c:pt idx="40">
                  <c:v>10565</c:v>
                </c:pt>
                <c:pt idx="41">
                  <c:v>12410</c:v>
                </c:pt>
                <c:pt idx="42">
                  <c:v>12985</c:v>
                </c:pt>
                <c:pt idx="43">
                  <c:v>12916</c:v>
                </c:pt>
                <c:pt idx="44">
                  <c:v>12991</c:v>
                </c:pt>
                <c:pt idx="45">
                  <c:v>13438</c:v>
                </c:pt>
                <c:pt idx="46">
                  <c:v>13926</c:v>
                </c:pt>
                <c:pt idx="47">
                  <c:v>13574</c:v>
                </c:pt>
                <c:pt idx="48">
                  <c:v>13651</c:v>
                </c:pt>
                <c:pt idx="49">
                  <c:v>14269</c:v>
                </c:pt>
                <c:pt idx="50">
                  <c:v>15364</c:v>
                </c:pt>
                <c:pt idx="51">
                  <c:v>16273</c:v>
                </c:pt>
                <c:pt idx="52">
                  <c:v>16105</c:v>
                </c:pt>
                <c:pt idx="53">
                  <c:v>16284</c:v>
                </c:pt>
                <c:pt idx="54">
                  <c:v>17040</c:v>
                </c:pt>
                <c:pt idx="55">
                  <c:v>18187</c:v>
                </c:pt>
                <c:pt idx="56">
                  <c:v>18773</c:v>
                </c:pt>
                <c:pt idx="57">
                  <c:v>19915</c:v>
                </c:pt>
                <c:pt idx="58">
                  <c:v>20412</c:v>
                </c:pt>
                <c:pt idx="59">
                  <c:v>21803</c:v>
                </c:pt>
                <c:pt idx="60">
                  <c:v>22798</c:v>
                </c:pt>
                <c:pt idx="61">
                  <c:v>23759</c:v>
                </c:pt>
                <c:pt idx="62">
                  <c:v>24946</c:v>
                </c:pt>
                <c:pt idx="63">
                  <c:v>26603</c:v>
                </c:pt>
                <c:pt idx="64">
                  <c:v>26098</c:v>
                </c:pt>
                <c:pt idx="65">
                  <c:v>28595</c:v>
                </c:pt>
                <c:pt idx="66">
                  <c:v>29827</c:v>
                </c:pt>
                <c:pt idx="67">
                  <c:v>30345</c:v>
                </c:pt>
                <c:pt idx="68">
                  <c:v>30535</c:v>
                </c:pt>
              </c:numCache>
            </c:numRef>
          </c:val>
          <c:smooth val="0"/>
          <c:extLst>
            <c:ext xmlns:c16="http://schemas.microsoft.com/office/drawing/2014/chart" uri="{C3380CC4-5D6E-409C-BE32-E72D297353CC}">
              <c16:uniqueId val="{00000003-83CA-49EA-A0A7-3913BEC62AC0}"/>
            </c:ext>
          </c:extLst>
        </c:ser>
        <c:ser>
          <c:idx val="3"/>
          <c:order val="4"/>
          <c:tx>
            <c:strRef>
              <c:f>'figure 2 e 3 '!$F$4</c:f>
              <c:strCache>
                <c:ptCount val="1"/>
                <c:pt idx="0">
                  <c:v>mm3mesi import</c:v>
                </c:pt>
              </c:strCache>
            </c:strRef>
          </c:tx>
          <c:spPr>
            <a:ln w="28575" cap="rnd" cmpd="sng" algn="ctr">
              <a:solidFill>
                <a:srgbClr val="D22630"/>
              </a:solidFill>
              <a:prstDash val="solid"/>
              <a:round/>
              <a:headEnd type="none" w="med" len="med"/>
              <a:tailEnd type="none" w="med" len="med"/>
            </a:ln>
            <a:effectLst/>
          </c:spPr>
          <c:marker>
            <c:symbol val="none"/>
          </c:marker>
          <c:cat>
            <c:numRef>
              <c:f>'figure 2 e 3 '!$B$67:$B$138</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'figure 2 e 3 '!$J$67:$J$138</c:f>
              <c:numCache>
                <c:formatCode>0</c:formatCode>
                <c:ptCount val="72"/>
                <c:pt idx="0">
                  <c:v>14461</c:v>
                </c:pt>
                <c:pt idx="1">
                  <c:v>14605</c:v>
                </c:pt>
                <c:pt idx="2">
                  <c:v>14527</c:v>
                </c:pt>
                <c:pt idx="3">
                  <c:v>14655</c:v>
                </c:pt>
                <c:pt idx="4">
                  <c:v>14581.333333333334</c:v>
                </c:pt>
                <c:pt idx="5">
                  <c:v>14449.666666666666</c:v>
                </c:pt>
                <c:pt idx="6">
                  <c:v>14173</c:v>
                </c:pt>
                <c:pt idx="7">
                  <c:v>13898.333333333334</c:v>
                </c:pt>
                <c:pt idx="8">
                  <c:v>13885.666666666666</c:v>
                </c:pt>
                <c:pt idx="9">
                  <c:v>14061.666666666666</c:v>
                </c:pt>
                <c:pt idx="10">
                  <c:v>14540.333333333334</c:v>
                </c:pt>
                <c:pt idx="11">
                  <c:v>14644</c:v>
                </c:pt>
                <c:pt idx="12">
                  <c:v>14616.333333333334</c:v>
                </c:pt>
                <c:pt idx="13">
                  <c:v>14605.333333333334</c:v>
                </c:pt>
                <c:pt idx="14">
                  <c:v>15015.333333333334</c:v>
                </c:pt>
                <c:pt idx="15">
                  <c:v>15284.333333333334</c:v>
                </c:pt>
                <c:pt idx="16">
                  <c:v>15510.666666666666</c:v>
                </c:pt>
                <c:pt idx="17">
                  <c:v>15655</c:v>
                </c:pt>
                <c:pt idx="18">
                  <c:v>15744.666666666666</c:v>
                </c:pt>
                <c:pt idx="19">
                  <c:v>15988</c:v>
                </c:pt>
                <c:pt idx="20">
                  <c:v>16185.666666666666</c:v>
                </c:pt>
                <c:pt idx="21">
                  <c:v>16349</c:v>
                </c:pt>
                <c:pt idx="22">
                  <c:v>16233</c:v>
                </c:pt>
                <c:pt idx="23">
                  <c:v>15812</c:v>
                </c:pt>
                <c:pt idx="24">
                  <c:v>15477.333333333334</c:v>
                </c:pt>
                <c:pt idx="25">
                  <c:v>15303.333333333334</c:v>
                </c:pt>
                <c:pt idx="26">
                  <c:v>15376.666666666666</c:v>
                </c:pt>
                <c:pt idx="27">
                  <c:v>15605</c:v>
                </c:pt>
                <c:pt idx="28">
                  <c:v>15637.333333333334</c:v>
                </c:pt>
                <c:pt idx="29">
                  <c:v>15622</c:v>
                </c:pt>
                <c:pt idx="30">
                  <c:v>15350</c:v>
                </c:pt>
                <c:pt idx="31">
                  <c:v>15394.666666666666</c:v>
                </c:pt>
                <c:pt idx="32">
                  <c:v>15183.333333333334</c:v>
                </c:pt>
                <c:pt idx="33">
                  <c:v>14990.333333333334</c:v>
                </c:pt>
                <c:pt idx="34">
                  <c:v>14603.666666666666</c:v>
                </c:pt>
                <c:pt idx="35">
                  <c:v>14881.666666666666</c:v>
                </c:pt>
                <c:pt idx="36">
                  <c:v>14804</c:v>
                </c:pt>
                <c:pt idx="37">
                  <c:v>13926.333333333334</c:v>
                </c:pt>
                <c:pt idx="38">
                  <c:v>12167.333333333334</c:v>
                </c:pt>
                <c:pt idx="39">
                  <c:v>10930.666666666666</c:v>
                </c:pt>
                <c:pt idx="40">
                  <c:v>11101.333333333334</c:v>
                </c:pt>
                <c:pt idx="41">
                  <c:v>11986.666666666666</c:v>
                </c:pt>
                <c:pt idx="42">
                  <c:v>12770.333333333334</c:v>
                </c:pt>
                <c:pt idx="43">
                  <c:v>12964</c:v>
                </c:pt>
                <c:pt idx="44">
                  <c:v>13115</c:v>
                </c:pt>
                <c:pt idx="45">
                  <c:v>13451.666666666666</c:v>
                </c:pt>
                <c:pt idx="46">
                  <c:v>13646</c:v>
                </c:pt>
                <c:pt idx="47">
                  <c:v>13717</c:v>
                </c:pt>
                <c:pt idx="48">
                  <c:v>13831.333333333334</c:v>
                </c:pt>
                <c:pt idx="49">
                  <c:v>14428</c:v>
                </c:pt>
                <c:pt idx="50">
                  <c:v>15302</c:v>
                </c:pt>
                <c:pt idx="51">
                  <c:v>15914</c:v>
                </c:pt>
                <c:pt idx="52">
                  <c:v>16220.666666666666</c:v>
                </c:pt>
                <c:pt idx="53">
                  <c:v>16476.333333333332</c:v>
                </c:pt>
                <c:pt idx="54">
                  <c:v>17170.333333333332</c:v>
                </c:pt>
                <c:pt idx="55">
                  <c:v>18000</c:v>
                </c:pt>
                <c:pt idx="56">
                  <c:v>18958.333333333332</c:v>
                </c:pt>
                <c:pt idx="57">
                  <c:v>19700</c:v>
                </c:pt>
                <c:pt idx="58">
                  <c:v>20710</c:v>
                </c:pt>
                <c:pt idx="59">
                  <c:v>21671</c:v>
                </c:pt>
                <c:pt idx="60">
                  <c:v>22786.666666666668</c:v>
                </c:pt>
                <c:pt idx="61">
                  <c:v>23834.333333333332</c:v>
                </c:pt>
                <c:pt idx="62">
                  <c:v>25102.666666666668</c:v>
                </c:pt>
                <c:pt idx="63">
                  <c:v>25882.333333333332</c:v>
                </c:pt>
                <c:pt idx="64">
                  <c:v>27098.666666666668</c:v>
                </c:pt>
                <c:pt idx="65">
                  <c:v>28173.333333333332</c:v>
                </c:pt>
                <c:pt idx="66">
                  <c:v>29589</c:v>
                </c:pt>
                <c:pt idx="67">
                  <c:v>30235.666666666668</c:v>
                </c:pt>
              </c:numCache>
            </c:numRef>
          </c:val>
          <c:smooth val="0"/>
          <c:extLst>
            <c:ext xmlns:c16="http://schemas.microsoft.com/office/drawing/2014/chart" uri="{C3380CC4-5D6E-409C-BE32-E72D297353CC}">
              <c16:uniqueId val="{00000004-83CA-49EA-A0A7-3913BEC62AC0}"/>
            </c:ext>
          </c:extLst>
        </c:ser>
        <c:dLbls>
          <c:showLegendKey val="0"/>
          <c:showVal val="0"/>
          <c:showCatName val="0"/>
          <c:showSerName val="0"/>
          <c:showPercent val="0"/>
          <c:showBubbleSize val="0"/>
        </c:dLbls>
        <c:marker val="1"/>
        <c:smooth val="0"/>
        <c:axId val="209418912"/>
        <c:axId val="209419472"/>
      </c:lineChart>
      <c:lineChart>
        <c:grouping val="standard"/>
        <c:varyColors val="0"/>
        <c:ser>
          <c:idx val="4"/>
          <c:order val="5"/>
          <c:spPr>
            <a:ln w="28575" cap="rnd">
              <a:solidFill>
                <a:srgbClr val="FFFFFF"/>
              </a:solidFill>
              <a:round/>
            </a:ln>
            <a:effectLst/>
          </c:spPr>
          <c:marker>
            <c:symbol val="none"/>
          </c:marker>
          <c:val>
            <c:numRef>
              <c:f>'figure 2 e 3 '!$FO$1:$FO$74</c:f>
              <c:numCache>
                <c:formatCode>General</c:formatCode>
                <c:ptCount val="74"/>
              </c:numCache>
            </c:numRef>
          </c:val>
          <c:smooth val="0"/>
          <c:extLst>
            <c:ext xmlns:c16="http://schemas.microsoft.com/office/drawing/2014/chart" uri="{C3380CC4-5D6E-409C-BE32-E72D297353CC}">
              <c16:uniqueId val="{00000005-83CA-49EA-A0A7-3913BEC62AC0}"/>
            </c:ext>
          </c:extLst>
        </c:ser>
        <c:dLbls>
          <c:showLegendKey val="0"/>
          <c:showVal val="0"/>
          <c:showCatName val="0"/>
          <c:showSerName val="0"/>
          <c:showPercent val="0"/>
          <c:showBubbleSize val="0"/>
        </c:dLbls>
        <c:marker val="1"/>
        <c:smooth val="0"/>
        <c:axId val="209420592"/>
        <c:axId val="209420032"/>
      </c:lineChart>
      <c:catAx>
        <c:axId val="209418912"/>
        <c:scaling>
          <c:orientation val="minMax"/>
        </c:scaling>
        <c:delete val="0"/>
        <c:axPos val="b"/>
        <c:majorGridlines>
          <c:spPr>
            <a:ln w="6350" cap="flat" cmpd="sng" algn="ctr">
              <a:solidFill>
                <a:srgbClr val="A6A6A6"/>
              </a:solidFill>
              <a:prstDash val="sysDash"/>
              <a:round/>
              <a:headEnd type="none" w="med" len="med"/>
              <a:tailEnd type="none" w="med" len="med"/>
            </a:ln>
            <a:effectLst/>
          </c:spPr>
        </c:majorGridlines>
        <c:numFmt formatCode="General" sourceLinked="1"/>
        <c:majorTickMark val="none"/>
        <c:minorTickMark val="none"/>
        <c:tickLblPos val="low"/>
        <c:spPr>
          <a:no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rot="-60000000" spcFirstLastPara="1" vertOverflow="ellipsis" vert="horz" wrap="square" anchor="ctr" anchorCtr="1"/>
          <a:lstStyle/>
          <a:p>
            <a:pPr>
              <a:defRPr sz="1000" b="1" i="0" u="none" strike="noStrike" kern="1200" baseline="0">
                <a:solidFill>
                  <a:srgbClr val="000000"/>
                </a:solidFill>
                <a:latin typeface="Arial Narrow" panose="020B0606020202030204" pitchFamily="34" charset="0"/>
                <a:ea typeface="+mn-ea"/>
                <a:cs typeface="+mn-cs"/>
              </a:defRPr>
            </a:pPr>
            <a:endParaRPr lang="it-IT"/>
          </a:p>
        </c:txPr>
        <c:crossAx val="209419472"/>
        <c:crosses val="autoZero"/>
        <c:auto val="1"/>
        <c:lblAlgn val="l"/>
        <c:lblOffset val="0"/>
        <c:tickMarkSkip val="3"/>
        <c:noMultiLvlLbl val="0"/>
      </c:catAx>
      <c:valAx>
        <c:axId val="209419472"/>
        <c:scaling>
          <c:orientation val="minMax"/>
          <c:max val="32000"/>
          <c:min val="8000"/>
        </c:scaling>
        <c:delete val="0"/>
        <c:axPos val="l"/>
        <c:majorGridlines>
          <c:spPr>
            <a:ln w="6350" cap="flat" cmpd="sng" algn="ctr">
              <a:solidFill>
                <a:srgbClr val="A6A6A6"/>
              </a:solidFill>
              <a:prstDash val="sysDash"/>
              <a:round/>
              <a:headEnd type="none" w="med" len="med"/>
              <a:tailEnd type="none" w="med" len="me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209418912"/>
        <c:crosses val="autoZero"/>
        <c:crossBetween val="between"/>
        <c:majorUnit val="4000"/>
        <c:dispUnits>
          <c:builtInUnit val="thousands"/>
        </c:dispUnits>
      </c:valAx>
      <c:valAx>
        <c:axId val="209420032"/>
        <c:scaling>
          <c:orientation val="minMax"/>
        </c:scaling>
        <c:delete val="1"/>
        <c:axPos val="r"/>
        <c:numFmt formatCode="General" sourceLinked="1"/>
        <c:majorTickMark val="out"/>
        <c:minorTickMark val="none"/>
        <c:tickLblPos val="nextTo"/>
        <c:crossAx val="209420592"/>
        <c:crosses val="max"/>
        <c:crossBetween val="between"/>
      </c:valAx>
      <c:catAx>
        <c:axId val="209420592"/>
        <c:scaling>
          <c:orientation val="minMax"/>
        </c:scaling>
        <c:delete val="1"/>
        <c:axPos val="t"/>
        <c:majorGridlines>
          <c:spPr>
            <a:ln w="12700" cap="flat" cmpd="sng" algn="ctr">
              <a:solidFill>
                <a:srgbClr val="A6A6A6"/>
              </a:solidFill>
              <a:prstDash val="solid"/>
              <a:round/>
              <a:headEnd type="none" w="med" len="med"/>
              <a:tailEnd type="none" w="med" len="med"/>
            </a:ln>
            <a:effectLst/>
          </c:spPr>
        </c:majorGridlines>
        <c:majorTickMark val="out"/>
        <c:minorTickMark val="none"/>
        <c:tickLblPos val="nextTo"/>
        <c:crossAx val="209420032"/>
        <c:crosses val="max"/>
        <c:auto val="1"/>
        <c:lblAlgn val="ctr"/>
        <c:lblOffset val="100"/>
        <c:tickMarkSkip val="12"/>
        <c:noMultiLvlLbl val="0"/>
      </c:catAx>
      <c:spPr>
        <a:solidFill>
          <a:srgbClr val="FFFFFF"/>
        </a:solidFill>
        <a:ln w="9525" cap="flat" cmpd="sng" algn="ctr">
          <a:solidFill>
            <a:schemeClr val="bg1">
              <a:lumMod val="85000"/>
            </a:schemeClr>
          </a:solidFill>
          <a:prstDash val="solid"/>
          <a:round/>
          <a:headEnd type="none" w="med" len="med"/>
          <a:tailEnd type="none" w="med" len="med"/>
        </a:ln>
        <a:effectLst/>
      </c:spPr>
    </c:plotArea>
    <c:legend>
      <c:legendPos val="t"/>
      <c:legendEntry>
        <c:idx val="2"/>
        <c:delete val="1"/>
      </c:legendEntry>
      <c:legendEntry>
        <c:idx val="5"/>
        <c:delete val="1"/>
      </c:legendEntry>
      <c:layout>
        <c:manualLayout>
          <c:xMode val="edge"/>
          <c:yMode val="edge"/>
          <c:x val="0.14132322163401495"/>
          <c:y val="0"/>
          <c:w val="0.78025629739952906"/>
          <c:h val="9.1110120175692852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legend>
    <c:plotVisOnly val="1"/>
    <c:dispBlanksAs val="gap"/>
    <c:showDLblsOverMax val="0"/>
  </c:chart>
  <c:spPr>
    <a:solidFill>
      <a:srgbClr val="FFFFFF"/>
    </a:solidFill>
    <a:ln w="0" cap="flat" cmpd="sng" algn="ctr">
      <a:noFill/>
      <a:round/>
    </a:ln>
    <a:effectLst/>
    <a:extLst/>
  </c:spPr>
  <c:txPr>
    <a:bodyPr/>
    <a:lstStyle/>
    <a:p>
      <a:pPr>
        <a:defRPr sz="900">
          <a:solidFill>
            <a:srgbClr val="000000"/>
          </a:solidFill>
          <a:latin typeface="Arial Narrow" panose="020B0606020202030204" pitchFamily="34" charset="0"/>
        </a:defRPr>
      </a:pPr>
      <a:endParaRPr lang="it-I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200031242677498E-2"/>
          <c:y val="0.12410404855160488"/>
          <c:w val="0.92273205198300878"/>
          <c:h val="0.77953332753771654"/>
        </c:manualLayout>
      </c:layout>
      <c:lineChart>
        <c:grouping val="standard"/>
        <c:varyColors val="0"/>
        <c:ser>
          <c:idx val="0"/>
          <c:order val="0"/>
          <c:tx>
            <c:strRef>
              <c:f>'figura 4'!$F$4</c:f>
              <c:strCache>
                <c:ptCount val="1"/>
                <c:pt idx="0">
                  <c:v>Export</c:v>
                </c:pt>
              </c:strCache>
            </c:strRef>
          </c:tx>
          <c:spPr>
            <a:ln w="19050" cap="rnd">
              <a:solidFill>
                <a:srgbClr val="003B5C"/>
              </a:solidFill>
              <a:round/>
            </a:ln>
            <a:effectLst/>
          </c:spPr>
          <c:marker>
            <c:symbol val="none"/>
          </c:marker>
          <c:cat>
            <c:numRef>
              <c:f>'figura 4'!$B$77:$B$136</c:f>
              <c:numCache>
                <c:formatCode>General</c:formatCode>
                <c:ptCount val="60"/>
                <c:pt idx="5" formatCode="0">
                  <c:v>2018</c:v>
                </c:pt>
                <c:pt idx="17" formatCode="0">
                  <c:v>2019</c:v>
                </c:pt>
                <c:pt idx="29" formatCode="0">
                  <c:v>2020</c:v>
                </c:pt>
                <c:pt idx="41" formatCode="0">
                  <c:v>2021</c:v>
                </c:pt>
                <c:pt idx="53" formatCode="0">
                  <c:v>2022</c:v>
                </c:pt>
              </c:numCache>
            </c:numRef>
          </c:cat>
          <c:val>
            <c:numRef>
              <c:f>'figura 4'!$F$77:$F$136</c:f>
              <c:numCache>
                <c:formatCode>0.0</c:formatCode>
                <c:ptCount val="60"/>
                <c:pt idx="0">
                  <c:v>9.4952009093222109</c:v>
                </c:pt>
                <c:pt idx="1">
                  <c:v>4.2015988254071157</c:v>
                </c:pt>
                <c:pt idx="2">
                  <c:v>-1.3234102622182831</c:v>
                </c:pt>
                <c:pt idx="3">
                  <c:v>7.2027344421919492</c:v>
                </c:pt>
                <c:pt idx="4">
                  <c:v>-0.93951501399373027</c:v>
                </c:pt>
                <c:pt idx="5">
                  <c:v>6.7915399190423775</c:v>
                </c:pt>
                <c:pt idx="6">
                  <c:v>7.3687364762480945</c:v>
                </c:pt>
                <c:pt idx="7">
                  <c:v>4.6220522481957849</c:v>
                </c:pt>
                <c:pt idx="8">
                  <c:v>-2.3949109746485342</c:v>
                </c:pt>
                <c:pt idx="9">
                  <c:v>10.339816054625551</c:v>
                </c:pt>
                <c:pt idx="10">
                  <c:v>1.8283947769259568</c:v>
                </c:pt>
                <c:pt idx="11">
                  <c:v>-2.1550341855868571</c:v>
                </c:pt>
                <c:pt idx="12">
                  <c:v>3.6893959110131158</c:v>
                </c:pt>
                <c:pt idx="13">
                  <c:v>4.1153285081400481</c:v>
                </c:pt>
                <c:pt idx="14">
                  <c:v>0.45361148350655522</c:v>
                </c:pt>
                <c:pt idx="15">
                  <c:v>6.2122269245504125</c:v>
                </c:pt>
                <c:pt idx="16">
                  <c:v>8.2579182056991662</c:v>
                </c:pt>
                <c:pt idx="17">
                  <c:v>-2.8755264014559745</c:v>
                </c:pt>
                <c:pt idx="18">
                  <c:v>6.7599343267634726</c:v>
                </c:pt>
                <c:pt idx="19">
                  <c:v>-2.9346107104233132</c:v>
                </c:pt>
                <c:pt idx="20">
                  <c:v>7.025573507578331</c:v>
                </c:pt>
                <c:pt idx="21">
                  <c:v>5.2489112563056661</c:v>
                </c:pt>
                <c:pt idx="22">
                  <c:v>-2.4395719004043248</c:v>
                </c:pt>
                <c:pt idx="23">
                  <c:v>4.751155855401068</c:v>
                </c:pt>
                <c:pt idx="24">
                  <c:v>1.8800433360849578</c:v>
                </c:pt>
                <c:pt idx="25">
                  <c:v>4.9702980985989687</c:v>
                </c:pt>
                <c:pt idx="26">
                  <c:v>-14.640764481952806</c:v>
                </c:pt>
                <c:pt idx="27">
                  <c:v>-42.780657555504995</c:v>
                </c:pt>
                <c:pt idx="28">
                  <c:v>-29.737216021294554</c:v>
                </c:pt>
                <c:pt idx="29">
                  <c:v>-11.887566105596004</c:v>
                </c:pt>
                <c:pt idx="30">
                  <c:v>-7.4953761702297506</c:v>
                </c:pt>
                <c:pt idx="31">
                  <c:v>-6.1552712860193477</c:v>
                </c:pt>
                <c:pt idx="32">
                  <c:v>2.3123459229232424</c:v>
                </c:pt>
                <c:pt idx="33">
                  <c:v>-7.41523126636634</c:v>
                </c:pt>
                <c:pt idx="34">
                  <c:v>2.1966259269010635</c:v>
                </c:pt>
                <c:pt idx="35">
                  <c:v>3.9519551567386291</c:v>
                </c:pt>
                <c:pt idx="36">
                  <c:v>-8.330259965312214</c:v>
                </c:pt>
                <c:pt idx="37">
                  <c:v>-2.2351663681371869</c:v>
                </c:pt>
                <c:pt idx="38">
                  <c:v>28.732510811948607</c:v>
                </c:pt>
                <c:pt idx="39">
                  <c:v>98.20009056200152</c:v>
                </c:pt>
                <c:pt idx="40">
                  <c:v>41.691950989109387</c:v>
                </c:pt>
                <c:pt idx="41">
                  <c:v>25.625941178762488</c:v>
                </c:pt>
                <c:pt idx="42">
                  <c:v>16.19976708844937</c:v>
                </c:pt>
                <c:pt idx="43">
                  <c:v>17.601754937039704</c:v>
                </c:pt>
                <c:pt idx="44">
                  <c:v>11.187427495195458</c:v>
                </c:pt>
                <c:pt idx="45">
                  <c:v>8.144508299140929</c:v>
                </c:pt>
                <c:pt idx="46">
                  <c:v>17.485766845312135</c:v>
                </c:pt>
                <c:pt idx="47">
                  <c:v>16.8722410006114</c:v>
                </c:pt>
                <c:pt idx="48">
                  <c:v>21.446591398126259</c:v>
                </c:pt>
                <c:pt idx="49">
                  <c:v>21.730345633796013</c:v>
                </c:pt>
                <c:pt idx="50">
                  <c:v>22.751008943946481</c:v>
                </c:pt>
                <c:pt idx="51">
                  <c:v>14.22184080237483</c:v>
                </c:pt>
                <c:pt idx="52">
                  <c:v>28.702562167901146</c:v>
                </c:pt>
                <c:pt idx="53">
                  <c:v>20.071286555581903</c:v>
                </c:pt>
                <c:pt idx="54">
                  <c:v>16.873529415927678</c:v>
                </c:pt>
                <c:pt idx="55">
                  <c:v>24.3552550877816</c:v>
                </c:pt>
                <c:pt idx="56">
                  <c:v>21.588381545316238</c:v>
                </c:pt>
              </c:numCache>
            </c:numRef>
          </c:val>
          <c:smooth val="0"/>
          <c:extLst>
            <c:ext xmlns:c16="http://schemas.microsoft.com/office/drawing/2014/chart" uri="{C3380CC4-5D6E-409C-BE32-E72D297353CC}">
              <c16:uniqueId val="{00000000-1665-4353-B88A-2011A185A2C0}"/>
            </c:ext>
          </c:extLst>
        </c:ser>
        <c:ser>
          <c:idx val="1"/>
          <c:order val="1"/>
          <c:tx>
            <c:strRef>
              <c:f>'figura 4'!$G$4</c:f>
              <c:strCache>
                <c:ptCount val="1"/>
                <c:pt idx="0">
                  <c:v>Import</c:v>
                </c:pt>
              </c:strCache>
            </c:strRef>
          </c:tx>
          <c:spPr>
            <a:ln w="19050" cap="rnd">
              <a:solidFill>
                <a:srgbClr val="D22630"/>
              </a:solidFill>
              <a:round/>
            </a:ln>
            <a:effectLst/>
          </c:spPr>
          <c:marker>
            <c:symbol val="none"/>
          </c:marker>
          <c:cat>
            <c:numRef>
              <c:f>'figura 4'!$B$77:$B$136</c:f>
              <c:numCache>
                <c:formatCode>General</c:formatCode>
                <c:ptCount val="60"/>
                <c:pt idx="5" formatCode="0">
                  <c:v>2018</c:v>
                </c:pt>
                <c:pt idx="17" formatCode="0">
                  <c:v>2019</c:v>
                </c:pt>
                <c:pt idx="29" formatCode="0">
                  <c:v>2020</c:v>
                </c:pt>
                <c:pt idx="41" formatCode="0">
                  <c:v>2021</c:v>
                </c:pt>
                <c:pt idx="53" formatCode="0">
                  <c:v>2022</c:v>
                </c:pt>
              </c:numCache>
            </c:numRef>
          </c:cat>
          <c:val>
            <c:numRef>
              <c:f>'figura 4'!$G$77:$G$136</c:f>
              <c:numCache>
                <c:formatCode>0.0</c:formatCode>
                <c:ptCount val="60"/>
                <c:pt idx="0">
                  <c:v>9.3585323900492021</c:v>
                </c:pt>
                <c:pt idx="1">
                  <c:v>1.1410739067599485</c:v>
                </c:pt>
                <c:pt idx="2">
                  <c:v>4.4519567312928388E-2</c:v>
                </c:pt>
                <c:pt idx="3">
                  <c:v>10.472357148378887</c:v>
                </c:pt>
                <c:pt idx="4">
                  <c:v>1.4112621243217882</c:v>
                </c:pt>
                <c:pt idx="5">
                  <c:v>5.1877864735496715</c:v>
                </c:pt>
                <c:pt idx="6">
                  <c:v>10.365327608827846</c:v>
                </c:pt>
                <c:pt idx="7">
                  <c:v>6.8977930817439859</c:v>
                </c:pt>
                <c:pt idx="8">
                  <c:v>6.3093492173381005</c:v>
                </c:pt>
                <c:pt idx="9">
                  <c:v>14.899817051238973</c:v>
                </c:pt>
                <c:pt idx="10">
                  <c:v>3.9846728827007238</c:v>
                </c:pt>
                <c:pt idx="11">
                  <c:v>4.7622310301687065</c:v>
                </c:pt>
                <c:pt idx="12">
                  <c:v>1.7974203489770746</c:v>
                </c:pt>
                <c:pt idx="13">
                  <c:v>3.3671484676422558</c:v>
                </c:pt>
                <c:pt idx="14">
                  <c:v>-0.30391450663055375</c:v>
                </c:pt>
                <c:pt idx="15">
                  <c:v>5.9600184893007224</c:v>
                </c:pt>
                <c:pt idx="16">
                  <c:v>2.9051136422940882</c:v>
                </c:pt>
                <c:pt idx="17">
                  <c:v>-5.0013365453943637</c:v>
                </c:pt>
                <c:pt idx="18">
                  <c:v>2.0196905690953226</c:v>
                </c:pt>
                <c:pt idx="19">
                  <c:v>-4.3266090148819547</c:v>
                </c:pt>
                <c:pt idx="20">
                  <c:v>2.3097377266630081</c:v>
                </c:pt>
                <c:pt idx="21">
                  <c:v>-5.5647338883738744</c:v>
                </c:pt>
                <c:pt idx="22">
                  <c:v>-5.957468451488845</c:v>
                </c:pt>
                <c:pt idx="23">
                  <c:v>-1.7308275803805118</c:v>
                </c:pt>
                <c:pt idx="24">
                  <c:v>1.5603249438599587</c:v>
                </c:pt>
                <c:pt idx="25">
                  <c:v>-0.56977080719227136</c:v>
                </c:pt>
                <c:pt idx="26">
                  <c:v>-18.418281818700756</c:v>
                </c:pt>
                <c:pt idx="27">
                  <c:v>-34.482629327281956</c:v>
                </c:pt>
                <c:pt idx="28">
                  <c:v>-34.069251315824211</c:v>
                </c:pt>
                <c:pt idx="29">
                  <c:v>-14.868866323421736</c:v>
                </c:pt>
                <c:pt idx="30">
                  <c:v>-13.137895129981668</c:v>
                </c:pt>
                <c:pt idx="31">
                  <c:v>-10.861708572397655</c:v>
                </c:pt>
                <c:pt idx="32">
                  <c:v>-5.7938134289781225</c:v>
                </c:pt>
                <c:pt idx="33">
                  <c:v>-6.9792940012951776</c:v>
                </c:pt>
                <c:pt idx="34">
                  <c:v>-2.2030400885427737</c:v>
                </c:pt>
                <c:pt idx="35">
                  <c:v>-0.73834932259302377</c:v>
                </c:pt>
                <c:pt idx="36">
                  <c:v>-11.156282906755932</c:v>
                </c:pt>
                <c:pt idx="37">
                  <c:v>-0.15505613782806904</c:v>
                </c:pt>
                <c:pt idx="38">
                  <c:v>36.606733653538214</c:v>
                </c:pt>
                <c:pt idx="39">
                  <c:v>64.07583563926984</c:v>
                </c:pt>
                <c:pt idx="40">
                  <c:v>52.353186910301041</c:v>
                </c:pt>
                <c:pt idx="41">
                  <c:v>34.402985997520851</c:v>
                </c:pt>
                <c:pt idx="42">
                  <c:v>25.034967495687255</c:v>
                </c:pt>
                <c:pt idx="43">
                  <c:v>35.179230718014345</c:v>
                </c:pt>
                <c:pt idx="44">
                  <c:v>26.44945089433708</c:v>
                </c:pt>
                <c:pt idx="45">
                  <c:v>25.11259026402999</c:v>
                </c:pt>
                <c:pt idx="46">
                  <c:v>34.485325832846605</c:v>
                </c:pt>
                <c:pt idx="47">
                  <c:v>46.013196341508042</c:v>
                </c:pt>
                <c:pt idx="48">
                  <c:v>47.285542264429779</c:v>
                </c:pt>
                <c:pt idx="49">
                  <c:v>43.022621618439658</c:v>
                </c:pt>
                <c:pt idx="50">
                  <c:v>39.029295889973859</c:v>
                </c:pt>
                <c:pt idx="51">
                  <c:v>40.824417892188471</c:v>
                </c:pt>
                <c:pt idx="52">
                  <c:v>46.714246085369297</c:v>
                </c:pt>
                <c:pt idx="53">
                  <c:v>41.856884936670944</c:v>
                </c:pt>
                <c:pt idx="54">
                  <c:v>41.025941376488582</c:v>
                </c:pt>
                <c:pt idx="55">
                  <c:v>54.831612872381008</c:v>
                </c:pt>
                <c:pt idx="56">
                  <c:v>40.361522401387042</c:v>
                </c:pt>
              </c:numCache>
            </c:numRef>
          </c:val>
          <c:smooth val="0"/>
          <c:extLst>
            <c:ext xmlns:c16="http://schemas.microsoft.com/office/drawing/2014/chart" uri="{C3380CC4-5D6E-409C-BE32-E72D297353CC}">
              <c16:uniqueId val="{00000001-1665-4353-B88A-2011A185A2C0}"/>
            </c:ext>
          </c:extLst>
        </c:ser>
        <c:dLbls>
          <c:showLegendKey val="0"/>
          <c:showVal val="0"/>
          <c:showCatName val="0"/>
          <c:showSerName val="0"/>
          <c:showPercent val="0"/>
          <c:showBubbleSize val="0"/>
        </c:dLbls>
        <c:smooth val="0"/>
        <c:axId val="209964144"/>
        <c:axId val="209063776"/>
      </c:lineChart>
      <c:catAx>
        <c:axId val="209964144"/>
        <c:scaling>
          <c:orientation val="minMax"/>
        </c:scaling>
        <c:delete val="0"/>
        <c:axPos val="b"/>
        <c:majorGridlines>
          <c:spPr>
            <a:ln w="6350" cap="flat" cmpd="sng" algn="ctr">
              <a:solidFill>
                <a:srgbClr val="A6A6A6"/>
              </a:solidFill>
              <a:prstDash val="sysDash"/>
              <a:round/>
              <a:headEnd type="none" w="med" len="med"/>
              <a:tailEnd type="none" w="med" len="med"/>
            </a:ln>
            <a:effectLst/>
          </c:spPr>
        </c:majorGridlines>
        <c:numFmt formatCode="General" sourceLinked="1"/>
        <c:majorTickMark val="none"/>
        <c:minorTickMark val="none"/>
        <c:tickLblPos val="low"/>
        <c:spPr>
          <a:noFill/>
          <a:ln w="9525" cap="flat" cmpd="sng" algn="ctr">
            <a:solidFill>
              <a:schemeClr val="tx1"/>
            </a:solidFill>
            <a:round/>
          </a:ln>
          <a:effectLst/>
          <a:extLst/>
        </c:spPr>
        <c:txPr>
          <a:bodyPr rot="-60000000" spcFirstLastPara="1" vertOverflow="ellipsis" vert="horz" wrap="square" anchor="ctr" anchorCtr="1"/>
          <a:lstStyle/>
          <a:p>
            <a:pPr>
              <a:defRPr sz="1000" b="1" i="0" u="none" strike="noStrike" kern="1200" baseline="0">
                <a:solidFill>
                  <a:srgbClr val="000000"/>
                </a:solidFill>
                <a:latin typeface="Arial Narrow" panose="020B0606020202030204" pitchFamily="34" charset="0"/>
                <a:ea typeface="+mn-ea"/>
                <a:cs typeface="+mn-cs"/>
              </a:defRPr>
            </a:pPr>
            <a:endParaRPr lang="it-IT"/>
          </a:p>
        </c:txPr>
        <c:crossAx val="209063776"/>
        <c:crosses val="autoZero"/>
        <c:auto val="1"/>
        <c:lblAlgn val="l"/>
        <c:lblOffset val="0"/>
        <c:tickMarkSkip val="3"/>
        <c:noMultiLvlLbl val="0"/>
      </c:catAx>
      <c:valAx>
        <c:axId val="209063776"/>
        <c:scaling>
          <c:orientation val="minMax"/>
          <c:max val="100"/>
          <c:min val="-50"/>
        </c:scaling>
        <c:delete val="0"/>
        <c:axPos val="l"/>
        <c:majorGridlines>
          <c:spPr>
            <a:ln w="6350" cap="flat" cmpd="sng" algn="ctr">
              <a:solidFill>
                <a:srgbClr val="A6A6A6"/>
              </a:solidFill>
              <a:prstDash val="sysDash"/>
              <a:round/>
              <a:headEnd type="none" w="med" len="med"/>
              <a:tailEnd type="none" w="med" len="med"/>
            </a:ln>
            <a:effectLst/>
          </c:spPr>
        </c:majorGridlines>
        <c:title>
          <c:tx>
            <c:rich>
              <a:bodyPr rot="0" spcFirstLastPara="1" vertOverflow="ellipsis" wrap="square" anchor="ctr" anchorCtr="1"/>
              <a:lstStyle/>
              <a:p>
                <a:pPr>
                  <a:defRPr sz="900" b="0" i="0" u="none" strike="noStrike" kern="1200" baseline="0">
                    <a:solidFill>
                      <a:srgbClr val="000000"/>
                    </a:solidFill>
                    <a:latin typeface="Arial Narrow" panose="020B0606020202030204" pitchFamily="34" charset="0"/>
                    <a:ea typeface="+mn-ea"/>
                    <a:cs typeface="+mn-cs"/>
                  </a:defRPr>
                </a:pPr>
                <a:r>
                  <a:rPr lang="it-IT"/>
                  <a:t>%</a:t>
                </a:r>
              </a:p>
            </c:rich>
          </c:tx>
          <c:layout>
            <c:manualLayout>
              <c:xMode val="edge"/>
              <c:yMode val="edge"/>
              <c:x val="1.8995495495495493E-3"/>
              <c:y val="5.0319444444444448E-3"/>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209964144"/>
        <c:crosses val="autoZero"/>
        <c:crossBetween val="between"/>
        <c:majorUnit val="25"/>
      </c:valAx>
    </c:plotArea>
    <c:legend>
      <c:legendPos val="t"/>
      <c:layout>
        <c:manualLayout>
          <c:xMode val="edge"/>
          <c:yMode val="edge"/>
          <c:x val="0.29322274226593525"/>
          <c:y val="0"/>
          <c:w val="0.39102989683908218"/>
          <c:h val="9.1890712840116934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legend>
    <c:plotVisOnly val="1"/>
    <c:dispBlanksAs val="gap"/>
    <c:showDLblsOverMax val="0"/>
  </c:chart>
  <c:spPr>
    <a:solidFill>
      <a:srgbClr val="FFFFFF"/>
    </a:solidFill>
    <a:ln w="6350" cap="flat" cmpd="sng" algn="ctr">
      <a:noFill/>
      <a:round/>
    </a:ln>
    <a:effectLst/>
  </c:spPr>
  <c:txPr>
    <a:bodyPr/>
    <a:lstStyle/>
    <a:p>
      <a:pPr>
        <a:defRPr sz="900">
          <a:solidFill>
            <a:srgbClr val="000000"/>
          </a:solidFill>
          <a:latin typeface="Arial Narrow" panose="020B0606020202030204" pitchFamily="34" charset="0"/>
        </a:defRPr>
      </a:pPr>
      <a:endParaRPr lang="it-I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2952862122324263E-2"/>
          <c:y val="0.10798409327416178"/>
          <c:w val="0.91888935285600126"/>
          <c:h val="0.78678210029233187"/>
        </c:manualLayout>
      </c:layout>
      <c:lineChart>
        <c:grouping val="standard"/>
        <c:varyColors val="0"/>
        <c:ser>
          <c:idx val="0"/>
          <c:order val="0"/>
          <c:tx>
            <c:strRef>
              <c:f>'[GraficiElabImport09_22.xlsx]GR 5-italiano'!$F$28</c:f>
              <c:strCache>
                <c:ptCount val="1"/>
                <c:pt idx="0">
                  <c:v>Totale</c:v>
                </c:pt>
              </c:strCache>
            </c:strRef>
          </c:tx>
          <c:spPr>
            <a:ln w="19050" cap="rnd" cmpd="sng" algn="ctr">
              <a:solidFill>
                <a:srgbClr val="D22630"/>
              </a:solidFill>
              <a:prstDash val="solid"/>
              <a:round/>
              <a:headEnd type="none" w="med" len="med"/>
              <a:tailEnd type="none" w="med" len="med"/>
            </a:ln>
            <a:effectLst/>
          </c:spPr>
          <c:marker>
            <c:symbol val="none"/>
          </c:marker>
          <c:cat>
            <c:numRef>
              <c:f>'[GraficiElabImport09_22.xlsx]GR 5-italiano'!$C$101:$C$160</c:f>
              <c:numCache>
                <c:formatCode>General</c:formatCode>
                <c:ptCount val="60"/>
                <c:pt idx="5" formatCode="0">
                  <c:v>2018</c:v>
                </c:pt>
                <c:pt idx="17" formatCode="0">
                  <c:v>2019</c:v>
                </c:pt>
                <c:pt idx="29" formatCode="0">
                  <c:v>2020</c:v>
                </c:pt>
                <c:pt idx="41" formatCode="0">
                  <c:v>2021</c:v>
                </c:pt>
                <c:pt idx="53">
                  <c:v>2022</c:v>
                </c:pt>
              </c:numCache>
            </c:numRef>
          </c:cat>
          <c:val>
            <c:numRef>
              <c:f>'[GraficiElabImport09_22.xlsx]GR 5-italiano'!$F$101:$F$160</c:f>
              <c:numCache>
                <c:formatCode>0.0</c:formatCode>
                <c:ptCount val="60"/>
                <c:pt idx="0">
                  <c:v>2.123356926188058</c:v>
                </c:pt>
                <c:pt idx="1">
                  <c:v>1.3078470824949617</c:v>
                </c:pt>
                <c:pt idx="2">
                  <c:v>1.0040160642570184</c:v>
                </c:pt>
                <c:pt idx="3">
                  <c:v>1.5045135406218657</c:v>
                </c:pt>
                <c:pt idx="4">
                  <c:v>2.3115577889447181</c:v>
                </c:pt>
                <c:pt idx="5">
                  <c:v>3.6217303822937641</c:v>
                </c:pt>
                <c:pt idx="6">
                  <c:v>4.2467138523761161</c:v>
                </c:pt>
                <c:pt idx="7">
                  <c:v>4.9796747967479682</c:v>
                </c:pt>
                <c:pt idx="8">
                  <c:v>4.8632218844984809</c:v>
                </c:pt>
                <c:pt idx="9">
                  <c:v>5.5387713997985921</c:v>
                </c:pt>
                <c:pt idx="10">
                  <c:v>3.1872509960159334</c:v>
                </c:pt>
                <c:pt idx="11">
                  <c:v>1.3930348258706537</c:v>
                </c:pt>
                <c:pt idx="12">
                  <c:v>0.29702970297029729</c:v>
                </c:pt>
                <c:pt idx="13">
                  <c:v>0.59582919563057057</c:v>
                </c:pt>
                <c:pt idx="14">
                  <c:v>1.2922465208747624</c:v>
                </c:pt>
                <c:pt idx="15">
                  <c:v>1.1857707509881354</c:v>
                </c:pt>
                <c:pt idx="16">
                  <c:v>0.98231827111985304</c:v>
                </c:pt>
                <c:pt idx="17">
                  <c:v>-1.650485436893212</c:v>
                </c:pt>
                <c:pt idx="18">
                  <c:v>-1.6488845780795236</c:v>
                </c:pt>
                <c:pt idx="19">
                  <c:v>-2.5169409486931249</c:v>
                </c:pt>
                <c:pt idx="20">
                  <c:v>-2.70531400966183</c:v>
                </c:pt>
                <c:pt idx="21">
                  <c:v>-3.8167938931297662</c:v>
                </c:pt>
                <c:pt idx="22">
                  <c:v>-2.1235521235521082</c:v>
                </c:pt>
                <c:pt idx="23">
                  <c:v>-0.49067713444553851</c:v>
                </c:pt>
                <c:pt idx="24">
                  <c:v>-0.29615004935833467</c:v>
                </c:pt>
                <c:pt idx="25">
                  <c:v>-1.4807502467917066</c:v>
                </c:pt>
                <c:pt idx="26">
                  <c:v>-5.0049067713444639</c:v>
                </c:pt>
                <c:pt idx="27">
                  <c:v>-8.1054687500000107</c:v>
                </c:pt>
                <c:pt idx="28">
                  <c:v>-7.9766536964980599</c:v>
                </c:pt>
                <c:pt idx="29">
                  <c:v>-6.5153010858835074</c:v>
                </c:pt>
                <c:pt idx="30">
                  <c:v>-6.4102564102564097</c:v>
                </c:pt>
                <c:pt idx="31">
                  <c:v>-5.7596822244289969</c:v>
                </c:pt>
                <c:pt idx="32">
                  <c:v>-5.1638530287984157</c:v>
                </c:pt>
                <c:pt idx="33">
                  <c:v>-4.9603174603174649</c:v>
                </c:pt>
                <c:pt idx="34">
                  <c:v>-5.1282051282051322</c:v>
                </c:pt>
                <c:pt idx="35">
                  <c:v>-4.1420118343195256</c:v>
                </c:pt>
                <c:pt idx="36">
                  <c:v>-2.7722772277227747</c:v>
                </c:pt>
                <c:pt idx="37">
                  <c:v>-0.80160320641282645</c:v>
                </c:pt>
                <c:pt idx="38">
                  <c:v>4.3388429752066138</c:v>
                </c:pt>
                <c:pt idx="39">
                  <c:v>8.1827842720510127</c:v>
                </c:pt>
                <c:pt idx="40">
                  <c:v>8.9852008456659647</c:v>
                </c:pt>
                <c:pt idx="41">
                  <c:v>9.5036958817317885</c:v>
                </c:pt>
                <c:pt idx="42">
                  <c:v>11.064278187565858</c:v>
                </c:pt>
                <c:pt idx="43">
                  <c:v>12.012644889357205</c:v>
                </c:pt>
                <c:pt idx="44">
                  <c:v>12.565445026178001</c:v>
                </c:pt>
                <c:pt idx="45">
                  <c:v>15.344467640918591</c:v>
                </c:pt>
                <c:pt idx="46">
                  <c:v>15.800415800415802</c:v>
                </c:pt>
                <c:pt idx="47">
                  <c:v>15.6</c:v>
                </c:pt>
                <c:pt idx="48">
                  <c:v>17.5</c:v>
                </c:pt>
                <c:pt idx="49">
                  <c:v>18.5</c:v>
                </c:pt>
                <c:pt idx="50">
                  <c:v>19</c:v>
                </c:pt>
                <c:pt idx="51">
                  <c:v>21.4</c:v>
                </c:pt>
                <c:pt idx="52">
                  <c:v>20.100000000000001</c:v>
                </c:pt>
                <c:pt idx="53">
                  <c:v>21.5</c:v>
                </c:pt>
                <c:pt idx="54">
                  <c:v>21.2</c:v>
                </c:pt>
                <c:pt idx="55">
                  <c:v>21.5</c:v>
                </c:pt>
                <c:pt idx="56">
                  <c:v>20.3</c:v>
                </c:pt>
              </c:numCache>
            </c:numRef>
          </c:val>
          <c:smooth val="0"/>
          <c:extLst>
            <c:ext xmlns:c16="http://schemas.microsoft.com/office/drawing/2014/chart" uri="{C3380CC4-5D6E-409C-BE32-E72D297353CC}">
              <c16:uniqueId val="{00000000-36D6-400A-B058-BDCF109634B2}"/>
            </c:ext>
          </c:extLst>
        </c:ser>
        <c:ser>
          <c:idx val="1"/>
          <c:order val="1"/>
          <c:tx>
            <c:strRef>
              <c:f>'[GraficiElabImport09_22.xlsx]GR 5-italiano'!$G$28</c:f>
              <c:strCache>
                <c:ptCount val="1"/>
                <c:pt idx="0">
                  <c:v>Totale al netto energia</c:v>
                </c:pt>
              </c:strCache>
            </c:strRef>
          </c:tx>
          <c:spPr>
            <a:ln w="19050" cap="rnd" cmpd="sng" algn="ctr">
              <a:solidFill>
                <a:srgbClr val="003B5C"/>
              </a:solidFill>
              <a:prstDash val="sysDash"/>
              <a:round/>
              <a:headEnd type="none" w="med" len="med"/>
              <a:tailEnd type="none" w="med" len="med"/>
            </a:ln>
            <a:effectLst/>
          </c:spPr>
          <c:marker>
            <c:symbol val="none"/>
          </c:marker>
          <c:cat>
            <c:numRef>
              <c:f>'[GraficiElabImport09_22.xlsx]GR 5-italiano'!$C$101:$C$160</c:f>
              <c:numCache>
                <c:formatCode>General</c:formatCode>
                <c:ptCount val="60"/>
                <c:pt idx="5" formatCode="0">
                  <c:v>2018</c:v>
                </c:pt>
                <c:pt idx="17" formatCode="0">
                  <c:v>2019</c:v>
                </c:pt>
                <c:pt idx="29" formatCode="0">
                  <c:v>2020</c:v>
                </c:pt>
                <c:pt idx="41" formatCode="0">
                  <c:v>2021</c:v>
                </c:pt>
                <c:pt idx="53">
                  <c:v>2022</c:v>
                </c:pt>
              </c:numCache>
            </c:numRef>
          </c:cat>
          <c:val>
            <c:numRef>
              <c:f>'[GraficiElabImport09_22.xlsx]GR 5-italiano'!$G$101:$G$160</c:f>
              <c:numCache>
                <c:formatCode>0.0</c:formatCode>
                <c:ptCount val="60"/>
                <c:pt idx="0">
                  <c:v>0.60362173038228661</c:v>
                </c:pt>
                <c:pt idx="1">
                  <c:v>0.10020040080160886</c:v>
                </c:pt>
                <c:pt idx="2">
                  <c:v>0</c:v>
                </c:pt>
                <c:pt idx="3">
                  <c:v>-0.29910269192422456</c:v>
                </c:pt>
                <c:pt idx="4">
                  <c:v>-0.39880358923229942</c:v>
                </c:pt>
                <c:pt idx="5">
                  <c:v>9.9700897308085956E-2</c:v>
                </c:pt>
                <c:pt idx="6">
                  <c:v>0.60000000000000053</c:v>
                </c:pt>
                <c:pt idx="7">
                  <c:v>0.80080080080080496</c:v>
                </c:pt>
                <c:pt idx="8">
                  <c:v>0.70070070070069601</c:v>
                </c:pt>
                <c:pt idx="9">
                  <c:v>0.70070070070069601</c:v>
                </c:pt>
                <c:pt idx="10">
                  <c:v>0.9000000000000119</c:v>
                </c:pt>
                <c:pt idx="11">
                  <c:v>0.80000000000000071</c:v>
                </c:pt>
                <c:pt idx="12">
                  <c:v>0.70000000000001172</c:v>
                </c:pt>
                <c:pt idx="13">
                  <c:v>0.60060060060058706</c:v>
                </c:pt>
                <c:pt idx="14">
                  <c:v>0.49999999999998934</c:v>
                </c:pt>
                <c:pt idx="15">
                  <c:v>0.49999999999998934</c:v>
                </c:pt>
                <c:pt idx="16">
                  <c:v>0.60060060060058706</c:v>
                </c:pt>
                <c:pt idx="17">
                  <c:v>-0.19920318725099584</c:v>
                </c:pt>
                <c:pt idx="18">
                  <c:v>-0.19880715705764551</c:v>
                </c:pt>
                <c:pt idx="19">
                  <c:v>-0.49652432969214955</c:v>
                </c:pt>
                <c:pt idx="20">
                  <c:v>-0.39761431411530213</c:v>
                </c:pt>
                <c:pt idx="21">
                  <c:v>-0.29821073558647937</c:v>
                </c:pt>
                <c:pt idx="22">
                  <c:v>-0.7928642220019988</c:v>
                </c:pt>
                <c:pt idx="23">
                  <c:v>-0.79365079365079083</c:v>
                </c:pt>
                <c:pt idx="24">
                  <c:v>-0.9930486593843102</c:v>
                </c:pt>
                <c:pt idx="25">
                  <c:v>-0.89552238805971074</c:v>
                </c:pt>
                <c:pt idx="26">
                  <c:v>-0.89552238805971074</c:v>
                </c:pt>
                <c:pt idx="27">
                  <c:v>-1.3930348258706537</c:v>
                </c:pt>
                <c:pt idx="28">
                  <c:v>-1.6915422885572129</c:v>
                </c:pt>
                <c:pt idx="29">
                  <c:v>-1.4970059880239472</c:v>
                </c:pt>
                <c:pt idx="30">
                  <c:v>-1.5936254980079778</c:v>
                </c:pt>
                <c:pt idx="31">
                  <c:v>-1.4970059880239472</c:v>
                </c:pt>
                <c:pt idx="32">
                  <c:v>-1.2974051896207595</c:v>
                </c:pt>
                <c:pt idx="33">
                  <c:v>-1.395812562313048</c:v>
                </c:pt>
                <c:pt idx="34">
                  <c:v>-0.99900099900099848</c:v>
                </c:pt>
                <c:pt idx="35">
                  <c:v>-0.50000000000000044</c:v>
                </c:pt>
                <c:pt idx="36">
                  <c:v>-0.10030090270812808</c:v>
                </c:pt>
                <c:pt idx="37">
                  <c:v>0.40160642570281624</c:v>
                </c:pt>
                <c:pt idx="38">
                  <c:v>1.4056224899598346</c:v>
                </c:pt>
                <c:pt idx="39">
                  <c:v>3.128153380423826</c:v>
                </c:pt>
                <c:pt idx="40">
                  <c:v>4.3522267206477672</c:v>
                </c:pt>
                <c:pt idx="41">
                  <c:v>4.8632218844984809</c:v>
                </c:pt>
                <c:pt idx="42">
                  <c:v>5.4655870445344146</c:v>
                </c:pt>
                <c:pt idx="43">
                  <c:v>6.2816616008105397</c:v>
                </c:pt>
                <c:pt idx="44">
                  <c:v>6.9767441860465018</c:v>
                </c:pt>
                <c:pt idx="45">
                  <c:v>7.3811931243680462</c:v>
                </c:pt>
                <c:pt idx="46">
                  <c:v>8.1735620585267519</c:v>
                </c:pt>
                <c:pt idx="47">
                  <c:v>8.6999999999999993</c:v>
                </c:pt>
                <c:pt idx="48">
                  <c:v>9.9</c:v>
                </c:pt>
                <c:pt idx="49">
                  <c:v>10.5</c:v>
                </c:pt>
                <c:pt idx="50">
                  <c:v>11.3</c:v>
                </c:pt>
                <c:pt idx="51">
                  <c:v>11.5</c:v>
                </c:pt>
                <c:pt idx="52">
                  <c:v>11.3</c:v>
                </c:pt>
                <c:pt idx="53">
                  <c:v>11.6</c:v>
                </c:pt>
                <c:pt idx="54">
                  <c:v>11.2</c:v>
                </c:pt>
                <c:pt idx="55">
                  <c:v>10.9</c:v>
                </c:pt>
                <c:pt idx="56">
                  <c:v>10.1</c:v>
                </c:pt>
              </c:numCache>
            </c:numRef>
          </c:val>
          <c:smooth val="0"/>
          <c:extLst>
            <c:ext xmlns:c16="http://schemas.microsoft.com/office/drawing/2014/chart" uri="{C3380CC4-5D6E-409C-BE32-E72D297353CC}">
              <c16:uniqueId val="{00000001-36D6-400A-B058-BDCF109634B2}"/>
            </c:ext>
          </c:extLst>
        </c:ser>
        <c:dLbls>
          <c:showLegendKey val="0"/>
          <c:showVal val="0"/>
          <c:showCatName val="0"/>
          <c:showSerName val="0"/>
          <c:showPercent val="0"/>
          <c:showBubbleSize val="0"/>
        </c:dLbls>
        <c:marker val="1"/>
        <c:smooth val="0"/>
        <c:axId val="247912448"/>
        <c:axId val="248988416"/>
      </c:lineChart>
      <c:lineChart>
        <c:grouping val="standard"/>
        <c:varyColors val="0"/>
        <c:ser>
          <c:idx val="2"/>
          <c:order val="2"/>
          <c:spPr>
            <a:ln w="25400">
              <a:solidFill>
                <a:srgbClr val="FFFFFF"/>
              </a:solidFill>
              <a:prstDash val="solid"/>
            </a:ln>
          </c:spPr>
          <c:marker>
            <c:symbol val="none"/>
          </c:marker>
          <c:cat>
            <c:numRef>
              <c:f>'\\NAS-BALBO\Prezzi_Produzione\Users\FRCOPP~1\AppData\Local\Temp\[Coe_LONG e xUe.xlsx]PREZZI IMPORT'!$C$41:$C$100</c:f>
              <c:numCache>
                <c:formatCode>General</c:formatCode>
                <c:ptCount val="60"/>
                <c:pt idx="5">
                  <c:v>2013</c:v>
                </c:pt>
                <c:pt idx="17">
                  <c:v>2014</c:v>
                </c:pt>
                <c:pt idx="29">
                  <c:v>2015</c:v>
                </c:pt>
                <c:pt idx="41">
                  <c:v>2016</c:v>
                </c:pt>
                <c:pt idx="53">
                  <c:v>2017</c:v>
                </c:pt>
              </c:numCache>
            </c:numRef>
          </c:cat>
          <c:val>
            <c:numRef>
              <c:f>'\\NAS-BALBO\Prezzi_Produzione\Users\FRCOPP~1\AppData\Local\Temp\[Coe_LONG e xUe.xlsx]PREZZI IMPORT'!$FU$1:$FU$60</c:f>
              <c:numCache>
                <c:formatCode>General</c:formatCode>
                <c:ptCount val="60"/>
              </c:numCache>
            </c:numRef>
          </c:val>
          <c:smooth val="0"/>
          <c:extLst>
            <c:ext xmlns:c16="http://schemas.microsoft.com/office/drawing/2014/chart" uri="{C3380CC4-5D6E-409C-BE32-E72D297353CC}">
              <c16:uniqueId val="{00000002-36D6-400A-B058-BDCF109634B2}"/>
            </c:ext>
          </c:extLst>
        </c:ser>
        <c:dLbls>
          <c:showLegendKey val="0"/>
          <c:showVal val="0"/>
          <c:showCatName val="0"/>
          <c:showSerName val="0"/>
          <c:showPercent val="0"/>
          <c:showBubbleSize val="0"/>
        </c:dLbls>
        <c:marker val="1"/>
        <c:smooth val="0"/>
        <c:axId val="248988976"/>
        <c:axId val="248989536"/>
      </c:lineChart>
      <c:catAx>
        <c:axId val="247912448"/>
        <c:scaling>
          <c:orientation val="minMax"/>
        </c:scaling>
        <c:delete val="0"/>
        <c:axPos val="b"/>
        <c:majorGridlines>
          <c:spPr>
            <a:ln w="6350" cap="flat" cmpd="sng" algn="ctr">
              <a:solidFill>
                <a:srgbClr val="A6A6A6"/>
              </a:solidFill>
              <a:prstDash val="sysDash"/>
              <a:round/>
              <a:headEnd type="none" w="med" len="med"/>
              <a:tailEnd type="none" w="med" len="med"/>
            </a:ln>
            <a:effectLst/>
          </c:spPr>
        </c:majorGridlines>
        <c:numFmt formatCode="General" sourceLinked="1"/>
        <c:majorTickMark val="none"/>
        <c:minorTickMark val="none"/>
        <c:tickLblPos val="low"/>
        <c:spPr>
          <a:noFill/>
          <a:ln w="12700" cap="flat" cmpd="sng" algn="ctr">
            <a:solidFill>
              <a:schemeClr val="tx1"/>
            </a:solidFill>
            <a:round/>
          </a:ln>
          <a:effectLst/>
        </c:spPr>
        <c:txPr>
          <a:bodyPr rot="0" vert="horz"/>
          <a:lstStyle/>
          <a:p>
            <a:pPr>
              <a:defRPr sz="1000" b="1" i="0" u="none" strike="noStrike" baseline="0">
                <a:solidFill>
                  <a:srgbClr val="000000"/>
                </a:solidFill>
                <a:latin typeface="Arial Narrow"/>
                <a:ea typeface="Arial Narrow"/>
                <a:cs typeface="Arial Narrow"/>
              </a:defRPr>
            </a:pPr>
            <a:endParaRPr lang="it-IT"/>
          </a:p>
        </c:txPr>
        <c:crossAx val="248988416"/>
        <c:crosses val="autoZero"/>
        <c:auto val="1"/>
        <c:lblAlgn val="ctr"/>
        <c:lblOffset val="0"/>
        <c:tickMarkSkip val="3"/>
        <c:noMultiLvlLbl val="0"/>
      </c:catAx>
      <c:valAx>
        <c:axId val="248988416"/>
        <c:scaling>
          <c:orientation val="minMax"/>
        </c:scaling>
        <c:delete val="0"/>
        <c:axPos val="l"/>
        <c:majorGridlines>
          <c:spPr>
            <a:ln w="6350" cap="flat" cmpd="sng" algn="ctr">
              <a:solidFill>
                <a:srgbClr val="A6A6A6"/>
              </a:solidFill>
              <a:prstDash val="sysDash"/>
              <a:round/>
              <a:headEnd type="none" w="med" len="med"/>
              <a:tailEnd type="none" w="med" len="med"/>
            </a:ln>
            <a:effectLst/>
          </c:spPr>
        </c:majorGridlines>
        <c:title>
          <c:tx>
            <c:rich>
              <a:bodyPr rot="0" vert="horz"/>
              <a:lstStyle/>
              <a:p>
                <a:pPr algn="ctr">
                  <a:defRPr sz="900" b="0" i="0" u="none" strike="noStrike" baseline="0">
                    <a:solidFill>
                      <a:srgbClr val="000000"/>
                    </a:solidFill>
                    <a:latin typeface="Arial Narrow"/>
                    <a:ea typeface="Arial Narrow"/>
                    <a:cs typeface="Arial Narrow"/>
                  </a:defRPr>
                </a:pPr>
                <a:r>
                  <a:rPr lang="it-IT"/>
                  <a:t>%</a:t>
                </a:r>
              </a:p>
            </c:rich>
          </c:tx>
          <c:layout>
            <c:manualLayout>
              <c:xMode val="edge"/>
              <c:yMode val="edge"/>
              <c:x val="9.5379650577385698E-3"/>
              <c:y val="5.0320982604447166E-3"/>
            </c:manualLayout>
          </c:layout>
          <c:overlay val="0"/>
          <c:spPr>
            <a:noFill/>
            <a:ln w="25400">
              <a:noFill/>
            </a:ln>
          </c:spPr>
        </c:title>
        <c:numFmt formatCode="0" sourceLinked="0"/>
        <c:majorTickMark val="none"/>
        <c:minorTickMark val="none"/>
        <c:tickLblPos val="nextTo"/>
        <c:spPr>
          <a:ln w="9525">
            <a:noFill/>
          </a:ln>
        </c:spPr>
        <c:txPr>
          <a:bodyPr rot="0" vert="horz"/>
          <a:lstStyle/>
          <a:p>
            <a:pPr>
              <a:defRPr sz="900" b="0" i="0" u="none" strike="noStrike" baseline="0">
                <a:solidFill>
                  <a:srgbClr val="000000"/>
                </a:solidFill>
                <a:latin typeface="Arial Narrow"/>
                <a:ea typeface="Arial Narrow"/>
                <a:cs typeface="Arial Narrow"/>
              </a:defRPr>
            </a:pPr>
            <a:endParaRPr lang="it-IT"/>
          </a:p>
        </c:txPr>
        <c:crossAx val="247912448"/>
        <c:crosses val="autoZero"/>
        <c:crossBetween val="between"/>
        <c:majorUnit val="4"/>
      </c:valAx>
      <c:catAx>
        <c:axId val="248988976"/>
        <c:scaling>
          <c:orientation val="minMax"/>
        </c:scaling>
        <c:delete val="1"/>
        <c:axPos val="t"/>
        <c:numFmt formatCode="General" sourceLinked="1"/>
        <c:majorTickMark val="out"/>
        <c:minorTickMark val="none"/>
        <c:tickLblPos val="nextTo"/>
        <c:crossAx val="248989536"/>
        <c:crosses val="max"/>
        <c:auto val="1"/>
        <c:lblAlgn val="ctr"/>
        <c:lblOffset val="100"/>
        <c:noMultiLvlLbl val="0"/>
      </c:catAx>
      <c:valAx>
        <c:axId val="248989536"/>
        <c:scaling>
          <c:orientation val="minMax"/>
        </c:scaling>
        <c:delete val="1"/>
        <c:axPos val="r"/>
        <c:numFmt formatCode="General" sourceLinked="1"/>
        <c:majorTickMark val="out"/>
        <c:minorTickMark val="none"/>
        <c:tickLblPos val="nextTo"/>
        <c:crossAx val="248988976"/>
        <c:crosses val="max"/>
        <c:crossBetween val="between"/>
      </c:valAx>
      <c:spPr>
        <a:solidFill>
          <a:srgbClr val="FFFFFF"/>
        </a:solidFill>
        <a:ln w="9525" cap="flat" cmpd="sng" algn="ctr">
          <a:solidFill>
            <a:schemeClr val="bg1">
              <a:lumMod val="85000"/>
            </a:schemeClr>
          </a:solidFill>
          <a:prstDash val="solid"/>
          <a:round/>
          <a:headEnd type="none" w="med" len="med"/>
          <a:tailEnd type="none" w="med" len="med"/>
        </a:ln>
        <a:effectLst/>
      </c:spPr>
    </c:plotArea>
    <c:legend>
      <c:legendPos val="t"/>
      <c:legendEntry>
        <c:idx val="2"/>
        <c:delete val="1"/>
      </c:legendEntry>
      <c:layout>
        <c:manualLayout>
          <c:xMode val="edge"/>
          <c:yMode val="edge"/>
          <c:x val="0.37086976487489626"/>
          <c:y val="0"/>
          <c:w val="0.35930283995399454"/>
          <c:h val="9.1890331890331883E-2"/>
        </c:manualLayout>
      </c:layout>
      <c:overlay val="0"/>
      <c:spPr>
        <a:noFill/>
        <a:ln w="25400">
          <a:noFill/>
        </a:ln>
      </c:spPr>
      <c:txPr>
        <a:bodyPr/>
        <a:lstStyle/>
        <a:p>
          <a:pPr>
            <a:defRPr sz="800" b="0" i="0" u="none" strike="noStrike" baseline="0">
              <a:solidFill>
                <a:srgbClr val="000000"/>
              </a:solidFill>
              <a:latin typeface="Arial Narrow"/>
              <a:ea typeface="Arial Narrow"/>
              <a:cs typeface="Arial Narrow"/>
            </a:defRPr>
          </a:pPr>
          <a:endParaRPr lang="it-IT"/>
        </a:p>
      </c:txPr>
    </c:legend>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Arial Narrow"/>
          <a:ea typeface="Arial Narrow"/>
          <a:cs typeface="Arial Narrow"/>
        </a:defRPr>
      </a:pPr>
      <a:endParaRPr lang="it-I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000600600600591E-2"/>
          <c:y val="0.11227175925925927"/>
          <c:w val="0.91781336336336339"/>
          <c:h val="0.44112500000000004"/>
        </c:manualLayout>
      </c:layout>
      <c:barChart>
        <c:barDir val="col"/>
        <c:grouping val="clustered"/>
        <c:varyColors val="0"/>
        <c:ser>
          <c:idx val="1"/>
          <c:order val="0"/>
          <c:tx>
            <c:strRef>
              <c:f>'figg. 6 e 7'!$D$42</c:f>
              <c:strCache>
                <c:ptCount val="1"/>
                <c:pt idx="0">
                  <c:v>Contributi alla var. (punti perc. - sinistra)</c:v>
                </c:pt>
              </c:strCache>
            </c:strRef>
          </c:tx>
          <c:spPr>
            <a:solidFill>
              <a:srgbClr val="003B5C"/>
            </a:solidFill>
            <a:ln>
              <a:solidFill>
                <a:schemeClr val="bg1"/>
              </a:solidFill>
            </a:ln>
            <a:effectLst/>
          </c:spPr>
          <c:invertIfNegative val="0"/>
          <c:cat>
            <c:strRef>
              <c:f>'figg. 6 e 7'!$P$44:$P$61</c:f>
              <c:strCache>
                <c:ptCount val="18"/>
                <c:pt idx="0">
                  <c:v>Farmaceutica</c:v>
                </c:pt>
                <c:pt idx="1">
                  <c:v>Macchinari</c:v>
                </c:pt>
                <c:pt idx="2">
                  <c:v>Metalli</c:v>
                </c:pt>
                <c:pt idx="3">
                  <c:v>Alimentari</c:v>
                </c:pt>
                <c:pt idx="4">
                  <c:v>Altri mezzi trasporto</c:v>
                </c:pt>
                <c:pt idx="5">
                  <c:v>Autoveicoli</c:v>
                </c:pt>
                <c:pt idx="6">
                  <c:v>Chimica</c:v>
                </c:pt>
                <c:pt idx="7">
                  <c:v>Raffinazione</c:v>
                </c:pt>
                <c:pt idx="8">
                  <c:v>Elettronica</c:v>
                </c:pt>
                <c:pt idx="9">
                  <c:v>Pelletteria</c:v>
                </c:pt>
                <c:pt idx="10">
                  <c:v>Abbigliamento</c:v>
                </c:pt>
                <c:pt idx="11">
                  <c:v>Altra manifattura</c:v>
                </c:pt>
                <c:pt idx="12">
                  <c:v>Apparecchi elettrici</c:v>
                </c:pt>
                <c:pt idx="13">
                  <c:v>Gomma-plastica</c:v>
                </c:pt>
                <c:pt idx="14">
                  <c:v>Minerali non metalliferi</c:v>
                </c:pt>
                <c:pt idx="15">
                  <c:v>Tessili</c:v>
                </c:pt>
                <c:pt idx="16">
                  <c:v>Mobili</c:v>
                </c:pt>
                <c:pt idx="17">
                  <c:v>Agricoltura</c:v>
                </c:pt>
              </c:strCache>
            </c:strRef>
          </c:cat>
          <c:val>
            <c:numRef>
              <c:f>'figg. 6 e 7'!$D$44:$D$61</c:f>
              <c:numCache>
                <c:formatCode>0.00</c:formatCode>
                <c:ptCount val="18"/>
                <c:pt idx="0">
                  <c:v>2.4278078281176589</c:v>
                </c:pt>
                <c:pt idx="1">
                  <c:v>2.1345898961052572</c:v>
                </c:pt>
                <c:pt idx="2">
                  <c:v>1.9085100362569973</c:v>
                </c:pt>
                <c:pt idx="3">
                  <c:v>1.7664364148559393</c:v>
                </c:pt>
                <c:pt idx="4">
                  <c:v>1.455798362767398</c:v>
                </c:pt>
                <c:pt idx="5">
                  <c:v>1.2729353011211397</c:v>
                </c:pt>
                <c:pt idx="6">
                  <c:v>1.2433175378502421</c:v>
                </c:pt>
                <c:pt idx="7">
                  <c:v>1.1671923776451099</c:v>
                </c:pt>
                <c:pt idx="8">
                  <c:v>1.083564936228893</c:v>
                </c:pt>
                <c:pt idx="9">
                  <c:v>0.92682971656663271</c:v>
                </c:pt>
                <c:pt idx="10">
                  <c:v>0.89801075427215249</c:v>
                </c:pt>
                <c:pt idx="11">
                  <c:v>0.87878777963206689</c:v>
                </c:pt>
                <c:pt idx="12">
                  <c:v>0.83241055818043963</c:v>
                </c:pt>
                <c:pt idx="13">
                  <c:v>0.37921464031325286</c:v>
                </c:pt>
                <c:pt idx="14">
                  <c:v>0.37267905355561759</c:v>
                </c:pt>
                <c:pt idx="15">
                  <c:v>0.29978948455129456</c:v>
                </c:pt>
                <c:pt idx="16">
                  <c:v>0.28267683912013647</c:v>
                </c:pt>
                <c:pt idx="17">
                  <c:v>2.9228426378664223E-2</c:v>
                </c:pt>
              </c:numCache>
            </c:numRef>
          </c:val>
          <c:extLst>
            <c:ext xmlns:c16="http://schemas.microsoft.com/office/drawing/2014/chart" uri="{C3380CC4-5D6E-409C-BE32-E72D297353CC}">
              <c16:uniqueId val="{00000000-8AC6-4B1E-B86D-B3DCBE26948C}"/>
            </c:ext>
          </c:extLst>
        </c:ser>
        <c:dLbls>
          <c:showLegendKey val="0"/>
          <c:showVal val="0"/>
          <c:showCatName val="0"/>
          <c:showSerName val="0"/>
          <c:showPercent val="0"/>
          <c:showBubbleSize val="0"/>
        </c:dLbls>
        <c:gapWidth val="0"/>
        <c:axId val="235970992"/>
        <c:axId val="235971552"/>
      </c:barChart>
      <c:lineChart>
        <c:grouping val="standard"/>
        <c:varyColors val="0"/>
        <c:ser>
          <c:idx val="0"/>
          <c:order val="1"/>
          <c:tx>
            <c:strRef>
              <c:f>'figg. 6 e 7'!$B$42</c:f>
              <c:strCache>
                <c:ptCount val="1"/>
                <c:pt idx="0">
                  <c:v>Variazione (%, scala destra)</c:v>
                </c:pt>
              </c:strCache>
            </c:strRef>
          </c:tx>
          <c:spPr>
            <a:ln w="28575" cap="rnd">
              <a:noFill/>
              <a:round/>
            </a:ln>
            <a:effectLst/>
          </c:spPr>
          <c:marker>
            <c:symbol val="diamond"/>
            <c:size val="6"/>
            <c:spPr>
              <a:solidFill>
                <a:schemeClr val="bg1"/>
              </a:solidFill>
              <a:ln w="9525">
                <a:solidFill>
                  <a:schemeClr val="tx1"/>
                </a:solidFill>
              </a:ln>
              <a:effectLst/>
            </c:spPr>
          </c:marker>
          <c:dLbls>
            <c:dLbl>
              <c:idx val="0"/>
              <c:layout>
                <c:manualLayout>
                  <c:x val="-3.2402151419221509E-2"/>
                  <c:y val="-5.47411411172792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AC6-4B1E-B86D-B3DCBE26948C}"/>
                </c:ext>
              </c:extLst>
            </c:dLbl>
            <c:dLbl>
              <c:idx val="1"/>
              <c:layout>
                <c:manualLayout>
                  <c:x val="-3.0498878540650639E-2"/>
                  <c:y val="-4.80497997247795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AC6-4B1E-B86D-B3DCBE26948C}"/>
                </c:ext>
              </c:extLst>
            </c:dLbl>
            <c:dLbl>
              <c:idx val="2"/>
              <c:layout>
                <c:manualLayout>
                  <c:x val="-2.8620432260998745E-2"/>
                  <c:y val="-5.35316340941022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AC6-4B1E-B86D-B3DCBE26948C}"/>
                </c:ext>
              </c:extLst>
            </c:dLbl>
            <c:dLbl>
              <c:idx val="3"/>
              <c:layout>
                <c:manualLayout>
                  <c:x val="-3.0511590955759782E-2"/>
                  <c:y val="-4.96737626819903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AC6-4B1E-B86D-B3DCBE26948C}"/>
                </c:ext>
              </c:extLst>
            </c:dLbl>
            <c:dLbl>
              <c:idx val="4"/>
              <c:layout>
                <c:manualLayout>
                  <c:x val="-3.4313663663663667E-2"/>
                  <c:y val="-4.9844675925925924E-2"/>
                </c:manualLayout>
              </c:layout>
              <c:spPr>
                <a:noFill/>
                <a:ln>
                  <a:noFill/>
                </a:ln>
                <a:effectLst/>
              </c:spPr>
              <c:txPr>
                <a:bodyPr wrap="square" lIns="38100" tIns="19050" rIns="38100" bIns="19050" anchor="ctr">
                  <a:noAutofit/>
                </a:bodyPr>
                <a:lstStyle/>
                <a:p>
                  <a:pPr>
                    <a:defRPr/>
                  </a:pPr>
                  <a:endParaRPr lang="it-IT"/>
                </a:p>
              </c:txPr>
              <c:showLegendKey val="0"/>
              <c:showVal val="1"/>
              <c:showCatName val="0"/>
              <c:showSerName val="0"/>
              <c:showPercent val="0"/>
              <c:showBubbleSize val="0"/>
              <c:extLst>
                <c:ext xmlns:c15="http://schemas.microsoft.com/office/drawing/2012/chart" uri="{CE6537A1-D6FC-4f65-9D91-7224C49458BB}">
                  <c15:layout>
                    <c:manualLayout>
                      <c:w val="5.484069069069069E-2"/>
                      <c:h val="6.4299999999999982E-2"/>
                    </c:manualLayout>
                  </c15:layout>
                </c:ext>
                <c:ext xmlns:c16="http://schemas.microsoft.com/office/drawing/2014/chart" uri="{C3380CC4-5D6E-409C-BE32-E72D297353CC}">
                  <c16:uniqueId val="{00000005-8AC6-4B1E-B86D-B3DCBE26948C}"/>
                </c:ext>
              </c:extLst>
            </c:dLbl>
            <c:dLbl>
              <c:idx val="5"/>
              <c:layout>
                <c:manualLayout>
                  <c:x val="-2.867162162162162E-2"/>
                  <c:y val="-6.17606481481481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AC6-4B1E-B86D-B3DCBE26948C}"/>
                </c:ext>
              </c:extLst>
            </c:dLbl>
            <c:dLbl>
              <c:idx val="6"/>
              <c:layout>
                <c:manualLayout>
                  <c:x val="-3.0570217623086534E-2"/>
                  <c:y val="-5.85159407517634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AC6-4B1E-B86D-B3DCBE26948C}"/>
                </c:ext>
              </c:extLst>
            </c:dLbl>
            <c:dLbl>
              <c:idx val="7"/>
              <c:layout>
                <c:manualLayout>
                  <c:x val="-3.0561094595772938E-2"/>
                  <c:y val="-5.38535372324095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AC6-4B1E-B86D-B3DCBE26948C}"/>
                </c:ext>
              </c:extLst>
            </c:dLbl>
            <c:dLbl>
              <c:idx val="8"/>
              <c:layout>
                <c:manualLayout>
                  <c:x val="-3.0611645140559678E-2"/>
                  <c:y val="-4.8030386211529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AC6-4B1E-B86D-B3DCBE26948C}"/>
                </c:ext>
              </c:extLst>
            </c:dLbl>
            <c:dLbl>
              <c:idx val="9"/>
              <c:layout>
                <c:manualLayout>
                  <c:x val="-3.0597138031552812E-2"/>
                  <c:y val="-4.83680910466682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AC6-4B1E-B86D-B3DCBE26948C}"/>
                </c:ext>
              </c:extLst>
            </c:dLbl>
            <c:dLbl>
              <c:idx val="10"/>
              <c:layout>
                <c:manualLayout>
                  <c:x val="-3.2508337474838764E-2"/>
                  <c:y val="-5.8907822833181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AC6-4B1E-B86D-B3DCBE26948C}"/>
                </c:ext>
              </c:extLst>
            </c:dLbl>
            <c:dLbl>
              <c:idx val="11"/>
              <c:layout>
                <c:manualLayout>
                  <c:x val="-2.6779375437550042E-2"/>
                  <c:y val="-5.31045368026033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AC6-4B1E-B86D-B3DCBE26948C}"/>
                </c:ext>
              </c:extLst>
            </c:dLbl>
            <c:dLbl>
              <c:idx val="12"/>
              <c:layout>
                <c:manualLayout>
                  <c:x val="-3.0570068065261649E-2"/>
                  <c:y val="-5.32151486804228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AC6-4B1E-B86D-B3DCBE26948C}"/>
                </c:ext>
              </c:extLst>
            </c:dLbl>
            <c:dLbl>
              <c:idx val="13"/>
              <c:layout>
                <c:manualLayout>
                  <c:x val="-2.8650493383786169E-2"/>
                  <c:y val="-5.78987716212360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AC6-4B1E-B86D-B3DCBE26948C}"/>
                </c:ext>
              </c:extLst>
            </c:dLbl>
            <c:dLbl>
              <c:idx val="14"/>
              <c:layout>
                <c:manualLayout>
                  <c:x val="-3.9101743739546842E-2"/>
                  <c:y val="-4.5529880557231034E-2"/>
                </c:manualLayout>
              </c:layout>
              <c:spPr>
                <a:noFill/>
                <a:ln>
                  <a:noFill/>
                </a:ln>
                <a:effectLst/>
              </c:spPr>
              <c:txPr>
                <a:bodyPr wrap="square" lIns="38100" tIns="19050" rIns="38100" bIns="19050" anchor="ctr">
                  <a:noAutofit/>
                </a:bodyPr>
                <a:lstStyle/>
                <a:p>
                  <a:pPr>
                    <a:defRPr/>
                  </a:pPr>
                  <a:endParaRPr lang="it-IT"/>
                </a:p>
              </c:txPr>
              <c:showLegendKey val="0"/>
              <c:showVal val="1"/>
              <c:showCatName val="0"/>
              <c:showSerName val="0"/>
              <c:showPercent val="0"/>
              <c:showBubbleSize val="0"/>
              <c:extLst>
                <c:ext xmlns:c15="http://schemas.microsoft.com/office/drawing/2012/chart" uri="{CE6537A1-D6FC-4f65-9D91-7224C49458BB}">
                  <c15:layout>
                    <c:manualLayout>
                      <c:w val="5.6916230686408151E-2"/>
                      <c:h val="8.4297402541367319E-2"/>
                    </c:manualLayout>
                  </c15:layout>
                </c:ext>
                <c:ext xmlns:c16="http://schemas.microsoft.com/office/drawing/2014/chart" uri="{C3380CC4-5D6E-409C-BE32-E72D297353CC}">
                  <c16:uniqueId val="{0000000F-8AC6-4B1E-B86D-B3DCBE26948C}"/>
                </c:ext>
              </c:extLst>
            </c:dLbl>
            <c:dLbl>
              <c:idx val="15"/>
              <c:layout>
                <c:manualLayout>
                  <c:x val="-2.8611411411411412E-2"/>
                  <c:y val="-5.36694444444444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AC6-4B1E-B86D-B3DCBE26948C}"/>
                </c:ext>
              </c:extLst>
            </c:dLbl>
            <c:dLbl>
              <c:idx val="16"/>
              <c:layout>
                <c:manualLayout>
                  <c:x val="-3.0620270270270269E-2"/>
                  <c:y val="-5.71060185185184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AC6-4B1E-B86D-B3DCBE26948C}"/>
                </c:ext>
              </c:extLst>
            </c:dLbl>
            <c:dLbl>
              <c:idx val="17"/>
              <c:layout>
                <c:manualLayout>
                  <c:x val="-3.4343093093093094E-2"/>
                  <c:y val="-6.41569444444444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AC6-4B1E-B86D-B3DCBE26948C}"/>
                </c:ext>
              </c:extLst>
            </c:dLbl>
            <c:dLbl>
              <c:idx val="18"/>
              <c:layout>
                <c:manualLayout>
                  <c:x val="-3.8156504823624024E-2"/>
                  <c:y val="7.6581018518518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AC6-4B1E-B86D-B3DCBE26948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'figg. 6 e 7'!$P$44:$P$61</c:f>
              <c:strCache>
                <c:ptCount val="18"/>
                <c:pt idx="0">
                  <c:v>Farmaceutica</c:v>
                </c:pt>
                <c:pt idx="1">
                  <c:v>Macchinari</c:v>
                </c:pt>
                <c:pt idx="2">
                  <c:v>Metalli</c:v>
                </c:pt>
                <c:pt idx="3">
                  <c:v>Alimentari</c:v>
                </c:pt>
                <c:pt idx="4">
                  <c:v>Altri mezzi trasporto</c:v>
                </c:pt>
                <c:pt idx="5">
                  <c:v>Autoveicoli</c:v>
                </c:pt>
                <c:pt idx="6">
                  <c:v>Chimica</c:v>
                </c:pt>
                <c:pt idx="7">
                  <c:v>Raffinazione</c:v>
                </c:pt>
                <c:pt idx="8">
                  <c:v>Elettronica</c:v>
                </c:pt>
                <c:pt idx="9">
                  <c:v>Pelletteria</c:v>
                </c:pt>
                <c:pt idx="10">
                  <c:v>Abbigliamento</c:v>
                </c:pt>
                <c:pt idx="11">
                  <c:v>Altra manifattura</c:v>
                </c:pt>
                <c:pt idx="12">
                  <c:v>Apparecchi elettrici</c:v>
                </c:pt>
                <c:pt idx="13">
                  <c:v>Gomma-plastica</c:v>
                </c:pt>
                <c:pt idx="14">
                  <c:v>Minerali non metalliferi</c:v>
                </c:pt>
                <c:pt idx="15">
                  <c:v>Tessili</c:v>
                </c:pt>
                <c:pt idx="16">
                  <c:v>Mobili</c:v>
                </c:pt>
                <c:pt idx="17">
                  <c:v>Agricoltura</c:v>
                </c:pt>
              </c:strCache>
            </c:strRef>
          </c:cat>
          <c:val>
            <c:numRef>
              <c:f>'figg. 6 e 7'!$B$44:$B$61</c:f>
              <c:numCache>
                <c:formatCode>0.0</c:formatCode>
                <c:ptCount val="18"/>
                <c:pt idx="0">
                  <c:v>36.201954937653767</c:v>
                </c:pt>
                <c:pt idx="1">
                  <c:v>13.933360605463108</c:v>
                </c:pt>
                <c:pt idx="2">
                  <c:v>15.484513495379943</c:v>
                </c:pt>
                <c:pt idx="3">
                  <c:v>19.849078214866182</c:v>
                </c:pt>
                <c:pt idx="4">
                  <c:v>27.01428891381191</c:v>
                </c:pt>
                <c:pt idx="5">
                  <c:v>35.756694905508454</c:v>
                </c:pt>
                <c:pt idx="6">
                  <c:v>17.455209968407615</c:v>
                </c:pt>
                <c:pt idx="7">
                  <c:v>39.312617103842939</c:v>
                </c:pt>
                <c:pt idx="8">
                  <c:v>32.230578829117661</c:v>
                </c:pt>
                <c:pt idx="9">
                  <c:v>21.229979298271218</c:v>
                </c:pt>
                <c:pt idx="10">
                  <c:v>17.486171090370419</c:v>
                </c:pt>
                <c:pt idx="11">
                  <c:v>22.584966059207346</c:v>
                </c:pt>
                <c:pt idx="12">
                  <c:v>15.561599185605175</c:v>
                </c:pt>
                <c:pt idx="13">
                  <c:v>10.192762110739366</c:v>
                </c:pt>
                <c:pt idx="14">
                  <c:v>16.896946600401805</c:v>
                </c:pt>
                <c:pt idx="15">
                  <c:v>16.845572286241421</c:v>
                </c:pt>
                <c:pt idx="16">
                  <c:v>14.644739315821624</c:v>
                </c:pt>
                <c:pt idx="17">
                  <c:v>2.0772140170331994</c:v>
                </c:pt>
              </c:numCache>
            </c:numRef>
          </c:val>
          <c:smooth val="0"/>
          <c:extLst>
            <c:ext xmlns:c16="http://schemas.microsoft.com/office/drawing/2014/chart" uri="{C3380CC4-5D6E-409C-BE32-E72D297353CC}">
              <c16:uniqueId val="{00000014-8AC6-4B1E-B86D-B3DCBE26948C}"/>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235972672"/>
        <c:axId val="235972112"/>
      </c:lineChart>
      <c:catAx>
        <c:axId val="235970992"/>
        <c:scaling>
          <c:orientation val="minMax"/>
        </c:scaling>
        <c:delete val="0"/>
        <c:axPos val="b"/>
        <c:majorGridlines>
          <c:spPr>
            <a:ln w="6350" cap="flat" cmpd="sng" algn="ctr">
              <a:solidFill>
                <a:srgbClr val="A6A6A6"/>
              </a:solidFill>
              <a:prstDash val="sysDash"/>
              <a:round/>
              <a:headEnd type="none" w="med" len="med"/>
              <a:tailEnd type="none" w="med" len="med"/>
            </a:ln>
            <a:effectLst/>
          </c:spPr>
        </c:majorGridlines>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rgbClr val="000000"/>
                </a:solidFill>
                <a:latin typeface="Arial Narrow" panose="020B0606020202030204" pitchFamily="34" charset="0"/>
                <a:ea typeface="+mn-ea"/>
                <a:cs typeface="+mn-cs"/>
              </a:defRPr>
            </a:pPr>
            <a:endParaRPr lang="it-IT"/>
          </a:p>
        </c:txPr>
        <c:crossAx val="235971552"/>
        <c:crosses val="autoZero"/>
        <c:auto val="1"/>
        <c:lblAlgn val="ctr"/>
        <c:lblOffset val="0"/>
        <c:noMultiLvlLbl val="0"/>
      </c:catAx>
      <c:valAx>
        <c:axId val="235971552"/>
        <c:scaling>
          <c:orientation val="minMax"/>
          <c:max val="20"/>
          <c:min val="-20"/>
        </c:scaling>
        <c:delete val="0"/>
        <c:axPos val="l"/>
        <c:majorGridlines>
          <c:spPr>
            <a:ln w="6350" cap="flat" cmpd="sng" algn="ctr">
              <a:solidFill>
                <a:srgbClr val="A6A6A6"/>
              </a:solidFill>
              <a:prstDash val="sysDash"/>
              <a:round/>
              <a:headEnd type="none" w="med" len="med"/>
              <a:tailEnd type="none" w="med" len="med"/>
            </a:ln>
            <a:effectLst/>
          </c:spPr>
        </c:majorGridlines>
        <c:title>
          <c:tx>
            <c:rich>
              <a:bodyPr rot="0" spcFirstLastPara="1" vertOverflow="ellipsis" wrap="square" anchor="ctr" anchorCtr="1"/>
              <a:lstStyle/>
              <a:p>
                <a:pPr>
                  <a:defRPr sz="900" b="0" i="0" u="none" strike="noStrike" kern="1200" baseline="0">
                    <a:solidFill>
                      <a:srgbClr val="000000"/>
                    </a:solidFill>
                    <a:latin typeface="Arial Narrow" panose="020B0606020202030204" pitchFamily="34" charset="0"/>
                    <a:ea typeface="+mn-ea"/>
                    <a:cs typeface="+mn-cs"/>
                  </a:defRPr>
                </a:pPr>
                <a:r>
                  <a:rPr lang="it-IT"/>
                  <a:t>%</a:t>
                </a:r>
              </a:p>
            </c:rich>
          </c:tx>
          <c:layout>
            <c:manualLayout>
              <c:xMode val="edge"/>
              <c:yMode val="edge"/>
              <c:x val="0.96948843843843846"/>
              <c:y val="3.7319444444444444E-3"/>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235970992"/>
        <c:crosses val="autoZero"/>
        <c:crossBetween val="between"/>
        <c:majorUnit val="10"/>
      </c:valAx>
      <c:valAx>
        <c:axId val="235972112"/>
        <c:scaling>
          <c:orientation val="minMax"/>
          <c:max val="300"/>
          <c:min val="-300"/>
        </c:scaling>
        <c:delete val="0"/>
        <c:axPos val="r"/>
        <c:numFmt formatCode="0" sourceLinked="0"/>
        <c:majorTickMark val="out"/>
        <c:minorTickMark val="none"/>
        <c:tickLblPos val="nextTo"/>
        <c:crossAx val="235972672"/>
        <c:crosses val="max"/>
        <c:crossBetween val="between"/>
        <c:majorUnit val="150"/>
      </c:valAx>
      <c:catAx>
        <c:axId val="235972672"/>
        <c:scaling>
          <c:orientation val="minMax"/>
        </c:scaling>
        <c:delete val="1"/>
        <c:axPos val="b"/>
        <c:numFmt formatCode="General" sourceLinked="1"/>
        <c:majorTickMark val="out"/>
        <c:minorTickMark val="none"/>
        <c:tickLblPos val="nextTo"/>
        <c:crossAx val="235972112"/>
        <c:crosses val="autoZero"/>
        <c:auto val="1"/>
        <c:lblAlgn val="ctr"/>
        <c:lblOffset val="100"/>
        <c:noMultiLvlLbl val="0"/>
      </c:catAx>
      <c:spPr>
        <a:solidFill>
          <a:srgbClr val="FFFFFF"/>
        </a:solidFill>
        <a:ln w="9525" cap="flat" cmpd="sng" algn="ctr">
          <a:solidFill>
            <a:srgbClr val="DDDDDD"/>
          </a:solidFill>
          <a:prstDash val="solid"/>
          <a:round/>
          <a:headEnd type="none" w="med" len="med"/>
          <a:tailEnd type="none" w="med" len="med"/>
        </a:ln>
        <a:effectLst/>
      </c:spPr>
    </c:plotArea>
    <c:legend>
      <c:legendPos val="t"/>
      <c:layout>
        <c:manualLayout>
          <c:xMode val="edge"/>
          <c:yMode val="edge"/>
          <c:x val="0.20371775005577228"/>
          <c:y val="5.8431693350473298E-3"/>
          <c:w val="0.54175660660660663"/>
          <c:h val="9.1890712840116934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legend>
    <c:plotVisOnly val="1"/>
    <c:dispBlanksAs val="gap"/>
    <c:showDLblsOverMax val="0"/>
  </c:chart>
  <c:spPr>
    <a:solidFill>
      <a:srgbClr val="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solidFill>
            <a:srgbClr val="000000"/>
          </a:solidFill>
          <a:latin typeface="Arial Narrow" panose="020B0606020202030204" pitchFamily="34" charset="0"/>
        </a:defRPr>
      </a:pPr>
      <a:endParaRPr lang="it-I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095195195195195E-2"/>
          <c:y val="0.12223055555555555"/>
          <c:w val="0.91971876876876879"/>
          <c:h val="0.4729078703703703"/>
        </c:manualLayout>
      </c:layout>
      <c:barChart>
        <c:barDir val="col"/>
        <c:grouping val="clustered"/>
        <c:varyColors val="0"/>
        <c:ser>
          <c:idx val="1"/>
          <c:order val="0"/>
          <c:tx>
            <c:strRef>
              <c:f>'figg. 6 e 7'!$D$42</c:f>
              <c:strCache>
                <c:ptCount val="1"/>
                <c:pt idx="0">
                  <c:v>Contributi alla var. (punti perc. - sinistra)</c:v>
                </c:pt>
              </c:strCache>
            </c:strRef>
          </c:tx>
          <c:spPr>
            <a:solidFill>
              <a:srgbClr val="D22630"/>
            </a:solidFill>
            <a:ln>
              <a:solidFill>
                <a:schemeClr val="bg1"/>
              </a:solidFill>
            </a:ln>
            <a:effectLst/>
          </c:spPr>
          <c:invertIfNegative val="0"/>
          <c:cat>
            <c:strRef>
              <c:f>'figg. 6 e 7'!$P$72:$P$90</c:f>
              <c:strCache>
                <c:ptCount val="19"/>
                <c:pt idx="0">
                  <c:v>Gas naturale</c:v>
                </c:pt>
                <c:pt idx="1">
                  <c:v>Petrolio greggio</c:v>
                </c:pt>
                <c:pt idx="2">
                  <c:v>Autoveicoli</c:v>
                </c:pt>
                <c:pt idx="3">
                  <c:v>Chimica</c:v>
                </c:pt>
                <c:pt idx="4">
                  <c:v>Elettronica</c:v>
                </c:pt>
                <c:pt idx="5">
                  <c:v>Alimentari</c:v>
                </c:pt>
                <c:pt idx="6">
                  <c:v>Macchinari</c:v>
                </c:pt>
                <c:pt idx="7">
                  <c:v>Farmaceutica</c:v>
                </c:pt>
                <c:pt idx="8">
                  <c:v>Altri mezzi trasporto</c:v>
                </c:pt>
                <c:pt idx="9">
                  <c:v>Raffinazione</c:v>
                </c:pt>
                <c:pt idx="10">
                  <c:v>Apparecchi elettrici</c:v>
                </c:pt>
                <c:pt idx="11">
                  <c:v>Metalli</c:v>
                </c:pt>
                <c:pt idx="12">
                  <c:v>Abbigliamento</c:v>
                </c:pt>
                <c:pt idx="13">
                  <c:v>Agricoltura</c:v>
                </c:pt>
                <c:pt idx="14">
                  <c:v>Pelletteria</c:v>
                </c:pt>
                <c:pt idx="15">
                  <c:v>Carta-stampa</c:v>
                </c:pt>
                <c:pt idx="16">
                  <c:v>Gomma-plastica</c:v>
                </c:pt>
                <c:pt idx="17">
                  <c:v>Altra manifattura</c:v>
                </c:pt>
                <c:pt idx="18">
                  <c:v>Trattamento rifiuti</c:v>
                </c:pt>
              </c:strCache>
            </c:strRef>
          </c:cat>
          <c:val>
            <c:numRef>
              <c:f>'figg. 6 e 7'!$D$72:$D$90</c:f>
              <c:numCache>
                <c:formatCode>0.00</c:formatCode>
                <c:ptCount val="19"/>
                <c:pt idx="0">
                  <c:v>12.489958438126004</c:v>
                </c:pt>
                <c:pt idx="1">
                  <c:v>2.9727559719364742</c:v>
                </c:pt>
                <c:pt idx="2">
                  <c:v>2.3807239963796096</c:v>
                </c:pt>
                <c:pt idx="3">
                  <c:v>2.2536983989313</c:v>
                </c:pt>
                <c:pt idx="4">
                  <c:v>1.9179075277405813</c:v>
                </c:pt>
                <c:pt idx="5">
                  <c:v>1.8708615871250547</c:v>
                </c:pt>
                <c:pt idx="6">
                  <c:v>1.7205269930447651</c:v>
                </c:pt>
                <c:pt idx="7">
                  <c:v>1.5335199839758844</c:v>
                </c:pt>
                <c:pt idx="8">
                  <c:v>1.4489479966691299</c:v>
                </c:pt>
                <c:pt idx="9">
                  <c:v>1.348752253940428</c:v>
                </c:pt>
                <c:pt idx="10">
                  <c:v>1.2823264484432755</c:v>
                </c:pt>
                <c:pt idx="11">
                  <c:v>1.2439250987878394</c:v>
                </c:pt>
                <c:pt idx="12">
                  <c:v>1.0937363549750858</c:v>
                </c:pt>
                <c:pt idx="13">
                  <c:v>1.0370087856890182</c:v>
                </c:pt>
                <c:pt idx="14">
                  <c:v>0.7423673682086136</c:v>
                </c:pt>
                <c:pt idx="15">
                  <c:v>0.69845268348820355</c:v>
                </c:pt>
                <c:pt idx="16">
                  <c:v>0.42135297269815214</c:v>
                </c:pt>
                <c:pt idx="17">
                  <c:v>0.34694339526734186</c:v>
                </c:pt>
                <c:pt idx="18">
                  <c:v>-0.23572819472169712</c:v>
                </c:pt>
              </c:numCache>
            </c:numRef>
          </c:val>
          <c:extLst>
            <c:ext xmlns:c16="http://schemas.microsoft.com/office/drawing/2014/chart" uri="{C3380CC4-5D6E-409C-BE32-E72D297353CC}">
              <c16:uniqueId val="{00000000-1EF2-4F57-849F-6E2897EEFDEA}"/>
            </c:ext>
          </c:extLst>
        </c:ser>
        <c:dLbls>
          <c:showLegendKey val="0"/>
          <c:showVal val="0"/>
          <c:showCatName val="0"/>
          <c:showSerName val="0"/>
          <c:showPercent val="0"/>
          <c:showBubbleSize val="0"/>
        </c:dLbls>
        <c:gapWidth val="0"/>
        <c:axId val="235976032"/>
        <c:axId val="235976592"/>
      </c:barChart>
      <c:lineChart>
        <c:grouping val="standard"/>
        <c:varyColors val="0"/>
        <c:ser>
          <c:idx val="0"/>
          <c:order val="1"/>
          <c:tx>
            <c:strRef>
              <c:f>'figg. 6 e 7'!$B$42</c:f>
              <c:strCache>
                <c:ptCount val="1"/>
                <c:pt idx="0">
                  <c:v>Variazione (%, scala destra)</c:v>
                </c:pt>
              </c:strCache>
            </c:strRef>
          </c:tx>
          <c:spPr>
            <a:ln w="28575" cap="rnd">
              <a:noFill/>
              <a:round/>
            </a:ln>
            <a:effectLst/>
          </c:spPr>
          <c:marker>
            <c:symbol val="diamond"/>
            <c:size val="6"/>
            <c:spPr>
              <a:solidFill>
                <a:schemeClr val="bg1"/>
              </a:solidFill>
              <a:ln w="9525">
                <a:solidFill>
                  <a:schemeClr val="tx1"/>
                </a:solidFill>
              </a:ln>
              <a:effectLst/>
            </c:spPr>
          </c:marker>
          <c:dLbls>
            <c:dLbl>
              <c:idx val="0"/>
              <c:layout>
                <c:manualLayout>
                  <c:x val="-3.0530930930930941E-2"/>
                  <c:y val="-4.81782407407407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F2-4F57-849F-6E2897EEFDEA}"/>
                </c:ext>
              </c:extLst>
            </c:dLbl>
            <c:dLbl>
              <c:idx val="1"/>
              <c:layout>
                <c:manualLayout>
                  <c:x val="-3.048706347249041E-2"/>
                  <c:y val="-5.89917075899343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EF2-4F57-849F-6E2897EEFDEA}"/>
                </c:ext>
              </c:extLst>
            </c:dLbl>
            <c:dLbl>
              <c:idx val="2"/>
              <c:layout>
                <c:manualLayout>
                  <c:x val="-2.4823159088995447E-2"/>
                  <c:y val="-6.20959130005230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EF2-4F57-849F-6E2897EEFDEA}"/>
                </c:ext>
              </c:extLst>
            </c:dLbl>
            <c:dLbl>
              <c:idx val="3"/>
              <c:layout>
                <c:manualLayout>
                  <c:x val="-3.432762762762763E-2"/>
                  <c:y val="-5.09037037037037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EF2-4F57-849F-6E2897EEFDEA}"/>
                </c:ext>
              </c:extLst>
            </c:dLbl>
            <c:dLbl>
              <c:idx val="4"/>
              <c:layout>
                <c:manualLayout>
                  <c:x val="-3.6230330330330331E-2"/>
                  <c:y val="-5.207500000000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EF2-4F57-849F-6E2897EEFDEA}"/>
                </c:ext>
              </c:extLst>
            </c:dLbl>
            <c:dLbl>
              <c:idx val="5"/>
              <c:layout>
                <c:manualLayout>
                  <c:x val="-2.6691741741741777E-2"/>
                  <c:y val="-6.41000000000000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EF2-4F57-849F-6E2897EEFDEA}"/>
                </c:ext>
              </c:extLst>
            </c:dLbl>
            <c:dLbl>
              <c:idx val="6"/>
              <c:layout>
                <c:manualLayout>
                  <c:x val="-3.4326576576576576E-2"/>
                  <c:y val="-4.98898148148148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EF2-4F57-849F-6E2897EEFDEA}"/>
                </c:ext>
              </c:extLst>
            </c:dLbl>
            <c:dLbl>
              <c:idx val="7"/>
              <c:layout>
                <c:manualLayout>
                  <c:x val="-3.0544792792868244E-2"/>
                  <c:y val="-5.020213430580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EF2-4F57-849F-6E2897EEFDEA}"/>
                </c:ext>
              </c:extLst>
            </c:dLbl>
            <c:dLbl>
              <c:idx val="8"/>
              <c:layout>
                <c:manualLayout>
                  <c:x val="-3.0547185718065323E-2"/>
                  <c:y val="-4.45040535828442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EF2-4F57-849F-6E2897EEFDEA}"/>
                </c:ext>
              </c:extLst>
            </c:dLbl>
            <c:dLbl>
              <c:idx val="9"/>
              <c:layout>
                <c:manualLayout>
                  <c:x val="-3.0526397180416311E-2"/>
                  <c:y val="-4.98765945545417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EF2-4F57-849F-6E2897EEFDEA}"/>
                </c:ext>
              </c:extLst>
            </c:dLbl>
            <c:dLbl>
              <c:idx val="10"/>
              <c:layout>
                <c:manualLayout>
                  <c:x val="-3.0522060003496661E-2"/>
                  <c:y val="-4.49140429766955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EF2-4F57-849F-6E2897EEFDEA}"/>
                </c:ext>
              </c:extLst>
            </c:dLbl>
            <c:dLbl>
              <c:idx val="11"/>
              <c:layout>
                <c:manualLayout>
                  <c:x val="-3.0514282996606454E-2"/>
                  <c:y val="-4.70606984076248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EF2-4F57-849F-6E2897EEFDEA}"/>
                </c:ext>
              </c:extLst>
            </c:dLbl>
            <c:dLbl>
              <c:idx val="12"/>
              <c:layout>
                <c:manualLayout>
                  <c:x val="-3.0554663609305907E-2"/>
                  <c:y val="-5.2839142500145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EF2-4F57-849F-6E2897EEFDEA}"/>
                </c:ext>
              </c:extLst>
            </c:dLbl>
            <c:dLbl>
              <c:idx val="13"/>
              <c:layout>
                <c:manualLayout>
                  <c:x val="-3.2427875365089343E-2"/>
                  <c:y val="-6.30811588307084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EF2-4F57-849F-6E2897EEFDEA}"/>
                </c:ext>
              </c:extLst>
            </c:dLbl>
            <c:dLbl>
              <c:idx val="14"/>
              <c:layout>
                <c:manualLayout>
                  <c:x val="-3.0535370649905025E-2"/>
                  <c:y val="-4.97471959086418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EF2-4F57-849F-6E2897EEFDEA}"/>
                </c:ext>
              </c:extLst>
            </c:dLbl>
            <c:dLbl>
              <c:idx val="15"/>
              <c:layout>
                <c:manualLayout>
                  <c:x val="-3.0549877758911888E-2"/>
                  <c:y val="-6.26452897076771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EF2-4F57-849F-6E2897EEFDEA}"/>
                </c:ext>
              </c:extLst>
            </c:dLbl>
            <c:dLbl>
              <c:idx val="16"/>
              <c:layout>
                <c:manualLayout>
                  <c:x val="-2.6745945945945947E-2"/>
                  <c:y val="-5.25296296296296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EF2-4F57-849F-6E2897EEFDEA}"/>
                </c:ext>
              </c:extLst>
            </c:dLbl>
            <c:dLbl>
              <c:idx val="17"/>
              <c:layout>
                <c:manualLayout>
                  <c:x val="-2.6756906906906908E-2"/>
                  <c:y val="-5.14898148148148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EF2-4F57-849F-6E2897EEFDEA}"/>
                </c:ext>
              </c:extLst>
            </c:dLbl>
            <c:dLbl>
              <c:idx val="18"/>
              <c:layout>
                <c:manualLayout>
                  <c:x val="-3.4387387387387384E-2"/>
                  <c:y val="4.99768518518518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EF2-4F57-849F-6E2897EEFDE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'figg. 6 e 7'!$P$72:$P$90</c:f>
              <c:strCache>
                <c:ptCount val="19"/>
                <c:pt idx="0">
                  <c:v>Gas naturale</c:v>
                </c:pt>
                <c:pt idx="1">
                  <c:v>Petrolio greggio</c:v>
                </c:pt>
                <c:pt idx="2">
                  <c:v>Autoveicoli</c:v>
                </c:pt>
                <c:pt idx="3">
                  <c:v>Chimica</c:v>
                </c:pt>
                <c:pt idx="4">
                  <c:v>Elettronica</c:v>
                </c:pt>
                <c:pt idx="5">
                  <c:v>Alimentari</c:v>
                </c:pt>
                <c:pt idx="6">
                  <c:v>Macchinari</c:v>
                </c:pt>
                <c:pt idx="7">
                  <c:v>Farmaceutica</c:v>
                </c:pt>
                <c:pt idx="8">
                  <c:v>Altri mezzi trasporto</c:v>
                </c:pt>
                <c:pt idx="9">
                  <c:v>Raffinazione</c:v>
                </c:pt>
                <c:pt idx="10">
                  <c:v>Apparecchi elettrici</c:v>
                </c:pt>
                <c:pt idx="11">
                  <c:v>Metalli</c:v>
                </c:pt>
                <c:pt idx="12">
                  <c:v>Abbigliamento</c:v>
                </c:pt>
                <c:pt idx="13">
                  <c:v>Agricoltura</c:v>
                </c:pt>
                <c:pt idx="14">
                  <c:v>Pelletteria</c:v>
                </c:pt>
                <c:pt idx="15">
                  <c:v>Carta-stampa</c:v>
                </c:pt>
                <c:pt idx="16">
                  <c:v>Gomma-plastica</c:v>
                </c:pt>
                <c:pt idx="17">
                  <c:v>Altra manifattura</c:v>
                </c:pt>
                <c:pt idx="18">
                  <c:v>Trattamento rifiuti</c:v>
                </c:pt>
              </c:strCache>
            </c:strRef>
          </c:cat>
          <c:val>
            <c:numRef>
              <c:f>'figg. 6 e 7'!$B$72:$B$90</c:f>
              <c:numCache>
                <c:formatCode>0.0</c:formatCode>
                <c:ptCount val="19"/>
                <c:pt idx="0">
                  <c:v>253.2725523388965</c:v>
                </c:pt>
                <c:pt idx="1">
                  <c:v>55.837030612430254</c:v>
                </c:pt>
                <c:pt idx="2">
                  <c:v>55.026035879580405</c:v>
                </c:pt>
                <c:pt idx="3">
                  <c:v>22.795177991426868</c:v>
                </c:pt>
                <c:pt idx="4">
                  <c:v>29.099224386504318</c:v>
                </c:pt>
                <c:pt idx="5">
                  <c:v>28.908993180677697</c:v>
                </c:pt>
                <c:pt idx="6">
                  <c:v>23.800843250917538</c:v>
                </c:pt>
                <c:pt idx="7">
                  <c:v>22.82057628221078</c:v>
                </c:pt>
                <c:pt idx="8">
                  <c:v>45.129483579596808</c:v>
                </c:pt>
                <c:pt idx="9">
                  <c:v>79.614031889121264</c:v>
                </c:pt>
                <c:pt idx="10">
                  <c:v>25.275937318567955</c:v>
                </c:pt>
                <c:pt idx="11">
                  <c:v>9.943983763748804</c:v>
                </c:pt>
                <c:pt idx="12">
                  <c:v>31.660976469648404</c:v>
                </c:pt>
                <c:pt idx="13">
                  <c:v>31.087921487076215</c:v>
                </c:pt>
                <c:pt idx="14">
                  <c:v>32.715982853110319</c:v>
                </c:pt>
                <c:pt idx="15">
                  <c:v>43.604351961143976</c:v>
                </c:pt>
                <c:pt idx="16">
                  <c:v>15.139527192291908</c:v>
                </c:pt>
                <c:pt idx="17">
                  <c:v>11.955123422870642</c:v>
                </c:pt>
                <c:pt idx="18">
                  <c:v>-12.589892590043007</c:v>
                </c:pt>
              </c:numCache>
            </c:numRef>
          </c:val>
          <c:smooth val="0"/>
          <c:extLst>
            <c:ext xmlns:c16="http://schemas.microsoft.com/office/drawing/2014/chart" uri="{C3380CC4-5D6E-409C-BE32-E72D297353CC}">
              <c16:uniqueId val="{00000014-1EF2-4F57-849F-6E2897EEFDEA}"/>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235977712"/>
        <c:axId val="235977152"/>
      </c:lineChart>
      <c:catAx>
        <c:axId val="235976032"/>
        <c:scaling>
          <c:orientation val="minMax"/>
        </c:scaling>
        <c:delete val="0"/>
        <c:axPos val="b"/>
        <c:majorGridlines>
          <c:spPr>
            <a:ln w="6350" cap="flat" cmpd="sng" algn="ctr">
              <a:solidFill>
                <a:srgbClr val="A6A6A6"/>
              </a:solidFill>
              <a:prstDash val="sysDash"/>
              <a:round/>
              <a:headEnd type="none" w="med" len="med"/>
              <a:tailEnd type="none" w="med" len="med"/>
            </a:ln>
            <a:effectLst/>
          </c:spPr>
        </c:majorGridlines>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rgbClr val="000000"/>
                </a:solidFill>
                <a:latin typeface="Arial Narrow" panose="020B0606020202030204" pitchFamily="34" charset="0"/>
                <a:ea typeface="+mn-ea"/>
                <a:cs typeface="+mn-cs"/>
              </a:defRPr>
            </a:pPr>
            <a:endParaRPr lang="it-IT"/>
          </a:p>
        </c:txPr>
        <c:crossAx val="235976592"/>
        <c:crosses val="autoZero"/>
        <c:auto val="1"/>
        <c:lblAlgn val="ctr"/>
        <c:lblOffset val="0"/>
        <c:noMultiLvlLbl val="0"/>
      </c:catAx>
      <c:valAx>
        <c:axId val="235976592"/>
        <c:scaling>
          <c:orientation val="minMax"/>
          <c:max val="20"/>
          <c:min val="-20"/>
        </c:scaling>
        <c:delete val="0"/>
        <c:axPos val="l"/>
        <c:majorGridlines>
          <c:spPr>
            <a:ln w="6350" cap="flat" cmpd="sng" algn="ctr">
              <a:solidFill>
                <a:srgbClr val="A6A6A6"/>
              </a:solidFill>
              <a:prstDash val="sysDash"/>
              <a:round/>
              <a:headEnd type="none" w="med" len="med"/>
              <a:tailEnd type="none" w="med" len="med"/>
            </a:ln>
            <a:effectLst/>
          </c:spPr>
        </c:majorGridlines>
        <c:title>
          <c:tx>
            <c:rich>
              <a:bodyPr rot="0" spcFirstLastPara="1" vertOverflow="ellipsis" wrap="square" anchor="ctr" anchorCtr="1"/>
              <a:lstStyle/>
              <a:p>
                <a:pPr>
                  <a:defRPr sz="900" b="0" i="0" u="none" strike="noStrike" kern="1200" baseline="0">
                    <a:solidFill>
                      <a:srgbClr val="000000"/>
                    </a:solidFill>
                    <a:latin typeface="Arial Narrow" panose="020B0606020202030204" pitchFamily="34" charset="0"/>
                    <a:ea typeface="+mn-ea"/>
                    <a:cs typeface="+mn-cs"/>
                  </a:defRPr>
                </a:pPr>
                <a:r>
                  <a:rPr lang="it-IT"/>
                  <a:t>%</a:t>
                </a:r>
              </a:p>
            </c:rich>
          </c:tx>
          <c:layout>
            <c:manualLayout>
              <c:xMode val="edge"/>
              <c:yMode val="edge"/>
              <c:x val="0.97038048048048053"/>
              <c:y val="5.0319444444444448E-3"/>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235976032"/>
        <c:crosses val="autoZero"/>
        <c:crossBetween val="between"/>
        <c:majorUnit val="10"/>
      </c:valAx>
      <c:valAx>
        <c:axId val="235977152"/>
        <c:scaling>
          <c:orientation val="minMax"/>
          <c:max val="300"/>
          <c:min val="-30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235977712"/>
        <c:crosses val="max"/>
        <c:crossBetween val="between"/>
        <c:majorUnit val="150"/>
      </c:valAx>
      <c:catAx>
        <c:axId val="235977712"/>
        <c:scaling>
          <c:orientation val="minMax"/>
        </c:scaling>
        <c:delete val="1"/>
        <c:axPos val="b"/>
        <c:numFmt formatCode="General" sourceLinked="1"/>
        <c:majorTickMark val="out"/>
        <c:minorTickMark val="none"/>
        <c:tickLblPos val="nextTo"/>
        <c:crossAx val="235977152"/>
        <c:crosses val="autoZero"/>
        <c:auto val="1"/>
        <c:lblAlgn val="ctr"/>
        <c:lblOffset val="100"/>
        <c:noMultiLvlLbl val="0"/>
      </c:catAx>
      <c:spPr>
        <a:solidFill>
          <a:srgbClr val="FFFFFF"/>
        </a:solidFill>
        <a:ln w="9525" cap="flat" cmpd="sng" algn="ctr">
          <a:solidFill>
            <a:srgbClr val="DDDDDD"/>
          </a:solidFill>
          <a:prstDash val="solid"/>
          <a:round/>
          <a:headEnd type="none" w="med" len="med"/>
          <a:tailEnd type="none" w="med" len="med"/>
        </a:ln>
        <a:effectLst/>
      </c:spPr>
    </c:plotArea>
    <c:legend>
      <c:legendPos val="t"/>
      <c:layout>
        <c:manualLayout>
          <c:xMode val="edge"/>
          <c:yMode val="edge"/>
          <c:x val="0.29540800849385712"/>
          <c:y val="0"/>
          <c:w val="0.50720461095100866"/>
          <c:h val="9.1890712840116934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legend>
    <c:plotVisOnly val="1"/>
    <c:dispBlanksAs val="gap"/>
    <c:showDLblsOverMax val="0"/>
  </c:chart>
  <c:spPr>
    <a:solidFill>
      <a:srgbClr val="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solidFill>
            <a:srgbClr val="000000"/>
          </a:solidFill>
          <a:latin typeface="Arial Narrow" panose="020B0606020202030204" pitchFamily="34" charset="0"/>
        </a:defRPr>
      </a:pPr>
      <a:endParaRPr lang="it-I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651638137696099E-2"/>
          <c:y val="0.1005125"/>
          <c:w val="0.89947552894285987"/>
          <c:h val="0.55515925925925924"/>
        </c:manualLayout>
      </c:layout>
      <c:barChart>
        <c:barDir val="col"/>
        <c:grouping val="clustered"/>
        <c:varyColors val="0"/>
        <c:ser>
          <c:idx val="0"/>
          <c:order val="0"/>
          <c:tx>
            <c:strRef>
              <c:f>'figg. 8 e 9'!$D$36</c:f>
              <c:strCache>
                <c:ptCount val="1"/>
                <c:pt idx="0">
                  <c:v>Contributi alla var. (punti perc. - sinistra)</c:v>
                </c:pt>
              </c:strCache>
            </c:strRef>
          </c:tx>
          <c:spPr>
            <a:solidFill>
              <a:srgbClr val="003B5C"/>
            </a:solidFill>
            <a:ln w="9525" cap="flat" cmpd="sng" algn="ctr">
              <a:solidFill>
                <a:srgbClr val="FFFFFF"/>
              </a:solidFill>
              <a:prstDash val="solid"/>
              <a:round/>
              <a:headEnd type="none" w="med" len="med"/>
              <a:tailEnd type="none" w="med" len="med"/>
            </a:ln>
            <a:effectLst/>
          </c:spPr>
          <c:invertIfNegative val="0"/>
          <c:dLbls>
            <c:dLbl>
              <c:idx val="37"/>
              <c:tx>
                <c:rich>
                  <a:bodyPr/>
                  <a:lstStyle/>
                  <a:p>
                    <a:r>
                      <a:t>-24,61153308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93C-439A-AC7E-FE6228B29BCB}"/>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0000"/>
                    </a:solidFill>
                    <a:latin typeface="Arial Narrow" panose="020B0606020202030204" pitchFamily="34" charset="0"/>
                    <a:ea typeface="+mn-ea"/>
                    <a:cs typeface="+mn-cs"/>
                  </a:defRPr>
                </a:pPr>
                <a:endParaRPr lang="it-I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'figg. 8 e 9'!$A$38:$A$56</c:f>
              <c:strCache>
                <c:ptCount val="19"/>
                <c:pt idx="0">
                  <c:v>Stati Uniti</c:v>
                </c:pt>
                <c:pt idx="1">
                  <c:v>Francia</c:v>
                </c:pt>
                <c:pt idx="2">
                  <c:v>Germania</c:v>
                </c:pt>
                <c:pt idx="3">
                  <c:v>OPEC</c:v>
                </c:pt>
                <c:pt idx="4">
                  <c:v>Spagna</c:v>
                </c:pt>
                <c:pt idx="5">
                  <c:v>Turchia</c:v>
                </c:pt>
                <c:pt idx="6">
                  <c:v>Regno Unito</c:v>
                </c:pt>
                <c:pt idx="7">
                  <c:v>Paesi Bassi</c:v>
                </c:pt>
                <c:pt idx="8">
                  <c:v>Svizzera</c:v>
                </c:pt>
                <c:pt idx="9">
                  <c:v>Polonia</c:v>
                </c:pt>
                <c:pt idx="10">
                  <c:v>Austria</c:v>
                </c:pt>
                <c:pt idx="11">
                  <c:v>ASEAN</c:v>
                </c:pt>
                <c:pt idx="12">
                  <c:v>Cina</c:v>
                </c:pt>
                <c:pt idx="13">
                  <c:v>Repubblica ceca</c:v>
                </c:pt>
                <c:pt idx="14">
                  <c:v>Romania</c:v>
                </c:pt>
                <c:pt idx="15">
                  <c:v>Giappone</c:v>
                </c:pt>
                <c:pt idx="16">
                  <c:v>MERCOSUR</c:v>
                </c:pt>
                <c:pt idx="17">
                  <c:v>Belgio</c:v>
                </c:pt>
                <c:pt idx="18">
                  <c:v>Russia</c:v>
                </c:pt>
              </c:strCache>
            </c:strRef>
          </c:cat>
          <c:val>
            <c:numRef>
              <c:f>'figg. 8 e 9'!$D$38:$D$56</c:f>
              <c:numCache>
                <c:formatCode>0.00</c:formatCode>
                <c:ptCount val="19"/>
                <c:pt idx="0">
                  <c:v>4.3076043294900925</c:v>
                </c:pt>
                <c:pt idx="1">
                  <c:v>1.9809647706368096</c:v>
                </c:pt>
                <c:pt idx="2">
                  <c:v>1.9553023638749016</c:v>
                </c:pt>
                <c:pt idx="3">
                  <c:v>1.3183552005768506</c:v>
                </c:pt>
                <c:pt idx="4">
                  <c:v>1.0949068636395314</c:v>
                </c:pt>
                <c:pt idx="5">
                  <c:v>0.89528266470055817</c:v>
                </c:pt>
                <c:pt idx="6">
                  <c:v>0.84566661565945345</c:v>
                </c:pt>
                <c:pt idx="7">
                  <c:v>0.63417158675596996</c:v>
                </c:pt>
                <c:pt idx="8">
                  <c:v>0.62955818005741548</c:v>
                </c:pt>
                <c:pt idx="9">
                  <c:v>0.62157822249913475</c:v>
                </c:pt>
                <c:pt idx="10">
                  <c:v>0.50656221257815826</c:v>
                </c:pt>
                <c:pt idx="11">
                  <c:v>0.45821201460711369</c:v>
                </c:pt>
                <c:pt idx="12">
                  <c:v>0.33247414807853604</c:v>
                </c:pt>
                <c:pt idx="13">
                  <c:v>0.2841498788750218</c:v>
                </c:pt>
                <c:pt idx="14">
                  <c:v>0.26886453038465102</c:v>
                </c:pt>
                <c:pt idx="15">
                  <c:v>0.20151460656638487</c:v>
                </c:pt>
                <c:pt idx="16">
                  <c:v>0.1634695995447942</c:v>
                </c:pt>
                <c:pt idx="17">
                  <c:v>-0.22926367326075206</c:v>
                </c:pt>
                <c:pt idx="18">
                  <c:v>-0.51731927294258051</c:v>
                </c:pt>
              </c:numCache>
            </c:numRef>
          </c:val>
          <c:extLst>
            <c:ext xmlns:c16="http://schemas.microsoft.com/office/drawing/2014/chart" uri="{C3380CC4-5D6E-409C-BE32-E72D297353CC}">
              <c16:uniqueId val="{00000001-793C-439A-AC7E-FE6228B29BCB}"/>
            </c:ext>
          </c:extLst>
        </c:ser>
        <c:dLbls>
          <c:showLegendKey val="0"/>
          <c:showVal val="0"/>
          <c:showCatName val="0"/>
          <c:showSerName val="0"/>
          <c:showPercent val="0"/>
          <c:showBubbleSize val="0"/>
        </c:dLbls>
        <c:gapWidth val="0"/>
        <c:axId val="237443648"/>
        <c:axId val="237444208"/>
      </c:barChart>
      <c:lineChart>
        <c:grouping val="standard"/>
        <c:varyColors val="0"/>
        <c:ser>
          <c:idx val="1"/>
          <c:order val="1"/>
          <c:tx>
            <c:strRef>
              <c:f>'figg. 8 e 9'!$B$36</c:f>
              <c:strCache>
                <c:ptCount val="1"/>
                <c:pt idx="0">
                  <c:v>Variazioni percentuali (scala destra)</c:v>
                </c:pt>
              </c:strCache>
            </c:strRef>
          </c:tx>
          <c:spPr>
            <a:ln w="25400" cap="rnd">
              <a:noFill/>
              <a:round/>
            </a:ln>
            <a:effectLst/>
            <a:extLst>
              <a:ext uri="{91240B29-F687-4F45-9708-019B960494DF}">
                <a14:hiddenLine xmlns:a14="http://schemas.microsoft.com/office/drawing/2010/main" w="9525" cap="flat" cmpd="sng" algn="ctr">
                  <a:solidFill>
                    <a:srgbClr val="FFFFFF"/>
                  </a:solidFill>
                  <a:prstDash val="solid"/>
                  <a:round/>
                  <a:headEnd type="none" w="med" len="med"/>
                  <a:tailEnd type="none" w="med" len="med"/>
                </a14:hiddenLine>
              </a:ext>
            </a:extLst>
          </c:spPr>
          <c:marker>
            <c:symbol val="diamond"/>
            <c:size val="6"/>
            <c:spPr>
              <a:solidFill>
                <a:srgbClr val="FFFFFF"/>
              </a:solidFill>
              <a:ln w="3175">
                <a:solidFill>
                  <a:srgbClr val="141E28"/>
                </a:solidFill>
                <a:prstDash val="solid"/>
              </a:ln>
              <a:effectLst/>
            </c:spPr>
          </c:marker>
          <c:dLbls>
            <c:dLbl>
              <c:idx val="0"/>
              <c:layout>
                <c:manualLayout>
                  <c:x val="-3.1023648763274861E-2"/>
                  <c:y val="-7.55954204722199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93C-439A-AC7E-FE6228B29BCB}"/>
                </c:ext>
              </c:extLst>
            </c:dLbl>
            <c:dLbl>
              <c:idx val="1"/>
              <c:layout>
                <c:manualLayout>
                  <c:x val="-2.686171171171171E-2"/>
                  <c:y val="-6.10949074074074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93C-439A-AC7E-FE6228B29BCB}"/>
                </c:ext>
              </c:extLst>
            </c:dLbl>
            <c:dLbl>
              <c:idx val="2"/>
              <c:layout>
                <c:manualLayout>
                  <c:x val="-2.6493393393393412E-2"/>
                  <c:y val="-6.5830555555555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93C-439A-AC7E-FE6228B29BCB}"/>
                </c:ext>
              </c:extLst>
            </c:dLbl>
            <c:dLbl>
              <c:idx val="3"/>
              <c:layout>
                <c:manualLayout>
                  <c:x val="-2.9933333333333333E-2"/>
                  <c:y val="-4.6578240740740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93C-439A-AC7E-FE6228B29BCB}"/>
                </c:ext>
              </c:extLst>
            </c:dLbl>
            <c:dLbl>
              <c:idx val="4"/>
              <c:layout>
                <c:manualLayout>
                  <c:x val="-3.0637387387387353E-2"/>
                  <c:y val="-6.207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93C-439A-AC7E-FE6228B29BCB}"/>
                </c:ext>
              </c:extLst>
            </c:dLbl>
            <c:dLbl>
              <c:idx val="5"/>
              <c:layout>
                <c:manualLayout>
                  <c:x val="-3.2396246246246249E-2"/>
                  <c:y val="-6.49870370370370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93C-439A-AC7E-FE6228B29BCB}"/>
                </c:ext>
              </c:extLst>
            </c:dLbl>
            <c:dLbl>
              <c:idx val="6"/>
              <c:layout>
                <c:manualLayout>
                  <c:x val="-2.9084534534534533E-2"/>
                  <c:y val="-5.90796296296296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93C-439A-AC7E-FE6228B29BCB}"/>
                </c:ext>
              </c:extLst>
            </c:dLbl>
            <c:dLbl>
              <c:idx val="7"/>
              <c:layout>
                <c:manualLayout>
                  <c:x val="-3.064634747484625E-2"/>
                  <c:y val="-5.55426740185682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93C-439A-AC7E-FE6228B29BCB}"/>
                </c:ext>
              </c:extLst>
            </c:dLbl>
            <c:dLbl>
              <c:idx val="8"/>
              <c:layout>
                <c:manualLayout>
                  <c:x val="-3.1382831001310424E-2"/>
                  <c:y val="-5.88020170601819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93C-439A-AC7E-FE6228B29BCB}"/>
                </c:ext>
              </c:extLst>
            </c:dLbl>
            <c:dLbl>
              <c:idx val="9"/>
              <c:layout>
                <c:manualLayout>
                  <c:x val="-3.0662683800524771E-2"/>
                  <c:y val="-5.8871765870210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93C-439A-AC7E-FE6228B29BCB}"/>
                </c:ext>
              </c:extLst>
            </c:dLbl>
            <c:dLbl>
              <c:idx val="10"/>
              <c:layout>
                <c:manualLayout>
                  <c:x val="-3.329987633851085E-2"/>
                  <c:y val="-4.8915123238606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93C-439A-AC7E-FE6228B29BCB}"/>
                </c:ext>
              </c:extLst>
            </c:dLbl>
            <c:dLbl>
              <c:idx val="11"/>
              <c:layout>
                <c:manualLayout>
                  <c:x val="-3.0512509503919812E-2"/>
                  <c:y val="-5.52641500541967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93C-439A-AC7E-FE6228B29BCB}"/>
                </c:ext>
              </c:extLst>
            </c:dLbl>
            <c:dLbl>
              <c:idx val="12"/>
              <c:layout>
                <c:manualLayout>
                  <c:x val="-3.0451210813988151E-2"/>
                  <c:y val="-5.62038738866110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93C-439A-AC7E-FE6228B29BCB}"/>
                </c:ext>
              </c:extLst>
            </c:dLbl>
            <c:dLbl>
              <c:idx val="13"/>
              <c:layout>
                <c:manualLayout>
                  <c:x val="-3.0521921921921921E-2"/>
                  <c:y val="-5.28939814814814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93C-439A-AC7E-FE6228B29BCB}"/>
                </c:ext>
              </c:extLst>
            </c:dLbl>
            <c:dLbl>
              <c:idx val="14"/>
              <c:layout>
                <c:manualLayout>
                  <c:x val="-2.6693993993993994E-2"/>
                  <c:y val="-5.8961574074074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93C-439A-AC7E-FE6228B29BCB}"/>
                </c:ext>
              </c:extLst>
            </c:dLbl>
            <c:dLbl>
              <c:idx val="15"/>
              <c:layout>
                <c:manualLayout>
                  <c:x val="-2.6690840840840842E-2"/>
                  <c:y val="-5.7537962962962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93C-439A-AC7E-FE6228B29BCB}"/>
                </c:ext>
              </c:extLst>
            </c:dLbl>
            <c:dLbl>
              <c:idx val="16"/>
              <c:layout>
                <c:manualLayout>
                  <c:x val="-3.2434657709316014E-2"/>
                  <c:y val="-5.83480487890446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93C-439A-AC7E-FE6228B29BCB}"/>
                </c:ext>
              </c:extLst>
            </c:dLbl>
            <c:dLbl>
              <c:idx val="17"/>
              <c:layout>
                <c:manualLayout>
                  <c:x val="-3.0464564564564565E-2"/>
                  <c:y val="5.5902314814814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93C-439A-AC7E-FE6228B29BCB}"/>
                </c:ext>
              </c:extLst>
            </c:dLbl>
            <c:dLbl>
              <c:idx val="18"/>
              <c:layout>
                <c:manualLayout>
                  <c:x val="-3.4286786786786788E-2"/>
                  <c:y val="5.7497685185185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93C-439A-AC7E-FE6228B29BCB}"/>
                </c:ext>
              </c:extLst>
            </c:dLbl>
            <c:dLbl>
              <c:idx val="19"/>
              <c:layout>
                <c:manualLayout>
                  <c:x val="-2.8581180448681003E-2"/>
                  <c:y val="5.29165164374686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93C-439A-AC7E-FE6228B29BCB}"/>
                </c:ext>
              </c:extLst>
            </c:dLbl>
            <c:numFmt formatCode="0.0" sourceLinked="0"/>
            <c:spPr>
              <a:noFill/>
              <a:ln>
                <a:noFill/>
              </a:ln>
              <a:effectLst/>
            </c:spPr>
            <c:txPr>
              <a:bodyPr/>
              <a:lstStyle/>
              <a:p>
                <a:pPr>
                  <a:defRPr sz="900"/>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'figg. 8 e 9'!$A$38:$A$56</c:f>
              <c:strCache>
                <c:ptCount val="19"/>
                <c:pt idx="0">
                  <c:v>Stati Uniti</c:v>
                </c:pt>
                <c:pt idx="1">
                  <c:v>Francia</c:v>
                </c:pt>
                <c:pt idx="2">
                  <c:v>Germania</c:v>
                </c:pt>
                <c:pt idx="3">
                  <c:v>OPEC</c:v>
                </c:pt>
                <c:pt idx="4">
                  <c:v>Spagna</c:v>
                </c:pt>
                <c:pt idx="5">
                  <c:v>Turchia</c:v>
                </c:pt>
                <c:pt idx="6">
                  <c:v>Regno Unito</c:v>
                </c:pt>
                <c:pt idx="7">
                  <c:v>Paesi Bassi</c:v>
                </c:pt>
                <c:pt idx="8">
                  <c:v>Svizzera</c:v>
                </c:pt>
                <c:pt idx="9">
                  <c:v>Polonia</c:v>
                </c:pt>
                <c:pt idx="10">
                  <c:v>Austria</c:v>
                </c:pt>
                <c:pt idx="11">
                  <c:v>ASEAN</c:v>
                </c:pt>
                <c:pt idx="12">
                  <c:v>Cina</c:v>
                </c:pt>
                <c:pt idx="13">
                  <c:v>Repubblica ceca</c:v>
                </c:pt>
                <c:pt idx="14">
                  <c:v>Romania</c:v>
                </c:pt>
                <c:pt idx="15">
                  <c:v>Giappone</c:v>
                </c:pt>
                <c:pt idx="16">
                  <c:v>MERCOSUR</c:v>
                </c:pt>
                <c:pt idx="17">
                  <c:v>Belgio</c:v>
                </c:pt>
                <c:pt idx="18">
                  <c:v>Russia</c:v>
                </c:pt>
              </c:strCache>
            </c:strRef>
          </c:cat>
          <c:val>
            <c:numRef>
              <c:f>'figg. 8 e 9'!$B$38:$B$56</c:f>
              <c:numCache>
                <c:formatCode>0.0</c:formatCode>
                <c:ptCount val="19"/>
                <c:pt idx="0">
                  <c:v>48.570180805076063</c:v>
                </c:pt>
                <c:pt idx="1">
                  <c:v>18.762391805943636</c:v>
                </c:pt>
                <c:pt idx="2">
                  <c:v>14.782067917006358</c:v>
                </c:pt>
                <c:pt idx="3">
                  <c:v>49.058366044755502</c:v>
                </c:pt>
                <c:pt idx="4">
                  <c:v>20.136699746842822</c:v>
                </c:pt>
                <c:pt idx="5">
                  <c:v>49.989399304544889</c:v>
                </c:pt>
                <c:pt idx="6">
                  <c:v>18.426340240113518</c:v>
                </c:pt>
                <c:pt idx="7">
                  <c:v>21.671586247548362</c:v>
                </c:pt>
                <c:pt idx="8">
                  <c:v>12.116461771280271</c:v>
                </c:pt>
                <c:pt idx="9">
                  <c:v>19.487139567835527</c:v>
                </c:pt>
                <c:pt idx="10">
                  <c:v>21.439868114045765</c:v>
                </c:pt>
                <c:pt idx="11">
                  <c:v>35.437488466125615</c:v>
                </c:pt>
                <c:pt idx="12">
                  <c:v>12.231937819689392</c:v>
                </c:pt>
                <c:pt idx="13">
                  <c:v>20.205057796219762</c:v>
                </c:pt>
                <c:pt idx="14">
                  <c:v>15.701546298405177</c:v>
                </c:pt>
                <c:pt idx="15">
                  <c:v>16.306253739997459</c:v>
                </c:pt>
                <c:pt idx="16">
                  <c:v>14.722577459825771</c:v>
                </c:pt>
                <c:pt idx="17">
                  <c:v>-5.7477889253452048</c:v>
                </c:pt>
                <c:pt idx="18">
                  <c:v>-34.615557896778455</c:v>
                </c:pt>
              </c:numCache>
            </c:numRef>
          </c:val>
          <c:smooth val="0"/>
          <c:extLst>
            <c:ext xmlns:c16="http://schemas.microsoft.com/office/drawing/2014/chart" uri="{C3380CC4-5D6E-409C-BE32-E72D297353CC}">
              <c16:uniqueId val="{00000016-793C-439A-AC7E-FE6228B29BCB}"/>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237445328"/>
        <c:axId val="237444768"/>
      </c:lineChart>
      <c:catAx>
        <c:axId val="237443648"/>
        <c:scaling>
          <c:orientation val="minMax"/>
        </c:scaling>
        <c:delete val="0"/>
        <c:axPos val="b"/>
        <c:majorGridlines>
          <c:spPr>
            <a:ln w="6350" cap="flat" cmpd="sng" algn="ctr">
              <a:solidFill>
                <a:srgbClr val="A6A6A6"/>
              </a:solidFill>
              <a:prstDash val="sysDash"/>
              <a:round/>
              <a:headEnd type="none" w="med" len="med"/>
              <a:tailEnd type="none" w="med" len="med"/>
            </a:ln>
            <a:effectLst/>
          </c:spPr>
        </c:majorGridlines>
        <c:numFmt formatCode="General" sourceLinked="1"/>
        <c:majorTickMark val="none"/>
        <c:minorTickMark val="none"/>
        <c:tickLblPos val="low"/>
        <c:spPr>
          <a:noFill/>
          <a:ln w="9525" cap="flat" cmpd="sng" algn="ctr">
            <a:solidFill>
              <a:schemeClr val="tx1"/>
            </a:solidFill>
            <a:round/>
          </a:ln>
          <a:effectLst/>
        </c:spPr>
        <c:txPr>
          <a:bodyPr rot="-2700000" spcFirstLastPara="1" vertOverflow="ellipsis" wrap="square" anchor="ctr" anchorCtr="1"/>
          <a:lstStyle/>
          <a:p>
            <a:pPr>
              <a:defRPr sz="1000" b="1" i="0" u="none" strike="noStrike" kern="1200" baseline="0">
                <a:solidFill>
                  <a:srgbClr val="000000"/>
                </a:solidFill>
                <a:latin typeface="Arial Narrow" panose="020B0606020202030204" pitchFamily="34" charset="0"/>
                <a:ea typeface="+mn-ea"/>
                <a:cs typeface="+mn-cs"/>
              </a:defRPr>
            </a:pPr>
            <a:endParaRPr lang="it-IT"/>
          </a:p>
        </c:txPr>
        <c:crossAx val="237444208"/>
        <c:crosses val="autoZero"/>
        <c:auto val="1"/>
        <c:lblAlgn val="ctr"/>
        <c:lblOffset val="0"/>
        <c:tickLblSkip val="1"/>
        <c:noMultiLvlLbl val="0"/>
      </c:catAx>
      <c:valAx>
        <c:axId val="237444208"/>
        <c:scaling>
          <c:orientation val="minMax"/>
          <c:max val="10"/>
          <c:min val="-10"/>
        </c:scaling>
        <c:delete val="0"/>
        <c:axPos val="l"/>
        <c:majorGridlines>
          <c:spPr>
            <a:ln w="6350" cap="flat" cmpd="sng" algn="ctr">
              <a:solidFill>
                <a:srgbClr val="A6A6A6"/>
              </a:solidFill>
              <a:prstDash val="sysDash"/>
              <a:round/>
              <a:headEnd type="none" w="med" len="med"/>
              <a:tailEnd type="none" w="med" len="me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237443648"/>
        <c:crosses val="autoZero"/>
        <c:crossBetween val="between"/>
        <c:majorUnit val="5"/>
      </c:valAx>
      <c:valAx>
        <c:axId val="237444768"/>
        <c:scaling>
          <c:orientation val="minMax"/>
          <c:max val="200"/>
          <c:min val="-200"/>
        </c:scaling>
        <c:delete val="0"/>
        <c:axPos val="r"/>
        <c:title>
          <c:tx>
            <c:rich>
              <a:bodyPr rot="0" vert="horz"/>
              <a:lstStyle/>
              <a:p>
                <a:pPr>
                  <a:defRPr/>
                </a:pPr>
                <a:r>
                  <a:rPr lang="it-IT"/>
                  <a:t>%</a:t>
                </a:r>
              </a:p>
            </c:rich>
          </c:tx>
          <c:layout>
            <c:manualLayout>
              <c:xMode val="edge"/>
              <c:yMode val="edge"/>
              <c:x val="0.96365048731977809"/>
              <c:y val="5.3280345976272573E-3"/>
            </c:manualLayout>
          </c:layout>
          <c:overlay val="0"/>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237445328"/>
        <c:crosses val="max"/>
        <c:crossBetween val="between"/>
        <c:majorUnit val="100"/>
      </c:valAx>
      <c:catAx>
        <c:axId val="237445328"/>
        <c:scaling>
          <c:orientation val="minMax"/>
        </c:scaling>
        <c:delete val="1"/>
        <c:axPos val="b"/>
        <c:numFmt formatCode="General" sourceLinked="1"/>
        <c:majorTickMark val="out"/>
        <c:minorTickMark val="none"/>
        <c:tickLblPos val="nextTo"/>
        <c:crossAx val="237444768"/>
        <c:crosses val="autoZero"/>
        <c:auto val="1"/>
        <c:lblAlgn val="ctr"/>
        <c:lblOffset val="100"/>
        <c:noMultiLvlLbl val="0"/>
      </c:catAx>
      <c:spPr>
        <a:solidFill>
          <a:srgbClr val="FFFFFF"/>
        </a:solidFill>
        <a:ln w="9525" cap="flat" cmpd="sng" algn="ctr">
          <a:solidFill>
            <a:srgbClr val="DDDDDD"/>
          </a:solidFill>
          <a:prstDash val="solid"/>
          <a:round/>
          <a:headEnd type="none" w="med" len="med"/>
          <a:tailEnd type="none" w="med" len="med"/>
        </a:ln>
        <a:effectLst/>
      </c:spPr>
    </c:plotArea>
    <c:legend>
      <c:legendPos val="t"/>
      <c:layout>
        <c:manualLayout>
          <c:xMode val="edge"/>
          <c:yMode val="edge"/>
          <c:x val="0.1942897298149685"/>
          <c:y val="0"/>
          <c:w val="0.64937368785004546"/>
          <c:h val="9.1890712840116934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legend>
    <c:plotVisOnly val="1"/>
    <c:dispBlanksAs val="gap"/>
    <c:showDLblsOverMax val="0"/>
  </c:chart>
  <c:spPr>
    <a:solidFill>
      <a:srgbClr val="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solidFill>
            <a:srgbClr val="000000"/>
          </a:solidFill>
          <a:latin typeface="Arial Narrow" panose="020B0606020202030204" pitchFamily="34" charset="0"/>
        </a:defRPr>
      </a:pPr>
      <a:endParaRPr lang="it-I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651633220714708E-2"/>
          <c:y val="0.10639207360356027"/>
          <c:w val="0.89947552894285987"/>
          <c:h val="0.54927962962962962"/>
        </c:manualLayout>
      </c:layout>
      <c:barChart>
        <c:barDir val="col"/>
        <c:grouping val="clustered"/>
        <c:varyColors val="0"/>
        <c:ser>
          <c:idx val="0"/>
          <c:order val="0"/>
          <c:tx>
            <c:strRef>
              <c:f>'figg. 8 e 9'!$D$36</c:f>
              <c:strCache>
                <c:ptCount val="1"/>
                <c:pt idx="0">
                  <c:v>Contributi alla var. (punti perc. - sinistra)</c:v>
                </c:pt>
              </c:strCache>
            </c:strRef>
          </c:tx>
          <c:spPr>
            <a:solidFill>
              <a:srgbClr val="D22630"/>
            </a:solidFill>
            <a:ln w="9525" cap="flat" cmpd="sng" algn="ctr">
              <a:solidFill>
                <a:schemeClr val="bg1"/>
              </a:solidFill>
              <a:prstDash val="solid"/>
              <a:round/>
              <a:headEnd type="none" w="med" len="med"/>
              <a:tailEnd type="none" w="med" len="med"/>
            </a:ln>
            <a:effectLst/>
          </c:spPr>
          <c:invertIfNegative val="0"/>
          <c:dLbls>
            <c:dLbl>
              <c:idx val="37"/>
              <c:tx>
                <c:rich>
                  <a:bodyPr/>
                  <a:lstStyle/>
                  <a:p>
                    <a:r>
                      <a:t>-24,61153308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A2C-4733-9657-4E12D04FF334}"/>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0000"/>
                    </a:solidFill>
                    <a:latin typeface="Arial Narrow" panose="020B0606020202030204" pitchFamily="34" charset="0"/>
                    <a:ea typeface="+mn-ea"/>
                    <a:cs typeface="+mn-cs"/>
                  </a:defRPr>
                </a:pPr>
                <a:endParaRPr lang="it-I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'figg. 8 e 9'!$A$61:$A$79</c:f>
              <c:strCache>
                <c:ptCount val="19"/>
                <c:pt idx="0">
                  <c:v>OPEC</c:v>
                </c:pt>
                <c:pt idx="1">
                  <c:v>Cina</c:v>
                </c:pt>
                <c:pt idx="2">
                  <c:v>Germania</c:v>
                </c:pt>
                <c:pt idx="3">
                  <c:v>Francia</c:v>
                </c:pt>
                <c:pt idx="4">
                  <c:v>Stati Uniti</c:v>
                </c:pt>
                <c:pt idx="5">
                  <c:v>Paesi Bassi</c:v>
                </c:pt>
                <c:pt idx="6">
                  <c:v>Svizzera</c:v>
                </c:pt>
                <c:pt idx="7">
                  <c:v>Spagna</c:v>
                </c:pt>
                <c:pt idx="8">
                  <c:v>Belgio</c:v>
                </c:pt>
                <c:pt idx="9">
                  <c:v>Polonia</c:v>
                </c:pt>
                <c:pt idx="10">
                  <c:v>ASEAN</c:v>
                </c:pt>
                <c:pt idx="11">
                  <c:v>India</c:v>
                </c:pt>
                <c:pt idx="12">
                  <c:v>Repubblica ceca</c:v>
                </c:pt>
                <c:pt idx="13">
                  <c:v>MERCOSUR</c:v>
                </c:pt>
                <c:pt idx="14">
                  <c:v>Turchia</c:v>
                </c:pt>
                <c:pt idx="15">
                  <c:v>Austria</c:v>
                </c:pt>
                <c:pt idx="16">
                  <c:v>Romania</c:v>
                </c:pt>
                <c:pt idx="17">
                  <c:v>Russia</c:v>
                </c:pt>
                <c:pt idx="18">
                  <c:v>Regno Unito</c:v>
                </c:pt>
              </c:strCache>
            </c:strRef>
          </c:cat>
          <c:val>
            <c:numRef>
              <c:f>'figg. 8 e 9'!$D$61:$D$79</c:f>
              <c:numCache>
                <c:formatCode>0.00</c:formatCode>
                <c:ptCount val="19"/>
                <c:pt idx="0">
                  <c:v>5.7596769333792652</c:v>
                </c:pt>
                <c:pt idx="1">
                  <c:v>3.7751648574249308</c:v>
                </c:pt>
                <c:pt idx="2">
                  <c:v>2.90597874008126</c:v>
                </c:pt>
                <c:pt idx="3">
                  <c:v>2.6410832124869446</c:v>
                </c:pt>
                <c:pt idx="4">
                  <c:v>2.4948322863192689</c:v>
                </c:pt>
                <c:pt idx="5">
                  <c:v>1.9500914379857266</c:v>
                </c:pt>
                <c:pt idx="6">
                  <c:v>1.7711730951565923</c:v>
                </c:pt>
                <c:pt idx="7">
                  <c:v>1.0597218901288064</c:v>
                </c:pt>
                <c:pt idx="8">
                  <c:v>0.74583723213138109</c:v>
                </c:pt>
                <c:pt idx="9">
                  <c:v>0.71698109271721444</c:v>
                </c:pt>
                <c:pt idx="10">
                  <c:v>0.66342136030596388</c:v>
                </c:pt>
                <c:pt idx="11">
                  <c:v>0.5708398454198701</c:v>
                </c:pt>
                <c:pt idx="12">
                  <c:v>0.50917240003871567</c:v>
                </c:pt>
                <c:pt idx="13">
                  <c:v>0.47257691562612464</c:v>
                </c:pt>
                <c:pt idx="14">
                  <c:v>0.47061492623078377</c:v>
                </c:pt>
                <c:pt idx="15">
                  <c:v>0.4607544839103605</c:v>
                </c:pt>
                <c:pt idx="16">
                  <c:v>0.40217445079186853</c:v>
                </c:pt>
                <c:pt idx="17">
                  <c:v>0.25593533158330045</c:v>
                </c:pt>
                <c:pt idx="18">
                  <c:v>0.13076498724709593</c:v>
                </c:pt>
              </c:numCache>
            </c:numRef>
          </c:val>
          <c:extLst>
            <c:ext xmlns:c16="http://schemas.microsoft.com/office/drawing/2014/chart" uri="{C3380CC4-5D6E-409C-BE32-E72D297353CC}">
              <c16:uniqueId val="{00000001-BA2C-4733-9657-4E12D04FF334}"/>
            </c:ext>
          </c:extLst>
        </c:ser>
        <c:dLbls>
          <c:showLegendKey val="0"/>
          <c:showVal val="0"/>
          <c:showCatName val="0"/>
          <c:showSerName val="0"/>
          <c:showPercent val="0"/>
          <c:showBubbleSize val="0"/>
        </c:dLbls>
        <c:gapWidth val="0"/>
        <c:axId val="237448688"/>
        <c:axId val="237449248"/>
      </c:barChart>
      <c:lineChart>
        <c:grouping val="standard"/>
        <c:varyColors val="0"/>
        <c:ser>
          <c:idx val="1"/>
          <c:order val="1"/>
          <c:tx>
            <c:strRef>
              <c:f>'figg. 8 e 9'!$B$36</c:f>
              <c:strCache>
                <c:ptCount val="1"/>
                <c:pt idx="0">
                  <c:v>Variazioni percentuali (scala destra)</c:v>
                </c:pt>
              </c:strCache>
            </c:strRef>
          </c:tx>
          <c:spPr>
            <a:ln w="25400" cap="rnd">
              <a:noFill/>
              <a:round/>
            </a:ln>
            <a:effectLst/>
            <a:extLst>
              <a:ext uri="{91240B29-F687-4F45-9708-019B960494DF}">
                <a14:hiddenLine xmlns:a14="http://schemas.microsoft.com/office/drawing/2010/main" w="9525" cap="flat" cmpd="sng" algn="ctr">
                  <a:solidFill>
                    <a:srgbClr val="FFFFFF"/>
                  </a:solidFill>
                  <a:prstDash val="solid"/>
                  <a:round/>
                  <a:headEnd type="none" w="med" len="med"/>
                  <a:tailEnd type="none" w="med" len="med"/>
                </a14:hiddenLine>
              </a:ext>
            </a:extLst>
          </c:spPr>
          <c:marker>
            <c:symbol val="diamond"/>
            <c:size val="6"/>
            <c:spPr>
              <a:solidFill>
                <a:srgbClr val="FFFFFF"/>
              </a:solidFill>
              <a:ln w="3175">
                <a:solidFill>
                  <a:srgbClr val="141E28"/>
                </a:solidFill>
                <a:prstDash val="solid"/>
              </a:ln>
              <a:effectLst/>
            </c:spPr>
          </c:marker>
          <c:dLbls>
            <c:dLbl>
              <c:idx val="0"/>
              <c:layout>
                <c:manualLayout>
                  <c:x val="-3.449846752394848E-2"/>
                  <c:y val="-8.80028307491528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A2C-4733-9657-4E12D04FF334}"/>
                </c:ext>
              </c:extLst>
            </c:dLbl>
            <c:dLbl>
              <c:idx val="1"/>
              <c:layout>
                <c:manualLayout>
                  <c:x val="-2.6852573053725397E-2"/>
                  <c:y val="-4.67893545398031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A2C-4733-9657-4E12D04FF334}"/>
                </c:ext>
              </c:extLst>
            </c:dLbl>
            <c:dLbl>
              <c:idx val="2"/>
              <c:layout>
                <c:manualLayout>
                  <c:x val="-3.4527327327327308E-2"/>
                  <c:y val="-6.16189814814814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A2C-4733-9657-4E12D04FF334}"/>
                </c:ext>
              </c:extLst>
            </c:dLbl>
            <c:dLbl>
              <c:idx val="3"/>
              <c:layout>
                <c:manualLayout>
                  <c:x val="-3.6475525525525528E-2"/>
                  <c:y val="-6.75203703703703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A2C-4733-9657-4E12D04FF334}"/>
                </c:ext>
              </c:extLst>
            </c:dLbl>
            <c:dLbl>
              <c:idx val="4"/>
              <c:layout>
                <c:manualLayout>
                  <c:x val="-2.8790090090090089E-2"/>
                  <c:y val="-5.8786574074074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A2C-4733-9657-4E12D04FF334}"/>
                </c:ext>
              </c:extLst>
            </c:dLbl>
            <c:dLbl>
              <c:idx val="5"/>
              <c:layout>
                <c:manualLayout>
                  <c:x val="-3.0508762640232029E-2"/>
                  <c:y val="-5.34351431554007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A2C-4733-9657-4E12D04FF334}"/>
                </c:ext>
              </c:extLst>
            </c:dLbl>
            <c:dLbl>
              <c:idx val="6"/>
              <c:layout>
                <c:manualLayout>
                  <c:x val="-3.2971501204916494E-2"/>
                  <c:y val="-7.32125221389446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A2C-4733-9657-4E12D04FF334}"/>
                </c:ext>
              </c:extLst>
            </c:dLbl>
            <c:dLbl>
              <c:idx val="7"/>
              <c:layout>
                <c:manualLayout>
                  <c:x val="-2.9155994974406744E-2"/>
                  <c:y val="-5.5430052664297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A2C-4733-9657-4E12D04FF334}"/>
                </c:ext>
              </c:extLst>
            </c:dLbl>
            <c:dLbl>
              <c:idx val="8"/>
              <c:layout>
                <c:manualLayout>
                  <c:x val="-2.9155545350764141E-2"/>
                  <c:y val="-5.67521728421126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A2C-4733-9657-4E12D04FF334}"/>
                </c:ext>
              </c:extLst>
            </c:dLbl>
            <c:dLbl>
              <c:idx val="9"/>
              <c:layout>
                <c:manualLayout>
                  <c:x val="-3.2948270650052375E-2"/>
                  <c:y val="-5.86804602554628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A2C-4733-9657-4E12D04FF334}"/>
                </c:ext>
              </c:extLst>
            </c:dLbl>
            <c:dLbl>
              <c:idx val="10"/>
              <c:layout>
                <c:manualLayout>
                  <c:x val="-2.8139545793193808E-2"/>
                  <c:y val="-5.28280375804919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A2C-4733-9657-4E12D04FF334}"/>
                </c:ext>
              </c:extLst>
            </c:dLbl>
            <c:dLbl>
              <c:idx val="11"/>
              <c:layout>
                <c:manualLayout>
                  <c:x val="-3.0496023303693713E-2"/>
                  <c:y val="-4.57276235382431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A2C-4733-9657-4E12D04FF334}"/>
                </c:ext>
              </c:extLst>
            </c:dLbl>
            <c:dLbl>
              <c:idx val="12"/>
              <c:layout>
                <c:manualLayout>
                  <c:x val="-3.0495273930956093E-2"/>
                  <c:y val="-5.68915162391357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A2C-4733-9657-4E12D04FF334}"/>
                </c:ext>
              </c:extLst>
            </c:dLbl>
            <c:dLbl>
              <c:idx val="13"/>
              <c:layout>
                <c:manualLayout>
                  <c:x val="-3.0510860883897272E-2"/>
                  <c:y val="-5.0972940638305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A2C-4733-9657-4E12D04FF334}"/>
                </c:ext>
              </c:extLst>
            </c:dLbl>
            <c:dLbl>
              <c:idx val="14"/>
              <c:layout>
                <c:manualLayout>
                  <c:x val="-3.0506664396566855E-2"/>
                  <c:y val="-5.19919771983532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A2C-4733-9657-4E12D04FF334}"/>
                </c:ext>
              </c:extLst>
            </c:dLbl>
            <c:dLbl>
              <c:idx val="15"/>
              <c:layout>
                <c:manualLayout>
                  <c:x val="-3.2429554841120242E-2"/>
                  <c:y val="-4.6940427178999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A2C-4733-9657-4E12D04FF334}"/>
                </c:ext>
              </c:extLst>
            </c:dLbl>
            <c:dLbl>
              <c:idx val="16"/>
              <c:layout>
                <c:manualLayout>
                  <c:x val="-2.8614264264264402E-2"/>
                  <c:y val="-5.3095370370370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A2C-4733-9657-4E12D04FF334}"/>
                </c:ext>
              </c:extLst>
            </c:dLbl>
            <c:dLbl>
              <c:idx val="17"/>
              <c:layout>
                <c:manualLayout>
                  <c:x val="-3.0557807807807806E-2"/>
                  <c:y val="-5.91722222222222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A2C-4733-9657-4E12D04FF334}"/>
                </c:ext>
              </c:extLst>
            </c:dLbl>
            <c:dLbl>
              <c:idx val="18"/>
              <c:layout>
                <c:manualLayout>
                  <c:x val="-2.8580330330330469E-2"/>
                  <c:y val="-5.69319444444444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A2C-4733-9657-4E12D04FF334}"/>
                </c:ext>
              </c:extLst>
            </c:dLbl>
            <c:dLbl>
              <c:idx val="19"/>
              <c:layout>
                <c:manualLayout>
                  <c:x val="-2.8592754421838274E-2"/>
                  <c:y val="5.40760512517892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A2C-4733-9657-4E12D04FF334}"/>
                </c:ext>
              </c:extLst>
            </c:dLbl>
            <c:numFmt formatCode="#,##0.0" sourceLinked="0"/>
            <c:spPr>
              <a:noFill/>
              <a:ln>
                <a:noFill/>
              </a:ln>
              <a:effectLst/>
            </c:spPr>
            <c:txPr>
              <a:bodyPr/>
              <a:lstStyle/>
              <a:p>
                <a:pPr>
                  <a:defRPr sz="900"/>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'figg. 8 e 9'!$A$61:$A$79</c:f>
              <c:strCache>
                <c:ptCount val="19"/>
                <c:pt idx="0">
                  <c:v>OPEC</c:v>
                </c:pt>
                <c:pt idx="1">
                  <c:v>Cina</c:v>
                </c:pt>
                <c:pt idx="2">
                  <c:v>Germania</c:v>
                </c:pt>
                <c:pt idx="3">
                  <c:v>Francia</c:v>
                </c:pt>
                <c:pt idx="4">
                  <c:v>Stati Uniti</c:v>
                </c:pt>
                <c:pt idx="5">
                  <c:v>Paesi Bassi</c:v>
                </c:pt>
                <c:pt idx="6">
                  <c:v>Svizzera</c:v>
                </c:pt>
                <c:pt idx="7">
                  <c:v>Spagna</c:v>
                </c:pt>
                <c:pt idx="8">
                  <c:v>Belgio</c:v>
                </c:pt>
                <c:pt idx="9">
                  <c:v>Polonia</c:v>
                </c:pt>
                <c:pt idx="10">
                  <c:v>ASEAN</c:v>
                </c:pt>
                <c:pt idx="11">
                  <c:v>India</c:v>
                </c:pt>
                <c:pt idx="12">
                  <c:v>Repubblica ceca</c:v>
                </c:pt>
                <c:pt idx="13">
                  <c:v>MERCOSUR</c:v>
                </c:pt>
                <c:pt idx="14">
                  <c:v>Turchia</c:v>
                </c:pt>
                <c:pt idx="15">
                  <c:v>Austria</c:v>
                </c:pt>
                <c:pt idx="16">
                  <c:v>Romania</c:v>
                </c:pt>
                <c:pt idx="17">
                  <c:v>Russia</c:v>
                </c:pt>
                <c:pt idx="18">
                  <c:v>Regno Unito</c:v>
                </c:pt>
              </c:strCache>
            </c:strRef>
          </c:cat>
          <c:val>
            <c:numRef>
              <c:f>'figg. 8 e 9'!$B$61:$B$79</c:f>
              <c:numCache>
                <c:formatCode>0.0</c:formatCode>
                <c:ptCount val="19"/>
                <c:pt idx="0">
                  <c:v>105.728401884617</c:v>
                </c:pt>
                <c:pt idx="1">
                  <c:v>39.984089894536311</c:v>
                </c:pt>
                <c:pt idx="2">
                  <c:v>18.576271080809136</c:v>
                </c:pt>
                <c:pt idx="3">
                  <c:v>33.20825236017609</c:v>
                </c:pt>
                <c:pt idx="4">
                  <c:v>90.339746038021644</c:v>
                </c:pt>
                <c:pt idx="5">
                  <c:v>34.051703284296565</c:v>
                </c:pt>
                <c:pt idx="6">
                  <c:v>74.359595721005888</c:v>
                </c:pt>
                <c:pt idx="7">
                  <c:v>21.306434976127036</c:v>
                </c:pt>
                <c:pt idx="8">
                  <c:v>17.128761934031786</c:v>
                </c:pt>
                <c:pt idx="9">
                  <c:v>30.293734178880896</c:v>
                </c:pt>
                <c:pt idx="10">
                  <c:v>25.740363345386456</c:v>
                </c:pt>
                <c:pt idx="11">
                  <c:v>43.881710703929315</c:v>
                </c:pt>
                <c:pt idx="12">
                  <c:v>36.113220776559956</c:v>
                </c:pt>
                <c:pt idx="13">
                  <c:v>42.889608095359677</c:v>
                </c:pt>
                <c:pt idx="14">
                  <c:v>25.303748034863844</c:v>
                </c:pt>
                <c:pt idx="15">
                  <c:v>18.664658798218284</c:v>
                </c:pt>
                <c:pt idx="16">
                  <c:v>27.229575050516573</c:v>
                </c:pt>
                <c:pt idx="17">
                  <c:v>6.542756221274999</c:v>
                </c:pt>
                <c:pt idx="18">
                  <c:v>7.4697657459205828</c:v>
                </c:pt>
              </c:numCache>
            </c:numRef>
          </c:val>
          <c:smooth val="0"/>
          <c:extLst>
            <c:ext xmlns:c16="http://schemas.microsoft.com/office/drawing/2014/chart" uri="{C3380CC4-5D6E-409C-BE32-E72D297353CC}">
              <c16:uniqueId val="{00000016-BA2C-4733-9657-4E12D04FF334}"/>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237625504"/>
        <c:axId val="237449808"/>
      </c:lineChart>
      <c:catAx>
        <c:axId val="237448688"/>
        <c:scaling>
          <c:orientation val="minMax"/>
        </c:scaling>
        <c:delete val="0"/>
        <c:axPos val="b"/>
        <c:majorGridlines>
          <c:spPr>
            <a:ln w="6350" cap="flat" cmpd="sng" algn="ctr">
              <a:solidFill>
                <a:srgbClr val="A6A6A6"/>
              </a:solidFill>
              <a:prstDash val="sysDash"/>
              <a:round/>
              <a:headEnd type="none" w="med" len="med"/>
              <a:tailEnd type="none" w="med" len="med"/>
            </a:ln>
            <a:effectLst/>
          </c:spPr>
        </c:majorGridlines>
        <c:numFmt formatCode="General" sourceLinked="1"/>
        <c:majorTickMark val="none"/>
        <c:minorTickMark val="none"/>
        <c:tickLblPos val="low"/>
        <c:spPr>
          <a:noFill/>
          <a:ln w="9525" cap="flat" cmpd="sng" algn="ctr">
            <a:solidFill>
              <a:schemeClr val="tx1"/>
            </a:solidFill>
            <a:round/>
          </a:ln>
          <a:effectLst/>
        </c:spPr>
        <c:txPr>
          <a:bodyPr rot="-2700000" spcFirstLastPara="1" vertOverflow="ellipsis" wrap="square" anchor="ctr" anchorCtr="1"/>
          <a:lstStyle/>
          <a:p>
            <a:pPr>
              <a:defRPr sz="1000" b="1" i="0" u="none" strike="noStrike" kern="1200" baseline="0">
                <a:solidFill>
                  <a:srgbClr val="000000"/>
                </a:solidFill>
                <a:latin typeface="Arial Narrow" panose="020B0606020202030204" pitchFamily="34" charset="0"/>
                <a:ea typeface="+mn-ea"/>
                <a:cs typeface="+mn-cs"/>
              </a:defRPr>
            </a:pPr>
            <a:endParaRPr lang="it-IT"/>
          </a:p>
        </c:txPr>
        <c:crossAx val="237449248"/>
        <c:crosses val="autoZero"/>
        <c:auto val="1"/>
        <c:lblAlgn val="ctr"/>
        <c:lblOffset val="0"/>
        <c:tickLblSkip val="1"/>
        <c:noMultiLvlLbl val="0"/>
      </c:catAx>
      <c:valAx>
        <c:axId val="237449248"/>
        <c:scaling>
          <c:orientation val="minMax"/>
          <c:max val="10"/>
          <c:min val="-10"/>
        </c:scaling>
        <c:delete val="0"/>
        <c:axPos val="l"/>
        <c:majorGridlines>
          <c:spPr>
            <a:ln w="6350" cap="flat" cmpd="sng" algn="ctr">
              <a:solidFill>
                <a:srgbClr val="A6A6A6"/>
              </a:solidFill>
              <a:prstDash val="sysDash"/>
              <a:round/>
              <a:headEnd type="none" w="med" len="med"/>
              <a:tailEnd type="none" w="med" len="me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237448688"/>
        <c:crosses val="autoZero"/>
        <c:crossBetween val="between"/>
        <c:majorUnit val="5"/>
      </c:valAx>
      <c:valAx>
        <c:axId val="237449808"/>
        <c:scaling>
          <c:orientation val="minMax"/>
          <c:max val="200"/>
          <c:min val="-200"/>
        </c:scaling>
        <c:delete val="0"/>
        <c:axPos val="r"/>
        <c:title>
          <c:tx>
            <c:rich>
              <a:bodyPr rot="0" vert="horz"/>
              <a:lstStyle/>
              <a:p>
                <a:pPr>
                  <a:defRPr b="1"/>
                </a:pPr>
                <a:r>
                  <a:rPr lang="it-IT" b="1"/>
                  <a:t>%</a:t>
                </a:r>
              </a:p>
            </c:rich>
          </c:tx>
          <c:layout>
            <c:manualLayout>
              <c:xMode val="edge"/>
              <c:yMode val="edge"/>
              <c:x val="0.96162867867867863"/>
              <c:y val="1.9740740740740756E-3"/>
            </c:manualLayout>
          </c:layout>
          <c:overlay val="0"/>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237625504"/>
        <c:crosses val="max"/>
        <c:crossBetween val="between"/>
        <c:majorUnit val="100"/>
      </c:valAx>
      <c:catAx>
        <c:axId val="237625504"/>
        <c:scaling>
          <c:orientation val="minMax"/>
        </c:scaling>
        <c:delete val="1"/>
        <c:axPos val="b"/>
        <c:numFmt formatCode="General" sourceLinked="1"/>
        <c:majorTickMark val="out"/>
        <c:minorTickMark val="none"/>
        <c:tickLblPos val="nextTo"/>
        <c:crossAx val="237449808"/>
        <c:crosses val="autoZero"/>
        <c:auto val="1"/>
        <c:lblAlgn val="ctr"/>
        <c:lblOffset val="100"/>
        <c:noMultiLvlLbl val="0"/>
      </c:catAx>
      <c:spPr>
        <a:solidFill>
          <a:srgbClr val="FFFFFF"/>
        </a:solidFill>
        <a:ln w="9525" cap="flat" cmpd="sng" algn="ctr">
          <a:solidFill>
            <a:srgbClr val="DDDDDD"/>
          </a:solidFill>
          <a:prstDash val="solid"/>
          <a:round/>
          <a:headEnd type="none" w="med" len="med"/>
          <a:tailEnd type="none" w="med" len="med"/>
        </a:ln>
        <a:effectLst/>
      </c:spPr>
    </c:plotArea>
    <c:legend>
      <c:legendPos val="t"/>
      <c:layout>
        <c:manualLayout>
          <c:xMode val="edge"/>
          <c:yMode val="edge"/>
          <c:x val="0.16853560371427334"/>
          <c:y val="0"/>
          <c:w val="0.68984446994428816"/>
          <c:h val="9.1890712840116934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legend>
    <c:plotVisOnly val="1"/>
    <c:dispBlanksAs val="gap"/>
    <c:showDLblsOverMax val="0"/>
  </c:chart>
  <c:spPr>
    <a:solidFill>
      <a:srgbClr val="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solidFill>
            <a:srgbClr val="000000"/>
          </a:solidFill>
          <a:latin typeface="Arial Narrow" panose="020B0606020202030204" pitchFamily="34" charset="0"/>
        </a:defRPr>
      </a:pPr>
      <a:endParaRPr lang="it-IT"/>
    </a:p>
  </c:txPr>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Nota o comunicato" ma:contentTypeID="0x010100B795A82E90F7744F8BBD5BCEA1E47B9D00412BB8B24175FB4599016A296A388103" ma:contentTypeVersion="2" ma:contentTypeDescription="" ma:contentTypeScope="" ma:versionID="fef993d87c238cc71779350178681a56">
  <xsd:schema xmlns:xsd="http://www.w3.org/2001/XMLSchema" xmlns:xs="http://www.w3.org/2001/XMLSchema" xmlns:p="http://schemas.microsoft.com/office/2006/metadata/properties" xmlns:ns2="2886d22a-1eb9-406b-961e-e52bb60f5915" targetNamespace="http://schemas.microsoft.com/office/2006/metadata/properties" ma:root="true" ma:fieldsID="6a986a9c8108b3d7a67e5da413ff238a" ns2:_="">
    <xsd:import namespace="2886d22a-1eb9-406b-961e-e52bb60f5915"/>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86d22a-1eb9-406b-961e-e52bb60f5915" elementFormDefault="qualified">
    <xsd:import namespace="http://schemas.microsoft.com/office/2006/documentManagement/types"/>
    <xsd:import namespace="http://schemas.microsoft.com/office/infopath/2007/PartnerControls"/>
    <xsd:element name="_dlc_DocId" ma:index="8" nillable="true" ma:displayName="Valore ID documento" ma:description="Valore dell'ID documento assegnato all'elemento." ma:internalName="_dlc_DocId" ma:readOnly="true">
      <xsd:simpleType>
        <xsd:restriction base="dms:Text"/>
      </xsd:simpleType>
    </xsd:element>
    <xsd:element name="_dlc_DocIdUrl" ma:index="9"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3A331-E51C-433B-B400-E4AB42279668}">
  <ds:schemaRefs>
    <ds:schemaRef ds:uri="http://schemas.microsoft.com/sharepoint/v3/contenttype/forms"/>
  </ds:schemaRefs>
</ds:datastoreItem>
</file>

<file path=customXml/itemProps2.xml><?xml version="1.0" encoding="utf-8"?>
<ds:datastoreItem xmlns:ds="http://schemas.openxmlformats.org/officeDocument/2006/customXml" ds:itemID="{4463D393-A86E-48FE-A47C-966673B0F313}">
  <ds:schemaRefs>
    <ds:schemaRef ds:uri="http://schemas.microsoft.com/sharepoint/events"/>
  </ds:schemaRefs>
</ds:datastoreItem>
</file>

<file path=customXml/itemProps3.xml><?xml version="1.0" encoding="utf-8"?>
<ds:datastoreItem xmlns:ds="http://schemas.openxmlformats.org/officeDocument/2006/customXml" ds:itemID="{830AF039-4907-44F4-9163-8CBD2D9FEF44}">
  <ds:schemaRefs>
    <ds:schemaRef ds:uri="http://schemas.microsoft.com/office/2006/metadata/longProperties"/>
  </ds:schemaRefs>
</ds:datastoreItem>
</file>

<file path=customXml/itemProps4.xml><?xml version="1.0" encoding="utf-8"?>
<ds:datastoreItem xmlns:ds="http://schemas.openxmlformats.org/officeDocument/2006/customXml" ds:itemID="{BBAC46FC-E450-4A0E-A8DC-D0559AC305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86d22a-1eb9-406b-961e-e52bb60f59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16CBCD4-A0D9-4779-82A0-880610C2D008}">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4DFF207A-8D5F-4CEF-826E-653594DCE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10250</Words>
  <Characters>58426</Characters>
  <Application>Microsoft Office Word</Application>
  <DocSecurity>0</DocSecurity>
  <Lines>486</Lines>
  <Paragraphs>137</Paragraphs>
  <ScaleCrop>false</ScaleCrop>
  <HeadingPairs>
    <vt:vector size="2" baseType="variant">
      <vt:variant>
        <vt:lpstr>Titolo</vt:lpstr>
      </vt:variant>
      <vt:variant>
        <vt:i4>1</vt:i4>
      </vt:variant>
    </vt:vector>
  </HeadingPairs>
  <TitlesOfParts>
    <vt:vector size="1" baseType="lpstr">
      <vt:lpstr>COMMERCIO CON L'ESTERO E PREZZI ALL'IMPORT</vt:lpstr>
    </vt:vector>
  </TitlesOfParts>
  <Company>HP</Company>
  <LinksUpToDate>false</LinksUpToDate>
  <CharactersWithSpaces>68539</CharactersWithSpaces>
  <SharedDoc>false</SharedDoc>
  <HLinks>
    <vt:vector size="108" baseType="variant">
      <vt:variant>
        <vt:i4>3670095</vt:i4>
      </vt:variant>
      <vt:variant>
        <vt:i4>51</vt:i4>
      </vt:variant>
      <vt:variant>
        <vt:i4>0</vt:i4>
      </vt:variant>
      <vt:variant>
        <vt:i4>5</vt:i4>
      </vt:variant>
      <vt:variant>
        <vt:lpwstr>https://www.istat.it/it/files/2018/05/nota_informativa_prezzi_import.pdf</vt:lpwstr>
      </vt:variant>
      <vt:variant>
        <vt:lpwstr/>
      </vt:variant>
      <vt:variant>
        <vt:i4>6881380</vt:i4>
      </vt:variant>
      <vt:variant>
        <vt:i4>48</vt:i4>
      </vt:variant>
      <vt:variant>
        <vt:i4>0</vt:i4>
      </vt:variant>
      <vt:variant>
        <vt:i4>5</vt:i4>
      </vt:variant>
      <vt:variant>
        <vt:lpwstr>http://www.istat.it/it/files/2015/11/Ricostruzione-serie-indici-2005-2009.pdf?title=Prezzi+all%27importazione+dei+prodotti+industriali+-+17%2Fnov%2F2015+-+Ricostruzione+serie.pdf</vt:lpwstr>
      </vt:variant>
      <vt:variant>
        <vt:lpwstr/>
      </vt:variant>
      <vt:variant>
        <vt:i4>7340158</vt:i4>
      </vt:variant>
      <vt:variant>
        <vt:i4>45</vt:i4>
      </vt:variant>
      <vt:variant>
        <vt:i4>0</vt:i4>
      </vt:variant>
      <vt:variant>
        <vt:i4>5</vt:i4>
      </vt:variant>
      <vt:variant>
        <vt:lpwstr>http://www.istat.it/it/files/2016/02/Prezzi-all-importazione-dei-prodotti-industriali-Nota-informativa.pdf?title=Prezzi+all%E2%80%99importazione+dei+prodotti+industriali+-+16%2Ffeb%2F2016+-+Nota+informativa.pdf</vt:lpwstr>
      </vt:variant>
      <vt:variant>
        <vt:lpwstr/>
      </vt:variant>
      <vt:variant>
        <vt:i4>5898331</vt:i4>
      </vt:variant>
      <vt:variant>
        <vt:i4>42</vt:i4>
      </vt:variant>
      <vt:variant>
        <vt:i4>0</vt:i4>
      </vt:variant>
      <vt:variant>
        <vt:i4>5</vt:i4>
      </vt:variant>
      <vt:variant>
        <vt:lpwstr>http://www.istat.it/it/archivio/45225</vt:lpwstr>
      </vt:variant>
      <vt:variant>
        <vt:lpwstr/>
      </vt:variant>
      <vt:variant>
        <vt:i4>852042</vt:i4>
      </vt:variant>
      <vt:variant>
        <vt:i4>39</vt:i4>
      </vt:variant>
      <vt:variant>
        <vt:i4>0</vt:i4>
      </vt:variant>
      <vt:variant>
        <vt:i4>5</vt:i4>
      </vt:variant>
      <vt:variant>
        <vt:lpwstr>https://www.istat.it/it/files/2011/03/testointegrale20080225.pdf</vt:lpwstr>
      </vt:variant>
      <vt:variant>
        <vt:lpwstr/>
      </vt:variant>
      <vt:variant>
        <vt:i4>7340157</vt:i4>
      </vt:variant>
      <vt:variant>
        <vt:i4>36</vt:i4>
      </vt:variant>
      <vt:variant>
        <vt:i4>0</vt:i4>
      </vt:variant>
      <vt:variant>
        <vt:i4>5</vt:i4>
      </vt:variant>
      <vt:variant>
        <vt:lpwstr>http://ec.europa.eu/eurostat/data/database</vt:lpwstr>
      </vt:variant>
      <vt:variant>
        <vt:lpwstr/>
      </vt:variant>
      <vt:variant>
        <vt:i4>3604535</vt:i4>
      </vt:variant>
      <vt:variant>
        <vt:i4>33</vt:i4>
      </vt:variant>
      <vt:variant>
        <vt:i4>0</vt:i4>
      </vt:variant>
      <vt:variant>
        <vt:i4>5</vt:i4>
      </vt:variant>
      <vt:variant>
        <vt:lpwstr>http://www.istat.it/it/archivio/esportazioni+delle+regioni</vt:lpwstr>
      </vt:variant>
      <vt:variant>
        <vt:lpwstr/>
      </vt:variant>
      <vt:variant>
        <vt:i4>1245267</vt:i4>
      </vt:variant>
      <vt:variant>
        <vt:i4>30</vt:i4>
      </vt:variant>
      <vt:variant>
        <vt:i4>0</vt:i4>
      </vt:variant>
      <vt:variant>
        <vt:i4>5</vt:i4>
      </vt:variant>
      <vt:variant>
        <vt:lpwstr>http://www.istat.it/it/archivio/commercio+estero+extra+ue</vt:lpwstr>
      </vt:variant>
      <vt:variant>
        <vt:lpwstr/>
      </vt:variant>
      <vt:variant>
        <vt:i4>4259923</vt:i4>
      </vt:variant>
      <vt:variant>
        <vt:i4>27</vt:i4>
      </vt:variant>
      <vt:variant>
        <vt:i4>0</vt:i4>
      </vt:variant>
      <vt:variant>
        <vt:i4>5</vt:i4>
      </vt:variant>
      <vt:variant>
        <vt:lpwstr>http://www.istat.it/it/archivio/commercio+estero+e+prezzi+import</vt:lpwstr>
      </vt:variant>
      <vt:variant>
        <vt:lpwstr/>
      </vt:variant>
      <vt:variant>
        <vt:i4>2359335</vt:i4>
      </vt:variant>
      <vt:variant>
        <vt:i4>24</vt:i4>
      </vt:variant>
      <vt:variant>
        <vt:i4>0</vt:i4>
      </vt:variant>
      <vt:variant>
        <vt:i4>5</vt:i4>
      </vt:variant>
      <vt:variant>
        <vt:lpwstr>http://www.istat.it/it/files/2016/07/scheda-CommercioEstero-e-prezzi-allimport-dei-prodotti-industriali.pdf</vt:lpwstr>
      </vt:variant>
      <vt:variant>
        <vt:lpwstr/>
      </vt:variant>
      <vt:variant>
        <vt:i4>2031617</vt:i4>
      </vt:variant>
      <vt:variant>
        <vt:i4>21</vt:i4>
      </vt:variant>
      <vt:variant>
        <vt:i4>0</vt:i4>
      </vt:variant>
      <vt:variant>
        <vt:i4>5</vt:i4>
      </vt:variant>
      <vt:variant>
        <vt:lpwstr>http://www.istat.it/it/congiuntura/revisioni</vt:lpwstr>
      </vt:variant>
      <vt:variant>
        <vt:lpwstr/>
      </vt:variant>
      <vt:variant>
        <vt:i4>1310812</vt:i4>
      </vt:variant>
      <vt:variant>
        <vt:i4>18</vt:i4>
      </vt:variant>
      <vt:variant>
        <vt:i4>0</vt:i4>
      </vt:variant>
      <vt:variant>
        <vt:i4>5</vt:i4>
      </vt:variant>
      <vt:variant>
        <vt:lpwstr>http://www.istat.it/it/informazioni/per-i-giornalisti/calendario/</vt:lpwstr>
      </vt:variant>
      <vt:variant>
        <vt:lpwstr/>
      </vt:variant>
      <vt:variant>
        <vt:i4>1900613</vt:i4>
      </vt:variant>
      <vt:variant>
        <vt:i4>15</vt:i4>
      </vt:variant>
      <vt:variant>
        <vt:i4>0</vt:i4>
      </vt:variant>
      <vt:variant>
        <vt:i4>5</vt:i4>
      </vt:variant>
      <vt:variant>
        <vt:lpwstr>https://www.coeweb.istat.it/</vt:lpwstr>
      </vt:variant>
      <vt:variant>
        <vt:lpwstr/>
      </vt:variant>
      <vt:variant>
        <vt:i4>6815848</vt:i4>
      </vt:variant>
      <vt:variant>
        <vt:i4>12</vt:i4>
      </vt:variant>
      <vt:variant>
        <vt:i4>0</vt:i4>
      </vt:variant>
      <vt:variant>
        <vt:i4>5</vt:i4>
      </vt:variant>
      <vt:variant>
        <vt:lpwstr>http://ec.europa.eu/eurostat/documents/3859598/5902521/KS-RA-07-015-EN.PDF</vt:lpwstr>
      </vt:variant>
      <vt:variant>
        <vt:lpwstr/>
      </vt:variant>
      <vt:variant>
        <vt:i4>5832811</vt:i4>
      </vt:variant>
      <vt:variant>
        <vt:i4>9</vt:i4>
      </vt:variant>
      <vt:variant>
        <vt:i4>0</vt:i4>
      </vt:variant>
      <vt:variant>
        <vt:i4>5</vt:i4>
      </vt:variant>
      <vt:variant>
        <vt:lpwstr>https://unstats.un.org/unsd/cr/registry/docs/i4_SNA.pdf</vt:lpwstr>
      </vt:variant>
      <vt:variant>
        <vt:lpwstr/>
      </vt:variant>
      <vt:variant>
        <vt:i4>1900613</vt:i4>
      </vt:variant>
      <vt:variant>
        <vt:i4>6</vt:i4>
      </vt:variant>
      <vt:variant>
        <vt:i4>0</vt:i4>
      </vt:variant>
      <vt:variant>
        <vt:i4>5</vt:i4>
      </vt:variant>
      <vt:variant>
        <vt:lpwstr>https://www.coeweb.istat.it/</vt:lpwstr>
      </vt:variant>
      <vt:variant>
        <vt:lpwstr/>
      </vt:variant>
      <vt:variant>
        <vt:i4>7208997</vt:i4>
      </vt:variant>
      <vt:variant>
        <vt:i4>3</vt:i4>
      </vt:variant>
      <vt:variant>
        <vt:i4>0</vt:i4>
      </vt:variant>
      <vt:variant>
        <vt:i4>5</vt:i4>
      </vt:variant>
      <vt:variant>
        <vt:lpwstr>http://www.istat.it/it/congiuntura</vt:lpwstr>
      </vt:variant>
      <vt:variant>
        <vt:lpwstr/>
      </vt:variant>
      <vt:variant>
        <vt:i4>6094849</vt:i4>
      </vt:variant>
      <vt:variant>
        <vt:i4>0</vt:i4>
      </vt:variant>
      <vt:variant>
        <vt:i4>0</vt:i4>
      </vt:variant>
      <vt:variant>
        <vt:i4>5</vt:i4>
      </vt:variant>
      <vt:variant>
        <vt:lpwstr>http://dati.istat.it/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COMMERCIO CON L'ESTERO E PREZZI ALL'IMPORT</dc:title>
  <dc:subject/>
  <dc:creator>ISTAT</dc:creator>
  <cp:keywords/>
  <dc:description/>
  <cp:lastModifiedBy>Maria Moscufo</cp:lastModifiedBy>
  <cp:revision>4</cp:revision>
  <cp:lastPrinted>2022-11-15T10:23:00Z</cp:lastPrinted>
  <dcterms:created xsi:type="dcterms:W3CDTF">2022-11-16T11:24:00Z</dcterms:created>
  <dcterms:modified xsi:type="dcterms:W3CDTF">2022-11-16T11:26:00Z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2QYKZWF4TN2A-29-1413</vt:lpwstr>
  </property>
  <property fmtid="{D5CDD505-2E9C-101B-9397-08002B2CF9AE}" pid="3" name="_dlc_DocIdItemGuid">
    <vt:lpwstr>91d25d38-75ff-4036-8e43-5fa02ffec53a</vt:lpwstr>
  </property>
  <property fmtid="{D5CDD505-2E9C-101B-9397-08002B2CF9AE}" pid="4" name="_dlc_DocIdUrl">
    <vt:lpwstr>https://collaborazione.istat.it/siti/ed/ufficio_stampa/_layouts/DocIdRedir.aspx?ID=2QYKZWF4TN2A-29-1413, 2QYKZWF4TN2A-29-1413</vt:lpwstr>
  </property>
</Properties>
</file>