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E525F5" w14:textId="4CD3F155" w:rsidR="00E624EF" w:rsidRDefault="00E624EF" w:rsidP="00966D2A">
      <w:pPr>
        <w:spacing w:before="60"/>
        <w:ind w:left="1814"/>
        <w:rPr>
          <w:rFonts w:ascii="Arial" w:hAnsi="Arial" w:cs="Arial"/>
          <w:noProof/>
          <w:color w:val="5F5F5F"/>
          <w:sz w:val="10"/>
          <w:szCs w:val="28"/>
        </w:rPr>
      </w:pPr>
    </w:p>
    <w:p w14:paraId="7D698CBF" w14:textId="77777777" w:rsidR="004D6464" w:rsidRPr="00E624EF" w:rsidRDefault="004D6464" w:rsidP="00966D2A">
      <w:pPr>
        <w:spacing w:before="60"/>
        <w:ind w:left="1814"/>
        <w:rPr>
          <w:rFonts w:ascii="Arial" w:hAnsi="Arial" w:cs="Arial"/>
          <w:noProof/>
          <w:color w:val="5F5F5F"/>
          <w:sz w:val="10"/>
          <w:szCs w:val="28"/>
        </w:rPr>
      </w:pPr>
    </w:p>
    <w:p w14:paraId="24A5E550" w14:textId="595BE3B6" w:rsidR="00A651E1" w:rsidRPr="00826A5F" w:rsidRDefault="000B5DFE" w:rsidP="00966D2A">
      <w:pPr>
        <w:spacing w:before="60"/>
        <w:ind w:left="1814"/>
        <w:rPr>
          <w:rFonts w:ascii="Arial" w:hAnsi="Arial" w:cs="Arial"/>
          <w:color w:val="5F5F5F"/>
          <w:sz w:val="28"/>
          <w:szCs w:val="28"/>
        </w:rPr>
      </w:pPr>
      <w:r w:rsidRPr="00826A5F">
        <w:rPr>
          <w:rFonts w:ascii="Arial" w:hAnsi="Arial" w:cs="Arial"/>
          <w:noProof/>
          <w:color w:val="5F5F5F"/>
          <w:sz w:val="28"/>
          <w:szCs w:val="28"/>
        </w:rPr>
        <mc:AlternateContent>
          <mc:Choice Requires="wps">
            <w:drawing>
              <wp:anchor distT="0" distB="0" distL="114300" distR="114300" simplePos="0" relativeHeight="251659264" behindDoc="0" locked="0" layoutInCell="1" allowOverlap="1" wp14:anchorId="1DB58C85" wp14:editId="58DC98FD">
                <wp:simplePos x="0" y="0"/>
                <wp:positionH relativeFrom="column">
                  <wp:posOffset>4194175</wp:posOffset>
                </wp:positionH>
                <wp:positionV relativeFrom="paragraph">
                  <wp:posOffset>-2416175</wp:posOffset>
                </wp:positionV>
                <wp:extent cx="1008380" cy="198120"/>
                <wp:effectExtent l="0" t="0" r="20320" b="11430"/>
                <wp:wrapNone/>
                <wp:docPr id="15"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8380" cy="198120"/>
                        </a:xfrm>
                        <a:prstGeom prst="rect">
                          <a:avLst/>
                        </a:prstGeom>
                        <a:solidFill>
                          <a:srgbClr val="FFFFFF"/>
                        </a:solidFill>
                        <a:ln w="9525">
                          <a:solidFill>
                            <a:srgbClr val="FFFFFF"/>
                          </a:solidFill>
                          <a:miter lim="800000"/>
                          <a:headEnd/>
                          <a:tailEnd/>
                        </a:ln>
                      </wps:spPr>
                      <wps:txbx>
                        <w:txbxContent>
                          <w:p w14:paraId="37A1633D" w14:textId="77777777" w:rsidR="00BF3957" w:rsidRDefault="00BF3957">
                            <w:pPr>
                              <w:jc w:val="right"/>
                              <w:rPr>
                                <w:rFonts w:ascii="Arial Narrow" w:hAnsi="Arial Narrow"/>
                                <w:b/>
                                <w:color w:val="808080"/>
                                <w:sz w:val="26"/>
                                <w:szCs w:val="26"/>
                              </w:rPr>
                            </w:pPr>
                            <w:r>
                              <w:rPr>
                                <w:rFonts w:ascii="Arial Narrow" w:hAnsi="Arial Narrow"/>
                                <w:b/>
                                <w:color w:val="808080"/>
                                <w:sz w:val="26"/>
                                <w:szCs w:val="26"/>
                              </w:rPr>
                              <w:t>24 luglio 2017</w:t>
                            </w:r>
                          </w:p>
                        </w:txbxContent>
                      </wps:txbx>
                      <wps:bodyPr rot="0" vert="horz" wrap="square" lIns="0" tIns="0" rIns="0" bIns="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DB58C85" id="_x0000_t202" coordsize="21600,21600" o:spt="202" path="m,l,21600r21600,l21600,xe">
                <v:stroke joinstyle="miter"/>
                <v:path gradientshapeok="t" o:connecttype="rect"/>
              </v:shapetype>
              <v:shape id="Casella di testo 2" o:spid="_x0000_s1026" type="#_x0000_t202" style="position:absolute;left:0;text-align:left;margin-left:330.25pt;margin-top:-190.25pt;width:79.4pt;height:15.6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" strokecolor="white">
                <v:textbox style="mso-fit-shape-to-text:t" inset="0,0,0,0">
                  <w:txbxContent>
                    <w:p w14:paraId="37A1633D" w14:textId="77777777" w:rsidR="00BF3957" w:rsidRDefault="00BF3957">
                      <w:pPr>
                        <w:jc w:val="right"/>
                        <w:rPr>
                          <w:rFonts w:ascii="Arial Narrow" w:hAnsi="Arial Narrow"/>
                          <w:b/>
                          <w:color w:val="808080"/>
                          <w:sz w:val="26"/>
                          <w:szCs w:val="26"/>
                        </w:rPr>
                      </w:pPr>
                      <w:r>
                        <w:rPr>
                          <w:rFonts w:ascii="Arial Narrow" w:hAnsi="Arial Narrow"/>
                          <w:b/>
                          <w:color w:val="808080"/>
                          <w:sz w:val="26"/>
                          <w:szCs w:val="26"/>
                        </w:rPr>
                        <w:t>24 luglio 2017</w:t>
                      </w:r>
                    </w:p>
                  </w:txbxContent>
                </v:textbox>
              </v:shape>
            </w:pict>
          </mc:Fallback>
        </mc:AlternateContent>
      </w:r>
      <w:r w:rsidR="00F858C1">
        <w:rPr>
          <w:rFonts w:ascii="Arial" w:hAnsi="Arial" w:cs="Arial"/>
          <w:noProof/>
          <w:color w:val="5F5F5F"/>
          <w:sz w:val="28"/>
          <w:szCs w:val="28"/>
        </w:rPr>
        <w:t>Ottobre</w:t>
      </w:r>
      <w:r w:rsidR="00EE2CF2" w:rsidRPr="00826A5F">
        <w:rPr>
          <w:rFonts w:ascii="Arial" w:hAnsi="Arial" w:cs="Arial"/>
          <w:color w:val="5F5F5F"/>
          <w:sz w:val="28"/>
          <w:szCs w:val="28"/>
        </w:rPr>
        <w:t xml:space="preserve"> </w:t>
      </w:r>
      <w:r w:rsidR="001C7A5F">
        <w:rPr>
          <w:rFonts w:ascii="Arial" w:hAnsi="Arial" w:cs="Arial"/>
          <w:color w:val="5F5F5F"/>
          <w:sz w:val="28"/>
          <w:szCs w:val="28"/>
        </w:rPr>
        <w:t>2022</w:t>
      </w:r>
    </w:p>
    <w:p w14:paraId="0B5AFF83" w14:textId="77777777" w:rsidR="00FC0937" w:rsidRPr="00211BB7" w:rsidRDefault="00E777A0" w:rsidP="00C35C46">
      <w:pPr>
        <w:tabs>
          <w:tab w:val="left" w:pos="9765"/>
        </w:tabs>
        <w:spacing w:after="360"/>
        <w:ind w:left="1814"/>
        <w:outlineLvl w:val="0"/>
        <w:rPr>
          <w:rFonts w:ascii="Calibri" w:hAnsi="Calibri" w:cs="Arial"/>
          <w:b/>
          <w:bCs/>
          <w:caps/>
          <w:color w:val="5F5F5F"/>
          <w:sz w:val="44"/>
          <w:szCs w:val="52"/>
        </w:rPr>
      </w:pPr>
      <w:r w:rsidRPr="00211BB7">
        <w:rPr>
          <w:rFonts w:ascii="Calibri" w:hAnsi="Calibri" w:cs="Arial"/>
          <w:b/>
          <w:bCs/>
          <w:caps/>
          <w:color w:val="5F5F5F"/>
          <w:sz w:val="44"/>
          <w:szCs w:val="52"/>
        </w:rPr>
        <w:t>COMMERCIO ESTERO EXTRA UE</w:t>
      </w:r>
    </w:p>
    <w:p w14:paraId="3F280BA2" w14:textId="70CC16E6" w:rsidR="00B10BC9" w:rsidRPr="000868F4" w:rsidRDefault="00B10BC9" w:rsidP="000868F4">
      <w:pPr>
        <w:pStyle w:val="Corpotesto"/>
        <w:numPr>
          <w:ilvl w:val="0"/>
          <w:numId w:val="20"/>
        </w:numPr>
        <w:tabs>
          <w:tab w:val="left" w:pos="284"/>
          <w:tab w:val="left" w:pos="567"/>
          <w:tab w:val="num" w:pos="4733"/>
        </w:tabs>
        <w:suppressAutoHyphens/>
        <w:spacing w:after="120" w:line="230" w:lineRule="exact"/>
        <w:ind w:left="284" w:hanging="284"/>
        <w:jc w:val="both"/>
        <w:rPr>
          <w:rFonts w:ascii="Arial" w:hAnsi="Arial"/>
          <w:sz w:val="21"/>
          <w:szCs w:val="21"/>
          <w:lang w:eastAsia="ar-SA"/>
        </w:rPr>
      </w:pPr>
      <w:r w:rsidRPr="00E5455F">
        <w:rPr>
          <w:rFonts w:ascii="Arial" w:hAnsi="Arial"/>
          <w:sz w:val="21"/>
          <w:szCs w:val="21"/>
          <w:lang w:eastAsia="ar-SA"/>
        </w:rPr>
        <w:t>A</w:t>
      </w:r>
      <w:r w:rsidR="008B0FB9">
        <w:rPr>
          <w:rFonts w:ascii="Arial" w:hAnsi="Arial"/>
          <w:sz w:val="21"/>
          <w:szCs w:val="21"/>
          <w:lang w:eastAsia="ar-SA"/>
        </w:rPr>
        <w:t xml:space="preserve"> </w:t>
      </w:r>
      <w:r w:rsidR="00912B90">
        <w:rPr>
          <w:rFonts w:ascii="Arial" w:hAnsi="Arial"/>
          <w:sz w:val="21"/>
          <w:szCs w:val="21"/>
          <w:lang w:eastAsia="ar-SA"/>
        </w:rPr>
        <w:t>ottobre</w:t>
      </w:r>
      <w:r w:rsidR="008B0FB9">
        <w:rPr>
          <w:rFonts w:ascii="Arial" w:hAnsi="Arial"/>
          <w:sz w:val="21"/>
          <w:szCs w:val="21"/>
          <w:lang w:eastAsia="ar-SA"/>
        </w:rPr>
        <w:t xml:space="preserve"> </w:t>
      </w:r>
      <w:r w:rsidR="00DA6B39" w:rsidRPr="00E5455F">
        <w:rPr>
          <w:rFonts w:ascii="Arial" w:hAnsi="Arial"/>
          <w:sz w:val="21"/>
          <w:szCs w:val="21"/>
          <w:lang w:eastAsia="ar-SA"/>
        </w:rPr>
        <w:t>2022</w:t>
      </w:r>
      <w:r w:rsidRPr="00E5455F">
        <w:rPr>
          <w:rFonts w:ascii="Arial" w:hAnsi="Arial"/>
          <w:sz w:val="21"/>
          <w:szCs w:val="21"/>
          <w:lang w:eastAsia="ar-SA"/>
        </w:rPr>
        <w:t xml:space="preserve"> si stima, per l’interscambio commerciale con i paesi extra </w:t>
      </w:r>
      <w:r w:rsidRPr="00E5455F">
        <w:rPr>
          <w:rFonts w:ascii="Arial" w:hAnsi="Arial" w:cs="Arial"/>
          <w:sz w:val="21"/>
          <w:szCs w:val="21"/>
        </w:rPr>
        <w:t>Ue27</w:t>
      </w:r>
      <w:r w:rsidRPr="00E5455F">
        <w:rPr>
          <w:rStyle w:val="Rimandonotaapidipagina"/>
          <w:rFonts w:ascii="Arial" w:hAnsi="Arial"/>
          <w:sz w:val="21"/>
          <w:szCs w:val="21"/>
        </w:rPr>
        <w:footnoteReference w:id="1"/>
      </w:r>
      <w:r w:rsidR="001655DC" w:rsidRPr="00E5455F">
        <w:rPr>
          <w:rFonts w:ascii="Arial" w:hAnsi="Arial" w:cs="Arial"/>
          <w:sz w:val="21"/>
          <w:szCs w:val="21"/>
        </w:rPr>
        <w:t xml:space="preserve">, </w:t>
      </w:r>
      <w:r w:rsidR="005629BD">
        <w:rPr>
          <w:rFonts w:ascii="Arial" w:hAnsi="Arial"/>
          <w:sz w:val="21"/>
          <w:szCs w:val="21"/>
          <w:lang w:eastAsia="ar-SA"/>
        </w:rPr>
        <w:t>un</w:t>
      </w:r>
      <w:r w:rsidR="000868F4">
        <w:rPr>
          <w:rFonts w:ascii="Arial" w:hAnsi="Arial"/>
          <w:sz w:val="21"/>
          <w:szCs w:val="21"/>
          <w:lang w:eastAsia="ar-SA"/>
        </w:rPr>
        <w:t>a</w:t>
      </w:r>
      <w:r w:rsidR="005629BD">
        <w:rPr>
          <w:rFonts w:ascii="Arial" w:hAnsi="Arial"/>
          <w:sz w:val="21"/>
          <w:szCs w:val="21"/>
          <w:lang w:eastAsia="ar-SA"/>
        </w:rPr>
        <w:t xml:space="preserve"> </w:t>
      </w:r>
      <w:r w:rsidR="000868F4">
        <w:rPr>
          <w:rFonts w:ascii="Arial" w:hAnsi="Arial"/>
          <w:sz w:val="21"/>
          <w:szCs w:val="21"/>
          <w:lang w:eastAsia="ar-SA"/>
        </w:rPr>
        <w:t xml:space="preserve">diminuzione </w:t>
      </w:r>
      <w:r w:rsidR="000809E8">
        <w:rPr>
          <w:rFonts w:ascii="Arial" w:hAnsi="Arial"/>
          <w:sz w:val="21"/>
          <w:szCs w:val="21"/>
          <w:lang w:eastAsia="ar-SA"/>
        </w:rPr>
        <w:t xml:space="preserve">congiunturale </w:t>
      </w:r>
      <w:r w:rsidR="005629BD">
        <w:rPr>
          <w:rFonts w:ascii="Arial" w:hAnsi="Arial"/>
          <w:sz w:val="21"/>
          <w:szCs w:val="21"/>
          <w:lang w:eastAsia="ar-SA"/>
        </w:rPr>
        <w:t xml:space="preserve">per entrambi i flussi, </w:t>
      </w:r>
      <w:r w:rsidR="000868F4">
        <w:rPr>
          <w:rFonts w:ascii="Arial" w:hAnsi="Arial"/>
          <w:sz w:val="21"/>
          <w:szCs w:val="21"/>
          <w:lang w:eastAsia="ar-SA"/>
        </w:rPr>
        <w:t>più ampia per le im</w:t>
      </w:r>
      <w:r w:rsidR="000809E8" w:rsidRPr="000868F4">
        <w:rPr>
          <w:rFonts w:ascii="Arial" w:hAnsi="Arial"/>
          <w:sz w:val="21"/>
          <w:szCs w:val="21"/>
          <w:lang w:eastAsia="ar-SA"/>
        </w:rPr>
        <w:t xml:space="preserve">portazioni </w:t>
      </w:r>
      <w:r w:rsidR="00352BB7" w:rsidRPr="000868F4">
        <w:rPr>
          <w:rFonts w:ascii="Arial" w:hAnsi="Arial"/>
          <w:sz w:val="21"/>
          <w:szCs w:val="21"/>
          <w:lang w:eastAsia="ar-SA"/>
        </w:rPr>
        <w:t>(</w:t>
      </w:r>
      <w:r w:rsidR="000868F4">
        <w:rPr>
          <w:rFonts w:ascii="Arial" w:hAnsi="Arial"/>
          <w:sz w:val="21"/>
          <w:szCs w:val="21"/>
          <w:lang w:eastAsia="ar-SA"/>
        </w:rPr>
        <w:t>-</w:t>
      </w:r>
      <w:r w:rsidR="00E252B4">
        <w:rPr>
          <w:rFonts w:ascii="Arial" w:hAnsi="Arial"/>
          <w:sz w:val="21"/>
          <w:szCs w:val="21"/>
          <w:lang w:eastAsia="ar-SA"/>
        </w:rPr>
        <w:t>8</w:t>
      </w:r>
      <w:r w:rsidR="00352BB7" w:rsidRPr="000868F4">
        <w:rPr>
          <w:rFonts w:ascii="Arial" w:hAnsi="Arial"/>
          <w:sz w:val="21"/>
          <w:szCs w:val="21"/>
          <w:lang w:eastAsia="ar-SA"/>
        </w:rPr>
        <w:t>,</w:t>
      </w:r>
      <w:r w:rsidR="00E252B4">
        <w:rPr>
          <w:rFonts w:ascii="Arial" w:hAnsi="Arial"/>
          <w:sz w:val="21"/>
          <w:szCs w:val="21"/>
          <w:lang w:eastAsia="ar-SA"/>
        </w:rPr>
        <w:t>7</w:t>
      </w:r>
      <w:r w:rsidRPr="000868F4">
        <w:rPr>
          <w:rFonts w:ascii="Arial" w:hAnsi="Arial"/>
          <w:sz w:val="21"/>
          <w:szCs w:val="21"/>
          <w:lang w:eastAsia="ar-SA"/>
        </w:rPr>
        <w:t xml:space="preserve">%) </w:t>
      </w:r>
      <w:r w:rsidR="000809E8" w:rsidRPr="000868F4">
        <w:rPr>
          <w:rFonts w:ascii="Arial" w:hAnsi="Arial"/>
          <w:sz w:val="21"/>
          <w:szCs w:val="21"/>
          <w:lang w:eastAsia="ar-SA"/>
        </w:rPr>
        <w:t>rispetto all</w:t>
      </w:r>
      <w:r w:rsidR="00787978" w:rsidRPr="000868F4">
        <w:rPr>
          <w:rFonts w:ascii="Arial" w:hAnsi="Arial"/>
          <w:sz w:val="21"/>
          <w:szCs w:val="21"/>
          <w:lang w:eastAsia="ar-SA"/>
        </w:rPr>
        <w:t xml:space="preserve">e </w:t>
      </w:r>
      <w:r w:rsidR="000868F4">
        <w:rPr>
          <w:rFonts w:ascii="Arial" w:hAnsi="Arial"/>
          <w:sz w:val="21"/>
          <w:szCs w:val="21"/>
          <w:lang w:eastAsia="ar-SA"/>
        </w:rPr>
        <w:t>es</w:t>
      </w:r>
      <w:r w:rsidR="000809E8" w:rsidRPr="000868F4">
        <w:rPr>
          <w:rFonts w:ascii="Arial" w:hAnsi="Arial"/>
          <w:sz w:val="21"/>
          <w:szCs w:val="21"/>
          <w:lang w:eastAsia="ar-SA"/>
        </w:rPr>
        <w:t xml:space="preserve">portazioni </w:t>
      </w:r>
      <w:r w:rsidRPr="000868F4">
        <w:rPr>
          <w:rFonts w:ascii="Arial" w:hAnsi="Arial"/>
          <w:sz w:val="21"/>
          <w:szCs w:val="21"/>
          <w:lang w:eastAsia="ar-SA"/>
        </w:rPr>
        <w:t>(</w:t>
      </w:r>
      <w:r w:rsidR="00E252B4">
        <w:rPr>
          <w:rFonts w:ascii="Arial" w:hAnsi="Arial"/>
          <w:sz w:val="21"/>
          <w:szCs w:val="21"/>
          <w:lang w:eastAsia="ar-SA"/>
        </w:rPr>
        <w:t>-4</w:t>
      </w:r>
      <w:r w:rsidRPr="000868F4">
        <w:rPr>
          <w:rFonts w:ascii="Arial" w:hAnsi="Arial"/>
          <w:sz w:val="21"/>
          <w:szCs w:val="21"/>
          <w:lang w:eastAsia="ar-SA"/>
        </w:rPr>
        <w:t>,</w:t>
      </w:r>
      <w:r w:rsidR="00A95CCA" w:rsidRPr="000868F4">
        <w:rPr>
          <w:rFonts w:ascii="Arial" w:hAnsi="Arial"/>
          <w:sz w:val="21"/>
          <w:szCs w:val="21"/>
          <w:lang w:eastAsia="ar-SA"/>
        </w:rPr>
        <w:t>3</w:t>
      </w:r>
      <w:r w:rsidRPr="000868F4">
        <w:rPr>
          <w:rFonts w:ascii="Arial" w:hAnsi="Arial"/>
          <w:sz w:val="21"/>
          <w:szCs w:val="21"/>
          <w:lang w:eastAsia="ar-SA"/>
        </w:rPr>
        <w:t>%).</w:t>
      </w:r>
    </w:p>
    <w:p w14:paraId="7E530BE8" w14:textId="416DAF78" w:rsidR="00B10BC9" w:rsidRPr="00CD2CDE" w:rsidRDefault="002D639A" w:rsidP="00C35C46">
      <w:pPr>
        <w:pStyle w:val="Corpotesto"/>
        <w:numPr>
          <w:ilvl w:val="0"/>
          <w:numId w:val="20"/>
        </w:numPr>
        <w:tabs>
          <w:tab w:val="left" w:pos="284"/>
          <w:tab w:val="left" w:pos="567"/>
          <w:tab w:val="num" w:pos="4733"/>
        </w:tabs>
        <w:suppressAutoHyphens/>
        <w:spacing w:after="120" w:line="230" w:lineRule="exact"/>
        <w:ind w:left="284" w:hanging="284"/>
        <w:jc w:val="both"/>
        <w:rPr>
          <w:rFonts w:ascii="Arial" w:hAnsi="Arial"/>
          <w:sz w:val="21"/>
          <w:szCs w:val="21"/>
          <w:lang w:eastAsia="ar-SA"/>
        </w:rPr>
      </w:pPr>
      <w:r>
        <w:rPr>
          <w:rFonts w:ascii="Arial" w:hAnsi="Arial"/>
          <w:sz w:val="21"/>
          <w:szCs w:val="21"/>
          <w:lang w:eastAsia="ar-SA"/>
        </w:rPr>
        <w:t>La diminuzione</w:t>
      </w:r>
      <w:r w:rsidR="003A47AD" w:rsidRPr="00CD2CDE">
        <w:rPr>
          <w:rFonts w:ascii="Arial" w:hAnsi="Arial"/>
          <w:sz w:val="21"/>
          <w:szCs w:val="21"/>
          <w:lang w:eastAsia="ar-SA"/>
        </w:rPr>
        <w:t xml:space="preserve"> su base mensile dell’export </w:t>
      </w:r>
      <w:r w:rsidR="00E0075F">
        <w:rPr>
          <w:rFonts w:ascii="Arial" w:hAnsi="Arial"/>
          <w:sz w:val="21"/>
          <w:szCs w:val="21"/>
          <w:lang w:eastAsia="ar-SA"/>
        </w:rPr>
        <w:t>riguarda tutti i raggruppamenti principali di industrie</w:t>
      </w:r>
      <w:r>
        <w:rPr>
          <w:rFonts w:ascii="Arial" w:hAnsi="Arial"/>
          <w:sz w:val="21"/>
          <w:szCs w:val="21"/>
          <w:lang w:eastAsia="ar-SA"/>
        </w:rPr>
        <w:t xml:space="preserve">, </w:t>
      </w:r>
      <w:r w:rsidR="00AE45B9">
        <w:rPr>
          <w:rFonts w:ascii="Arial" w:hAnsi="Arial"/>
          <w:sz w:val="21"/>
          <w:szCs w:val="21"/>
          <w:lang w:eastAsia="ar-SA"/>
        </w:rPr>
        <w:t xml:space="preserve">ed è spiegata soprattutto dal calo delle vendite di </w:t>
      </w:r>
      <w:r>
        <w:rPr>
          <w:rFonts w:ascii="Arial" w:hAnsi="Arial"/>
          <w:sz w:val="21"/>
          <w:szCs w:val="21"/>
          <w:lang w:eastAsia="ar-SA"/>
        </w:rPr>
        <w:t xml:space="preserve">beni strumentali </w:t>
      </w:r>
      <w:r w:rsidR="00E0075F">
        <w:rPr>
          <w:rFonts w:ascii="Arial" w:hAnsi="Arial"/>
          <w:sz w:val="21"/>
          <w:szCs w:val="21"/>
          <w:lang w:eastAsia="ar-SA"/>
        </w:rPr>
        <w:t>(-</w:t>
      </w:r>
      <w:r>
        <w:rPr>
          <w:rFonts w:ascii="Arial" w:hAnsi="Arial"/>
          <w:sz w:val="21"/>
          <w:szCs w:val="21"/>
          <w:lang w:eastAsia="ar-SA"/>
        </w:rPr>
        <w:t>7,4</w:t>
      </w:r>
      <w:r w:rsidR="000B2B36">
        <w:rPr>
          <w:rFonts w:ascii="Arial" w:hAnsi="Arial"/>
          <w:sz w:val="21"/>
          <w:szCs w:val="21"/>
          <w:lang w:eastAsia="ar-SA"/>
        </w:rPr>
        <w:t>%).</w:t>
      </w:r>
      <w:r w:rsidR="003A47AD" w:rsidRPr="00CD2CDE">
        <w:rPr>
          <w:rFonts w:ascii="Arial" w:hAnsi="Arial"/>
          <w:sz w:val="21"/>
          <w:szCs w:val="21"/>
          <w:lang w:eastAsia="ar-SA"/>
        </w:rPr>
        <w:t> </w:t>
      </w:r>
      <w:r w:rsidR="000504B8">
        <w:rPr>
          <w:rFonts w:ascii="Arial" w:hAnsi="Arial"/>
          <w:sz w:val="21"/>
          <w:szCs w:val="21"/>
          <w:lang w:eastAsia="ar-SA"/>
        </w:rPr>
        <w:t xml:space="preserve">Per </w:t>
      </w:r>
      <w:r w:rsidR="00870D68">
        <w:rPr>
          <w:rFonts w:ascii="Arial" w:hAnsi="Arial"/>
          <w:sz w:val="21"/>
          <w:szCs w:val="21"/>
          <w:lang w:eastAsia="ar-SA"/>
        </w:rPr>
        <w:t>l’import,</w:t>
      </w:r>
      <w:r w:rsidR="00AE45B9">
        <w:rPr>
          <w:rFonts w:ascii="Arial" w:hAnsi="Arial"/>
          <w:sz w:val="21"/>
          <w:szCs w:val="21"/>
          <w:lang w:eastAsia="ar-SA"/>
        </w:rPr>
        <w:t xml:space="preserve"> </w:t>
      </w:r>
      <w:r w:rsidR="005E4E03">
        <w:rPr>
          <w:rFonts w:ascii="Arial" w:hAnsi="Arial"/>
          <w:sz w:val="21"/>
          <w:szCs w:val="21"/>
          <w:lang w:eastAsia="ar-SA"/>
        </w:rPr>
        <w:t>la flessione congiunturale è quasi totalmente dovuta alla contrazione degli acquisti di</w:t>
      </w:r>
      <w:r w:rsidR="00AE45B9">
        <w:rPr>
          <w:rFonts w:ascii="Arial" w:hAnsi="Arial"/>
          <w:sz w:val="21"/>
          <w:szCs w:val="21"/>
          <w:lang w:eastAsia="ar-SA"/>
        </w:rPr>
        <w:t xml:space="preserve"> energia (-19,5%)</w:t>
      </w:r>
      <w:r w:rsidR="00EC57EC">
        <w:rPr>
          <w:rFonts w:ascii="Arial" w:hAnsi="Arial"/>
          <w:sz w:val="21"/>
          <w:szCs w:val="21"/>
          <w:lang w:eastAsia="ar-SA"/>
        </w:rPr>
        <w:t>.</w:t>
      </w:r>
      <w:r w:rsidR="00AE45B9">
        <w:rPr>
          <w:rFonts w:ascii="Arial" w:hAnsi="Arial"/>
          <w:sz w:val="21"/>
          <w:szCs w:val="21"/>
          <w:lang w:eastAsia="ar-SA"/>
        </w:rPr>
        <w:t xml:space="preserve"> </w:t>
      </w:r>
    </w:p>
    <w:p w14:paraId="52FCBD1D" w14:textId="02C133AD" w:rsidR="00B10BC9" w:rsidRPr="007F094F" w:rsidRDefault="00B10BC9" w:rsidP="00C35C46">
      <w:pPr>
        <w:pStyle w:val="Corpotesto"/>
        <w:numPr>
          <w:ilvl w:val="0"/>
          <w:numId w:val="20"/>
        </w:numPr>
        <w:tabs>
          <w:tab w:val="left" w:pos="284"/>
          <w:tab w:val="left" w:pos="567"/>
          <w:tab w:val="num" w:pos="4733"/>
        </w:tabs>
        <w:suppressAutoHyphens/>
        <w:spacing w:after="120" w:line="230" w:lineRule="exact"/>
        <w:ind w:left="284" w:hanging="284"/>
        <w:jc w:val="both"/>
        <w:rPr>
          <w:rFonts w:ascii="Arial" w:hAnsi="Arial"/>
          <w:sz w:val="21"/>
          <w:szCs w:val="21"/>
          <w:lang w:eastAsia="ar-SA"/>
        </w:rPr>
      </w:pPr>
      <w:r w:rsidRPr="007F094F">
        <w:rPr>
          <w:rFonts w:ascii="Arial" w:hAnsi="Arial"/>
          <w:sz w:val="21"/>
          <w:szCs w:val="21"/>
          <w:lang w:eastAsia="ar-SA"/>
        </w:rPr>
        <w:t xml:space="preserve">Nel </w:t>
      </w:r>
      <w:r w:rsidR="00D52D2E">
        <w:rPr>
          <w:rFonts w:ascii="Arial" w:hAnsi="Arial"/>
          <w:sz w:val="21"/>
          <w:szCs w:val="21"/>
          <w:lang w:eastAsia="ar-SA"/>
        </w:rPr>
        <w:t>trimestre</w:t>
      </w:r>
      <w:r w:rsidR="00EB2986">
        <w:rPr>
          <w:rFonts w:ascii="Arial" w:hAnsi="Arial"/>
          <w:sz w:val="21"/>
          <w:szCs w:val="21"/>
          <w:lang w:eastAsia="ar-SA"/>
        </w:rPr>
        <w:t xml:space="preserve"> agosto-ottobre 2022</w:t>
      </w:r>
      <w:r w:rsidRPr="007F094F">
        <w:rPr>
          <w:rFonts w:ascii="Arial" w:hAnsi="Arial"/>
          <w:sz w:val="21"/>
          <w:szCs w:val="21"/>
          <w:lang w:eastAsia="ar-SA"/>
        </w:rPr>
        <w:t xml:space="preserve">, rispetto </w:t>
      </w:r>
      <w:r w:rsidR="00FD53ED">
        <w:rPr>
          <w:rFonts w:ascii="Arial" w:hAnsi="Arial"/>
          <w:sz w:val="21"/>
          <w:szCs w:val="21"/>
          <w:lang w:eastAsia="ar-SA"/>
        </w:rPr>
        <w:t>al precedente</w:t>
      </w:r>
      <w:r w:rsidRPr="007F094F">
        <w:rPr>
          <w:rFonts w:ascii="Arial" w:hAnsi="Arial"/>
          <w:sz w:val="21"/>
          <w:szCs w:val="21"/>
          <w:lang w:eastAsia="ar-SA"/>
        </w:rPr>
        <w:t xml:space="preserve">, l’export </w:t>
      </w:r>
      <w:r w:rsidR="00EB2986">
        <w:rPr>
          <w:rFonts w:ascii="Arial" w:hAnsi="Arial"/>
          <w:sz w:val="21"/>
          <w:szCs w:val="21"/>
          <w:lang w:eastAsia="ar-SA"/>
        </w:rPr>
        <w:t>diminuisce</w:t>
      </w:r>
      <w:r w:rsidR="00BA76A9" w:rsidRPr="007F094F">
        <w:rPr>
          <w:rFonts w:ascii="Arial" w:hAnsi="Arial"/>
          <w:sz w:val="21"/>
          <w:szCs w:val="21"/>
          <w:lang w:eastAsia="ar-SA"/>
        </w:rPr>
        <w:t xml:space="preserve"> de</w:t>
      </w:r>
      <w:r w:rsidR="00A22A09">
        <w:rPr>
          <w:rFonts w:ascii="Arial" w:hAnsi="Arial"/>
          <w:sz w:val="21"/>
          <w:szCs w:val="21"/>
          <w:lang w:eastAsia="ar-SA"/>
        </w:rPr>
        <w:t>l</w:t>
      </w:r>
      <w:r w:rsidR="00FC66F7">
        <w:rPr>
          <w:rFonts w:ascii="Arial" w:hAnsi="Arial"/>
          <w:sz w:val="21"/>
          <w:szCs w:val="21"/>
          <w:lang w:eastAsia="ar-SA"/>
        </w:rPr>
        <w:t>l’</w:t>
      </w:r>
      <w:r w:rsidR="00EB2986">
        <w:rPr>
          <w:rFonts w:ascii="Arial" w:hAnsi="Arial"/>
          <w:sz w:val="21"/>
          <w:szCs w:val="21"/>
          <w:lang w:eastAsia="ar-SA"/>
        </w:rPr>
        <w:t>1</w:t>
      </w:r>
      <w:r w:rsidR="00BA76A9" w:rsidRPr="007F094F">
        <w:rPr>
          <w:rFonts w:ascii="Arial" w:hAnsi="Arial"/>
          <w:sz w:val="21"/>
          <w:szCs w:val="21"/>
          <w:lang w:eastAsia="ar-SA"/>
        </w:rPr>
        <w:t>,</w:t>
      </w:r>
      <w:r w:rsidR="00EB2986">
        <w:rPr>
          <w:rFonts w:ascii="Arial" w:hAnsi="Arial"/>
          <w:sz w:val="21"/>
          <w:szCs w:val="21"/>
          <w:lang w:eastAsia="ar-SA"/>
        </w:rPr>
        <w:t>5</w:t>
      </w:r>
      <w:r w:rsidR="00834E24" w:rsidRPr="007F094F">
        <w:rPr>
          <w:rFonts w:ascii="Arial" w:hAnsi="Arial"/>
          <w:sz w:val="21"/>
          <w:szCs w:val="21"/>
          <w:lang w:eastAsia="ar-SA"/>
        </w:rPr>
        <w:t>%</w:t>
      </w:r>
      <w:r w:rsidR="00EB2986">
        <w:rPr>
          <w:rFonts w:ascii="Arial" w:hAnsi="Arial"/>
          <w:sz w:val="21"/>
          <w:szCs w:val="21"/>
          <w:lang w:eastAsia="ar-SA"/>
        </w:rPr>
        <w:t xml:space="preserve"> per effetto del calo delle vendite di energia (-37,9%) e beni strumentali (-4,7%)</w:t>
      </w:r>
      <w:r w:rsidR="00345963" w:rsidRPr="007F094F">
        <w:rPr>
          <w:rFonts w:ascii="Arial" w:hAnsi="Arial"/>
          <w:sz w:val="21"/>
          <w:szCs w:val="21"/>
          <w:lang w:eastAsia="ar-SA"/>
        </w:rPr>
        <w:t xml:space="preserve">. </w:t>
      </w:r>
      <w:r w:rsidRPr="00596DC8">
        <w:rPr>
          <w:rFonts w:ascii="Arial" w:hAnsi="Arial"/>
          <w:sz w:val="21"/>
          <w:szCs w:val="21"/>
          <w:lang w:eastAsia="ar-SA"/>
        </w:rPr>
        <w:t xml:space="preserve">Nello stesso periodo, l’import </w:t>
      </w:r>
      <w:r w:rsidR="00AD2C53" w:rsidRPr="00596DC8">
        <w:rPr>
          <w:rFonts w:ascii="Arial" w:hAnsi="Arial"/>
          <w:sz w:val="21"/>
          <w:szCs w:val="21"/>
          <w:lang w:eastAsia="ar-SA"/>
        </w:rPr>
        <w:t>segna</w:t>
      </w:r>
      <w:r w:rsidRPr="00596DC8">
        <w:rPr>
          <w:rFonts w:ascii="Arial" w:hAnsi="Arial"/>
          <w:sz w:val="21"/>
          <w:szCs w:val="21"/>
          <w:lang w:eastAsia="ar-SA"/>
        </w:rPr>
        <w:t xml:space="preserve"> un </w:t>
      </w:r>
      <w:r w:rsidR="00AD2C53" w:rsidRPr="00596DC8">
        <w:rPr>
          <w:rFonts w:ascii="Arial" w:hAnsi="Arial"/>
          <w:sz w:val="21"/>
          <w:szCs w:val="21"/>
          <w:lang w:eastAsia="ar-SA"/>
        </w:rPr>
        <w:t xml:space="preserve">rialzo congiunturale </w:t>
      </w:r>
      <w:r w:rsidR="00484ED5" w:rsidRPr="00596DC8">
        <w:rPr>
          <w:rFonts w:ascii="Arial" w:hAnsi="Arial"/>
          <w:sz w:val="21"/>
          <w:szCs w:val="21"/>
          <w:lang w:eastAsia="ar-SA"/>
        </w:rPr>
        <w:t>de</w:t>
      </w:r>
      <w:r w:rsidR="0082570B">
        <w:rPr>
          <w:rFonts w:ascii="Arial" w:hAnsi="Arial"/>
          <w:sz w:val="21"/>
          <w:szCs w:val="21"/>
          <w:lang w:eastAsia="ar-SA"/>
        </w:rPr>
        <w:t>l</w:t>
      </w:r>
      <w:r w:rsidR="00C46ECD">
        <w:rPr>
          <w:rFonts w:ascii="Arial" w:hAnsi="Arial"/>
          <w:sz w:val="21"/>
          <w:szCs w:val="21"/>
          <w:lang w:eastAsia="ar-SA"/>
        </w:rPr>
        <w:t xml:space="preserve"> 4,6</w:t>
      </w:r>
      <w:r w:rsidRPr="00596DC8">
        <w:rPr>
          <w:rFonts w:ascii="Arial" w:hAnsi="Arial"/>
          <w:sz w:val="21"/>
          <w:szCs w:val="21"/>
          <w:lang w:eastAsia="ar-SA"/>
        </w:rPr>
        <w:t xml:space="preserve">%, </w:t>
      </w:r>
      <w:r w:rsidR="000E6B15" w:rsidRPr="00596DC8">
        <w:rPr>
          <w:rFonts w:ascii="Arial" w:hAnsi="Arial"/>
          <w:sz w:val="21"/>
          <w:szCs w:val="21"/>
          <w:lang w:eastAsia="ar-SA"/>
        </w:rPr>
        <w:t>cui contribuisc</w:t>
      </w:r>
      <w:r w:rsidR="00555635">
        <w:rPr>
          <w:rFonts w:ascii="Arial" w:hAnsi="Arial"/>
          <w:sz w:val="21"/>
          <w:szCs w:val="21"/>
          <w:lang w:eastAsia="ar-SA"/>
        </w:rPr>
        <w:t>ono</w:t>
      </w:r>
      <w:r w:rsidR="00870D68">
        <w:rPr>
          <w:rFonts w:ascii="Arial" w:hAnsi="Arial"/>
          <w:sz w:val="21"/>
          <w:szCs w:val="21"/>
          <w:lang w:eastAsia="ar-SA"/>
        </w:rPr>
        <w:t xml:space="preserve"> </w:t>
      </w:r>
      <w:r w:rsidR="00555635">
        <w:rPr>
          <w:rFonts w:ascii="Arial" w:hAnsi="Arial"/>
          <w:sz w:val="21"/>
          <w:szCs w:val="21"/>
          <w:lang w:eastAsia="ar-SA"/>
        </w:rPr>
        <w:t>i maggiori acquisti</w:t>
      </w:r>
      <w:r w:rsidR="00525BE0">
        <w:rPr>
          <w:rFonts w:ascii="Arial" w:hAnsi="Arial"/>
          <w:sz w:val="21"/>
          <w:szCs w:val="21"/>
          <w:lang w:eastAsia="ar-SA"/>
        </w:rPr>
        <w:t xml:space="preserve"> di</w:t>
      </w:r>
      <w:r w:rsidR="00C46ECD">
        <w:rPr>
          <w:rFonts w:ascii="Arial" w:hAnsi="Arial"/>
          <w:sz w:val="21"/>
          <w:szCs w:val="21"/>
          <w:lang w:eastAsia="ar-SA"/>
        </w:rPr>
        <w:t xml:space="preserve"> beni strumentali</w:t>
      </w:r>
      <w:r w:rsidR="00BF747E" w:rsidRPr="00596DC8">
        <w:rPr>
          <w:rFonts w:ascii="Arial" w:hAnsi="Arial"/>
          <w:sz w:val="21"/>
          <w:szCs w:val="21"/>
          <w:lang w:eastAsia="ar-SA"/>
        </w:rPr>
        <w:t xml:space="preserve"> (+</w:t>
      </w:r>
      <w:r w:rsidR="00C46ECD">
        <w:rPr>
          <w:rFonts w:ascii="Arial" w:hAnsi="Arial"/>
          <w:sz w:val="21"/>
          <w:szCs w:val="21"/>
          <w:lang w:eastAsia="ar-SA"/>
        </w:rPr>
        <w:t>10</w:t>
      </w:r>
      <w:r w:rsidR="00484ED5" w:rsidRPr="00596DC8">
        <w:rPr>
          <w:rFonts w:ascii="Arial" w:hAnsi="Arial"/>
          <w:sz w:val="21"/>
          <w:szCs w:val="21"/>
          <w:lang w:eastAsia="ar-SA"/>
        </w:rPr>
        <w:t>,</w:t>
      </w:r>
      <w:r w:rsidR="00C46ECD">
        <w:rPr>
          <w:rFonts w:ascii="Arial" w:hAnsi="Arial"/>
          <w:sz w:val="21"/>
          <w:szCs w:val="21"/>
          <w:lang w:eastAsia="ar-SA"/>
        </w:rPr>
        <w:t>5</w:t>
      </w:r>
      <w:r w:rsidR="005079CF" w:rsidRPr="00596DC8">
        <w:rPr>
          <w:rFonts w:ascii="Arial" w:hAnsi="Arial"/>
          <w:sz w:val="21"/>
          <w:szCs w:val="21"/>
          <w:lang w:eastAsia="ar-SA"/>
        </w:rPr>
        <w:t>%)</w:t>
      </w:r>
      <w:r w:rsidR="00C46ECD">
        <w:rPr>
          <w:rFonts w:ascii="Arial" w:hAnsi="Arial"/>
          <w:sz w:val="21"/>
          <w:szCs w:val="21"/>
          <w:lang w:eastAsia="ar-SA"/>
        </w:rPr>
        <w:t>, energia (+7,9%) e beni di consumo non durevoli (+6,8%)</w:t>
      </w:r>
      <w:r w:rsidR="00870D68">
        <w:rPr>
          <w:rFonts w:ascii="Arial" w:hAnsi="Arial"/>
          <w:sz w:val="21"/>
          <w:szCs w:val="21"/>
          <w:lang w:eastAsia="ar-SA"/>
        </w:rPr>
        <w:t>.</w:t>
      </w:r>
      <w:r w:rsidR="00267403">
        <w:rPr>
          <w:rFonts w:ascii="Arial" w:hAnsi="Arial"/>
          <w:sz w:val="21"/>
          <w:szCs w:val="21"/>
          <w:lang w:eastAsia="ar-SA"/>
        </w:rPr>
        <w:t xml:space="preserve"> </w:t>
      </w:r>
    </w:p>
    <w:p w14:paraId="44EFE8DC" w14:textId="52AC6732" w:rsidR="00B10BC9" w:rsidRPr="0008231C" w:rsidRDefault="00481504" w:rsidP="00C35C46">
      <w:pPr>
        <w:pStyle w:val="Corpotesto"/>
        <w:numPr>
          <w:ilvl w:val="0"/>
          <w:numId w:val="20"/>
        </w:numPr>
        <w:tabs>
          <w:tab w:val="left" w:pos="284"/>
          <w:tab w:val="left" w:pos="567"/>
          <w:tab w:val="num" w:pos="4733"/>
        </w:tabs>
        <w:suppressAutoHyphens/>
        <w:spacing w:after="120" w:line="230" w:lineRule="exact"/>
        <w:ind w:left="284" w:hanging="284"/>
        <w:jc w:val="both"/>
        <w:rPr>
          <w:rFonts w:ascii="Arial" w:hAnsi="Arial"/>
          <w:sz w:val="21"/>
          <w:szCs w:val="21"/>
          <w:lang w:eastAsia="ar-SA"/>
        </w:rPr>
      </w:pPr>
      <w:r w:rsidRPr="00E5455F">
        <w:rPr>
          <w:rFonts w:ascii="Arial" w:hAnsi="Arial"/>
          <w:sz w:val="21"/>
          <w:szCs w:val="21"/>
          <w:lang w:eastAsia="ar-SA"/>
        </w:rPr>
        <w:t>A</w:t>
      </w:r>
      <w:r>
        <w:rPr>
          <w:rFonts w:ascii="Arial" w:hAnsi="Arial"/>
          <w:sz w:val="21"/>
          <w:szCs w:val="21"/>
          <w:lang w:eastAsia="ar-SA"/>
        </w:rPr>
        <w:t xml:space="preserve"> ottobre</w:t>
      </w:r>
      <w:r w:rsidR="005A4EF0">
        <w:rPr>
          <w:rFonts w:ascii="Arial" w:hAnsi="Arial"/>
          <w:sz w:val="21"/>
          <w:szCs w:val="21"/>
          <w:lang w:eastAsia="ar-SA"/>
        </w:rPr>
        <w:t xml:space="preserve"> </w:t>
      </w:r>
      <w:r w:rsidR="004D029B" w:rsidRPr="0008231C">
        <w:rPr>
          <w:rFonts w:ascii="Arial" w:hAnsi="Arial"/>
          <w:sz w:val="21"/>
          <w:szCs w:val="21"/>
          <w:lang w:eastAsia="ar-SA"/>
        </w:rPr>
        <w:t>2022</w:t>
      </w:r>
      <w:r w:rsidR="00B10BC9" w:rsidRPr="0008231C">
        <w:rPr>
          <w:rFonts w:ascii="Arial" w:hAnsi="Arial"/>
          <w:sz w:val="21"/>
          <w:szCs w:val="21"/>
          <w:lang w:eastAsia="ar-SA"/>
        </w:rPr>
        <w:t xml:space="preserve">, l’export </w:t>
      </w:r>
      <w:r w:rsidR="009A3F62" w:rsidRPr="0008231C">
        <w:rPr>
          <w:rFonts w:ascii="Arial" w:hAnsi="Arial"/>
          <w:sz w:val="21"/>
          <w:szCs w:val="21"/>
          <w:lang w:eastAsia="ar-SA"/>
        </w:rPr>
        <w:t xml:space="preserve">cresce </w:t>
      </w:r>
      <w:r w:rsidR="00683837" w:rsidRPr="0008231C">
        <w:rPr>
          <w:rFonts w:ascii="Arial" w:hAnsi="Arial"/>
          <w:sz w:val="21"/>
          <w:szCs w:val="21"/>
          <w:lang w:eastAsia="ar-SA"/>
        </w:rPr>
        <w:t xml:space="preserve">su base annua del </w:t>
      </w:r>
      <w:r w:rsidR="001E03DC">
        <w:rPr>
          <w:rFonts w:ascii="Arial" w:hAnsi="Arial"/>
          <w:sz w:val="21"/>
          <w:szCs w:val="21"/>
          <w:lang w:eastAsia="ar-SA"/>
        </w:rPr>
        <w:t>16,6%</w:t>
      </w:r>
      <w:r w:rsidR="00B10BC9" w:rsidRPr="0008231C">
        <w:rPr>
          <w:rFonts w:ascii="Arial" w:hAnsi="Arial"/>
          <w:sz w:val="21"/>
          <w:szCs w:val="21"/>
          <w:lang w:eastAsia="ar-SA"/>
        </w:rPr>
        <w:t>. L</w:t>
      </w:r>
      <w:r w:rsidR="00B80D38">
        <w:rPr>
          <w:rFonts w:ascii="Arial" w:hAnsi="Arial"/>
          <w:sz w:val="21"/>
          <w:szCs w:val="21"/>
          <w:lang w:eastAsia="ar-SA"/>
        </w:rPr>
        <w:t>a crescita, generalizzata,</w:t>
      </w:r>
      <w:r w:rsidR="00BC3B34">
        <w:rPr>
          <w:rFonts w:ascii="Arial" w:hAnsi="Arial"/>
          <w:sz w:val="21"/>
          <w:szCs w:val="21"/>
          <w:lang w:eastAsia="ar-SA"/>
        </w:rPr>
        <w:t xml:space="preserve"> </w:t>
      </w:r>
      <w:r w:rsidR="00FC18AF">
        <w:rPr>
          <w:rFonts w:ascii="Arial" w:hAnsi="Arial"/>
          <w:sz w:val="21"/>
          <w:szCs w:val="21"/>
          <w:lang w:eastAsia="ar-SA"/>
        </w:rPr>
        <w:t>è</w:t>
      </w:r>
      <w:r w:rsidR="00525BE0">
        <w:rPr>
          <w:rFonts w:ascii="Arial" w:hAnsi="Arial"/>
          <w:sz w:val="21"/>
          <w:szCs w:val="21"/>
          <w:lang w:eastAsia="ar-SA"/>
        </w:rPr>
        <w:t xml:space="preserve"> </w:t>
      </w:r>
      <w:r w:rsidR="00EC57EC">
        <w:rPr>
          <w:rFonts w:ascii="Arial" w:hAnsi="Arial"/>
          <w:sz w:val="21"/>
          <w:szCs w:val="21"/>
          <w:lang w:eastAsia="ar-SA"/>
        </w:rPr>
        <w:t>più</w:t>
      </w:r>
      <w:r w:rsidR="00525BE0">
        <w:rPr>
          <w:rFonts w:ascii="Arial" w:hAnsi="Arial"/>
          <w:sz w:val="21"/>
          <w:szCs w:val="21"/>
          <w:lang w:eastAsia="ar-SA"/>
        </w:rPr>
        <w:t xml:space="preserve"> </w:t>
      </w:r>
      <w:r w:rsidR="006B4B70" w:rsidRPr="0008231C">
        <w:rPr>
          <w:rFonts w:ascii="Arial" w:hAnsi="Arial"/>
          <w:sz w:val="21"/>
          <w:szCs w:val="21"/>
          <w:lang w:eastAsia="ar-SA"/>
        </w:rPr>
        <w:t>accentuat</w:t>
      </w:r>
      <w:r w:rsidR="00B80D38">
        <w:rPr>
          <w:rFonts w:ascii="Arial" w:hAnsi="Arial"/>
          <w:sz w:val="21"/>
          <w:szCs w:val="21"/>
          <w:lang w:eastAsia="ar-SA"/>
        </w:rPr>
        <w:t>a</w:t>
      </w:r>
      <w:r w:rsidR="006B4B70" w:rsidRPr="0008231C">
        <w:rPr>
          <w:rFonts w:ascii="Arial" w:hAnsi="Arial"/>
          <w:sz w:val="21"/>
          <w:szCs w:val="21"/>
          <w:lang w:eastAsia="ar-SA"/>
        </w:rPr>
        <w:t xml:space="preserve"> per </w:t>
      </w:r>
      <w:r w:rsidR="001F1EBF" w:rsidRPr="0008231C">
        <w:rPr>
          <w:rFonts w:ascii="Arial" w:hAnsi="Arial"/>
          <w:sz w:val="21"/>
          <w:szCs w:val="21"/>
          <w:lang w:eastAsia="ar-SA"/>
        </w:rPr>
        <w:t>energia (+</w:t>
      </w:r>
      <w:r w:rsidR="00483993">
        <w:rPr>
          <w:rFonts w:ascii="Arial" w:hAnsi="Arial"/>
          <w:sz w:val="21"/>
          <w:szCs w:val="21"/>
          <w:lang w:eastAsia="ar-SA"/>
        </w:rPr>
        <w:t>37</w:t>
      </w:r>
      <w:r w:rsidR="00683837" w:rsidRPr="0008231C">
        <w:rPr>
          <w:rFonts w:ascii="Arial" w:hAnsi="Arial"/>
          <w:sz w:val="21"/>
          <w:szCs w:val="21"/>
          <w:lang w:eastAsia="ar-SA"/>
        </w:rPr>
        <w:t>,</w:t>
      </w:r>
      <w:r w:rsidR="00483993">
        <w:rPr>
          <w:rFonts w:ascii="Arial" w:hAnsi="Arial"/>
          <w:sz w:val="21"/>
          <w:szCs w:val="21"/>
          <w:lang w:eastAsia="ar-SA"/>
        </w:rPr>
        <w:t>0</w:t>
      </w:r>
      <w:r w:rsidR="00B10BC9" w:rsidRPr="0008231C">
        <w:rPr>
          <w:rFonts w:ascii="Arial" w:hAnsi="Arial"/>
          <w:sz w:val="21"/>
          <w:szCs w:val="21"/>
          <w:lang w:eastAsia="ar-SA"/>
        </w:rPr>
        <w:t>%)</w:t>
      </w:r>
      <w:r w:rsidR="0034376C">
        <w:rPr>
          <w:rFonts w:ascii="Arial" w:hAnsi="Arial"/>
          <w:sz w:val="21"/>
          <w:szCs w:val="21"/>
          <w:lang w:eastAsia="ar-SA"/>
        </w:rPr>
        <w:t xml:space="preserve">, </w:t>
      </w:r>
      <w:r w:rsidR="00B80D38">
        <w:rPr>
          <w:rFonts w:ascii="Arial" w:hAnsi="Arial"/>
          <w:sz w:val="21"/>
          <w:szCs w:val="21"/>
          <w:lang w:eastAsia="ar-SA"/>
        </w:rPr>
        <w:t>b</w:t>
      </w:r>
      <w:r w:rsidR="007775B3">
        <w:rPr>
          <w:rFonts w:ascii="Arial" w:hAnsi="Arial"/>
          <w:sz w:val="21"/>
          <w:szCs w:val="21"/>
          <w:lang w:eastAsia="ar-SA"/>
        </w:rPr>
        <w:t xml:space="preserve">eni </w:t>
      </w:r>
      <w:r w:rsidR="00483993">
        <w:rPr>
          <w:rFonts w:ascii="Arial" w:hAnsi="Arial"/>
          <w:sz w:val="21"/>
          <w:szCs w:val="21"/>
          <w:lang w:eastAsia="ar-SA"/>
        </w:rPr>
        <w:t>intermedi (+24,7</w:t>
      </w:r>
      <w:r w:rsidR="00B80D38">
        <w:rPr>
          <w:rFonts w:ascii="Arial" w:hAnsi="Arial"/>
          <w:sz w:val="21"/>
          <w:szCs w:val="21"/>
          <w:lang w:eastAsia="ar-SA"/>
        </w:rPr>
        <w:t>%)</w:t>
      </w:r>
      <w:r w:rsidR="0034376C">
        <w:rPr>
          <w:rFonts w:ascii="Arial" w:hAnsi="Arial"/>
          <w:sz w:val="21"/>
          <w:szCs w:val="21"/>
          <w:lang w:eastAsia="ar-SA"/>
        </w:rPr>
        <w:t xml:space="preserve"> e beni di consumo non durevoli (+22,1%)</w:t>
      </w:r>
      <w:r w:rsidR="00B10BC9" w:rsidRPr="0008231C">
        <w:rPr>
          <w:rFonts w:ascii="Arial" w:hAnsi="Arial"/>
          <w:sz w:val="21"/>
          <w:szCs w:val="21"/>
          <w:lang w:eastAsia="ar-SA"/>
        </w:rPr>
        <w:t>.</w:t>
      </w:r>
      <w:r w:rsidR="0027636B">
        <w:rPr>
          <w:rFonts w:ascii="Arial" w:hAnsi="Arial"/>
          <w:sz w:val="21"/>
          <w:szCs w:val="21"/>
          <w:lang w:eastAsia="ar-SA"/>
        </w:rPr>
        <w:t xml:space="preserve"> </w:t>
      </w:r>
      <w:r w:rsidR="002F33E3" w:rsidRPr="0008231C">
        <w:rPr>
          <w:rFonts w:ascii="Arial" w:hAnsi="Arial"/>
          <w:sz w:val="21"/>
          <w:szCs w:val="21"/>
          <w:lang w:eastAsia="ar-SA"/>
        </w:rPr>
        <w:t xml:space="preserve">L’import </w:t>
      </w:r>
      <w:r w:rsidR="00FC18AF">
        <w:rPr>
          <w:rFonts w:ascii="Arial" w:hAnsi="Arial"/>
          <w:sz w:val="21"/>
          <w:szCs w:val="21"/>
          <w:lang w:eastAsia="ar-SA"/>
        </w:rPr>
        <w:t>registra</w:t>
      </w:r>
      <w:r w:rsidR="00F028E8" w:rsidRPr="0008231C">
        <w:rPr>
          <w:rFonts w:ascii="Arial" w:hAnsi="Arial"/>
          <w:sz w:val="21"/>
          <w:szCs w:val="21"/>
          <w:lang w:eastAsia="ar-SA"/>
        </w:rPr>
        <w:t xml:space="preserve"> un</w:t>
      </w:r>
      <w:r w:rsidR="00FC18AF">
        <w:rPr>
          <w:rFonts w:ascii="Arial" w:hAnsi="Arial"/>
          <w:sz w:val="21"/>
          <w:szCs w:val="21"/>
          <w:lang w:eastAsia="ar-SA"/>
        </w:rPr>
        <w:t>a crescita tendenziale</w:t>
      </w:r>
      <w:r w:rsidR="002F33E3" w:rsidRPr="0008231C">
        <w:rPr>
          <w:rFonts w:ascii="Arial" w:hAnsi="Arial"/>
          <w:sz w:val="21"/>
          <w:szCs w:val="21"/>
          <w:lang w:eastAsia="ar-SA"/>
        </w:rPr>
        <w:t xml:space="preserve"> </w:t>
      </w:r>
      <w:r w:rsidR="00515AFD">
        <w:rPr>
          <w:rFonts w:ascii="Arial" w:hAnsi="Arial"/>
          <w:sz w:val="21"/>
          <w:szCs w:val="21"/>
          <w:lang w:eastAsia="ar-SA"/>
        </w:rPr>
        <w:t>del 38</w:t>
      </w:r>
      <w:r w:rsidR="007775B3">
        <w:rPr>
          <w:rFonts w:ascii="Arial" w:hAnsi="Arial"/>
          <w:sz w:val="21"/>
          <w:szCs w:val="21"/>
          <w:lang w:eastAsia="ar-SA"/>
        </w:rPr>
        <w:t>,3</w:t>
      </w:r>
      <w:r w:rsidR="00525BE0">
        <w:rPr>
          <w:rFonts w:ascii="Arial" w:hAnsi="Arial"/>
          <w:sz w:val="21"/>
          <w:szCs w:val="21"/>
          <w:lang w:eastAsia="ar-SA"/>
        </w:rPr>
        <w:t>%</w:t>
      </w:r>
      <w:r w:rsidR="002F33E3" w:rsidRPr="0008231C">
        <w:rPr>
          <w:rFonts w:ascii="Arial" w:hAnsi="Arial"/>
          <w:sz w:val="21"/>
          <w:szCs w:val="21"/>
          <w:lang w:eastAsia="ar-SA"/>
        </w:rPr>
        <w:t xml:space="preserve">, </w:t>
      </w:r>
      <w:r w:rsidR="0008231C" w:rsidRPr="0008231C">
        <w:rPr>
          <w:rFonts w:ascii="Arial" w:hAnsi="Arial"/>
          <w:sz w:val="21"/>
          <w:szCs w:val="21"/>
          <w:lang w:eastAsia="ar-SA"/>
        </w:rPr>
        <w:t>anch’ess</w:t>
      </w:r>
      <w:r w:rsidR="00FC18AF">
        <w:rPr>
          <w:rFonts w:ascii="Arial" w:hAnsi="Arial"/>
          <w:sz w:val="21"/>
          <w:szCs w:val="21"/>
          <w:lang w:eastAsia="ar-SA"/>
        </w:rPr>
        <w:t>a</w:t>
      </w:r>
      <w:r w:rsidR="0008231C" w:rsidRPr="0008231C">
        <w:rPr>
          <w:rFonts w:ascii="Arial" w:hAnsi="Arial"/>
          <w:sz w:val="21"/>
          <w:szCs w:val="21"/>
          <w:lang w:eastAsia="ar-SA"/>
        </w:rPr>
        <w:t xml:space="preserve"> </w:t>
      </w:r>
      <w:r w:rsidR="00B15421">
        <w:rPr>
          <w:rFonts w:ascii="Arial" w:hAnsi="Arial"/>
          <w:sz w:val="21"/>
          <w:szCs w:val="21"/>
          <w:lang w:eastAsia="ar-SA"/>
        </w:rPr>
        <w:t>diffus</w:t>
      </w:r>
      <w:r w:rsidR="00FC18AF">
        <w:rPr>
          <w:rFonts w:ascii="Arial" w:hAnsi="Arial"/>
          <w:sz w:val="21"/>
          <w:szCs w:val="21"/>
          <w:lang w:eastAsia="ar-SA"/>
        </w:rPr>
        <w:t>a</w:t>
      </w:r>
      <w:r w:rsidR="00B15421">
        <w:rPr>
          <w:rFonts w:ascii="Arial" w:hAnsi="Arial"/>
          <w:sz w:val="21"/>
          <w:szCs w:val="21"/>
          <w:lang w:eastAsia="ar-SA"/>
        </w:rPr>
        <w:t xml:space="preserve"> </w:t>
      </w:r>
      <w:r w:rsidR="00FC18AF">
        <w:rPr>
          <w:rFonts w:ascii="Arial" w:hAnsi="Arial"/>
          <w:sz w:val="21"/>
          <w:szCs w:val="21"/>
          <w:lang w:eastAsia="ar-SA"/>
        </w:rPr>
        <w:t xml:space="preserve">e </w:t>
      </w:r>
      <w:r w:rsidR="005D6DDF">
        <w:rPr>
          <w:rFonts w:ascii="Arial" w:hAnsi="Arial"/>
          <w:sz w:val="21"/>
          <w:szCs w:val="21"/>
          <w:lang w:eastAsia="ar-SA"/>
        </w:rPr>
        <w:t>molto</w:t>
      </w:r>
      <w:r w:rsidR="002F33E3" w:rsidRPr="0008231C">
        <w:rPr>
          <w:rFonts w:ascii="Arial" w:hAnsi="Arial"/>
          <w:sz w:val="21"/>
          <w:szCs w:val="21"/>
          <w:lang w:eastAsia="ar-SA"/>
        </w:rPr>
        <w:t xml:space="preserve"> </w:t>
      </w:r>
      <w:r w:rsidR="00FE29A6" w:rsidRPr="0008231C">
        <w:rPr>
          <w:rFonts w:ascii="Arial" w:hAnsi="Arial"/>
          <w:sz w:val="21"/>
          <w:szCs w:val="21"/>
          <w:lang w:eastAsia="ar-SA"/>
        </w:rPr>
        <w:t>elevat</w:t>
      </w:r>
      <w:r w:rsidR="00FC18AF">
        <w:rPr>
          <w:rFonts w:ascii="Arial" w:hAnsi="Arial"/>
          <w:sz w:val="21"/>
          <w:szCs w:val="21"/>
          <w:lang w:eastAsia="ar-SA"/>
        </w:rPr>
        <w:t>a</w:t>
      </w:r>
      <w:r w:rsidR="00FE29A6" w:rsidRPr="0008231C">
        <w:rPr>
          <w:rFonts w:ascii="Arial" w:hAnsi="Arial"/>
          <w:sz w:val="21"/>
          <w:szCs w:val="21"/>
          <w:lang w:eastAsia="ar-SA"/>
        </w:rPr>
        <w:t xml:space="preserve"> </w:t>
      </w:r>
      <w:r w:rsidR="00DE6DCD" w:rsidRPr="0008231C">
        <w:rPr>
          <w:rFonts w:ascii="Arial" w:hAnsi="Arial"/>
          <w:sz w:val="21"/>
          <w:szCs w:val="21"/>
          <w:lang w:eastAsia="ar-SA"/>
        </w:rPr>
        <w:t xml:space="preserve">per energia </w:t>
      </w:r>
      <w:r w:rsidR="002269AE">
        <w:rPr>
          <w:rFonts w:ascii="Arial" w:hAnsi="Arial"/>
          <w:sz w:val="21"/>
          <w:szCs w:val="21"/>
          <w:lang w:eastAsia="ar-SA"/>
        </w:rPr>
        <w:t>(</w:t>
      </w:r>
      <w:r w:rsidR="00515AFD">
        <w:rPr>
          <w:rFonts w:ascii="Arial" w:hAnsi="Arial"/>
          <w:sz w:val="21"/>
          <w:szCs w:val="21"/>
          <w:lang w:eastAsia="ar-SA"/>
        </w:rPr>
        <w:t>+67,2</w:t>
      </w:r>
      <w:r w:rsidR="00F028E8" w:rsidRPr="0008231C">
        <w:rPr>
          <w:rFonts w:ascii="Arial" w:hAnsi="Arial"/>
          <w:sz w:val="21"/>
          <w:szCs w:val="21"/>
          <w:lang w:eastAsia="ar-SA"/>
        </w:rPr>
        <w:t>%)</w:t>
      </w:r>
      <w:r w:rsidR="000469E5" w:rsidRPr="0008231C">
        <w:rPr>
          <w:rFonts w:ascii="Arial" w:hAnsi="Arial"/>
          <w:sz w:val="21"/>
          <w:szCs w:val="21"/>
          <w:lang w:eastAsia="ar-SA"/>
        </w:rPr>
        <w:t>.</w:t>
      </w:r>
    </w:p>
    <w:p w14:paraId="1C253E16" w14:textId="4AD711FD" w:rsidR="0018754B" w:rsidRPr="000E4C04" w:rsidRDefault="00481504" w:rsidP="000E4C04">
      <w:pPr>
        <w:pStyle w:val="Corpotesto"/>
        <w:numPr>
          <w:ilvl w:val="0"/>
          <w:numId w:val="20"/>
        </w:numPr>
        <w:tabs>
          <w:tab w:val="left" w:pos="284"/>
          <w:tab w:val="left" w:pos="567"/>
          <w:tab w:val="num" w:pos="4733"/>
        </w:tabs>
        <w:suppressAutoHyphens/>
        <w:spacing w:after="120" w:line="230" w:lineRule="exact"/>
        <w:ind w:left="284" w:hanging="284"/>
        <w:jc w:val="both"/>
        <w:rPr>
          <w:rFonts w:ascii="Arial" w:hAnsi="Arial"/>
          <w:sz w:val="21"/>
          <w:szCs w:val="21"/>
          <w:lang w:eastAsia="ar-SA"/>
        </w:rPr>
      </w:pPr>
      <w:r w:rsidRPr="00E5455F">
        <w:rPr>
          <w:rFonts w:ascii="Arial" w:hAnsi="Arial"/>
          <w:sz w:val="21"/>
          <w:szCs w:val="21"/>
          <w:lang w:eastAsia="ar-SA"/>
        </w:rPr>
        <w:t>A</w:t>
      </w:r>
      <w:r>
        <w:rPr>
          <w:rFonts w:ascii="Arial" w:hAnsi="Arial"/>
          <w:sz w:val="21"/>
          <w:szCs w:val="21"/>
          <w:lang w:eastAsia="ar-SA"/>
        </w:rPr>
        <w:t xml:space="preserve"> ottobre</w:t>
      </w:r>
      <w:r w:rsidRPr="0018754B">
        <w:rPr>
          <w:rFonts w:ascii="Arial" w:hAnsi="Arial"/>
          <w:sz w:val="21"/>
          <w:szCs w:val="21"/>
          <w:lang w:eastAsia="ar-SA"/>
        </w:rPr>
        <w:t xml:space="preserve"> </w:t>
      </w:r>
      <w:r w:rsidR="006B4B70" w:rsidRPr="0018754B">
        <w:rPr>
          <w:rFonts w:ascii="Arial" w:hAnsi="Arial"/>
          <w:sz w:val="21"/>
          <w:szCs w:val="21"/>
          <w:lang w:eastAsia="ar-SA"/>
        </w:rPr>
        <w:t>2022 il disavanzo commerciale con</w:t>
      </w:r>
      <w:r w:rsidR="00823E9B" w:rsidRPr="0018754B">
        <w:rPr>
          <w:rFonts w:ascii="Arial" w:hAnsi="Arial"/>
          <w:sz w:val="21"/>
          <w:szCs w:val="21"/>
          <w:lang w:eastAsia="ar-SA"/>
        </w:rPr>
        <w:t xml:space="preserve"> i paesi extra Ue è pari a</w:t>
      </w:r>
      <w:r w:rsidR="00875135">
        <w:rPr>
          <w:rFonts w:ascii="Arial" w:hAnsi="Arial"/>
          <w:sz w:val="21"/>
          <w:szCs w:val="21"/>
          <w:lang w:eastAsia="ar-SA"/>
        </w:rPr>
        <w:t xml:space="preserve"> </w:t>
      </w:r>
      <w:r w:rsidR="007C4FE8">
        <w:rPr>
          <w:rFonts w:ascii="Arial" w:hAnsi="Arial"/>
          <w:sz w:val="21"/>
          <w:szCs w:val="21"/>
          <w:lang w:eastAsia="ar-SA"/>
        </w:rPr>
        <w:t>-</w:t>
      </w:r>
      <w:r w:rsidR="00E26477">
        <w:rPr>
          <w:rFonts w:ascii="Arial" w:hAnsi="Arial"/>
          <w:sz w:val="21"/>
          <w:szCs w:val="21"/>
          <w:lang w:eastAsia="ar-SA"/>
        </w:rPr>
        <w:t>2.0</w:t>
      </w:r>
      <w:r w:rsidR="007775B3">
        <w:rPr>
          <w:rFonts w:ascii="Arial" w:hAnsi="Arial"/>
          <w:sz w:val="21"/>
          <w:szCs w:val="21"/>
          <w:lang w:eastAsia="ar-SA"/>
        </w:rPr>
        <w:t>40</w:t>
      </w:r>
      <w:r w:rsidR="006B4B70" w:rsidRPr="0018754B">
        <w:rPr>
          <w:rFonts w:ascii="Arial" w:hAnsi="Arial"/>
          <w:sz w:val="21"/>
          <w:szCs w:val="21"/>
          <w:lang w:eastAsia="ar-SA"/>
        </w:rPr>
        <w:t xml:space="preserve"> milioni</w:t>
      </w:r>
      <w:r w:rsidR="004A55E8" w:rsidRPr="0018754B">
        <w:rPr>
          <w:rFonts w:ascii="Arial" w:hAnsi="Arial"/>
          <w:sz w:val="21"/>
          <w:szCs w:val="21"/>
          <w:lang w:eastAsia="ar-SA"/>
        </w:rPr>
        <w:t xml:space="preserve">, a fronte di un </w:t>
      </w:r>
      <w:r w:rsidR="00CF1724">
        <w:rPr>
          <w:rFonts w:ascii="Arial" w:hAnsi="Arial"/>
          <w:sz w:val="21"/>
          <w:szCs w:val="21"/>
          <w:lang w:eastAsia="ar-SA"/>
        </w:rPr>
        <w:t>avanzo di 1.</w:t>
      </w:r>
      <w:r w:rsidR="00E26477">
        <w:rPr>
          <w:rFonts w:ascii="Arial" w:hAnsi="Arial"/>
          <w:sz w:val="21"/>
          <w:szCs w:val="21"/>
          <w:lang w:eastAsia="ar-SA"/>
        </w:rPr>
        <w:t>962</w:t>
      </w:r>
      <w:r w:rsidR="006B4B70" w:rsidRPr="0018754B">
        <w:rPr>
          <w:rFonts w:ascii="Arial" w:hAnsi="Arial"/>
          <w:sz w:val="21"/>
          <w:szCs w:val="21"/>
          <w:lang w:eastAsia="ar-SA"/>
        </w:rPr>
        <w:t xml:space="preserve"> milioni dello stesso mese del</w:t>
      </w:r>
      <w:r w:rsidR="003204A0" w:rsidRPr="0018754B">
        <w:rPr>
          <w:rFonts w:ascii="Arial" w:hAnsi="Arial"/>
          <w:sz w:val="21"/>
          <w:szCs w:val="21"/>
          <w:lang w:eastAsia="ar-SA"/>
        </w:rPr>
        <w:t xml:space="preserve"> 2021. Il deficit energetico</w:t>
      </w:r>
      <w:r w:rsidR="00C81C4C">
        <w:rPr>
          <w:rFonts w:ascii="Arial" w:hAnsi="Arial"/>
          <w:sz w:val="21"/>
          <w:szCs w:val="21"/>
          <w:lang w:eastAsia="ar-SA"/>
        </w:rPr>
        <w:t xml:space="preserve"> (-9.364 milioni)</w:t>
      </w:r>
      <w:r w:rsidR="00EC7D47">
        <w:rPr>
          <w:rFonts w:ascii="Arial" w:hAnsi="Arial"/>
          <w:sz w:val="21"/>
          <w:szCs w:val="21"/>
          <w:lang w:eastAsia="ar-SA"/>
        </w:rPr>
        <w:t xml:space="preserve"> </w:t>
      </w:r>
      <w:r w:rsidR="00C81C4C">
        <w:rPr>
          <w:rFonts w:ascii="Arial" w:hAnsi="Arial"/>
          <w:sz w:val="21"/>
          <w:szCs w:val="21"/>
          <w:lang w:eastAsia="ar-SA"/>
        </w:rPr>
        <w:t xml:space="preserve">è più ampio rispetto a un anno prima </w:t>
      </w:r>
      <w:r w:rsidR="00EC7D47">
        <w:rPr>
          <w:rFonts w:ascii="Arial" w:hAnsi="Arial"/>
          <w:sz w:val="21"/>
          <w:szCs w:val="21"/>
          <w:lang w:eastAsia="ar-SA"/>
        </w:rPr>
        <w:t>(</w:t>
      </w:r>
      <w:r w:rsidR="0021532E">
        <w:rPr>
          <w:rFonts w:ascii="Arial" w:hAnsi="Arial"/>
          <w:sz w:val="21"/>
          <w:szCs w:val="21"/>
          <w:lang w:eastAsia="ar-SA"/>
        </w:rPr>
        <w:t>-</w:t>
      </w:r>
      <w:r w:rsidR="00025D71">
        <w:rPr>
          <w:rFonts w:ascii="Arial" w:hAnsi="Arial"/>
          <w:sz w:val="21"/>
          <w:szCs w:val="21"/>
          <w:lang w:eastAsia="ar-SA"/>
        </w:rPr>
        <w:t>5</w:t>
      </w:r>
      <w:r w:rsidR="00F804F2" w:rsidRPr="0018754B">
        <w:rPr>
          <w:rFonts w:ascii="Arial" w:hAnsi="Arial"/>
          <w:sz w:val="21"/>
          <w:szCs w:val="21"/>
          <w:lang w:eastAsia="ar-SA"/>
        </w:rPr>
        <w:t>.</w:t>
      </w:r>
      <w:r w:rsidR="00A90A01">
        <w:rPr>
          <w:rFonts w:ascii="Arial" w:hAnsi="Arial"/>
          <w:sz w:val="21"/>
          <w:szCs w:val="21"/>
          <w:lang w:eastAsia="ar-SA"/>
        </w:rPr>
        <w:t>4</w:t>
      </w:r>
      <w:r w:rsidR="00025D71">
        <w:rPr>
          <w:rFonts w:ascii="Arial" w:hAnsi="Arial"/>
          <w:sz w:val="21"/>
          <w:szCs w:val="21"/>
          <w:lang w:eastAsia="ar-SA"/>
        </w:rPr>
        <w:t>59</w:t>
      </w:r>
      <w:r w:rsidR="006B4B70" w:rsidRPr="000E4C04">
        <w:rPr>
          <w:rFonts w:ascii="Arial" w:hAnsi="Arial"/>
          <w:sz w:val="21"/>
          <w:szCs w:val="21"/>
          <w:lang w:eastAsia="ar-SA"/>
        </w:rPr>
        <w:t xml:space="preserve"> milioni</w:t>
      </w:r>
      <w:r w:rsidR="00C81C4C">
        <w:rPr>
          <w:rFonts w:ascii="Arial" w:hAnsi="Arial"/>
          <w:sz w:val="21"/>
          <w:szCs w:val="21"/>
          <w:lang w:eastAsia="ar-SA"/>
        </w:rPr>
        <w:t>) ma l’av</w:t>
      </w:r>
      <w:r w:rsidR="00B10BC9" w:rsidRPr="000E4C04">
        <w:rPr>
          <w:rFonts w:ascii="Arial" w:hAnsi="Arial"/>
          <w:sz w:val="21"/>
          <w:szCs w:val="21"/>
          <w:lang w:eastAsia="ar-SA"/>
        </w:rPr>
        <w:t>anzo nell’interscambio di prodotti</w:t>
      </w:r>
      <w:r w:rsidR="0093507A" w:rsidRPr="000E4C04">
        <w:rPr>
          <w:rFonts w:ascii="Arial" w:hAnsi="Arial"/>
          <w:sz w:val="21"/>
          <w:szCs w:val="21"/>
          <w:lang w:eastAsia="ar-SA"/>
        </w:rPr>
        <w:t xml:space="preserve"> non energetici</w:t>
      </w:r>
      <w:r w:rsidR="00C81C4C">
        <w:rPr>
          <w:rFonts w:ascii="Arial" w:hAnsi="Arial"/>
          <w:sz w:val="21"/>
          <w:szCs w:val="21"/>
          <w:lang w:eastAsia="ar-SA"/>
        </w:rPr>
        <w:t>, pari a</w:t>
      </w:r>
      <w:r w:rsidR="00CF1724" w:rsidRPr="000E4C04">
        <w:rPr>
          <w:rFonts w:ascii="Arial" w:hAnsi="Arial"/>
          <w:sz w:val="21"/>
          <w:szCs w:val="21"/>
          <w:lang w:eastAsia="ar-SA"/>
        </w:rPr>
        <w:t xml:space="preserve"> </w:t>
      </w:r>
      <w:r w:rsidR="00C81C4C">
        <w:rPr>
          <w:rFonts w:ascii="Arial" w:hAnsi="Arial"/>
          <w:sz w:val="21"/>
          <w:szCs w:val="21"/>
          <w:lang w:eastAsia="ar-SA"/>
        </w:rPr>
        <w:t>7</w:t>
      </w:r>
      <w:r w:rsidR="00C81C4C" w:rsidRPr="000E4C04">
        <w:rPr>
          <w:rFonts w:ascii="Arial" w:hAnsi="Arial"/>
          <w:sz w:val="21"/>
          <w:szCs w:val="21"/>
          <w:lang w:eastAsia="ar-SA"/>
        </w:rPr>
        <w:t>.</w:t>
      </w:r>
      <w:r w:rsidR="00C81C4C">
        <w:rPr>
          <w:rFonts w:ascii="Arial" w:hAnsi="Arial"/>
          <w:sz w:val="21"/>
          <w:szCs w:val="21"/>
          <w:lang w:eastAsia="ar-SA"/>
        </w:rPr>
        <w:t>324</w:t>
      </w:r>
      <w:r w:rsidR="00C81C4C" w:rsidRPr="000E4C04">
        <w:rPr>
          <w:rFonts w:ascii="Arial" w:hAnsi="Arial"/>
          <w:sz w:val="21"/>
          <w:szCs w:val="21"/>
          <w:lang w:eastAsia="ar-SA"/>
        </w:rPr>
        <w:t xml:space="preserve"> milioni</w:t>
      </w:r>
      <w:r w:rsidR="00C81C4C">
        <w:rPr>
          <w:rFonts w:ascii="Arial" w:hAnsi="Arial"/>
          <w:sz w:val="21"/>
          <w:szCs w:val="21"/>
          <w:lang w:eastAsia="ar-SA"/>
        </w:rPr>
        <w:t xml:space="preserve">, è elevato e </w:t>
      </w:r>
      <w:r w:rsidR="00B818C7">
        <w:rPr>
          <w:rFonts w:ascii="Arial" w:hAnsi="Arial"/>
          <w:sz w:val="21"/>
          <w:szCs w:val="21"/>
          <w:lang w:eastAsia="ar-SA"/>
        </w:rPr>
        <w:t xml:space="preserve">sul livello di </w:t>
      </w:r>
      <w:r w:rsidR="00C81C4C">
        <w:rPr>
          <w:rFonts w:ascii="Arial" w:hAnsi="Arial"/>
          <w:sz w:val="21"/>
          <w:szCs w:val="21"/>
          <w:lang w:eastAsia="ar-SA"/>
        </w:rPr>
        <w:t>ottobre 2021 (</w:t>
      </w:r>
      <w:r w:rsidR="00641CF4">
        <w:rPr>
          <w:rFonts w:ascii="Arial" w:hAnsi="Arial"/>
          <w:sz w:val="21"/>
          <w:szCs w:val="21"/>
          <w:lang w:eastAsia="ar-SA"/>
        </w:rPr>
        <w:t>7</w:t>
      </w:r>
      <w:r w:rsidR="00EC7D47" w:rsidRPr="000E4C04">
        <w:rPr>
          <w:rFonts w:ascii="Arial" w:hAnsi="Arial"/>
          <w:sz w:val="21"/>
          <w:szCs w:val="21"/>
          <w:lang w:eastAsia="ar-SA"/>
        </w:rPr>
        <w:t>.</w:t>
      </w:r>
      <w:r w:rsidR="00641CF4">
        <w:rPr>
          <w:rFonts w:ascii="Arial" w:hAnsi="Arial"/>
          <w:sz w:val="21"/>
          <w:szCs w:val="21"/>
          <w:lang w:eastAsia="ar-SA"/>
        </w:rPr>
        <w:t>421</w:t>
      </w:r>
      <w:r w:rsidR="00EC7D47" w:rsidRPr="000E4C04">
        <w:rPr>
          <w:rFonts w:ascii="Arial" w:hAnsi="Arial"/>
          <w:sz w:val="21"/>
          <w:szCs w:val="21"/>
          <w:lang w:eastAsia="ar-SA"/>
        </w:rPr>
        <w:t xml:space="preserve"> milioni</w:t>
      </w:r>
      <w:r w:rsidR="00C81C4C">
        <w:rPr>
          <w:rFonts w:ascii="Arial" w:hAnsi="Arial"/>
          <w:sz w:val="21"/>
          <w:szCs w:val="21"/>
          <w:lang w:eastAsia="ar-SA"/>
        </w:rPr>
        <w:t>).</w:t>
      </w:r>
    </w:p>
    <w:p w14:paraId="21401F92" w14:textId="55EB1A76" w:rsidR="00B10BC9" w:rsidRPr="0086368E" w:rsidRDefault="00481504" w:rsidP="00C35C46">
      <w:pPr>
        <w:pStyle w:val="Corpotesto"/>
        <w:numPr>
          <w:ilvl w:val="0"/>
          <w:numId w:val="20"/>
        </w:numPr>
        <w:tabs>
          <w:tab w:val="left" w:pos="284"/>
          <w:tab w:val="left" w:pos="567"/>
          <w:tab w:val="num" w:pos="4733"/>
        </w:tabs>
        <w:suppressAutoHyphens/>
        <w:spacing w:after="120" w:line="230" w:lineRule="exact"/>
        <w:ind w:left="284" w:hanging="284"/>
        <w:jc w:val="both"/>
        <w:rPr>
          <w:rFonts w:ascii="Arial" w:hAnsi="Arial"/>
          <w:sz w:val="21"/>
          <w:szCs w:val="21"/>
          <w:lang w:eastAsia="ar-SA"/>
        </w:rPr>
      </w:pPr>
      <w:r w:rsidRPr="00E5455F">
        <w:rPr>
          <w:rFonts w:ascii="Arial" w:hAnsi="Arial"/>
          <w:sz w:val="21"/>
          <w:szCs w:val="21"/>
          <w:lang w:eastAsia="ar-SA"/>
        </w:rPr>
        <w:t>A</w:t>
      </w:r>
      <w:r>
        <w:rPr>
          <w:rFonts w:ascii="Arial" w:hAnsi="Arial"/>
          <w:sz w:val="21"/>
          <w:szCs w:val="21"/>
          <w:lang w:eastAsia="ar-SA"/>
        </w:rPr>
        <w:t xml:space="preserve"> ottobre</w:t>
      </w:r>
      <w:r w:rsidR="008B0FB9">
        <w:rPr>
          <w:rFonts w:ascii="Arial" w:hAnsi="Arial"/>
          <w:sz w:val="21"/>
          <w:szCs w:val="21"/>
          <w:lang w:eastAsia="ar-SA"/>
        </w:rPr>
        <w:t xml:space="preserve"> </w:t>
      </w:r>
      <w:r w:rsidR="00737562" w:rsidRPr="0086368E">
        <w:rPr>
          <w:rFonts w:ascii="Arial" w:hAnsi="Arial"/>
          <w:sz w:val="21"/>
          <w:szCs w:val="21"/>
          <w:lang w:eastAsia="ar-SA"/>
        </w:rPr>
        <w:t>2022</w:t>
      </w:r>
      <w:r w:rsidR="00AC7BC9" w:rsidRPr="0086368E">
        <w:rPr>
          <w:rFonts w:ascii="Arial" w:hAnsi="Arial"/>
          <w:sz w:val="21"/>
          <w:szCs w:val="21"/>
          <w:lang w:eastAsia="ar-SA"/>
        </w:rPr>
        <w:t xml:space="preserve"> si r</w:t>
      </w:r>
      <w:r w:rsidR="00770709" w:rsidRPr="0086368E">
        <w:rPr>
          <w:rFonts w:ascii="Arial" w:hAnsi="Arial"/>
          <w:sz w:val="21"/>
          <w:szCs w:val="21"/>
          <w:lang w:eastAsia="ar-SA"/>
        </w:rPr>
        <w:t>ilevano</w:t>
      </w:r>
      <w:r w:rsidR="00AC7BC9" w:rsidRPr="0086368E">
        <w:rPr>
          <w:rFonts w:ascii="Arial" w:hAnsi="Arial"/>
          <w:sz w:val="21"/>
          <w:szCs w:val="21"/>
          <w:lang w:eastAsia="ar-SA"/>
        </w:rPr>
        <w:t xml:space="preserve"> </w:t>
      </w:r>
      <w:r w:rsidR="00B10BC9" w:rsidRPr="0086368E">
        <w:rPr>
          <w:rFonts w:ascii="Arial" w:hAnsi="Arial"/>
          <w:sz w:val="21"/>
          <w:szCs w:val="21"/>
          <w:lang w:eastAsia="ar-SA"/>
        </w:rPr>
        <w:t>aument</w:t>
      </w:r>
      <w:r w:rsidR="00A518D4" w:rsidRPr="0086368E">
        <w:rPr>
          <w:rFonts w:ascii="Arial" w:hAnsi="Arial"/>
          <w:sz w:val="21"/>
          <w:szCs w:val="21"/>
          <w:lang w:eastAsia="ar-SA"/>
        </w:rPr>
        <w:t>i</w:t>
      </w:r>
      <w:r w:rsidR="00B10BC9" w:rsidRPr="0086368E">
        <w:rPr>
          <w:rFonts w:ascii="Arial" w:hAnsi="Arial"/>
          <w:sz w:val="21"/>
          <w:szCs w:val="21"/>
          <w:lang w:eastAsia="ar-SA"/>
        </w:rPr>
        <w:t xml:space="preserve"> su base annua </w:t>
      </w:r>
      <w:r w:rsidR="00991D22" w:rsidRPr="0086368E">
        <w:rPr>
          <w:rFonts w:ascii="Arial" w:hAnsi="Arial"/>
          <w:sz w:val="21"/>
          <w:szCs w:val="21"/>
          <w:lang w:eastAsia="ar-SA"/>
        </w:rPr>
        <w:t>del</w:t>
      </w:r>
      <w:r w:rsidR="001C1BB0">
        <w:rPr>
          <w:rFonts w:ascii="Arial" w:hAnsi="Arial"/>
          <w:sz w:val="21"/>
          <w:szCs w:val="21"/>
          <w:lang w:eastAsia="ar-SA"/>
        </w:rPr>
        <w:t>le esportazioni</w:t>
      </w:r>
      <w:r w:rsidR="00991D22" w:rsidRPr="0086368E">
        <w:rPr>
          <w:rFonts w:ascii="Arial" w:hAnsi="Arial"/>
          <w:sz w:val="21"/>
          <w:szCs w:val="21"/>
          <w:lang w:eastAsia="ar-SA"/>
        </w:rPr>
        <w:t xml:space="preserve"> </w:t>
      </w:r>
      <w:r w:rsidR="00AC7BC9" w:rsidRPr="0086368E">
        <w:rPr>
          <w:rFonts w:ascii="Arial" w:hAnsi="Arial"/>
          <w:sz w:val="21"/>
          <w:szCs w:val="21"/>
          <w:lang w:eastAsia="ar-SA"/>
        </w:rPr>
        <w:t>verso</w:t>
      </w:r>
      <w:r w:rsidR="004070CC">
        <w:rPr>
          <w:rFonts w:ascii="Arial" w:hAnsi="Arial"/>
          <w:sz w:val="21"/>
          <w:szCs w:val="21"/>
          <w:lang w:eastAsia="ar-SA"/>
        </w:rPr>
        <w:t xml:space="preserve"> </w:t>
      </w:r>
      <w:r w:rsidR="00A82D1E">
        <w:rPr>
          <w:rFonts w:ascii="Arial" w:hAnsi="Arial"/>
          <w:sz w:val="21"/>
          <w:szCs w:val="21"/>
          <w:lang w:eastAsia="ar-SA"/>
        </w:rPr>
        <w:t xml:space="preserve">quasi tutti </w:t>
      </w:r>
      <w:r w:rsidR="00E551BE">
        <w:rPr>
          <w:rFonts w:ascii="Arial" w:hAnsi="Arial"/>
          <w:sz w:val="21"/>
          <w:szCs w:val="21"/>
          <w:lang w:eastAsia="ar-SA"/>
        </w:rPr>
        <w:t xml:space="preserve">i </w:t>
      </w:r>
      <w:r w:rsidR="00B10BC9" w:rsidRPr="0086368E">
        <w:rPr>
          <w:rFonts w:ascii="Arial" w:hAnsi="Arial"/>
          <w:sz w:val="21"/>
          <w:szCs w:val="21"/>
          <w:lang w:eastAsia="ar-SA"/>
        </w:rPr>
        <w:t xml:space="preserve">principali paesi partner extra Ue27; </w:t>
      </w:r>
      <w:r w:rsidR="00991D22" w:rsidRPr="0086368E">
        <w:rPr>
          <w:rFonts w:ascii="Arial" w:hAnsi="Arial"/>
          <w:sz w:val="21"/>
          <w:szCs w:val="21"/>
          <w:lang w:eastAsia="ar-SA"/>
        </w:rPr>
        <w:t>i</w:t>
      </w:r>
      <w:r w:rsidR="00B10BC9" w:rsidRPr="0086368E">
        <w:rPr>
          <w:rFonts w:ascii="Arial" w:hAnsi="Arial"/>
          <w:sz w:val="21"/>
          <w:szCs w:val="21"/>
          <w:lang w:eastAsia="ar-SA"/>
        </w:rPr>
        <w:t xml:space="preserve"> più ampi riguardano</w:t>
      </w:r>
      <w:r w:rsidR="00B27DDF" w:rsidRPr="0086368E">
        <w:rPr>
          <w:rFonts w:ascii="Arial" w:hAnsi="Arial"/>
          <w:sz w:val="21"/>
          <w:szCs w:val="21"/>
          <w:lang w:eastAsia="ar-SA"/>
        </w:rPr>
        <w:t xml:space="preserve"> </w:t>
      </w:r>
      <w:r w:rsidR="00225162">
        <w:rPr>
          <w:rFonts w:ascii="Arial" w:hAnsi="Arial"/>
          <w:sz w:val="21"/>
          <w:szCs w:val="21"/>
          <w:lang w:eastAsia="ar-SA"/>
        </w:rPr>
        <w:t>Turchia (+</w:t>
      </w:r>
      <w:r w:rsidR="002706CB">
        <w:rPr>
          <w:rFonts w:ascii="Arial" w:hAnsi="Arial"/>
          <w:sz w:val="21"/>
          <w:szCs w:val="21"/>
          <w:lang w:eastAsia="ar-SA"/>
        </w:rPr>
        <w:t>47</w:t>
      </w:r>
      <w:r w:rsidR="00810B84">
        <w:rPr>
          <w:rFonts w:ascii="Arial" w:hAnsi="Arial"/>
          <w:sz w:val="21"/>
          <w:szCs w:val="21"/>
          <w:lang w:eastAsia="ar-SA"/>
        </w:rPr>
        <w:t>,7</w:t>
      </w:r>
      <w:r w:rsidR="00EF53AE">
        <w:rPr>
          <w:rFonts w:ascii="Arial" w:hAnsi="Arial"/>
          <w:sz w:val="21"/>
          <w:szCs w:val="21"/>
          <w:lang w:eastAsia="ar-SA"/>
        </w:rPr>
        <w:t xml:space="preserve">%), </w:t>
      </w:r>
      <w:r w:rsidR="005E4811">
        <w:rPr>
          <w:rFonts w:ascii="Arial" w:hAnsi="Arial"/>
          <w:sz w:val="21"/>
          <w:szCs w:val="21"/>
          <w:lang w:eastAsia="ar-SA"/>
        </w:rPr>
        <w:t>Stati Uniti (+34,2%) e</w:t>
      </w:r>
      <w:r w:rsidR="002706CB">
        <w:rPr>
          <w:rFonts w:ascii="Arial" w:hAnsi="Arial"/>
          <w:sz w:val="21"/>
          <w:szCs w:val="21"/>
          <w:lang w:eastAsia="ar-SA"/>
        </w:rPr>
        <w:t xml:space="preserve"> paesi OPEC (+32,0%)</w:t>
      </w:r>
      <w:r w:rsidR="0029581D">
        <w:rPr>
          <w:rFonts w:ascii="Arial" w:hAnsi="Arial"/>
          <w:sz w:val="21"/>
          <w:szCs w:val="21"/>
          <w:lang w:eastAsia="ar-SA"/>
        </w:rPr>
        <w:t xml:space="preserve">. </w:t>
      </w:r>
      <w:r w:rsidR="002706CB">
        <w:rPr>
          <w:rFonts w:ascii="Arial" w:hAnsi="Arial"/>
          <w:sz w:val="21"/>
          <w:szCs w:val="21"/>
          <w:lang w:eastAsia="ar-SA"/>
        </w:rPr>
        <w:t xml:space="preserve">Prosegue </w:t>
      </w:r>
      <w:r w:rsidR="00BE0CBB">
        <w:rPr>
          <w:rFonts w:ascii="Arial" w:hAnsi="Arial"/>
          <w:sz w:val="21"/>
          <w:szCs w:val="21"/>
          <w:lang w:eastAsia="ar-SA"/>
        </w:rPr>
        <w:t xml:space="preserve">la </w:t>
      </w:r>
      <w:r w:rsidR="002706CB">
        <w:rPr>
          <w:rFonts w:ascii="Arial" w:hAnsi="Arial"/>
          <w:sz w:val="21"/>
          <w:szCs w:val="21"/>
          <w:lang w:eastAsia="ar-SA"/>
        </w:rPr>
        <w:t xml:space="preserve">flessione </w:t>
      </w:r>
      <w:r w:rsidR="001C1BB0">
        <w:rPr>
          <w:rFonts w:ascii="Arial" w:hAnsi="Arial"/>
          <w:sz w:val="21"/>
          <w:szCs w:val="21"/>
          <w:lang w:eastAsia="ar-SA"/>
        </w:rPr>
        <w:t>dell</w:t>
      </w:r>
      <w:r w:rsidR="005C4BE6">
        <w:rPr>
          <w:rFonts w:ascii="Arial" w:hAnsi="Arial"/>
          <w:sz w:val="21"/>
          <w:szCs w:val="21"/>
          <w:lang w:eastAsia="ar-SA"/>
        </w:rPr>
        <w:t>’export</w:t>
      </w:r>
      <w:r w:rsidR="001C1BB0">
        <w:rPr>
          <w:rFonts w:ascii="Arial" w:hAnsi="Arial"/>
          <w:sz w:val="21"/>
          <w:szCs w:val="21"/>
          <w:lang w:eastAsia="ar-SA"/>
        </w:rPr>
        <w:t xml:space="preserve"> </w:t>
      </w:r>
      <w:r w:rsidR="00801495" w:rsidRPr="0086368E">
        <w:rPr>
          <w:rFonts w:ascii="Arial" w:hAnsi="Arial"/>
          <w:sz w:val="21"/>
          <w:szCs w:val="21"/>
          <w:lang w:eastAsia="ar-SA"/>
        </w:rPr>
        <w:t xml:space="preserve">verso </w:t>
      </w:r>
      <w:r w:rsidR="00073E58">
        <w:rPr>
          <w:rFonts w:ascii="Arial" w:hAnsi="Arial"/>
          <w:sz w:val="21"/>
          <w:szCs w:val="21"/>
          <w:lang w:eastAsia="ar-SA"/>
        </w:rPr>
        <w:t xml:space="preserve">la </w:t>
      </w:r>
      <w:r w:rsidR="00801495" w:rsidRPr="0086368E">
        <w:rPr>
          <w:rFonts w:ascii="Arial" w:hAnsi="Arial"/>
          <w:sz w:val="21"/>
          <w:szCs w:val="21"/>
          <w:lang w:eastAsia="ar-SA"/>
        </w:rPr>
        <w:t>Russia</w:t>
      </w:r>
      <w:r w:rsidR="0093507A">
        <w:rPr>
          <w:rFonts w:ascii="Arial" w:hAnsi="Arial"/>
          <w:sz w:val="21"/>
          <w:szCs w:val="21"/>
          <w:lang w:eastAsia="ar-SA"/>
        </w:rPr>
        <w:t xml:space="preserve"> </w:t>
      </w:r>
      <w:r w:rsidR="0029581D">
        <w:rPr>
          <w:rFonts w:ascii="Arial" w:hAnsi="Arial"/>
          <w:sz w:val="21"/>
          <w:szCs w:val="21"/>
          <w:lang w:eastAsia="ar-SA"/>
        </w:rPr>
        <w:t>(-</w:t>
      </w:r>
      <w:r w:rsidR="002706CB">
        <w:rPr>
          <w:rFonts w:ascii="Arial" w:hAnsi="Arial"/>
          <w:sz w:val="21"/>
          <w:szCs w:val="21"/>
          <w:lang w:eastAsia="ar-SA"/>
        </w:rPr>
        <w:t>30</w:t>
      </w:r>
      <w:r w:rsidR="0029581D">
        <w:rPr>
          <w:rFonts w:ascii="Arial" w:hAnsi="Arial"/>
          <w:sz w:val="21"/>
          <w:szCs w:val="21"/>
          <w:lang w:eastAsia="ar-SA"/>
        </w:rPr>
        <w:t>,</w:t>
      </w:r>
      <w:r w:rsidR="002706CB">
        <w:rPr>
          <w:rFonts w:ascii="Arial" w:hAnsi="Arial"/>
          <w:sz w:val="21"/>
          <w:szCs w:val="21"/>
          <w:lang w:eastAsia="ar-SA"/>
        </w:rPr>
        <w:t>9</w:t>
      </w:r>
      <w:r w:rsidR="0093507A" w:rsidRPr="0086368E">
        <w:rPr>
          <w:rFonts w:ascii="Arial" w:hAnsi="Arial"/>
          <w:sz w:val="21"/>
          <w:szCs w:val="21"/>
          <w:lang w:eastAsia="ar-SA"/>
        </w:rPr>
        <w:t>%)</w:t>
      </w:r>
      <w:r w:rsidR="00FC66F7">
        <w:rPr>
          <w:rFonts w:ascii="Arial" w:hAnsi="Arial"/>
          <w:sz w:val="21"/>
          <w:szCs w:val="21"/>
          <w:lang w:eastAsia="ar-SA"/>
        </w:rPr>
        <w:t>;</w:t>
      </w:r>
      <w:r w:rsidR="00EC57EC">
        <w:rPr>
          <w:rFonts w:ascii="Arial" w:hAnsi="Arial"/>
          <w:sz w:val="21"/>
          <w:szCs w:val="21"/>
          <w:lang w:eastAsia="ar-SA"/>
        </w:rPr>
        <w:t xml:space="preserve"> in calo</w:t>
      </w:r>
      <w:r w:rsidR="002706CB">
        <w:rPr>
          <w:rFonts w:ascii="Arial" w:hAnsi="Arial"/>
          <w:sz w:val="21"/>
          <w:szCs w:val="21"/>
          <w:lang w:eastAsia="ar-SA"/>
        </w:rPr>
        <w:t xml:space="preserve"> </w:t>
      </w:r>
      <w:r w:rsidR="00136284">
        <w:rPr>
          <w:rFonts w:ascii="Arial" w:hAnsi="Arial"/>
          <w:sz w:val="21"/>
          <w:szCs w:val="21"/>
          <w:lang w:eastAsia="ar-SA"/>
        </w:rPr>
        <w:t xml:space="preserve">anche </w:t>
      </w:r>
      <w:r w:rsidR="002706CB">
        <w:rPr>
          <w:rFonts w:ascii="Arial" w:hAnsi="Arial"/>
          <w:sz w:val="21"/>
          <w:szCs w:val="21"/>
          <w:lang w:eastAsia="ar-SA"/>
        </w:rPr>
        <w:t>le vendite verso il Giappone (-11,2%)</w:t>
      </w:r>
      <w:r w:rsidR="00801495" w:rsidRPr="0086368E">
        <w:rPr>
          <w:rFonts w:ascii="Arial" w:hAnsi="Arial"/>
          <w:sz w:val="21"/>
          <w:szCs w:val="21"/>
          <w:lang w:eastAsia="ar-SA"/>
        </w:rPr>
        <w:t>.</w:t>
      </w:r>
    </w:p>
    <w:p w14:paraId="1BC7C44F" w14:textId="4BB86779" w:rsidR="000C71A0" w:rsidRDefault="006B4B70" w:rsidP="000B2B36">
      <w:pPr>
        <w:pStyle w:val="Corpotesto"/>
        <w:numPr>
          <w:ilvl w:val="0"/>
          <w:numId w:val="20"/>
        </w:numPr>
        <w:tabs>
          <w:tab w:val="left" w:pos="284"/>
          <w:tab w:val="left" w:pos="567"/>
          <w:tab w:val="num" w:pos="4733"/>
        </w:tabs>
        <w:suppressAutoHyphens/>
        <w:spacing w:after="60" w:line="230" w:lineRule="exact"/>
        <w:ind w:left="284" w:hanging="284"/>
        <w:jc w:val="both"/>
        <w:rPr>
          <w:rFonts w:ascii="Arial" w:hAnsi="Arial"/>
          <w:sz w:val="21"/>
          <w:szCs w:val="21"/>
          <w:lang w:eastAsia="ar-SA"/>
        </w:rPr>
      </w:pPr>
      <w:r w:rsidRPr="000C71A0">
        <w:rPr>
          <w:rFonts w:ascii="Arial" w:hAnsi="Arial"/>
          <w:sz w:val="21"/>
          <w:szCs w:val="21"/>
          <w:lang w:eastAsia="ar-SA"/>
        </w:rPr>
        <w:t xml:space="preserve">Gli acquisti </w:t>
      </w:r>
      <w:r w:rsidR="0074504B" w:rsidRPr="000C71A0">
        <w:rPr>
          <w:rFonts w:ascii="Arial" w:hAnsi="Arial"/>
          <w:sz w:val="21"/>
          <w:szCs w:val="21"/>
          <w:lang w:eastAsia="ar-SA"/>
        </w:rPr>
        <w:t>da</w:t>
      </w:r>
      <w:r w:rsidR="00144917" w:rsidRPr="000C71A0">
        <w:rPr>
          <w:rFonts w:ascii="Arial" w:hAnsi="Arial"/>
          <w:sz w:val="21"/>
          <w:szCs w:val="21"/>
          <w:lang w:eastAsia="ar-SA"/>
        </w:rPr>
        <w:t xml:space="preserve"> </w:t>
      </w:r>
      <w:r w:rsidR="00D526BF" w:rsidRPr="000C71A0">
        <w:rPr>
          <w:rFonts w:ascii="Arial" w:hAnsi="Arial"/>
          <w:sz w:val="21"/>
          <w:szCs w:val="21"/>
          <w:lang w:eastAsia="ar-SA"/>
        </w:rPr>
        <w:t xml:space="preserve">paesi </w:t>
      </w:r>
      <w:r w:rsidR="00794D8B">
        <w:rPr>
          <w:rFonts w:ascii="Arial" w:hAnsi="Arial"/>
          <w:sz w:val="21"/>
          <w:szCs w:val="21"/>
          <w:lang w:eastAsia="ar-SA"/>
        </w:rPr>
        <w:t>ASEAN</w:t>
      </w:r>
      <w:r w:rsidR="00D526BF" w:rsidRPr="000C71A0">
        <w:rPr>
          <w:rFonts w:ascii="Arial" w:hAnsi="Arial"/>
          <w:sz w:val="21"/>
          <w:szCs w:val="21"/>
          <w:lang w:eastAsia="ar-SA"/>
        </w:rPr>
        <w:t xml:space="preserve"> (+</w:t>
      </w:r>
      <w:r w:rsidR="00794D8B">
        <w:rPr>
          <w:rFonts w:ascii="Arial" w:hAnsi="Arial"/>
          <w:sz w:val="21"/>
          <w:szCs w:val="21"/>
          <w:lang w:eastAsia="ar-SA"/>
        </w:rPr>
        <w:t>64</w:t>
      </w:r>
      <w:r w:rsidR="000C71A0" w:rsidRPr="000C71A0">
        <w:rPr>
          <w:rFonts w:ascii="Arial" w:hAnsi="Arial"/>
          <w:sz w:val="21"/>
          <w:szCs w:val="21"/>
          <w:lang w:eastAsia="ar-SA"/>
        </w:rPr>
        <w:t>,</w:t>
      </w:r>
      <w:r w:rsidR="00794D8B">
        <w:rPr>
          <w:rFonts w:ascii="Arial" w:hAnsi="Arial"/>
          <w:sz w:val="21"/>
          <w:szCs w:val="21"/>
          <w:lang w:eastAsia="ar-SA"/>
        </w:rPr>
        <w:t>5</w:t>
      </w:r>
      <w:r w:rsidR="00E551BE" w:rsidRPr="000C71A0">
        <w:rPr>
          <w:rFonts w:ascii="Arial" w:hAnsi="Arial"/>
          <w:sz w:val="21"/>
          <w:szCs w:val="21"/>
          <w:lang w:eastAsia="ar-SA"/>
        </w:rPr>
        <w:t>%)</w:t>
      </w:r>
      <w:r w:rsidR="000C71A0" w:rsidRPr="000C71A0">
        <w:rPr>
          <w:rFonts w:ascii="Arial" w:hAnsi="Arial"/>
          <w:sz w:val="21"/>
          <w:szCs w:val="21"/>
          <w:lang w:eastAsia="ar-SA"/>
        </w:rPr>
        <w:t xml:space="preserve">, </w:t>
      </w:r>
      <w:r w:rsidR="00794D8B">
        <w:rPr>
          <w:rFonts w:ascii="Arial" w:hAnsi="Arial"/>
          <w:sz w:val="21"/>
          <w:szCs w:val="21"/>
          <w:lang w:eastAsia="ar-SA"/>
        </w:rPr>
        <w:t xml:space="preserve">paesi MERCOSUR (+59,4%), </w:t>
      </w:r>
      <w:r w:rsidR="000C71A0" w:rsidRPr="000C71A0">
        <w:rPr>
          <w:rFonts w:ascii="Arial" w:hAnsi="Arial"/>
          <w:sz w:val="21"/>
          <w:szCs w:val="21"/>
          <w:lang w:eastAsia="ar-SA"/>
        </w:rPr>
        <w:t>Svizzera (+</w:t>
      </w:r>
      <w:r w:rsidR="00794D8B">
        <w:rPr>
          <w:rFonts w:ascii="Arial" w:hAnsi="Arial"/>
          <w:sz w:val="21"/>
          <w:szCs w:val="21"/>
          <w:lang w:eastAsia="ar-SA"/>
        </w:rPr>
        <w:t>58</w:t>
      </w:r>
      <w:r w:rsidR="000C71A0" w:rsidRPr="000C71A0">
        <w:rPr>
          <w:rFonts w:ascii="Arial" w:hAnsi="Arial"/>
          <w:sz w:val="21"/>
          <w:szCs w:val="21"/>
          <w:lang w:eastAsia="ar-SA"/>
        </w:rPr>
        <w:t>,</w:t>
      </w:r>
      <w:r w:rsidR="00794D8B">
        <w:rPr>
          <w:rFonts w:ascii="Arial" w:hAnsi="Arial"/>
          <w:sz w:val="21"/>
          <w:szCs w:val="21"/>
          <w:lang w:eastAsia="ar-SA"/>
        </w:rPr>
        <w:t>0</w:t>
      </w:r>
      <w:r w:rsidR="0053297B">
        <w:rPr>
          <w:rFonts w:ascii="Arial" w:hAnsi="Arial"/>
          <w:sz w:val="21"/>
          <w:szCs w:val="21"/>
          <w:lang w:eastAsia="ar-SA"/>
        </w:rPr>
        <w:t>%)</w:t>
      </w:r>
      <w:r w:rsidR="009E6CBA">
        <w:rPr>
          <w:rFonts w:ascii="Arial" w:hAnsi="Arial"/>
          <w:sz w:val="21"/>
          <w:szCs w:val="21"/>
          <w:lang w:eastAsia="ar-SA"/>
        </w:rPr>
        <w:t>,</w:t>
      </w:r>
      <w:r w:rsidR="00794D8B">
        <w:rPr>
          <w:rFonts w:ascii="Arial" w:hAnsi="Arial"/>
          <w:sz w:val="21"/>
          <w:szCs w:val="21"/>
          <w:lang w:eastAsia="ar-SA"/>
        </w:rPr>
        <w:t xml:space="preserve"> </w:t>
      </w:r>
      <w:r w:rsidR="00794D8B" w:rsidRPr="000C71A0">
        <w:rPr>
          <w:rFonts w:ascii="Arial" w:hAnsi="Arial"/>
          <w:sz w:val="21"/>
          <w:szCs w:val="21"/>
          <w:lang w:eastAsia="ar-SA"/>
        </w:rPr>
        <w:t>Stati Uniti (+</w:t>
      </w:r>
      <w:r w:rsidR="00794D8B">
        <w:rPr>
          <w:rFonts w:ascii="Arial" w:hAnsi="Arial"/>
          <w:sz w:val="21"/>
          <w:szCs w:val="21"/>
          <w:lang w:eastAsia="ar-SA"/>
        </w:rPr>
        <w:t>56</w:t>
      </w:r>
      <w:r w:rsidR="00794D8B" w:rsidRPr="000C71A0">
        <w:rPr>
          <w:rFonts w:ascii="Arial" w:hAnsi="Arial"/>
          <w:sz w:val="21"/>
          <w:szCs w:val="21"/>
          <w:lang w:eastAsia="ar-SA"/>
        </w:rPr>
        <w:t>,</w:t>
      </w:r>
      <w:r w:rsidR="00794D8B">
        <w:rPr>
          <w:rFonts w:ascii="Arial" w:hAnsi="Arial"/>
          <w:sz w:val="21"/>
          <w:szCs w:val="21"/>
          <w:lang w:eastAsia="ar-SA"/>
        </w:rPr>
        <w:t>5%)</w:t>
      </w:r>
      <w:r w:rsidR="009E6CBA">
        <w:rPr>
          <w:rFonts w:ascii="Arial" w:hAnsi="Arial"/>
          <w:sz w:val="21"/>
          <w:szCs w:val="21"/>
          <w:lang w:eastAsia="ar-SA"/>
        </w:rPr>
        <w:t>, paesi OPEC (+55,9%) e Cina (+50,3%)</w:t>
      </w:r>
      <w:r w:rsidR="00794D8B">
        <w:rPr>
          <w:rFonts w:ascii="Arial" w:hAnsi="Arial"/>
          <w:sz w:val="21"/>
          <w:szCs w:val="21"/>
          <w:lang w:eastAsia="ar-SA"/>
        </w:rPr>
        <w:t xml:space="preserve"> </w:t>
      </w:r>
      <w:r w:rsidR="00E551BE" w:rsidRPr="000C71A0">
        <w:rPr>
          <w:rFonts w:ascii="Arial" w:hAnsi="Arial"/>
          <w:sz w:val="21"/>
          <w:szCs w:val="21"/>
          <w:lang w:eastAsia="ar-SA"/>
        </w:rPr>
        <w:t xml:space="preserve">registrano incrementi tendenziali molto </w:t>
      </w:r>
      <w:r w:rsidR="009E6CBA">
        <w:rPr>
          <w:rFonts w:ascii="Arial" w:hAnsi="Arial"/>
          <w:sz w:val="21"/>
          <w:szCs w:val="21"/>
          <w:lang w:eastAsia="ar-SA"/>
        </w:rPr>
        <w:t>elevati</w:t>
      </w:r>
      <w:r w:rsidR="004D6180" w:rsidRPr="000C71A0">
        <w:rPr>
          <w:rFonts w:ascii="Arial" w:hAnsi="Arial"/>
          <w:sz w:val="21"/>
          <w:szCs w:val="21"/>
          <w:lang w:eastAsia="ar-SA"/>
        </w:rPr>
        <w:t xml:space="preserve">. </w:t>
      </w:r>
      <w:r w:rsidR="00484532">
        <w:rPr>
          <w:rFonts w:ascii="Arial" w:hAnsi="Arial"/>
          <w:sz w:val="21"/>
          <w:szCs w:val="21"/>
          <w:lang w:eastAsia="ar-SA"/>
        </w:rPr>
        <w:t xml:space="preserve">Le </w:t>
      </w:r>
      <w:r w:rsidR="00794D8B">
        <w:rPr>
          <w:rFonts w:ascii="Arial" w:hAnsi="Arial"/>
          <w:sz w:val="21"/>
          <w:szCs w:val="21"/>
          <w:lang w:eastAsia="ar-SA"/>
        </w:rPr>
        <w:t>importazioni da</w:t>
      </w:r>
      <w:r w:rsidR="000533C7">
        <w:rPr>
          <w:rFonts w:ascii="Arial" w:hAnsi="Arial"/>
          <w:sz w:val="21"/>
          <w:szCs w:val="21"/>
          <w:lang w:eastAsia="ar-SA"/>
        </w:rPr>
        <w:t>lla</w:t>
      </w:r>
      <w:r w:rsidR="00794D8B">
        <w:rPr>
          <w:rFonts w:ascii="Arial" w:hAnsi="Arial"/>
          <w:sz w:val="21"/>
          <w:szCs w:val="21"/>
          <w:lang w:eastAsia="ar-SA"/>
        </w:rPr>
        <w:t xml:space="preserve"> Russia (-44,2%) </w:t>
      </w:r>
      <w:r w:rsidR="00484532">
        <w:rPr>
          <w:rFonts w:ascii="Arial" w:hAnsi="Arial"/>
          <w:sz w:val="21"/>
          <w:szCs w:val="21"/>
          <w:lang w:eastAsia="ar-SA"/>
        </w:rPr>
        <w:t>risultano in decisa contrazione.</w:t>
      </w:r>
    </w:p>
    <w:p w14:paraId="2B9AF610" w14:textId="4A688858" w:rsidR="00F40206" w:rsidRPr="000C71A0" w:rsidRDefault="00F40206" w:rsidP="000C71A0">
      <w:pPr>
        <w:pStyle w:val="Corpotesto"/>
        <w:tabs>
          <w:tab w:val="left" w:pos="284"/>
          <w:tab w:val="left" w:pos="567"/>
        </w:tabs>
        <w:suppressAutoHyphens/>
        <w:spacing w:line="230" w:lineRule="exact"/>
        <w:ind w:left="284"/>
        <w:jc w:val="both"/>
        <w:rPr>
          <w:rFonts w:ascii="Arial" w:hAnsi="Arial"/>
          <w:sz w:val="21"/>
          <w:szCs w:val="21"/>
          <w:lang w:eastAsia="ar-SA"/>
        </w:rPr>
      </w:pPr>
    </w:p>
    <w:p w14:paraId="2E8D8DBD" w14:textId="1F2E92CE" w:rsidR="00451459" w:rsidRDefault="00451459" w:rsidP="00D56B7E">
      <w:pPr>
        <w:pStyle w:val="Corpotesto"/>
        <w:tabs>
          <w:tab w:val="left" w:pos="284"/>
          <w:tab w:val="left" w:pos="567"/>
        </w:tabs>
        <w:suppressAutoHyphens/>
        <w:spacing w:after="120" w:line="230" w:lineRule="exact"/>
        <w:ind w:left="284"/>
        <w:jc w:val="both"/>
        <w:rPr>
          <w:rFonts w:ascii="Arial" w:hAnsi="Arial"/>
          <w:sz w:val="21"/>
          <w:szCs w:val="21"/>
          <w:lang w:eastAsia="ar-SA"/>
        </w:rPr>
      </w:pPr>
    </w:p>
    <w:p w14:paraId="58C2B556" w14:textId="6B58CAF6" w:rsidR="0064382E" w:rsidRDefault="0064382E" w:rsidP="00D56B7E">
      <w:pPr>
        <w:pStyle w:val="Corpotesto"/>
        <w:tabs>
          <w:tab w:val="left" w:pos="284"/>
          <w:tab w:val="left" w:pos="567"/>
        </w:tabs>
        <w:suppressAutoHyphens/>
        <w:spacing w:after="120" w:line="230" w:lineRule="exact"/>
        <w:ind w:left="284"/>
        <w:jc w:val="both"/>
        <w:rPr>
          <w:rFonts w:ascii="Arial" w:hAnsi="Arial"/>
          <w:sz w:val="21"/>
          <w:szCs w:val="21"/>
          <w:lang w:eastAsia="ar-SA"/>
        </w:rPr>
      </w:pPr>
    </w:p>
    <w:p w14:paraId="486F2DA9" w14:textId="77777777" w:rsidR="0064382E" w:rsidRPr="003E2B95" w:rsidRDefault="0064382E" w:rsidP="00D56B7E">
      <w:pPr>
        <w:pStyle w:val="Corpotesto"/>
        <w:tabs>
          <w:tab w:val="left" w:pos="284"/>
          <w:tab w:val="left" w:pos="567"/>
        </w:tabs>
        <w:suppressAutoHyphens/>
        <w:spacing w:after="120" w:line="230" w:lineRule="exact"/>
        <w:ind w:left="284"/>
        <w:jc w:val="both"/>
        <w:rPr>
          <w:rFonts w:ascii="Arial" w:hAnsi="Arial"/>
          <w:sz w:val="21"/>
          <w:szCs w:val="21"/>
          <w:lang w:eastAsia="ar-SA"/>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24"/>
        <w:gridCol w:w="3282"/>
      </w:tblGrid>
      <w:tr w:rsidR="00FF7EF0" w14:paraId="3EC82C20" w14:textId="77777777" w:rsidTr="00FA69DA">
        <w:trPr>
          <w:trHeight w:val="115"/>
        </w:trPr>
        <w:tc>
          <w:tcPr>
            <w:tcW w:w="6924" w:type="dxa"/>
            <w:vMerge w:val="restart"/>
            <w:tcBorders>
              <w:top w:val="nil"/>
              <w:left w:val="single" w:sz="4" w:space="0" w:color="FFFFFF"/>
              <w:right w:val="single" w:sz="48" w:space="0" w:color="FFFFFF"/>
            </w:tcBorders>
            <w:shd w:val="clear" w:color="auto" w:fill="D9D9D9"/>
          </w:tcPr>
          <w:p w14:paraId="648DB330" w14:textId="2743800C" w:rsidR="003937B2" w:rsidRPr="008B7A21" w:rsidRDefault="0064382E" w:rsidP="00C474B1">
            <w:pPr>
              <w:pStyle w:val="NormaleWeb"/>
              <w:spacing w:before="40" w:after="40"/>
              <w:jc w:val="both"/>
              <w:rPr>
                <w:rFonts w:ascii="Arial" w:hAnsi="Arial" w:cs="Arial"/>
                <w:sz w:val="4"/>
                <w:szCs w:val="4"/>
              </w:rPr>
            </w:pPr>
            <w:r w:rsidRPr="00126FCA">
              <w:rPr>
                <w:rFonts w:ascii="Arial" w:hAnsi="Arial"/>
                <w:noProof/>
                <w:sz w:val="21"/>
                <w:szCs w:val="21"/>
                <w:highlight w:val="yellow"/>
              </w:rPr>
              <w:drawing>
                <wp:anchor distT="0" distB="0" distL="114300" distR="114300" simplePos="0" relativeHeight="251664384" behindDoc="0" locked="0" layoutInCell="1" allowOverlap="1" wp14:anchorId="0542C6D8" wp14:editId="00D3F2EE">
                  <wp:simplePos x="0" y="0"/>
                  <wp:positionH relativeFrom="column">
                    <wp:posOffset>-257064</wp:posOffset>
                  </wp:positionH>
                  <wp:positionV relativeFrom="paragraph">
                    <wp:posOffset>-358472</wp:posOffset>
                  </wp:positionV>
                  <wp:extent cx="844550" cy="844550"/>
                  <wp:effectExtent l="0" t="0" r="0" b="0"/>
                  <wp:wrapNone/>
                  <wp:docPr id="222" name="Immagine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44550" cy="844550"/>
                          </a:xfrm>
                          <a:prstGeom prst="rect">
                            <a:avLst/>
                          </a:prstGeom>
                          <a:noFill/>
                        </pic:spPr>
                      </pic:pic>
                    </a:graphicData>
                  </a:graphic>
                  <wp14:sizeRelH relativeFrom="margin">
                    <wp14:pctWidth>0</wp14:pctWidth>
                  </wp14:sizeRelH>
                  <wp14:sizeRelV relativeFrom="margin">
                    <wp14:pctHeight>0</wp14:pctHeight>
                  </wp14:sizeRelV>
                </wp:anchor>
              </w:drawing>
            </w:r>
          </w:p>
          <w:p w14:paraId="3F599E6F" w14:textId="3518D461" w:rsidR="005C4BE6" w:rsidRPr="005C4BE6" w:rsidRDefault="00E100C0" w:rsidP="00AA6234">
            <w:pPr>
              <w:pStyle w:val="NormaleWeb"/>
              <w:shd w:val="clear" w:color="auto" w:fill="D8D8D8"/>
              <w:spacing w:after="160"/>
              <w:jc w:val="both"/>
              <w:rPr>
                <w:rFonts w:ascii="Calibri" w:hAnsi="Calibri"/>
                <w:color w:val="E22316"/>
                <w:sz w:val="56"/>
                <w:szCs w:val="56"/>
              </w:rPr>
            </w:pPr>
            <w:r>
              <w:rPr>
                <w:rFonts w:ascii="Arial" w:hAnsi="Arial" w:cs="Arial"/>
                <w:sz w:val="21"/>
                <w:szCs w:val="21"/>
              </w:rPr>
              <w:t xml:space="preserve">                    </w:t>
            </w:r>
            <w:r w:rsidR="00613228">
              <w:rPr>
                <w:rFonts w:ascii="Arial" w:hAnsi="Arial" w:cs="Arial"/>
                <w:sz w:val="21"/>
                <w:szCs w:val="21"/>
              </w:rPr>
              <w:t xml:space="preserve"> </w:t>
            </w:r>
            <w:r w:rsidR="00613228" w:rsidRPr="00613228">
              <w:rPr>
                <w:rFonts w:ascii="Calibri" w:hAnsi="Calibri"/>
                <w:color w:val="E22316"/>
                <w:sz w:val="56"/>
                <w:szCs w:val="56"/>
              </w:rPr>
              <w:t>Il commento</w:t>
            </w:r>
          </w:p>
          <w:p w14:paraId="1E2DF313" w14:textId="46807B37" w:rsidR="009B6ED2" w:rsidRDefault="00157EBF" w:rsidP="004039D9">
            <w:pPr>
              <w:pStyle w:val="NormaleWeb"/>
              <w:shd w:val="clear" w:color="auto" w:fill="D8D8D8"/>
              <w:spacing w:after="120"/>
              <w:ind w:left="57"/>
              <w:jc w:val="both"/>
              <w:rPr>
                <w:rFonts w:ascii="Arial" w:hAnsi="Arial" w:cs="Arial"/>
                <w:iCs/>
                <w:sz w:val="21"/>
                <w:szCs w:val="21"/>
                <w:highlight w:val="lightGray"/>
              </w:rPr>
            </w:pPr>
            <w:r>
              <w:rPr>
                <w:rFonts w:ascii="Arial" w:hAnsi="Arial"/>
                <w:sz w:val="21"/>
                <w:szCs w:val="21"/>
                <w:lang w:eastAsia="ar-SA"/>
              </w:rPr>
              <w:t>La flessione congiunturale dell’</w:t>
            </w:r>
            <w:r w:rsidR="009B6ED2">
              <w:rPr>
                <w:rFonts w:ascii="Arial" w:hAnsi="Arial" w:cs="Arial"/>
                <w:iCs/>
                <w:sz w:val="21"/>
                <w:szCs w:val="21"/>
                <w:highlight w:val="lightGray"/>
              </w:rPr>
              <w:t xml:space="preserve">export verso i paesi extra Ue, </w:t>
            </w:r>
            <w:r>
              <w:rPr>
                <w:rFonts w:ascii="Arial" w:hAnsi="Arial" w:cs="Arial"/>
                <w:iCs/>
                <w:sz w:val="21"/>
                <w:szCs w:val="21"/>
              </w:rPr>
              <w:t xml:space="preserve">per quanto generalizzata, è per </w:t>
            </w:r>
            <w:r w:rsidR="00061E6C">
              <w:rPr>
                <w:rFonts w:ascii="Arial" w:hAnsi="Arial" w:cs="Arial"/>
                <w:iCs/>
                <w:sz w:val="21"/>
                <w:szCs w:val="21"/>
              </w:rPr>
              <w:t>più del</w:t>
            </w:r>
            <w:r>
              <w:rPr>
                <w:rFonts w:ascii="Arial" w:hAnsi="Arial" w:cs="Arial"/>
                <w:iCs/>
                <w:sz w:val="21"/>
                <w:szCs w:val="21"/>
              </w:rPr>
              <w:t xml:space="preserve">la metà dovuta </w:t>
            </w:r>
            <w:r w:rsidR="00BF3957">
              <w:rPr>
                <w:rFonts w:ascii="Arial" w:hAnsi="Arial" w:cs="Arial"/>
                <w:iCs/>
                <w:sz w:val="21"/>
                <w:szCs w:val="21"/>
              </w:rPr>
              <w:t>al calo</w:t>
            </w:r>
            <w:r w:rsidR="00F87BCC" w:rsidRPr="00F87BCC">
              <w:rPr>
                <w:rFonts w:ascii="Arial" w:hAnsi="Arial" w:cs="Arial"/>
                <w:iCs/>
                <w:sz w:val="21"/>
                <w:szCs w:val="21"/>
              </w:rPr>
              <w:t xml:space="preserve"> </w:t>
            </w:r>
            <w:r w:rsidR="00286CAA">
              <w:rPr>
                <w:rFonts w:ascii="Arial" w:hAnsi="Arial" w:cs="Arial"/>
                <w:iCs/>
                <w:sz w:val="21"/>
                <w:szCs w:val="21"/>
                <w:highlight w:val="lightGray"/>
              </w:rPr>
              <w:t>de</w:t>
            </w:r>
            <w:r w:rsidR="009B6ED2">
              <w:rPr>
                <w:rFonts w:ascii="Arial" w:hAnsi="Arial" w:cs="Arial"/>
                <w:iCs/>
                <w:sz w:val="21"/>
                <w:szCs w:val="21"/>
                <w:highlight w:val="lightGray"/>
              </w:rPr>
              <w:t>lle vendite di beni</w:t>
            </w:r>
            <w:r w:rsidR="000B15F6">
              <w:rPr>
                <w:rFonts w:ascii="Arial" w:hAnsi="Arial" w:cs="Arial"/>
                <w:iCs/>
                <w:sz w:val="21"/>
                <w:szCs w:val="21"/>
                <w:highlight w:val="lightGray"/>
              </w:rPr>
              <w:t xml:space="preserve"> strumentali</w:t>
            </w:r>
            <w:r w:rsidR="009B6ED2">
              <w:rPr>
                <w:rFonts w:ascii="Arial" w:hAnsi="Arial" w:cs="Arial"/>
                <w:iCs/>
                <w:sz w:val="21"/>
                <w:szCs w:val="21"/>
                <w:highlight w:val="lightGray"/>
              </w:rPr>
              <w:t>.</w:t>
            </w:r>
            <w:r>
              <w:rPr>
                <w:rFonts w:ascii="Arial" w:hAnsi="Arial" w:cs="Arial"/>
                <w:iCs/>
                <w:sz w:val="21"/>
                <w:szCs w:val="21"/>
                <w:highlight w:val="lightGray"/>
              </w:rPr>
              <w:t xml:space="preserve"> Per l’import, </w:t>
            </w:r>
            <w:r w:rsidR="0081202E">
              <w:rPr>
                <w:rFonts w:ascii="Arial" w:hAnsi="Arial" w:cs="Arial"/>
                <w:iCs/>
                <w:sz w:val="21"/>
                <w:szCs w:val="21"/>
                <w:highlight w:val="lightGray"/>
              </w:rPr>
              <w:t>la contrazione</w:t>
            </w:r>
            <w:r>
              <w:rPr>
                <w:rFonts w:ascii="Arial" w:hAnsi="Arial" w:cs="Arial"/>
                <w:iCs/>
                <w:sz w:val="21"/>
                <w:szCs w:val="21"/>
                <w:highlight w:val="lightGray"/>
              </w:rPr>
              <w:t xml:space="preserve"> congiunturale degli acquisti di energia</w:t>
            </w:r>
            <w:r w:rsidR="00C272C4">
              <w:rPr>
                <w:rFonts w:ascii="Arial" w:hAnsi="Arial" w:cs="Arial"/>
                <w:iCs/>
                <w:sz w:val="21"/>
                <w:szCs w:val="21"/>
                <w:highlight w:val="lightGray"/>
              </w:rPr>
              <w:t xml:space="preserve"> </w:t>
            </w:r>
            <w:r w:rsidR="0081202E">
              <w:rPr>
                <w:rFonts w:ascii="Arial" w:hAnsi="Arial" w:cs="Arial"/>
                <w:iCs/>
                <w:sz w:val="21"/>
                <w:szCs w:val="21"/>
                <w:highlight w:val="lightGray"/>
              </w:rPr>
              <w:t>riflette il calo dei volumi e dei prezzi del</w:t>
            </w:r>
            <w:r w:rsidR="008E61E5">
              <w:rPr>
                <w:rFonts w:ascii="Arial" w:hAnsi="Arial" w:cs="Arial"/>
                <w:iCs/>
                <w:sz w:val="21"/>
                <w:szCs w:val="21"/>
                <w:highlight w:val="lightGray"/>
              </w:rPr>
              <w:t xml:space="preserve"> gas naturale allo stato gassoso</w:t>
            </w:r>
            <w:r w:rsidR="00D848AE">
              <w:rPr>
                <w:rFonts w:ascii="Arial" w:hAnsi="Arial" w:cs="Arial"/>
                <w:iCs/>
                <w:sz w:val="21"/>
                <w:szCs w:val="21"/>
                <w:highlight w:val="lightGray"/>
              </w:rPr>
              <w:t xml:space="preserve"> </w:t>
            </w:r>
            <w:r w:rsidR="0081202E">
              <w:rPr>
                <w:rFonts w:ascii="Arial" w:hAnsi="Arial" w:cs="Arial"/>
                <w:iCs/>
                <w:sz w:val="21"/>
                <w:szCs w:val="21"/>
                <w:highlight w:val="lightGray"/>
              </w:rPr>
              <w:t xml:space="preserve">e i </w:t>
            </w:r>
            <w:r w:rsidR="00D848AE">
              <w:rPr>
                <w:rFonts w:ascii="Arial" w:hAnsi="Arial" w:cs="Arial"/>
                <w:iCs/>
                <w:sz w:val="21"/>
                <w:szCs w:val="21"/>
                <w:highlight w:val="lightGray"/>
              </w:rPr>
              <w:t>ribass</w:t>
            </w:r>
            <w:r w:rsidR="0081202E">
              <w:rPr>
                <w:rFonts w:ascii="Arial" w:hAnsi="Arial" w:cs="Arial"/>
                <w:iCs/>
                <w:sz w:val="21"/>
                <w:szCs w:val="21"/>
                <w:highlight w:val="lightGray"/>
              </w:rPr>
              <w:t>i</w:t>
            </w:r>
            <w:r w:rsidR="00D848AE">
              <w:rPr>
                <w:rFonts w:ascii="Arial" w:hAnsi="Arial" w:cs="Arial"/>
                <w:iCs/>
                <w:sz w:val="21"/>
                <w:szCs w:val="21"/>
                <w:highlight w:val="lightGray"/>
              </w:rPr>
              <w:t xml:space="preserve"> dei prezzi </w:t>
            </w:r>
            <w:r>
              <w:rPr>
                <w:rFonts w:ascii="Arial" w:hAnsi="Arial" w:cs="Arial"/>
                <w:iCs/>
                <w:sz w:val="21"/>
                <w:szCs w:val="21"/>
                <w:highlight w:val="lightGray"/>
              </w:rPr>
              <w:t>dell’</w:t>
            </w:r>
            <w:r w:rsidR="008E61E5">
              <w:rPr>
                <w:rFonts w:ascii="Arial" w:hAnsi="Arial" w:cs="Arial"/>
                <w:iCs/>
                <w:sz w:val="21"/>
                <w:szCs w:val="21"/>
                <w:highlight w:val="lightGray"/>
              </w:rPr>
              <w:t>energia elettrica.</w:t>
            </w:r>
          </w:p>
          <w:p w14:paraId="488C7478" w14:textId="4F3EA269" w:rsidR="006A4030" w:rsidRDefault="00157EBF" w:rsidP="004039D9">
            <w:pPr>
              <w:pStyle w:val="NormaleWeb"/>
              <w:shd w:val="clear" w:color="auto" w:fill="D8D8D8"/>
              <w:spacing w:after="120"/>
              <w:ind w:left="57"/>
              <w:jc w:val="both"/>
              <w:rPr>
                <w:rFonts w:ascii="Arial" w:hAnsi="Arial" w:cs="Arial"/>
                <w:iCs/>
                <w:sz w:val="21"/>
                <w:szCs w:val="21"/>
                <w:highlight w:val="lightGray"/>
              </w:rPr>
            </w:pPr>
            <w:r>
              <w:rPr>
                <w:rFonts w:ascii="Arial" w:hAnsi="Arial" w:cs="Arial"/>
                <w:iCs/>
                <w:sz w:val="21"/>
                <w:szCs w:val="21"/>
                <w:highlight w:val="lightGray"/>
              </w:rPr>
              <w:t>Su base annua,</w:t>
            </w:r>
            <w:r w:rsidR="00631521">
              <w:rPr>
                <w:rFonts w:ascii="Arial" w:hAnsi="Arial" w:cs="Arial"/>
                <w:iCs/>
                <w:sz w:val="21"/>
                <w:szCs w:val="21"/>
                <w:highlight w:val="lightGray"/>
              </w:rPr>
              <w:t xml:space="preserve"> rallenta la</w:t>
            </w:r>
            <w:r w:rsidR="005E346E">
              <w:rPr>
                <w:rFonts w:ascii="Arial" w:hAnsi="Arial" w:cs="Arial"/>
                <w:iCs/>
                <w:sz w:val="21"/>
                <w:szCs w:val="21"/>
                <w:highlight w:val="lightGray"/>
              </w:rPr>
              <w:t xml:space="preserve"> crescita </w:t>
            </w:r>
            <w:r w:rsidR="00631521">
              <w:rPr>
                <w:rFonts w:ascii="Arial" w:hAnsi="Arial" w:cs="Arial"/>
                <w:iCs/>
                <w:sz w:val="21"/>
                <w:szCs w:val="21"/>
                <w:highlight w:val="lightGray"/>
              </w:rPr>
              <w:t xml:space="preserve">sia </w:t>
            </w:r>
            <w:r w:rsidR="005E346E">
              <w:rPr>
                <w:rFonts w:ascii="Arial" w:hAnsi="Arial" w:cs="Arial"/>
                <w:iCs/>
                <w:sz w:val="21"/>
                <w:szCs w:val="21"/>
                <w:highlight w:val="lightGray"/>
              </w:rPr>
              <w:t>dell’export</w:t>
            </w:r>
            <w:r w:rsidR="00631521">
              <w:rPr>
                <w:rFonts w:ascii="Arial" w:hAnsi="Arial" w:cs="Arial"/>
                <w:iCs/>
                <w:sz w:val="21"/>
                <w:szCs w:val="21"/>
                <w:highlight w:val="lightGray"/>
              </w:rPr>
              <w:t xml:space="preserve"> (+16,6%, da +27,2% di settembre) sia dell’import</w:t>
            </w:r>
            <w:r w:rsidR="00A9635E">
              <w:rPr>
                <w:rFonts w:ascii="Arial" w:hAnsi="Arial" w:cs="Arial"/>
                <w:iCs/>
                <w:sz w:val="21"/>
                <w:szCs w:val="21"/>
                <w:highlight w:val="lightGray"/>
              </w:rPr>
              <w:t xml:space="preserve"> (+</w:t>
            </w:r>
            <w:r w:rsidR="008E61E5">
              <w:rPr>
                <w:rFonts w:ascii="Arial" w:hAnsi="Arial" w:cs="Arial"/>
                <w:iCs/>
                <w:sz w:val="21"/>
                <w:szCs w:val="21"/>
                <w:highlight w:val="lightGray"/>
              </w:rPr>
              <w:t>38,3%</w:t>
            </w:r>
            <w:r w:rsidR="00A9635E">
              <w:rPr>
                <w:rFonts w:ascii="Arial" w:hAnsi="Arial" w:cs="Arial"/>
                <w:iCs/>
                <w:sz w:val="21"/>
                <w:szCs w:val="21"/>
                <w:highlight w:val="lightGray"/>
              </w:rPr>
              <w:t xml:space="preserve">; era </w:t>
            </w:r>
            <w:r w:rsidR="008E61E5">
              <w:rPr>
                <w:rFonts w:ascii="Arial" w:hAnsi="Arial" w:cs="Arial"/>
                <w:iCs/>
                <w:sz w:val="21"/>
                <w:szCs w:val="21"/>
                <w:highlight w:val="lightGray"/>
              </w:rPr>
              <w:t xml:space="preserve">+59,0% </w:t>
            </w:r>
            <w:r w:rsidR="00A9635E">
              <w:rPr>
                <w:rFonts w:ascii="Arial" w:hAnsi="Arial" w:cs="Arial"/>
                <w:iCs/>
                <w:sz w:val="21"/>
                <w:szCs w:val="21"/>
                <w:highlight w:val="lightGray"/>
              </w:rPr>
              <w:t>a settembre)</w:t>
            </w:r>
            <w:r w:rsidR="00E25B08">
              <w:rPr>
                <w:rFonts w:ascii="Arial" w:hAnsi="Arial" w:cs="Arial"/>
                <w:iCs/>
                <w:sz w:val="21"/>
                <w:szCs w:val="21"/>
                <w:highlight w:val="lightGray"/>
              </w:rPr>
              <w:t>.</w:t>
            </w:r>
          </w:p>
          <w:p w14:paraId="2AED37D9" w14:textId="4FD68D09" w:rsidR="00614479" w:rsidRPr="00B41643" w:rsidRDefault="00015266" w:rsidP="0001046E">
            <w:pPr>
              <w:pStyle w:val="NormaleWeb"/>
              <w:shd w:val="clear" w:color="auto" w:fill="D8D8D8"/>
              <w:spacing w:after="240"/>
              <w:ind w:left="57"/>
              <w:jc w:val="both"/>
              <w:rPr>
                <w:rFonts w:ascii="ArialMT" w:hAnsi="ArialMT"/>
                <w:sz w:val="21"/>
                <w:szCs w:val="21"/>
              </w:rPr>
            </w:pPr>
            <w:r>
              <w:rPr>
                <w:rFonts w:ascii="Arial" w:hAnsi="Arial" w:cs="Arial"/>
                <w:iCs/>
                <w:sz w:val="21"/>
                <w:szCs w:val="21"/>
                <w:highlight w:val="lightGray"/>
              </w:rPr>
              <w:t>I</w:t>
            </w:r>
            <w:r w:rsidR="000B15F6">
              <w:rPr>
                <w:rFonts w:ascii="Arial" w:hAnsi="Arial" w:cs="Arial"/>
                <w:iCs/>
                <w:sz w:val="21"/>
                <w:szCs w:val="21"/>
                <w:highlight w:val="lightGray"/>
              </w:rPr>
              <w:t>l deficit energetico</w:t>
            </w:r>
            <w:r w:rsidR="008E61E5">
              <w:rPr>
                <w:rFonts w:ascii="Arial" w:hAnsi="Arial" w:cs="Arial"/>
                <w:iCs/>
                <w:sz w:val="21"/>
                <w:szCs w:val="21"/>
                <w:highlight w:val="lightGray"/>
              </w:rPr>
              <w:t xml:space="preserve"> </w:t>
            </w:r>
            <w:r w:rsidR="00B818C7">
              <w:rPr>
                <w:rFonts w:ascii="Arial" w:hAnsi="Arial" w:cs="Arial"/>
                <w:iCs/>
                <w:sz w:val="21"/>
                <w:szCs w:val="21"/>
                <w:highlight w:val="lightGray"/>
              </w:rPr>
              <w:t>si riduce nel confronto con settembre</w:t>
            </w:r>
            <w:r w:rsidR="00494203">
              <w:rPr>
                <w:rFonts w:ascii="Arial" w:hAnsi="Arial" w:cs="Arial"/>
                <w:iCs/>
                <w:sz w:val="21"/>
                <w:szCs w:val="21"/>
              </w:rPr>
              <w:t xml:space="preserve">, </w:t>
            </w:r>
            <w:r w:rsidR="00A9635E">
              <w:rPr>
                <w:rFonts w:ascii="Arial" w:hAnsi="Arial" w:cs="Arial"/>
                <w:iCs/>
                <w:sz w:val="21"/>
                <w:szCs w:val="21"/>
                <w:highlight w:val="lightGray"/>
              </w:rPr>
              <w:t xml:space="preserve">quando era </w:t>
            </w:r>
            <w:r w:rsidR="00A9635E">
              <w:rPr>
                <w:rFonts w:ascii="Arial" w:hAnsi="Arial"/>
                <w:sz w:val="21"/>
                <w:szCs w:val="21"/>
                <w:lang w:eastAsia="ar-SA"/>
              </w:rPr>
              <w:t>superiore</w:t>
            </w:r>
            <w:r w:rsidR="008E61E5">
              <w:rPr>
                <w:rFonts w:ascii="Arial" w:hAnsi="Arial"/>
                <w:sz w:val="21"/>
                <w:szCs w:val="21"/>
                <w:lang w:eastAsia="ar-SA"/>
              </w:rPr>
              <w:t xml:space="preserve"> in valore assoluto</w:t>
            </w:r>
            <w:r w:rsidR="00A9635E">
              <w:rPr>
                <w:rFonts w:ascii="Arial" w:hAnsi="Arial"/>
                <w:sz w:val="21"/>
                <w:szCs w:val="21"/>
                <w:lang w:eastAsia="ar-SA"/>
              </w:rPr>
              <w:t xml:space="preserve"> a</w:t>
            </w:r>
            <w:r w:rsidR="008E61E5">
              <w:rPr>
                <w:rFonts w:ascii="Arial" w:hAnsi="Arial"/>
                <w:sz w:val="21"/>
                <w:szCs w:val="21"/>
                <w:lang w:eastAsia="ar-SA"/>
              </w:rPr>
              <w:t>i</w:t>
            </w:r>
            <w:r w:rsidR="00A9635E">
              <w:rPr>
                <w:rFonts w:ascii="Arial" w:hAnsi="Arial"/>
                <w:sz w:val="21"/>
                <w:szCs w:val="21"/>
                <w:lang w:eastAsia="ar-SA"/>
              </w:rPr>
              <w:t xml:space="preserve"> 12 miliardi</w:t>
            </w:r>
            <w:r w:rsidR="00494203">
              <w:rPr>
                <w:rFonts w:ascii="Arial" w:hAnsi="Arial"/>
                <w:sz w:val="21"/>
                <w:szCs w:val="21"/>
                <w:lang w:eastAsia="ar-SA"/>
              </w:rPr>
              <w:t>,</w:t>
            </w:r>
            <w:r w:rsidR="00631521">
              <w:rPr>
                <w:rFonts w:ascii="Arial" w:hAnsi="Arial"/>
                <w:sz w:val="21"/>
                <w:szCs w:val="21"/>
                <w:lang w:eastAsia="ar-SA"/>
              </w:rPr>
              <w:t xml:space="preserve"> </w:t>
            </w:r>
            <w:r w:rsidR="00494203">
              <w:rPr>
                <w:rFonts w:ascii="Arial" w:hAnsi="Arial"/>
                <w:sz w:val="21"/>
                <w:szCs w:val="21"/>
                <w:lang w:eastAsia="ar-SA"/>
              </w:rPr>
              <w:t>e contribuisce</w:t>
            </w:r>
            <w:r w:rsidR="00C272C4">
              <w:rPr>
                <w:rFonts w:ascii="Arial" w:hAnsi="Arial" w:cs="Arial"/>
                <w:iCs/>
                <w:sz w:val="21"/>
                <w:szCs w:val="21"/>
                <w:highlight w:val="lightGray"/>
              </w:rPr>
              <w:t xml:space="preserve"> a</w:t>
            </w:r>
            <w:r w:rsidR="00631521">
              <w:rPr>
                <w:rFonts w:ascii="Arial" w:hAnsi="Arial" w:cs="Arial"/>
                <w:iCs/>
                <w:sz w:val="21"/>
                <w:szCs w:val="21"/>
                <w:highlight w:val="lightGray"/>
              </w:rPr>
              <w:t>l</w:t>
            </w:r>
            <w:r w:rsidR="00494203">
              <w:rPr>
                <w:rFonts w:ascii="Arial" w:hAnsi="Arial" w:cs="Arial"/>
                <w:iCs/>
                <w:sz w:val="21"/>
                <w:szCs w:val="21"/>
                <w:highlight w:val="lightGray"/>
              </w:rPr>
              <w:t xml:space="preserve"> ridimensionamento </w:t>
            </w:r>
            <w:r w:rsidR="00273455">
              <w:rPr>
                <w:rFonts w:ascii="Arial" w:hAnsi="Arial" w:cs="Arial"/>
                <w:iCs/>
                <w:sz w:val="21"/>
                <w:szCs w:val="21"/>
                <w:highlight w:val="lightGray"/>
              </w:rPr>
              <w:t>del</w:t>
            </w:r>
            <w:r w:rsidR="00BE0CBB">
              <w:rPr>
                <w:rFonts w:ascii="Arial" w:hAnsi="Arial" w:cs="Arial"/>
                <w:iCs/>
                <w:sz w:val="21"/>
                <w:szCs w:val="21"/>
                <w:highlight w:val="lightGray"/>
              </w:rPr>
              <w:t xml:space="preserve"> </w:t>
            </w:r>
            <w:r w:rsidR="00631521">
              <w:rPr>
                <w:rFonts w:ascii="Arial" w:hAnsi="Arial" w:cs="Arial"/>
                <w:iCs/>
                <w:sz w:val="21"/>
                <w:szCs w:val="21"/>
                <w:highlight w:val="lightGray"/>
              </w:rPr>
              <w:t>deficit</w:t>
            </w:r>
            <w:r w:rsidR="00BE0CBB">
              <w:rPr>
                <w:rFonts w:ascii="Arial" w:hAnsi="Arial" w:cs="Arial"/>
                <w:iCs/>
                <w:sz w:val="21"/>
                <w:szCs w:val="21"/>
                <w:highlight w:val="lightGray"/>
              </w:rPr>
              <w:t xml:space="preserve"> commerciale</w:t>
            </w:r>
            <w:r w:rsidR="00631521">
              <w:rPr>
                <w:rFonts w:ascii="Arial" w:hAnsi="Arial" w:cs="Arial"/>
                <w:iCs/>
                <w:sz w:val="21"/>
                <w:szCs w:val="21"/>
                <w:highlight w:val="lightGray"/>
              </w:rPr>
              <w:t xml:space="preserve"> (2 miliardi in valore assoluto, rispetto ai </w:t>
            </w:r>
            <w:r w:rsidR="008E61E5">
              <w:rPr>
                <w:rFonts w:ascii="Arial" w:hAnsi="Arial" w:cs="Arial"/>
                <w:iCs/>
                <w:sz w:val="21"/>
                <w:szCs w:val="21"/>
              </w:rPr>
              <w:t xml:space="preserve">5 </w:t>
            </w:r>
            <w:r w:rsidR="00631521">
              <w:rPr>
                <w:rFonts w:ascii="Arial" w:hAnsi="Arial" w:cs="Arial"/>
                <w:iCs/>
                <w:sz w:val="21"/>
                <w:szCs w:val="21"/>
              </w:rPr>
              <w:t>di</w:t>
            </w:r>
            <w:r w:rsidR="00273455">
              <w:rPr>
                <w:rFonts w:ascii="Arial" w:hAnsi="Arial" w:cs="Arial"/>
                <w:iCs/>
                <w:sz w:val="21"/>
                <w:szCs w:val="21"/>
                <w:highlight w:val="lightGray"/>
              </w:rPr>
              <w:t xml:space="preserve"> settembre</w:t>
            </w:r>
            <w:r w:rsidR="00631521">
              <w:rPr>
                <w:rFonts w:ascii="Arial" w:hAnsi="Arial" w:cs="Arial"/>
                <w:iCs/>
                <w:sz w:val="21"/>
                <w:szCs w:val="21"/>
                <w:highlight w:val="lightGray"/>
              </w:rPr>
              <w:t>)</w:t>
            </w:r>
            <w:r w:rsidR="005C4BE6">
              <w:rPr>
                <w:rFonts w:ascii="Arial" w:hAnsi="Arial" w:cs="Arial"/>
                <w:iCs/>
                <w:sz w:val="21"/>
                <w:szCs w:val="21"/>
                <w:highlight w:val="lightGray"/>
              </w:rPr>
              <w:t>.</w:t>
            </w:r>
          </w:p>
        </w:tc>
        <w:tc>
          <w:tcPr>
            <w:tcW w:w="3282" w:type="dxa"/>
            <w:tcBorders>
              <w:top w:val="nil"/>
              <w:left w:val="single" w:sz="48" w:space="0" w:color="FFFFFF"/>
              <w:bottom w:val="single" w:sz="36" w:space="0" w:color="FFFFFF"/>
              <w:right w:val="single" w:sz="36" w:space="0" w:color="FFFFFF"/>
            </w:tcBorders>
            <w:shd w:val="clear" w:color="auto" w:fill="E31C18"/>
          </w:tcPr>
          <w:p w14:paraId="69844DE8" w14:textId="77777777" w:rsidR="00FF7EF0" w:rsidRDefault="00FF7EF0" w:rsidP="00FA69DA">
            <w:pPr>
              <w:pStyle w:val="Paragrafobase"/>
              <w:spacing w:before="200" w:line="320" w:lineRule="exact"/>
              <w:ind w:left="176"/>
              <w:rPr>
                <w:rFonts w:ascii="Calibri" w:hAnsi="Calibri" w:cs="Arial"/>
                <w:b/>
                <w:color w:val="FFFFFF"/>
                <w:sz w:val="28"/>
                <w:szCs w:val="28"/>
              </w:rPr>
            </w:pPr>
            <w:r>
              <w:rPr>
                <w:rFonts w:ascii="Calibri" w:hAnsi="Calibri" w:cs="Arial"/>
                <w:b/>
                <w:noProof/>
                <w:color w:val="FFFFFF"/>
                <w:sz w:val="32"/>
                <w:szCs w:val="32"/>
              </w:rPr>
              <w:drawing>
                <wp:anchor distT="0" distB="0" distL="114300" distR="114300" simplePos="0" relativeHeight="251661312" behindDoc="0" locked="0" layoutInCell="1" allowOverlap="1" wp14:anchorId="2A1DED0D" wp14:editId="591BDC45">
                  <wp:simplePos x="0" y="0"/>
                  <wp:positionH relativeFrom="column">
                    <wp:posOffset>1350645</wp:posOffset>
                  </wp:positionH>
                  <wp:positionV relativeFrom="paragraph">
                    <wp:posOffset>-92075</wp:posOffset>
                  </wp:positionV>
                  <wp:extent cx="657225" cy="638175"/>
                  <wp:effectExtent l="0" t="0" r="9525" b="9525"/>
                  <wp:wrapNone/>
                  <wp:docPr id="221" name="Immagine 3" descr="Descrizione: iconeComunicati-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Descrizione: iconeComunicati-0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57225" cy="638175"/>
                          </a:xfrm>
                          <a:prstGeom prst="rect">
                            <a:avLst/>
                          </a:prstGeom>
                          <a:noFill/>
                          <a:ln>
                            <a:noFill/>
                          </a:ln>
                        </pic:spPr>
                      </pic:pic>
                    </a:graphicData>
                  </a:graphic>
                </wp:anchor>
              </w:drawing>
            </w:r>
            <w:r>
              <w:rPr>
                <w:rFonts w:ascii="Calibri" w:hAnsi="Calibri" w:cs="Arial"/>
                <w:b/>
                <w:color w:val="FFFFFF"/>
                <w:sz w:val="28"/>
                <w:szCs w:val="28"/>
              </w:rPr>
              <w:t>PROSSIMA</w:t>
            </w:r>
          </w:p>
          <w:p w14:paraId="13ADA177" w14:textId="77777777" w:rsidR="00FF7EF0" w:rsidRDefault="00FF7EF0" w:rsidP="00FA69DA">
            <w:pPr>
              <w:pStyle w:val="Paragrafobase"/>
              <w:spacing w:line="320" w:lineRule="exact"/>
              <w:ind w:left="175"/>
              <w:rPr>
                <w:rFonts w:ascii="Arial Narrow" w:hAnsi="Arial Narrow" w:cs="Arial"/>
                <w:b/>
                <w:color w:val="FFFFFF"/>
                <w:sz w:val="28"/>
                <w:szCs w:val="28"/>
              </w:rPr>
            </w:pPr>
            <w:r>
              <w:rPr>
                <w:rFonts w:ascii="Calibri" w:hAnsi="Calibri" w:cs="Arial"/>
                <w:b/>
                <w:color w:val="FFFFFF"/>
                <w:sz w:val="28"/>
                <w:szCs w:val="28"/>
              </w:rPr>
              <w:t>DIFFUSIONE</w:t>
            </w:r>
          </w:p>
          <w:p w14:paraId="07180017" w14:textId="42BF77FC" w:rsidR="00FF7EF0" w:rsidRDefault="005271E8" w:rsidP="00F858C1">
            <w:pPr>
              <w:pStyle w:val="Paragrafobase"/>
              <w:spacing w:before="120" w:after="120" w:line="160" w:lineRule="atLeast"/>
              <w:ind w:left="176"/>
              <w:rPr>
                <w:rFonts w:ascii="Arial" w:hAnsi="Arial" w:cs="Arial"/>
                <w:sz w:val="21"/>
                <w:szCs w:val="21"/>
              </w:rPr>
            </w:pPr>
            <w:r>
              <w:rPr>
                <w:rFonts w:ascii="Arial Narrow" w:hAnsi="Arial Narrow" w:cs="Arial"/>
                <w:color w:val="FFFFFF"/>
                <w:sz w:val="22"/>
                <w:szCs w:val="22"/>
              </w:rPr>
              <w:t>2</w:t>
            </w:r>
            <w:r w:rsidR="00F858C1">
              <w:rPr>
                <w:rFonts w:ascii="Arial Narrow" w:hAnsi="Arial Narrow" w:cs="Arial"/>
                <w:color w:val="FFFFFF"/>
                <w:sz w:val="22"/>
                <w:szCs w:val="22"/>
              </w:rPr>
              <w:t>2</w:t>
            </w:r>
            <w:r w:rsidR="00C513AD">
              <w:rPr>
                <w:rFonts w:ascii="Arial Narrow" w:hAnsi="Arial Narrow" w:cs="Arial"/>
                <w:color w:val="FFFFFF"/>
                <w:sz w:val="22"/>
                <w:szCs w:val="22"/>
              </w:rPr>
              <w:t xml:space="preserve"> </w:t>
            </w:r>
            <w:r w:rsidR="00F858C1">
              <w:rPr>
                <w:rFonts w:ascii="Arial Narrow" w:hAnsi="Arial Narrow" w:cs="Arial"/>
                <w:color w:val="FFFFFF"/>
                <w:sz w:val="22"/>
                <w:szCs w:val="22"/>
              </w:rPr>
              <w:t>Dicembre</w:t>
            </w:r>
            <w:r w:rsidR="00FF7EF0">
              <w:rPr>
                <w:rFonts w:ascii="Arial Narrow" w:hAnsi="Arial Narrow" w:cs="Arial"/>
                <w:color w:val="FFFFFF"/>
                <w:sz w:val="22"/>
                <w:szCs w:val="22"/>
              </w:rPr>
              <w:t xml:space="preserve"> 202</w:t>
            </w:r>
            <w:r w:rsidR="00A84EFB">
              <w:rPr>
                <w:rFonts w:ascii="Arial Narrow" w:hAnsi="Arial Narrow" w:cs="Arial"/>
                <w:color w:val="FFFFFF"/>
                <w:sz w:val="22"/>
                <w:szCs w:val="22"/>
              </w:rPr>
              <w:t>2</w:t>
            </w:r>
          </w:p>
        </w:tc>
      </w:tr>
      <w:tr w:rsidR="00FF7EF0" w14:paraId="2D3DB1CB" w14:textId="77777777" w:rsidTr="00FA69DA">
        <w:trPr>
          <w:trHeight w:val="115"/>
        </w:trPr>
        <w:tc>
          <w:tcPr>
            <w:tcW w:w="6924" w:type="dxa"/>
            <w:vMerge/>
            <w:tcBorders>
              <w:left w:val="single" w:sz="4" w:space="0" w:color="FFFFFF"/>
              <w:right w:val="single" w:sz="48" w:space="0" w:color="FFFFFF"/>
            </w:tcBorders>
            <w:shd w:val="clear" w:color="auto" w:fill="D9D9D9"/>
          </w:tcPr>
          <w:p w14:paraId="2051A331" w14:textId="77777777" w:rsidR="00FF7EF0" w:rsidRDefault="00FF7EF0" w:rsidP="00FA69DA">
            <w:pPr>
              <w:tabs>
                <w:tab w:val="left" w:pos="284"/>
                <w:tab w:val="left" w:pos="709"/>
              </w:tabs>
              <w:spacing w:after="120" w:line="230" w:lineRule="exact"/>
              <w:jc w:val="both"/>
              <w:rPr>
                <w:rFonts w:ascii="Arial" w:hAnsi="Arial" w:cs="Arial"/>
                <w:sz w:val="21"/>
                <w:szCs w:val="21"/>
              </w:rPr>
            </w:pPr>
          </w:p>
        </w:tc>
        <w:tc>
          <w:tcPr>
            <w:tcW w:w="3282" w:type="dxa"/>
            <w:tcBorders>
              <w:top w:val="single" w:sz="36" w:space="0" w:color="FFFFFF"/>
              <w:left w:val="single" w:sz="48" w:space="0" w:color="FFFFFF"/>
              <w:bottom w:val="single" w:sz="36" w:space="0" w:color="FFFFFF"/>
              <w:right w:val="single" w:sz="36" w:space="0" w:color="FFFFFF"/>
            </w:tcBorders>
            <w:shd w:val="clear" w:color="auto" w:fill="FFFFFF"/>
          </w:tcPr>
          <w:p w14:paraId="76EE40ED" w14:textId="77777777" w:rsidR="00FF7EF0" w:rsidRDefault="00FF7EF0" w:rsidP="00FA69DA">
            <w:pPr>
              <w:pStyle w:val="Paragrafobase"/>
              <w:spacing w:before="120" w:line="240" w:lineRule="exact"/>
              <w:ind w:left="175"/>
              <w:rPr>
                <w:rFonts w:ascii="Arial" w:hAnsi="Arial" w:cs="Arial"/>
                <w:sz w:val="21"/>
                <w:szCs w:val="21"/>
              </w:rPr>
            </w:pPr>
            <w:r>
              <w:rPr>
                <w:rFonts w:ascii="Arial Narrow" w:hAnsi="Arial Narrow" w:cs="Arial"/>
                <w:noProof/>
                <w:color w:val="FFFFFF"/>
                <w:sz w:val="22"/>
                <w:szCs w:val="22"/>
              </w:rPr>
              <w:drawing>
                <wp:anchor distT="0" distB="0" distL="114300" distR="114300" simplePos="0" relativeHeight="251662336" behindDoc="0" locked="0" layoutInCell="1" allowOverlap="1" wp14:anchorId="1CDE2706" wp14:editId="118BD07F">
                  <wp:simplePos x="0" y="0"/>
                  <wp:positionH relativeFrom="column">
                    <wp:posOffset>1388745</wp:posOffset>
                  </wp:positionH>
                  <wp:positionV relativeFrom="paragraph">
                    <wp:posOffset>142240</wp:posOffset>
                  </wp:positionV>
                  <wp:extent cx="647700" cy="628650"/>
                  <wp:effectExtent l="0" t="0" r="0" b="0"/>
                  <wp:wrapNone/>
                  <wp:docPr id="220" name="Immagine 9" descr="Descrizione: iconeComunicati-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descr="Descrizione: iconeComunicati-0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47700" cy="628650"/>
                          </a:xfrm>
                          <a:prstGeom prst="rect">
                            <a:avLst/>
                          </a:prstGeom>
                          <a:noFill/>
                          <a:ln>
                            <a:noFill/>
                          </a:ln>
                        </pic:spPr>
                      </pic:pic>
                    </a:graphicData>
                  </a:graphic>
                </wp:anchor>
              </w:drawing>
            </w:r>
          </w:p>
        </w:tc>
      </w:tr>
      <w:tr w:rsidR="00FF7EF0" w:rsidRPr="00CD1632" w14:paraId="7DEDE2AC" w14:textId="77777777" w:rsidTr="00FA69DA">
        <w:trPr>
          <w:trHeight w:val="1873"/>
        </w:trPr>
        <w:tc>
          <w:tcPr>
            <w:tcW w:w="6924" w:type="dxa"/>
            <w:vMerge/>
            <w:tcBorders>
              <w:left w:val="single" w:sz="4" w:space="0" w:color="FFFFFF"/>
              <w:bottom w:val="nil"/>
              <w:right w:val="single" w:sz="48" w:space="0" w:color="FFFFFF"/>
            </w:tcBorders>
            <w:shd w:val="clear" w:color="auto" w:fill="D9D9D9"/>
          </w:tcPr>
          <w:p w14:paraId="32DA8F97" w14:textId="77777777" w:rsidR="00FF7EF0" w:rsidRDefault="00FF7EF0" w:rsidP="00FA69DA">
            <w:pPr>
              <w:tabs>
                <w:tab w:val="left" w:pos="284"/>
                <w:tab w:val="left" w:pos="709"/>
              </w:tabs>
              <w:spacing w:after="120" w:line="230" w:lineRule="exact"/>
              <w:jc w:val="both"/>
              <w:rPr>
                <w:rFonts w:ascii="Arial" w:hAnsi="Arial" w:cs="Arial"/>
                <w:sz w:val="21"/>
                <w:szCs w:val="21"/>
              </w:rPr>
            </w:pPr>
          </w:p>
        </w:tc>
        <w:tc>
          <w:tcPr>
            <w:tcW w:w="3282" w:type="dxa"/>
            <w:tcBorders>
              <w:top w:val="single" w:sz="36" w:space="0" w:color="FFFFFF"/>
              <w:left w:val="single" w:sz="48" w:space="0" w:color="FFFFFF"/>
              <w:bottom w:val="single" w:sz="36" w:space="0" w:color="FFFFFF"/>
              <w:right w:val="single" w:sz="36" w:space="0" w:color="FFFFFF"/>
            </w:tcBorders>
            <w:shd w:val="clear" w:color="auto" w:fill="E31C18"/>
          </w:tcPr>
          <w:p w14:paraId="05C35B57" w14:textId="77777777" w:rsidR="00FF7EF0" w:rsidRPr="006176BE" w:rsidRDefault="00FF7EF0" w:rsidP="00FA69DA">
            <w:pPr>
              <w:pStyle w:val="Paragrafobase"/>
              <w:spacing w:before="160" w:line="320" w:lineRule="exact"/>
              <w:ind w:left="175"/>
              <w:rPr>
                <w:rFonts w:ascii="Calibri" w:hAnsi="Calibri" w:cs="Arial"/>
                <w:b/>
                <w:color w:val="FFFFFF"/>
                <w:sz w:val="28"/>
                <w:szCs w:val="28"/>
                <w:lang w:val="en-US"/>
              </w:rPr>
            </w:pPr>
            <w:r w:rsidRPr="006176BE">
              <w:rPr>
                <w:rFonts w:ascii="Calibri" w:hAnsi="Calibri" w:cs="Arial"/>
                <w:b/>
                <w:color w:val="FFFFFF"/>
                <w:sz w:val="28"/>
                <w:szCs w:val="28"/>
                <w:lang w:val="en-US"/>
              </w:rPr>
              <w:t>Link utili</w:t>
            </w:r>
          </w:p>
          <w:p w14:paraId="3293D706" w14:textId="77777777" w:rsidR="00FF7EF0" w:rsidRPr="006176BE" w:rsidRDefault="00FF7EF0" w:rsidP="00FA69DA">
            <w:pPr>
              <w:pStyle w:val="Paragrafobase"/>
              <w:spacing w:before="100" w:line="240" w:lineRule="exact"/>
              <w:ind w:left="176"/>
              <w:rPr>
                <w:rStyle w:val="Collegamentoipertestuale"/>
                <w:rFonts w:cs="Arial"/>
                <w:color w:val="FFFFFF"/>
                <w:lang w:val="en-US"/>
              </w:rPr>
            </w:pPr>
          </w:p>
          <w:p w14:paraId="290796EE" w14:textId="77777777" w:rsidR="00CD1632" w:rsidRPr="006176BE" w:rsidRDefault="00F73F3B" w:rsidP="00CD1632">
            <w:pPr>
              <w:pStyle w:val="Paragrafobase"/>
              <w:spacing w:before="100" w:line="240" w:lineRule="exact"/>
              <w:ind w:left="176"/>
              <w:rPr>
                <w:rFonts w:ascii="Arial" w:hAnsi="Arial" w:cs="Arial"/>
                <w:color w:val="FFFFFF" w:themeColor="background1"/>
                <w:sz w:val="20"/>
                <w:szCs w:val="20"/>
                <w:lang w:val="en-US"/>
              </w:rPr>
            </w:pPr>
            <w:hyperlink r:id="rId16" w:history="1">
              <w:r w:rsidR="00CD1632" w:rsidRPr="006176BE">
                <w:rPr>
                  <w:rStyle w:val="Collegamentoipertestuale"/>
                  <w:rFonts w:ascii="Arial Narrow" w:hAnsi="Arial Narrow" w:cs="Arial"/>
                  <w:color w:val="FFFFFF" w:themeColor="background1"/>
                  <w:sz w:val="22"/>
                  <w:szCs w:val="22"/>
                  <w:lang w:val="en-US"/>
                </w:rPr>
                <w:t>http://dati.istat.it</w:t>
              </w:r>
            </w:hyperlink>
          </w:p>
          <w:p w14:paraId="5696890B" w14:textId="77777777" w:rsidR="00CD1632" w:rsidRDefault="00F73F3B" w:rsidP="00CD1632">
            <w:pPr>
              <w:pStyle w:val="Paragrafobase"/>
              <w:spacing w:before="100" w:line="240" w:lineRule="exact"/>
              <w:ind w:left="176"/>
              <w:rPr>
                <w:rStyle w:val="Collegamentoipertestuale"/>
                <w:rFonts w:ascii="Arial Narrow" w:hAnsi="Arial Narrow" w:cs="Arial"/>
                <w:color w:val="FFFFFF"/>
                <w:sz w:val="22"/>
                <w:szCs w:val="22"/>
                <w:lang w:val="en-US"/>
              </w:rPr>
            </w:pPr>
            <w:hyperlink r:id="rId17" w:history="1">
              <w:r w:rsidR="00CD1632" w:rsidRPr="006F2EB6">
                <w:rPr>
                  <w:rStyle w:val="Collegamentoipertestuale"/>
                  <w:rFonts w:ascii="Arial Narrow" w:hAnsi="Arial Narrow" w:cs="Arial"/>
                  <w:color w:val="FFFFFF"/>
                  <w:sz w:val="22"/>
                  <w:szCs w:val="22"/>
                  <w:lang w:val="en-US"/>
                </w:rPr>
                <w:t>http://www.istat.it/it/congiuntura</w:t>
              </w:r>
            </w:hyperlink>
          </w:p>
          <w:p w14:paraId="7E12D05A" w14:textId="082034CE" w:rsidR="00212E55" w:rsidRPr="00A44785" w:rsidRDefault="00F73F3B" w:rsidP="00CD1632">
            <w:pPr>
              <w:pStyle w:val="Paragrafobase"/>
              <w:spacing w:before="100" w:line="240" w:lineRule="exact"/>
              <w:ind w:left="176"/>
              <w:rPr>
                <w:rFonts w:ascii="Arial Narrow" w:hAnsi="Arial Narrow" w:cs="Arial"/>
                <w:color w:val="FFFFFF"/>
                <w:sz w:val="22"/>
                <w:szCs w:val="20"/>
                <w:u w:val="single"/>
                <w:lang w:val="en-US"/>
              </w:rPr>
            </w:pPr>
            <w:hyperlink r:id="rId18" w:history="1">
              <w:r w:rsidR="00212E55" w:rsidRPr="00A44785">
                <w:rPr>
                  <w:rStyle w:val="Collegamentoipertestuale"/>
                  <w:rFonts w:ascii="Arial Narrow" w:hAnsi="Arial Narrow" w:cs="Arial"/>
                  <w:color w:val="FFFFFF"/>
                  <w:sz w:val="22"/>
                  <w:szCs w:val="20"/>
                  <w:lang w:val="en-US"/>
                </w:rPr>
                <w:t>https://www.coeweb.istat.it</w:t>
              </w:r>
            </w:hyperlink>
          </w:p>
          <w:p w14:paraId="2EF81296" w14:textId="77777777" w:rsidR="00FF7EF0" w:rsidRDefault="00FF7EF0" w:rsidP="00FA69DA">
            <w:pPr>
              <w:pStyle w:val="Paragrafobase"/>
              <w:spacing w:before="120" w:line="240" w:lineRule="exact"/>
              <w:ind w:left="175"/>
              <w:rPr>
                <w:rFonts w:ascii="Arial" w:hAnsi="Arial" w:cs="Arial"/>
                <w:sz w:val="21"/>
                <w:szCs w:val="21"/>
                <w:lang w:val="en-US"/>
              </w:rPr>
            </w:pPr>
          </w:p>
        </w:tc>
      </w:tr>
    </w:tbl>
    <w:p w14:paraId="50BBC040" w14:textId="77777777" w:rsidR="00A651E1" w:rsidRDefault="00A651E1">
      <w:pPr>
        <w:pStyle w:val="Paragrafobase"/>
        <w:spacing w:line="260" w:lineRule="exact"/>
        <w:rPr>
          <w:rFonts w:ascii="Arial" w:hAnsi="Arial" w:cs="Arial"/>
          <w:color w:val="auto"/>
          <w:sz w:val="21"/>
          <w:szCs w:val="21"/>
          <w:lang w:val="en-US"/>
        </w:rPr>
        <w:sectPr w:rsidR="00A651E1" w:rsidSect="00962644">
          <w:headerReference w:type="default" r:id="rId19"/>
          <w:pgSz w:w="11907" w:h="16840"/>
          <w:pgMar w:top="1870" w:right="851" w:bottom="567" w:left="851" w:header="284" w:footer="204" w:gutter="0"/>
          <w:cols w:space="720"/>
        </w:sectPr>
      </w:pPr>
    </w:p>
    <w:p w14:paraId="4DCB362F" w14:textId="77777777" w:rsidR="00CD5409" w:rsidRPr="00CD1632" w:rsidRDefault="00CD5409">
      <w:pPr>
        <w:tabs>
          <w:tab w:val="left" w:pos="7230"/>
        </w:tabs>
        <w:rPr>
          <w:rFonts w:ascii="Arial Narrow" w:hAnsi="Arial Narrow" w:cs="Arial"/>
          <w:b/>
          <w:bCs/>
          <w:color w:val="E42618"/>
          <w:sz w:val="22"/>
          <w:szCs w:val="22"/>
          <w:lang w:val="en-US"/>
        </w:rPr>
      </w:pPr>
    </w:p>
    <w:p w14:paraId="07EA883D" w14:textId="21756EA9" w:rsidR="00A651E1" w:rsidRPr="00AE5C79" w:rsidRDefault="00E777A0">
      <w:pPr>
        <w:tabs>
          <w:tab w:val="left" w:pos="7230"/>
        </w:tabs>
        <w:rPr>
          <w:rFonts w:ascii="Arial Narrow" w:hAnsi="Arial Narrow" w:cs="Arial"/>
          <w:color w:val="5F5F5F"/>
          <w:sz w:val="20"/>
        </w:rPr>
      </w:pPr>
      <w:r>
        <w:rPr>
          <w:rFonts w:ascii="Arial Narrow" w:hAnsi="Arial Narrow" w:cs="Arial"/>
          <w:b/>
          <w:bCs/>
          <w:color w:val="E42618"/>
          <w:sz w:val="22"/>
          <w:szCs w:val="22"/>
        </w:rPr>
        <w:t>FIGURA 1</w:t>
      </w:r>
      <w:r>
        <w:rPr>
          <w:rStyle w:val="001TitoGraRed"/>
          <w:b/>
          <w:color w:val="E42618"/>
        </w:rPr>
        <w:t>.</w:t>
      </w:r>
      <w:r>
        <w:rPr>
          <w:rFonts w:ascii="Arial Narrow" w:hAnsi="Arial Narrow" w:cs="Arial"/>
          <w:b/>
          <w:bCs/>
          <w:color w:val="5F5F5F"/>
          <w:sz w:val="22"/>
          <w:szCs w:val="22"/>
        </w:rPr>
        <w:t xml:space="preserve"> FLUSSI COMMERCIALI CON I PAESI EXTRA UE</w:t>
      </w:r>
      <w:r w:rsidR="006D23B8">
        <w:rPr>
          <w:rFonts w:ascii="Arial Narrow" w:hAnsi="Arial Narrow" w:cs="Arial"/>
          <w:b/>
          <w:bCs/>
          <w:color w:val="5F5F5F"/>
          <w:sz w:val="22"/>
          <w:szCs w:val="22"/>
        </w:rPr>
        <w:t xml:space="preserve">27 </w:t>
      </w:r>
      <w:r>
        <w:rPr>
          <w:rFonts w:ascii="Arial Narrow" w:hAnsi="Arial Narrow" w:cs="Arial"/>
          <w:b/>
          <w:bCs/>
          <w:color w:val="5F5F5F"/>
          <w:sz w:val="22"/>
          <w:szCs w:val="22"/>
        </w:rPr>
        <w:t>E SALDO COMMERCIALE</w:t>
      </w:r>
      <w:r>
        <w:rPr>
          <w:rFonts w:ascii="Arial Narrow" w:hAnsi="Arial Narrow" w:cs="Arial"/>
          <w:b/>
          <w:bCs/>
          <w:color w:val="5F5F5F"/>
          <w:sz w:val="22"/>
          <w:szCs w:val="22"/>
        </w:rPr>
        <w:br/>
      </w:r>
      <w:r w:rsidRPr="00AE5C79">
        <w:rPr>
          <w:rFonts w:ascii="Arial Narrow" w:hAnsi="Arial Narrow" w:cs="Arial"/>
          <w:color w:val="5F5F5F"/>
          <w:sz w:val="20"/>
        </w:rPr>
        <w:t>Gennaio 201</w:t>
      </w:r>
      <w:r w:rsidR="0073728C">
        <w:rPr>
          <w:rFonts w:ascii="Arial Narrow" w:hAnsi="Arial Narrow" w:cs="Arial"/>
          <w:color w:val="5F5F5F"/>
          <w:sz w:val="20"/>
        </w:rPr>
        <w:t>7</w:t>
      </w:r>
      <w:r w:rsidRPr="00AE5C79">
        <w:rPr>
          <w:rFonts w:ascii="Arial Narrow" w:hAnsi="Arial Narrow" w:cs="Arial"/>
          <w:color w:val="5F5F5F"/>
          <w:sz w:val="20"/>
        </w:rPr>
        <w:t xml:space="preserve"> - </w:t>
      </w:r>
      <w:r w:rsidR="00F858C1">
        <w:rPr>
          <w:rFonts w:ascii="Arial Narrow" w:hAnsi="Arial Narrow" w:cs="Arial"/>
          <w:color w:val="5F5F5F"/>
          <w:sz w:val="20"/>
        </w:rPr>
        <w:t>ottobre</w:t>
      </w:r>
      <w:r w:rsidR="0073728C">
        <w:rPr>
          <w:rFonts w:ascii="Arial Narrow" w:hAnsi="Arial Narrow" w:cs="Arial"/>
          <w:color w:val="5F5F5F"/>
          <w:sz w:val="20"/>
        </w:rPr>
        <w:t xml:space="preserve"> 2022</w:t>
      </w:r>
      <w:r w:rsidRPr="00AE5C79">
        <w:rPr>
          <w:rFonts w:ascii="Arial Narrow" w:hAnsi="Arial Narrow" w:cs="Arial"/>
          <w:color w:val="5F5F5F"/>
          <w:sz w:val="20"/>
        </w:rPr>
        <w:t>, importazioni ed esportazioni mensili, medie mobili a tre mesi (scala sinistra) e saldi (scala destra), in miliardi di euro. Dati destagionalizzati</w:t>
      </w:r>
    </w:p>
    <w:p w14:paraId="4B79337F" w14:textId="34C70250" w:rsidR="00A651E1" w:rsidRDefault="00C45789">
      <w:pPr>
        <w:tabs>
          <w:tab w:val="left" w:pos="7230"/>
        </w:tabs>
        <w:spacing w:after="120"/>
        <w:rPr>
          <w:rFonts w:ascii="Arial Narrow" w:hAnsi="Arial Narrow" w:cs="Arial"/>
          <w:color w:val="5F5F5F"/>
        </w:rPr>
      </w:pPr>
      <w:r>
        <w:rPr>
          <w:noProof/>
        </w:rPr>
        <w:drawing>
          <wp:inline distT="0" distB="0" distL="0" distR="0" wp14:anchorId="51B091CD" wp14:editId="5BDAFB6C">
            <wp:extent cx="6480175" cy="3240000"/>
            <wp:effectExtent l="0" t="0" r="0" b="0"/>
            <wp:docPr id="1" name="Gra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03B976D7" w14:textId="77777777" w:rsidR="00A651E1" w:rsidRDefault="00A651E1">
      <w:pPr>
        <w:tabs>
          <w:tab w:val="left" w:pos="7230"/>
        </w:tabs>
        <w:rPr>
          <w:rFonts w:ascii="Arial Narrow" w:hAnsi="Arial Narrow" w:cs="Arial"/>
          <w:b/>
          <w:bCs/>
          <w:color w:val="E42618"/>
          <w:sz w:val="2"/>
          <w:szCs w:val="22"/>
        </w:rPr>
      </w:pPr>
    </w:p>
    <w:p w14:paraId="7D10D890" w14:textId="77777777" w:rsidR="00CD5409" w:rsidRDefault="00CD5409">
      <w:pPr>
        <w:tabs>
          <w:tab w:val="left" w:pos="7230"/>
        </w:tabs>
        <w:rPr>
          <w:rFonts w:ascii="Arial Narrow" w:hAnsi="Arial Narrow" w:cs="Arial"/>
          <w:b/>
          <w:bCs/>
          <w:color w:val="E42618"/>
          <w:sz w:val="22"/>
          <w:szCs w:val="22"/>
        </w:rPr>
      </w:pPr>
    </w:p>
    <w:p w14:paraId="0A5110F0" w14:textId="457B370E" w:rsidR="00A651E1" w:rsidRPr="00AE5C79" w:rsidRDefault="00E777A0">
      <w:pPr>
        <w:tabs>
          <w:tab w:val="left" w:pos="7230"/>
        </w:tabs>
        <w:rPr>
          <w:rFonts w:ascii="Arial Narrow" w:hAnsi="Arial Narrow" w:cs="Arial"/>
          <w:color w:val="5F5F5F"/>
          <w:sz w:val="20"/>
        </w:rPr>
      </w:pPr>
      <w:r>
        <w:rPr>
          <w:rFonts w:ascii="Arial Narrow" w:hAnsi="Arial Narrow" w:cs="Arial"/>
          <w:b/>
          <w:bCs/>
          <w:color w:val="E42618"/>
          <w:sz w:val="22"/>
          <w:szCs w:val="22"/>
        </w:rPr>
        <w:t>FIGURA 2</w:t>
      </w:r>
      <w:r>
        <w:rPr>
          <w:rStyle w:val="001TitoGraRed"/>
          <w:b/>
          <w:color w:val="E42618"/>
        </w:rPr>
        <w:t>.</w:t>
      </w:r>
      <w:r>
        <w:rPr>
          <w:rFonts w:ascii="Arial Narrow" w:hAnsi="Arial Narrow" w:cs="Arial"/>
          <w:b/>
          <w:bCs/>
          <w:color w:val="5F5F5F"/>
          <w:sz w:val="22"/>
          <w:szCs w:val="22"/>
        </w:rPr>
        <w:t xml:space="preserve"> FLUSSI COMMERCIALI CON I PAESI EXTRA UE</w:t>
      </w:r>
      <w:r w:rsidR="006D23B8">
        <w:rPr>
          <w:rFonts w:ascii="Arial Narrow" w:hAnsi="Arial Narrow" w:cs="Arial"/>
          <w:b/>
          <w:bCs/>
          <w:color w:val="5F5F5F"/>
          <w:sz w:val="22"/>
          <w:szCs w:val="22"/>
        </w:rPr>
        <w:t>27</w:t>
      </w:r>
      <w:r>
        <w:rPr>
          <w:rFonts w:ascii="Arial Narrow" w:hAnsi="Arial Narrow" w:cs="Arial"/>
          <w:b/>
          <w:bCs/>
          <w:color w:val="5F5F5F"/>
          <w:sz w:val="22"/>
          <w:szCs w:val="22"/>
        </w:rPr>
        <w:t>, VARIAZIONI PERCENTUALI TENDENZIALI</w:t>
      </w:r>
      <w:r>
        <w:rPr>
          <w:rFonts w:ascii="Arial Narrow" w:hAnsi="Arial Narrow" w:cs="Arial"/>
          <w:b/>
          <w:bCs/>
          <w:color w:val="5F5F5F"/>
          <w:sz w:val="22"/>
          <w:szCs w:val="22"/>
        </w:rPr>
        <w:br/>
      </w:r>
      <w:r w:rsidRPr="00AE5C79">
        <w:rPr>
          <w:rFonts w:ascii="Arial Narrow" w:hAnsi="Arial Narrow" w:cs="Arial"/>
          <w:color w:val="5F5F5F"/>
          <w:sz w:val="20"/>
        </w:rPr>
        <w:t>Gennaio 201</w:t>
      </w:r>
      <w:r w:rsidR="0073728C">
        <w:rPr>
          <w:rFonts w:ascii="Arial Narrow" w:hAnsi="Arial Narrow" w:cs="Arial"/>
          <w:color w:val="5F5F5F"/>
          <w:sz w:val="20"/>
        </w:rPr>
        <w:t>8</w:t>
      </w:r>
      <w:r w:rsidRPr="00AE5C79">
        <w:rPr>
          <w:rFonts w:ascii="Arial Narrow" w:hAnsi="Arial Narrow" w:cs="Arial"/>
          <w:color w:val="5F5F5F"/>
          <w:sz w:val="20"/>
        </w:rPr>
        <w:t xml:space="preserve"> - </w:t>
      </w:r>
      <w:r w:rsidR="00F858C1">
        <w:rPr>
          <w:rFonts w:ascii="Arial Narrow" w:hAnsi="Arial Narrow" w:cs="Arial"/>
          <w:color w:val="5F5F5F"/>
          <w:sz w:val="20"/>
        </w:rPr>
        <w:t xml:space="preserve">ottobre </w:t>
      </w:r>
      <w:r w:rsidR="0073728C">
        <w:rPr>
          <w:rFonts w:ascii="Arial Narrow" w:hAnsi="Arial Narrow" w:cs="Arial"/>
          <w:color w:val="5F5F5F"/>
          <w:sz w:val="20"/>
        </w:rPr>
        <w:t>2022</w:t>
      </w:r>
      <w:r w:rsidRPr="00AE5C79">
        <w:rPr>
          <w:rFonts w:ascii="Arial Narrow" w:hAnsi="Arial Narrow" w:cs="Arial"/>
          <w:color w:val="5F5F5F"/>
          <w:sz w:val="20"/>
        </w:rPr>
        <w:t>, dati grezzi</w:t>
      </w:r>
    </w:p>
    <w:p w14:paraId="63038E25" w14:textId="3A0FD8DB" w:rsidR="00A651E1" w:rsidRDefault="00C45789">
      <w:pPr>
        <w:tabs>
          <w:tab w:val="left" w:pos="7230"/>
        </w:tabs>
        <w:rPr>
          <w:rFonts w:cs="Arial"/>
          <w:color w:val="5F5F5F"/>
        </w:rPr>
      </w:pPr>
      <w:r>
        <w:rPr>
          <w:noProof/>
        </w:rPr>
        <w:drawing>
          <wp:inline distT="0" distB="0" distL="0" distR="0" wp14:anchorId="0CFF1205" wp14:editId="254F5411">
            <wp:extent cx="6660000" cy="2160000"/>
            <wp:effectExtent l="0" t="0" r="7620" b="0"/>
            <wp:docPr id="2" name="Gra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1A70FBCF" w14:textId="77777777" w:rsidR="00A651E1" w:rsidRDefault="00A651E1">
      <w:pPr>
        <w:pStyle w:val="Corpotesto"/>
        <w:spacing w:after="120" w:line="240" w:lineRule="auto"/>
        <w:rPr>
          <w:rStyle w:val="001TitoGraRed"/>
          <w:rFonts w:ascii="Arial Narrow" w:hAnsi="Arial Narrow"/>
          <w:b/>
          <w:color w:val="E42618"/>
          <w:sz w:val="2"/>
          <w:szCs w:val="22"/>
        </w:rPr>
      </w:pPr>
    </w:p>
    <w:p w14:paraId="7B78E9EB" w14:textId="77777777" w:rsidR="00A651E1" w:rsidRDefault="00A651E1">
      <w:pPr>
        <w:pStyle w:val="Corpotesto"/>
        <w:spacing w:after="120" w:line="240" w:lineRule="auto"/>
        <w:rPr>
          <w:rStyle w:val="001TitoGraRed"/>
          <w:rFonts w:ascii="Arial Narrow" w:hAnsi="Arial Narrow"/>
          <w:b/>
          <w:color w:val="E42618"/>
          <w:sz w:val="2"/>
          <w:szCs w:val="22"/>
        </w:rPr>
      </w:pPr>
    </w:p>
    <w:p w14:paraId="68B2E5A3" w14:textId="77777777" w:rsidR="00CD5409" w:rsidRDefault="00CD5409">
      <w:pPr>
        <w:pStyle w:val="Corpotesto"/>
        <w:spacing w:line="240" w:lineRule="auto"/>
        <w:ind w:right="-142"/>
        <w:rPr>
          <w:rStyle w:val="001TitoGraRed"/>
          <w:rFonts w:ascii="Arial Narrow" w:hAnsi="Arial Narrow"/>
          <w:b/>
          <w:color w:val="E42618"/>
          <w:sz w:val="22"/>
          <w:szCs w:val="22"/>
        </w:rPr>
      </w:pPr>
    </w:p>
    <w:p w14:paraId="3220956D" w14:textId="77777777" w:rsidR="00A651E1" w:rsidRDefault="00E777A0">
      <w:pPr>
        <w:pStyle w:val="Corpotesto"/>
        <w:spacing w:line="240" w:lineRule="auto"/>
        <w:ind w:right="-142"/>
        <w:rPr>
          <w:rFonts w:ascii="Arial Narrow" w:hAnsi="Arial Narrow" w:cs="Arial"/>
          <w:b/>
          <w:color w:val="5F5F5F"/>
          <w:sz w:val="22"/>
        </w:rPr>
      </w:pPr>
      <w:r>
        <w:rPr>
          <w:rStyle w:val="001TitoGraRed"/>
          <w:rFonts w:ascii="Arial Narrow" w:hAnsi="Arial Narrow"/>
          <w:b/>
          <w:color w:val="E42618"/>
          <w:sz w:val="22"/>
          <w:szCs w:val="22"/>
        </w:rPr>
        <w:t>PROSPETTO 1</w:t>
      </w:r>
      <w:r>
        <w:rPr>
          <w:rStyle w:val="001TitoGraRed"/>
          <w:b/>
          <w:color w:val="E42618"/>
        </w:rPr>
        <w:t>.</w:t>
      </w:r>
      <w:r>
        <w:rPr>
          <w:rFonts w:ascii="Arial Narrow" w:hAnsi="Arial Narrow" w:cs="Arial"/>
          <w:color w:val="5F5F5F"/>
          <w:sz w:val="22"/>
          <w:szCs w:val="22"/>
        </w:rPr>
        <w:t xml:space="preserve"> </w:t>
      </w:r>
      <w:r>
        <w:rPr>
          <w:rFonts w:ascii="Arial Narrow" w:hAnsi="Arial Narrow" w:cs="Arial"/>
          <w:b/>
          <w:color w:val="5F5F5F"/>
          <w:sz w:val="22"/>
          <w:szCs w:val="22"/>
        </w:rPr>
        <w:t>ESPORTAZIONI, IMPORTAZIONI E SALDI DELLA BILANCIA COMMERCIALE CON I PAESI EXTRA UE</w:t>
      </w:r>
      <w:r w:rsidR="006D23B8">
        <w:rPr>
          <w:rFonts w:ascii="Arial Narrow" w:hAnsi="Arial Narrow" w:cs="Arial"/>
          <w:b/>
          <w:color w:val="5F5F5F"/>
          <w:sz w:val="22"/>
          <w:szCs w:val="22"/>
        </w:rPr>
        <w:t xml:space="preserve">27 </w:t>
      </w:r>
      <w:r>
        <w:rPr>
          <w:rFonts w:ascii="Arial Narrow" w:hAnsi="Arial Narrow" w:cs="Arial"/>
          <w:b/>
          <w:color w:val="5F5F5F"/>
          <w:sz w:val="22"/>
          <w:szCs w:val="22"/>
        </w:rPr>
        <w:t>(a)</w:t>
      </w:r>
      <w:r>
        <w:rPr>
          <w:rFonts w:ascii="Arial Narrow" w:hAnsi="Arial Narrow" w:cs="Arial"/>
          <w:color w:val="5F5F5F"/>
          <w:sz w:val="22"/>
          <w:szCs w:val="22"/>
        </w:rPr>
        <w:t xml:space="preserve">, </w:t>
      </w:r>
      <w:r>
        <w:rPr>
          <w:rFonts w:ascii="Arial Narrow" w:hAnsi="Arial Narrow" w:cs="Arial"/>
          <w:b/>
          <w:color w:val="5F5F5F"/>
          <w:sz w:val="22"/>
          <w:szCs w:val="22"/>
        </w:rPr>
        <w:t xml:space="preserve">VALORI ASSOLUTI E </w:t>
      </w:r>
      <w:r>
        <w:rPr>
          <w:rFonts w:ascii="Arial Narrow" w:hAnsi="Arial Narrow" w:cs="Arial"/>
          <w:b/>
          <w:color w:val="5F5F5F"/>
          <w:sz w:val="22"/>
        </w:rPr>
        <w:t>VARIAZIONI PERCENTUALI CONGIUNTURALI E TENDENZIALI</w:t>
      </w:r>
    </w:p>
    <w:p w14:paraId="27115010" w14:textId="5036A127" w:rsidR="00A651E1" w:rsidRPr="00AE5C79" w:rsidRDefault="00F858C1">
      <w:pPr>
        <w:pStyle w:val="Corpotesto"/>
        <w:spacing w:after="120" w:line="240" w:lineRule="auto"/>
        <w:ind w:right="-143"/>
        <w:rPr>
          <w:rFonts w:ascii="Arial Narrow" w:hAnsi="Arial Narrow" w:cs="Arial"/>
          <w:b/>
          <w:sz w:val="18"/>
          <w:szCs w:val="22"/>
        </w:rPr>
      </w:pPr>
      <w:r>
        <w:rPr>
          <w:rFonts w:ascii="Arial Narrow" w:hAnsi="Arial Narrow" w:cs="Arial"/>
          <w:color w:val="5F5F5F"/>
          <w:sz w:val="20"/>
        </w:rPr>
        <w:t>Ottobre</w:t>
      </w:r>
      <w:r w:rsidR="0073728C">
        <w:rPr>
          <w:rFonts w:ascii="Arial Narrow" w:hAnsi="Arial Narrow" w:cs="Arial"/>
          <w:color w:val="5F5F5F"/>
          <w:sz w:val="20"/>
        </w:rPr>
        <w:t xml:space="preserve"> 2022</w:t>
      </w:r>
      <w:r w:rsidR="00E777A0" w:rsidRPr="00AE5C79">
        <w:rPr>
          <w:rFonts w:ascii="Arial Narrow" w:hAnsi="Arial Narrow" w:cs="Arial"/>
          <w:color w:val="5F5F5F"/>
          <w:sz w:val="20"/>
        </w:rPr>
        <w:t>, dati destagionalizzati e grezzi, valori in milioni di euro</w:t>
      </w:r>
    </w:p>
    <w:tbl>
      <w:tblPr>
        <w:tblW w:w="10206" w:type="dxa"/>
        <w:jc w:val="center"/>
        <w:tblBorders>
          <w:top w:val="single" w:sz="4" w:space="0" w:color="auto"/>
          <w:bottom w:val="single" w:sz="4" w:space="0" w:color="auto"/>
          <w:insideH w:val="single" w:sz="4" w:space="0" w:color="auto"/>
        </w:tblBorders>
        <w:tblLayout w:type="fixed"/>
        <w:tblCellMar>
          <w:left w:w="70" w:type="dxa"/>
          <w:right w:w="70" w:type="dxa"/>
        </w:tblCellMar>
        <w:tblLook w:val="0200" w:firstRow="0" w:lastRow="0" w:firstColumn="0" w:lastColumn="0" w:noHBand="1" w:noVBand="0"/>
      </w:tblPr>
      <w:tblGrid>
        <w:gridCol w:w="1560"/>
        <w:gridCol w:w="1277"/>
        <w:gridCol w:w="14"/>
        <w:gridCol w:w="944"/>
        <w:gridCol w:w="1167"/>
        <w:gridCol w:w="858"/>
        <w:gridCol w:w="1552"/>
        <w:gridCol w:w="1291"/>
        <w:gridCol w:w="1543"/>
      </w:tblGrid>
      <w:tr w:rsidR="0035032B" w14:paraId="0CDF5A0E" w14:textId="77777777" w:rsidTr="00BF3957">
        <w:trPr>
          <w:trHeight w:val="255"/>
          <w:jc w:val="center"/>
        </w:trPr>
        <w:tc>
          <w:tcPr>
            <w:tcW w:w="1560" w:type="dxa"/>
            <w:vMerge w:val="restart"/>
            <w:vAlign w:val="bottom"/>
          </w:tcPr>
          <w:p w14:paraId="315DD932" w14:textId="77777777" w:rsidR="0035032B" w:rsidRDefault="0035032B" w:rsidP="00BF3957">
            <w:pPr>
              <w:spacing w:before="40" w:after="20"/>
              <w:rPr>
                <w:rFonts w:ascii="Arial Narrow" w:hAnsi="Arial Narrow"/>
                <w:sz w:val="18"/>
              </w:rPr>
            </w:pPr>
            <w:r>
              <w:rPr>
                <w:rFonts w:ascii="Arial Narrow" w:hAnsi="Arial Narrow"/>
                <w:sz w:val="18"/>
              </w:rPr>
              <w:t> </w:t>
            </w:r>
          </w:p>
        </w:tc>
        <w:tc>
          <w:tcPr>
            <w:tcW w:w="3402" w:type="dxa"/>
            <w:gridSpan w:val="4"/>
            <w:shd w:val="clear" w:color="auto" w:fill="D9D9D9"/>
            <w:vAlign w:val="center"/>
          </w:tcPr>
          <w:p w14:paraId="78621B04" w14:textId="77777777" w:rsidR="0035032B" w:rsidRDefault="0035032B" w:rsidP="00BF3957">
            <w:pPr>
              <w:spacing w:before="40" w:after="20"/>
              <w:jc w:val="center"/>
              <w:rPr>
                <w:rFonts w:ascii="Arial Narrow" w:hAnsi="Arial Narrow"/>
                <w:b/>
                <w:sz w:val="18"/>
              </w:rPr>
            </w:pPr>
            <w:r>
              <w:rPr>
                <w:rFonts w:ascii="Arial Narrow" w:hAnsi="Arial Narrow"/>
                <w:b/>
                <w:sz w:val="18"/>
              </w:rPr>
              <w:t>DATI DESTAGIONALIZZATI</w:t>
            </w:r>
          </w:p>
        </w:tc>
        <w:tc>
          <w:tcPr>
            <w:tcW w:w="5244" w:type="dxa"/>
            <w:gridSpan w:val="4"/>
            <w:vAlign w:val="center"/>
          </w:tcPr>
          <w:p w14:paraId="66B37012" w14:textId="77777777" w:rsidR="0035032B" w:rsidRDefault="0035032B" w:rsidP="00BF3957">
            <w:pPr>
              <w:spacing w:before="40" w:after="20"/>
              <w:jc w:val="center"/>
              <w:rPr>
                <w:rFonts w:ascii="Arial Narrow" w:hAnsi="Arial Narrow"/>
                <w:b/>
                <w:sz w:val="18"/>
              </w:rPr>
            </w:pPr>
            <w:r>
              <w:rPr>
                <w:rFonts w:ascii="Arial Narrow" w:hAnsi="Arial Narrow"/>
                <w:b/>
                <w:sz w:val="18"/>
              </w:rPr>
              <w:t>DATI GREZZI</w:t>
            </w:r>
          </w:p>
        </w:tc>
      </w:tr>
      <w:tr w:rsidR="0035032B" w14:paraId="60794B16" w14:textId="77777777" w:rsidTr="00BF3957">
        <w:trPr>
          <w:trHeight w:val="255"/>
          <w:jc w:val="center"/>
        </w:trPr>
        <w:tc>
          <w:tcPr>
            <w:tcW w:w="1560" w:type="dxa"/>
            <w:vMerge/>
            <w:vAlign w:val="bottom"/>
          </w:tcPr>
          <w:p w14:paraId="6F8E73B2" w14:textId="77777777" w:rsidR="0035032B" w:rsidRDefault="0035032B" w:rsidP="00BF3957">
            <w:pPr>
              <w:spacing w:before="40" w:after="20"/>
              <w:rPr>
                <w:rFonts w:ascii="Arial Narrow" w:hAnsi="Arial Narrow"/>
                <w:sz w:val="18"/>
              </w:rPr>
            </w:pPr>
          </w:p>
        </w:tc>
        <w:tc>
          <w:tcPr>
            <w:tcW w:w="1277" w:type="dxa"/>
            <w:shd w:val="clear" w:color="auto" w:fill="FFFFFF"/>
            <w:vAlign w:val="center"/>
          </w:tcPr>
          <w:p w14:paraId="46F95EBD" w14:textId="77777777" w:rsidR="0035032B" w:rsidRDefault="0035032B" w:rsidP="00BF3957">
            <w:pPr>
              <w:spacing w:before="40" w:after="20"/>
              <w:jc w:val="center"/>
              <w:rPr>
                <w:rFonts w:ascii="Arial Narrow" w:hAnsi="Arial Narrow"/>
                <w:b/>
                <w:sz w:val="18"/>
              </w:rPr>
            </w:pPr>
            <w:r>
              <w:rPr>
                <w:rFonts w:ascii="Arial Narrow" w:hAnsi="Arial Narrow"/>
                <w:b/>
                <w:sz w:val="18"/>
              </w:rPr>
              <w:t>Milioni di euro</w:t>
            </w:r>
          </w:p>
        </w:tc>
        <w:tc>
          <w:tcPr>
            <w:tcW w:w="2125" w:type="dxa"/>
            <w:gridSpan w:val="3"/>
            <w:shd w:val="clear" w:color="auto" w:fill="D9D9D9"/>
            <w:vAlign w:val="center"/>
          </w:tcPr>
          <w:p w14:paraId="67B441DD" w14:textId="77777777" w:rsidR="0035032B" w:rsidRDefault="0035032B" w:rsidP="00BF3957">
            <w:pPr>
              <w:spacing w:before="40" w:after="20"/>
              <w:jc w:val="center"/>
              <w:rPr>
                <w:rFonts w:ascii="Arial Narrow" w:hAnsi="Arial Narrow"/>
                <w:b/>
                <w:sz w:val="18"/>
              </w:rPr>
            </w:pPr>
            <w:r>
              <w:rPr>
                <w:rFonts w:ascii="Arial Narrow" w:hAnsi="Arial Narrow"/>
                <w:b/>
                <w:sz w:val="18"/>
              </w:rPr>
              <w:t>Variazioni %</w:t>
            </w:r>
          </w:p>
        </w:tc>
        <w:tc>
          <w:tcPr>
            <w:tcW w:w="2410" w:type="dxa"/>
            <w:gridSpan w:val="2"/>
            <w:shd w:val="clear" w:color="auto" w:fill="FFFFFF"/>
            <w:vAlign w:val="center"/>
          </w:tcPr>
          <w:p w14:paraId="094FA6E3" w14:textId="77777777" w:rsidR="0035032B" w:rsidRDefault="0035032B" w:rsidP="00BF3957">
            <w:pPr>
              <w:spacing w:before="40" w:after="20"/>
              <w:jc w:val="center"/>
              <w:rPr>
                <w:rFonts w:ascii="Arial Narrow" w:hAnsi="Arial Narrow"/>
                <w:b/>
                <w:sz w:val="18"/>
              </w:rPr>
            </w:pPr>
            <w:r>
              <w:rPr>
                <w:rFonts w:ascii="Arial Narrow" w:hAnsi="Arial Narrow"/>
                <w:b/>
                <w:sz w:val="18"/>
              </w:rPr>
              <w:t>Milioni di euro</w:t>
            </w:r>
          </w:p>
        </w:tc>
        <w:tc>
          <w:tcPr>
            <w:tcW w:w="2834" w:type="dxa"/>
            <w:gridSpan w:val="2"/>
            <w:shd w:val="clear" w:color="auto" w:fill="D9D9D9"/>
            <w:vAlign w:val="center"/>
          </w:tcPr>
          <w:p w14:paraId="4FC1FFA5" w14:textId="77777777" w:rsidR="0035032B" w:rsidRDefault="0035032B" w:rsidP="00BF3957">
            <w:pPr>
              <w:jc w:val="center"/>
            </w:pPr>
            <w:r>
              <w:rPr>
                <w:rFonts w:ascii="Arial Narrow" w:hAnsi="Arial Narrow"/>
                <w:b/>
                <w:sz w:val="18"/>
              </w:rPr>
              <w:t>Variazioni %</w:t>
            </w:r>
          </w:p>
        </w:tc>
      </w:tr>
      <w:tr w:rsidR="0035032B" w14:paraId="5ED77204" w14:textId="77777777" w:rsidTr="00BF3957">
        <w:trPr>
          <w:trHeight w:val="255"/>
          <w:jc w:val="center"/>
        </w:trPr>
        <w:tc>
          <w:tcPr>
            <w:tcW w:w="1560" w:type="dxa"/>
            <w:vMerge/>
            <w:vAlign w:val="bottom"/>
          </w:tcPr>
          <w:p w14:paraId="28426548" w14:textId="77777777" w:rsidR="0035032B" w:rsidRDefault="0035032B" w:rsidP="00BF3957">
            <w:pPr>
              <w:spacing w:before="40" w:after="20"/>
              <w:rPr>
                <w:rFonts w:ascii="Arial Narrow" w:hAnsi="Arial Narrow"/>
                <w:sz w:val="18"/>
              </w:rPr>
            </w:pPr>
          </w:p>
        </w:tc>
        <w:tc>
          <w:tcPr>
            <w:tcW w:w="1291" w:type="dxa"/>
            <w:gridSpan w:val="2"/>
            <w:shd w:val="clear" w:color="auto" w:fill="FFFFFF"/>
            <w:vAlign w:val="center"/>
          </w:tcPr>
          <w:p w14:paraId="16345047" w14:textId="5F9D2AEA" w:rsidR="0035032B" w:rsidRDefault="00F858C1" w:rsidP="00BF3957">
            <w:pPr>
              <w:spacing w:before="40" w:after="20"/>
              <w:jc w:val="center"/>
              <w:rPr>
                <w:rFonts w:ascii="Arial Narrow" w:hAnsi="Arial Narrow"/>
                <w:sz w:val="18"/>
                <w:szCs w:val="18"/>
              </w:rPr>
            </w:pPr>
            <w:r>
              <w:rPr>
                <w:rFonts w:ascii="Arial Narrow" w:hAnsi="Arial Narrow"/>
                <w:sz w:val="18"/>
                <w:szCs w:val="18"/>
              </w:rPr>
              <w:t>ott</w:t>
            </w:r>
            <w:r w:rsidR="0035032B">
              <w:rPr>
                <w:rFonts w:ascii="Arial Narrow" w:hAnsi="Arial Narrow"/>
                <w:sz w:val="18"/>
                <w:szCs w:val="18"/>
              </w:rPr>
              <w:t xml:space="preserve"> 2022</w:t>
            </w:r>
          </w:p>
        </w:tc>
        <w:tc>
          <w:tcPr>
            <w:tcW w:w="944" w:type="dxa"/>
            <w:shd w:val="clear" w:color="auto" w:fill="FFFFFF"/>
            <w:vAlign w:val="center"/>
          </w:tcPr>
          <w:p w14:paraId="6FF87474" w14:textId="21E5E077" w:rsidR="0035032B" w:rsidRDefault="00F858C1" w:rsidP="00BF3957">
            <w:pPr>
              <w:spacing w:before="40" w:after="20"/>
              <w:jc w:val="center"/>
              <w:rPr>
                <w:rFonts w:ascii="Arial Narrow" w:hAnsi="Arial Narrow"/>
                <w:sz w:val="18"/>
                <w:szCs w:val="18"/>
                <w:u w:val="single"/>
              </w:rPr>
            </w:pPr>
            <w:r>
              <w:rPr>
                <w:rFonts w:ascii="Arial Narrow" w:hAnsi="Arial Narrow"/>
                <w:sz w:val="18"/>
                <w:szCs w:val="18"/>
                <w:u w:val="single"/>
              </w:rPr>
              <w:t>ott</w:t>
            </w:r>
            <w:r w:rsidR="0035032B">
              <w:rPr>
                <w:rFonts w:ascii="Arial Narrow" w:hAnsi="Arial Narrow"/>
                <w:sz w:val="18"/>
                <w:szCs w:val="18"/>
                <w:u w:val="single"/>
              </w:rPr>
              <w:t xml:space="preserve"> 22</w:t>
            </w:r>
          </w:p>
          <w:p w14:paraId="29987CFB" w14:textId="66EB0484" w:rsidR="0035032B" w:rsidRDefault="00F858C1" w:rsidP="00BF3957">
            <w:pPr>
              <w:spacing w:before="40" w:after="20"/>
              <w:jc w:val="center"/>
              <w:rPr>
                <w:rFonts w:ascii="Arial Narrow" w:hAnsi="Arial Narrow"/>
                <w:sz w:val="18"/>
                <w:szCs w:val="18"/>
                <w:u w:val="single"/>
              </w:rPr>
            </w:pPr>
            <w:r>
              <w:rPr>
                <w:rFonts w:ascii="Arial Narrow" w:hAnsi="Arial Narrow"/>
                <w:sz w:val="18"/>
                <w:szCs w:val="18"/>
              </w:rPr>
              <w:t>set</w:t>
            </w:r>
            <w:r w:rsidR="0035032B">
              <w:rPr>
                <w:rFonts w:ascii="Arial Narrow" w:hAnsi="Arial Narrow"/>
                <w:sz w:val="18"/>
                <w:szCs w:val="18"/>
              </w:rPr>
              <w:t xml:space="preserve"> 22</w:t>
            </w:r>
          </w:p>
        </w:tc>
        <w:tc>
          <w:tcPr>
            <w:tcW w:w="1167" w:type="dxa"/>
            <w:shd w:val="clear" w:color="auto" w:fill="FFFFFF"/>
            <w:vAlign w:val="center"/>
          </w:tcPr>
          <w:p w14:paraId="59FF5FF4" w14:textId="07937B03" w:rsidR="0035032B" w:rsidRDefault="00F858C1" w:rsidP="00BF3957">
            <w:pPr>
              <w:spacing w:before="40" w:after="20"/>
              <w:jc w:val="center"/>
              <w:rPr>
                <w:rFonts w:ascii="Arial Narrow" w:hAnsi="Arial Narrow"/>
                <w:sz w:val="18"/>
                <w:szCs w:val="18"/>
                <w:u w:val="single"/>
              </w:rPr>
            </w:pPr>
            <w:r>
              <w:rPr>
                <w:rFonts w:ascii="Arial Narrow" w:hAnsi="Arial Narrow"/>
                <w:sz w:val="18"/>
                <w:szCs w:val="18"/>
                <w:u w:val="single"/>
              </w:rPr>
              <w:t>ago</w:t>
            </w:r>
            <w:r w:rsidR="006B4B70">
              <w:rPr>
                <w:rFonts w:ascii="Arial Narrow" w:hAnsi="Arial Narrow"/>
                <w:sz w:val="18"/>
                <w:szCs w:val="18"/>
                <w:u w:val="single"/>
              </w:rPr>
              <w:t>-</w:t>
            </w:r>
            <w:r>
              <w:rPr>
                <w:rFonts w:ascii="Arial Narrow" w:hAnsi="Arial Narrow"/>
                <w:sz w:val="18"/>
                <w:szCs w:val="18"/>
                <w:u w:val="single"/>
              </w:rPr>
              <w:t>ott</w:t>
            </w:r>
            <w:r w:rsidR="0035032B">
              <w:rPr>
                <w:rFonts w:ascii="Arial Narrow" w:hAnsi="Arial Narrow"/>
                <w:sz w:val="18"/>
                <w:szCs w:val="18"/>
                <w:u w:val="single"/>
              </w:rPr>
              <w:t xml:space="preserve"> 22</w:t>
            </w:r>
          </w:p>
          <w:p w14:paraId="35110B61" w14:textId="72C17C54" w:rsidR="0035032B" w:rsidRDefault="00F858C1" w:rsidP="00F858C1">
            <w:pPr>
              <w:spacing w:before="40" w:after="20"/>
              <w:jc w:val="center"/>
              <w:rPr>
                <w:rFonts w:ascii="Arial Narrow" w:hAnsi="Arial Narrow"/>
                <w:sz w:val="18"/>
                <w:szCs w:val="18"/>
              </w:rPr>
            </w:pPr>
            <w:r>
              <w:rPr>
                <w:rFonts w:ascii="Arial Narrow" w:hAnsi="Arial Narrow"/>
                <w:sz w:val="18"/>
                <w:szCs w:val="18"/>
              </w:rPr>
              <w:t>mag</w:t>
            </w:r>
            <w:r w:rsidR="0035032B">
              <w:rPr>
                <w:rFonts w:ascii="Arial Narrow" w:hAnsi="Arial Narrow"/>
                <w:sz w:val="18"/>
                <w:szCs w:val="18"/>
              </w:rPr>
              <w:t>-</w:t>
            </w:r>
            <w:r>
              <w:rPr>
                <w:rFonts w:ascii="Arial Narrow" w:hAnsi="Arial Narrow"/>
                <w:sz w:val="18"/>
                <w:szCs w:val="18"/>
              </w:rPr>
              <w:t>lug</w:t>
            </w:r>
            <w:r w:rsidR="0035032B">
              <w:rPr>
                <w:rFonts w:ascii="Arial Narrow" w:hAnsi="Arial Narrow"/>
                <w:sz w:val="18"/>
                <w:szCs w:val="18"/>
              </w:rPr>
              <w:t xml:space="preserve"> 2</w:t>
            </w:r>
            <w:r w:rsidR="00AF654C">
              <w:rPr>
                <w:rFonts w:ascii="Arial Narrow" w:hAnsi="Arial Narrow"/>
                <w:sz w:val="18"/>
                <w:szCs w:val="18"/>
              </w:rPr>
              <w:t>2</w:t>
            </w:r>
          </w:p>
        </w:tc>
        <w:tc>
          <w:tcPr>
            <w:tcW w:w="858" w:type="dxa"/>
            <w:shd w:val="clear" w:color="auto" w:fill="FFFFFF"/>
            <w:vAlign w:val="center"/>
          </w:tcPr>
          <w:p w14:paraId="69EE45C1" w14:textId="60D3AE90" w:rsidR="0035032B" w:rsidRDefault="00F858C1" w:rsidP="00BF3957">
            <w:pPr>
              <w:spacing w:before="40" w:after="20"/>
              <w:jc w:val="center"/>
              <w:rPr>
                <w:rFonts w:ascii="Arial Narrow" w:hAnsi="Arial Narrow"/>
                <w:sz w:val="18"/>
                <w:szCs w:val="18"/>
              </w:rPr>
            </w:pPr>
            <w:r>
              <w:rPr>
                <w:rFonts w:ascii="Arial Narrow" w:hAnsi="Arial Narrow"/>
                <w:sz w:val="18"/>
                <w:szCs w:val="18"/>
              </w:rPr>
              <w:t>ott</w:t>
            </w:r>
            <w:r w:rsidR="0035032B">
              <w:rPr>
                <w:rFonts w:ascii="Arial Narrow" w:hAnsi="Arial Narrow"/>
                <w:sz w:val="18"/>
                <w:szCs w:val="18"/>
              </w:rPr>
              <w:t xml:space="preserve"> 2022</w:t>
            </w:r>
          </w:p>
        </w:tc>
        <w:tc>
          <w:tcPr>
            <w:tcW w:w="1552" w:type="dxa"/>
            <w:shd w:val="clear" w:color="auto" w:fill="FFFFFF"/>
            <w:vAlign w:val="center"/>
          </w:tcPr>
          <w:p w14:paraId="74F6DBD2" w14:textId="21866BDD" w:rsidR="0035032B" w:rsidRDefault="0035032B" w:rsidP="00F858C1">
            <w:pPr>
              <w:spacing w:before="40" w:after="20"/>
              <w:jc w:val="center"/>
              <w:rPr>
                <w:rFonts w:ascii="Arial Narrow" w:hAnsi="Arial Narrow"/>
                <w:sz w:val="18"/>
                <w:szCs w:val="18"/>
              </w:rPr>
            </w:pPr>
            <w:r>
              <w:rPr>
                <w:rFonts w:ascii="Arial Narrow" w:hAnsi="Arial Narrow"/>
                <w:sz w:val="18"/>
                <w:szCs w:val="18"/>
              </w:rPr>
              <w:t>gen-</w:t>
            </w:r>
            <w:r w:rsidR="00F858C1">
              <w:rPr>
                <w:rFonts w:ascii="Arial Narrow" w:hAnsi="Arial Narrow"/>
                <w:sz w:val="18"/>
                <w:szCs w:val="18"/>
              </w:rPr>
              <w:t>ott</w:t>
            </w:r>
            <w:r>
              <w:rPr>
                <w:rFonts w:ascii="Arial Narrow" w:hAnsi="Arial Narrow"/>
                <w:sz w:val="18"/>
                <w:szCs w:val="18"/>
              </w:rPr>
              <w:t xml:space="preserve"> 22</w:t>
            </w:r>
          </w:p>
        </w:tc>
        <w:tc>
          <w:tcPr>
            <w:tcW w:w="1291" w:type="dxa"/>
            <w:shd w:val="clear" w:color="auto" w:fill="FFFFFF"/>
            <w:vAlign w:val="center"/>
          </w:tcPr>
          <w:p w14:paraId="3D5BF7E8" w14:textId="0A2955A6" w:rsidR="0035032B" w:rsidRDefault="00F858C1" w:rsidP="00BF3957">
            <w:pPr>
              <w:spacing w:before="40" w:after="20"/>
              <w:jc w:val="center"/>
              <w:rPr>
                <w:rFonts w:ascii="Arial Narrow" w:hAnsi="Arial Narrow"/>
                <w:sz w:val="18"/>
                <w:szCs w:val="18"/>
                <w:u w:val="single"/>
              </w:rPr>
            </w:pPr>
            <w:r>
              <w:rPr>
                <w:rFonts w:ascii="Arial Narrow" w:hAnsi="Arial Narrow"/>
                <w:sz w:val="18"/>
                <w:szCs w:val="18"/>
                <w:u w:val="single"/>
              </w:rPr>
              <w:t>ott</w:t>
            </w:r>
            <w:r w:rsidR="0035032B">
              <w:rPr>
                <w:rFonts w:ascii="Arial Narrow" w:hAnsi="Arial Narrow"/>
                <w:sz w:val="18"/>
                <w:szCs w:val="18"/>
                <w:u w:val="single"/>
              </w:rPr>
              <w:t xml:space="preserve"> 22</w:t>
            </w:r>
          </w:p>
          <w:p w14:paraId="0C42596C" w14:textId="4D2A17D1" w:rsidR="0035032B" w:rsidRDefault="00F858C1" w:rsidP="00BF3957">
            <w:pPr>
              <w:spacing w:before="40" w:after="20"/>
              <w:jc w:val="center"/>
              <w:rPr>
                <w:rFonts w:ascii="Arial Narrow" w:hAnsi="Arial Narrow"/>
                <w:sz w:val="18"/>
                <w:szCs w:val="18"/>
                <w:u w:val="single"/>
              </w:rPr>
            </w:pPr>
            <w:r>
              <w:rPr>
                <w:rFonts w:ascii="Arial Narrow" w:hAnsi="Arial Narrow"/>
                <w:sz w:val="18"/>
                <w:szCs w:val="18"/>
              </w:rPr>
              <w:t>ott</w:t>
            </w:r>
            <w:r w:rsidR="0035032B">
              <w:rPr>
                <w:rFonts w:ascii="Arial Narrow" w:hAnsi="Arial Narrow"/>
                <w:sz w:val="18"/>
                <w:szCs w:val="18"/>
              </w:rPr>
              <w:t xml:space="preserve"> 21</w:t>
            </w:r>
          </w:p>
        </w:tc>
        <w:tc>
          <w:tcPr>
            <w:tcW w:w="1543" w:type="dxa"/>
            <w:shd w:val="clear" w:color="auto" w:fill="FFFFFF"/>
            <w:vAlign w:val="center"/>
          </w:tcPr>
          <w:p w14:paraId="686D4B6A" w14:textId="14CE835E" w:rsidR="0035032B" w:rsidRDefault="0035032B" w:rsidP="00BF3957">
            <w:pPr>
              <w:spacing w:before="40" w:after="20"/>
              <w:jc w:val="center"/>
              <w:rPr>
                <w:rFonts w:ascii="Arial Narrow" w:hAnsi="Arial Narrow"/>
                <w:sz w:val="18"/>
                <w:szCs w:val="18"/>
                <w:u w:val="single"/>
              </w:rPr>
            </w:pPr>
            <w:r>
              <w:rPr>
                <w:rFonts w:ascii="Arial Narrow" w:hAnsi="Arial Narrow"/>
                <w:sz w:val="18"/>
                <w:szCs w:val="18"/>
                <w:u w:val="single"/>
              </w:rPr>
              <w:t>gen-</w:t>
            </w:r>
            <w:r w:rsidR="00F858C1">
              <w:rPr>
                <w:rFonts w:ascii="Arial Narrow" w:hAnsi="Arial Narrow"/>
                <w:sz w:val="18"/>
                <w:szCs w:val="18"/>
                <w:u w:val="single"/>
              </w:rPr>
              <w:t>ott</w:t>
            </w:r>
            <w:r>
              <w:rPr>
                <w:rFonts w:ascii="Arial Narrow" w:hAnsi="Arial Narrow"/>
                <w:sz w:val="18"/>
                <w:szCs w:val="18"/>
                <w:u w:val="single"/>
              </w:rPr>
              <w:t xml:space="preserve"> 22</w:t>
            </w:r>
          </w:p>
          <w:p w14:paraId="43F310C7" w14:textId="7816F53A" w:rsidR="0035032B" w:rsidRDefault="0035032B" w:rsidP="00F858C1">
            <w:pPr>
              <w:spacing w:before="40" w:after="20"/>
              <w:jc w:val="center"/>
              <w:rPr>
                <w:rFonts w:ascii="Arial Narrow" w:hAnsi="Arial Narrow"/>
                <w:sz w:val="18"/>
                <w:szCs w:val="18"/>
                <w:u w:val="single"/>
              </w:rPr>
            </w:pPr>
            <w:r>
              <w:rPr>
                <w:rFonts w:ascii="Arial Narrow" w:hAnsi="Arial Narrow"/>
                <w:sz w:val="18"/>
                <w:szCs w:val="18"/>
              </w:rPr>
              <w:t>gen-</w:t>
            </w:r>
            <w:r w:rsidR="00F858C1">
              <w:rPr>
                <w:rFonts w:ascii="Arial Narrow" w:hAnsi="Arial Narrow"/>
                <w:sz w:val="18"/>
                <w:szCs w:val="18"/>
              </w:rPr>
              <w:t>ott</w:t>
            </w:r>
            <w:r>
              <w:rPr>
                <w:rFonts w:ascii="Arial Narrow" w:hAnsi="Arial Narrow"/>
                <w:sz w:val="18"/>
                <w:szCs w:val="18"/>
              </w:rPr>
              <w:t xml:space="preserve"> 21</w:t>
            </w:r>
          </w:p>
        </w:tc>
      </w:tr>
      <w:tr w:rsidR="00C45789" w:rsidRPr="00994790" w14:paraId="07174D1A" w14:textId="77777777" w:rsidTr="00BF3957">
        <w:trPr>
          <w:trHeight w:val="255"/>
          <w:jc w:val="center"/>
        </w:trPr>
        <w:tc>
          <w:tcPr>
            <w:tcW w:w="1560" w:type="dxa"/>
            <w:vAlign w:val="bottom"/>
          </w:tcPr>
          <w:p w14:paraId="0A3DE77C" w14:textId="77777777" w:rsidR="00C45789" w:rsidRDefault="00C45789" w:rsidP="00C45789">
            <w:pPr>
              <w:spacing w:before="40"/>
              <w:rPr>
                <w:rFonts w:ascii="Arial Narrow" w:hAnsi="Arial Narrow"/>
                <w:sz w:val="18"/>
              </w:rPr>
            </w:pPr>
            <w:r>
              <w:rPr>
                <w:rFonts w:ascii="Arial Narrow" w:hAnsi="Arial Narrow"/>
                <w:sz w:val="18"/>
              </w:rPr>
              <w:t>Esportazioni</w:t>
            </w:r>
          </w:p>
        </w:tc>
        <w:tc>
          <w:tcPr>
            <w:tcW w:w="1291" w:type="dxa"/>
            <w:gridSpan w:val="2"/>
            <w:shd w:val="clear" w:color="auto" w:fill="D9D9D9"/>
            <w:vAlign w:val="bottom"/>
          </w:tcPr>
          <w:p w14:paraId="03E64655" w14:textId="287E3E56" w:rsidR="00C45789" w:rsidRDefault="00C45789" w:rsidP="00C45789">
            <w:pPr>
              <w:jc w:val="center"/>
              <w:rPr>
                <w:rFonts w:ascii="Arial Narrow" w:hAnsi="Arial Narrow"/>
                <w:sz w:val="18"/>
                <w:szCs w:val="18"/>
              </w:rPr>
            </w:pPr>
            <w:r>
              <w:rPr>
                <w:rFonts w:ascii="Arial Narrow" w:hAnsi="Arial Narrow"/>
                <w:sz w:val="18"/>
                <w:szCs w:val="18"/>
              </w:rPr>
              <w:t>+24.581</w:t>
            </w:r>
          </w:p>
        </w:tc>
        <w:tc>
          <w:tcPr>
            <w:tcW w:w="944" w:type="dxa"/>
            <w:shd w:val="clear" w:color="auto" w:fill="FFFFFF"/>
            <w:vAlign w:val="bottom"/>
          </w:tcPr>
          <w:p w14:paraId="3424ECE4" w14:textId="03BBAC91" w:rsidR="00C45789" w:rsidRDefault="00C45789" w:rsidP="00C45789">
            <w:pPr>
              <w:jc w:val="center"/>
              <w:rPr>
                <w:rFonts w:ascii="Arial Narrow" w:hAnsi="Arial Narrow"/>
                <w:sz w:val="18"/>
                <w:szCs w:val="18"/>
              </w:rPr>
            </w:pPr>
            <w:r>
              <w:rPr>
                <w:rFonts w:ascii="Arial Narrow" w:hAnsi="Arial Narrow"/>
                <w:sz w:val="18"/>
                <w:szCs w:val="18"/>
              </w:rPr>
              <w:t>-4,3</w:t>
            </w:r>
          </w:p>
        </w:tc>
        <w:tc>
          <w:tcPr>
            <w:tcW w:w="1167" w:type="dxa"/>
            <w:shd w:val="clear" w:color="auto" w:fill="D9D9D9"/>
            <w:vAlign w:val="bottom"/>
          </w:tcPr>
          <w:p w14:paraId="07A0C1A5" w14:textId="63F6A390" w:rsidR="00C45789" w:rsidRDefault="00C45789" w:rsidP="00C45789">
            <w:pPr>
              <w:jc w:val="center"/>
              <w:rPr>
                <w:rFonts w:ascii="Arial Narrow" w:hAnsi="Arial Narrow"/>
                <w:sz w:val="18"/>
                <w:szCs w:val="18"/>
              </w:rPr>
            </w:pPr>
            <w:r>
              <w:rPr>
                <w:rFonts w:ascii="Arial Narrow" w:hAnsi="Arial Narrow"/>
                <w:sz w:val="18"/>
                <w:szCs w:val="18"/>
              </w:rPr>
              <w:t>-1,5</w:t>
            </w:r>
          </w:p>
        </w:tc>
        <w:tc>
          <w:tcPr>
            <w:tcW w:w="858" w:type="dxa"/>
            <w:shd w:val="clear" w:color="auto" w:fill="FFFFFF"/>
            <w:vAlign w:val="bottom"/>
          </w:tcPr>
          <w:p w14:paraId="3D31901D" w14:textId="438C5357" w:rsidR="00C45789" w:rsidRDefault="00C45789" w:rsidP="00C45789">
            <w:pPr>
              <w:jc w:val="center"/>
              <w:rPr>
                <w:rFonts w:ascii="Arial Narrow" w:hAnsi="Arial Narrow"/>
                <w:sz w:val="18"/>
                <w:szCs w:val="18"/>
              </w:rPr>
            </w:pPr>
            <w:r>
              <w:rPr>
                <w:rFonts w:ascii="Arial Narrow" w:hAnsi="Arial Narrow"/>
                <w:sz w:val="18"/>
                <w:szCs w:val="18"/>
              </w:rPr>
              <w:t>+25.584</w:t>
            </w:r>
          </w:p>
        </w:tc>
        <w:tc>
          <w:tcPr>
            <w:tcW w:w="1552" w:type="dxa"/>
            <w:shd w:val="clear" w:color="auto" w:fill="D9D9D9"/>
            <w:vAlign w:val="bottom"/>
          </w:tcPr>
          <w:p w14:paraId="317272B7" w14:textId="5947191F" w:rsidR="00C45789" w:rsidRDefault="00C45789" w:rsidP="00C45789">
            <w:pPr>
              <w:jc w:val="center"/>
              <w:rPr>
                <w:rFonts w:ascii="Arial Narrow" w:hAnsi="Arial Narrow"/>
                <w:sz w:val="18"/>
                <w:szCs w:val="18"/>
              </w:rPr>
            </w:pPr>
            <w:r>
              <w:rPr>
                <w:rFonts w:ascii="Arial Narrow" w:hAnsi="Arial Narrow"/>
                <w:sz w:val="18"/>
                <w:szCs w:val="18"/>
              </w:rPr>
              <w:t>+240.302</w:t>
            </w:r>
          </w:p>
        </w:tc>
        <w:tc>
          <w:tcPr>
            <w:tcW w:w="1291" w:type="dxa"/>
            <w:shd w:val="clear" w:color="auto" w:fill="FFFFFF"/>
            <w:vAlign w:val="bottom"/>
          </w:tcPr>
          <w:p w14:paraId="0EA7A994" w14:textId="4859666D" w:rsidR="00C45789" w:rsidRDefault="00C45789" w:rsidP="00C45789">
            <w:pPr>
              <w:jc w:val="center"/>
              <w:rPr>
                <w:rFonts w:ascii="Arial Narrow" w:hAnsi="Arial Narrow"/>
                <w:sz w:val="18"/>
                <w:szCs w:val="18"/>
              </w:rPr>
            </w:pPr>
            <w:r>
              <w:rPr>
                <w:rFonts w:ascii="Arial Narrow" w:hAnsi="Arial Narrow"/>
                <w:sz w:val="18"/>
                <w:szCs w:val="18"/>
              </w:rPr>
              <w:t>+16,6</w:t>
            </w:r>
          </w:p>
        </w:tc>
        <w:tc>
          <w:tcPr>
            <w:tcW w:w="1543" w:type="dxa"/>
            <w:shd w:val="clear" w:color="auto" w:fill="D9D9D9"/>
            <w:vAlign w:val="bottom"/>
          </w:tcPr>
          <w:p w14:paraId="51215719" w14:textId="310B908D" w:rsidR="00C45789" w:rsidRDefault="00C45789" w:rsidP="00C45789">
            <w:pPr>
              <w:jc w:val="center"/>
              <w:rPr>
                <w:rFonts w:ascii="Arial Narrow" w:hAnsi="Arial Narrow"/>
                <w:sz w:val="18"/>
                <w:szCs w:val="18"/>
              </w:rPr>
            </w:pPr>
            <w:r>
              <w:rPr>
                <w:rFonts w:ascii="Arial Narrow" w:hAnsi="Arial Narrow"/>
                <w:sz w:val="18"/>
                <w:szCs w:val="18"/>
              </w:rPr>
              <w:t>+20,1</w:t>
            </w:r>
          </w:p>
        </w:tc>
      </w:tr>
      <w:tr w:rsidR="00C45789" w:rsidRPr="00994790" w14:paraId="33E72EA6" w14:textId="77777777" w:rsidTr="00BF3957">
        <w:trPr>
          <w:trHeight w:val="255"/>
          <w:jc w:val="center"/>
        </w:trPr>
        <w:tc>
          <w:tcPr>
            <w:tcW w:w="1560" w:type="dxa"/>
            <w:vAlign w:val="bottom"/>
          </w:tcPr>
          <w:p w14:paraId="23F58AF4" w14:textId="77777777" w:rsidR="00C45789" w:rsidRDefault="00C45789" w:rsidP="00C45789">
            <w:pPr>
              <w:spacing w:before="40"/>
              <w:rPr>
                <w:rFonts w:ascii="Arial Narrow" w:hAnsi="Arial Narrow"/>
                <w:sz w:val="18"/>
              </w:rPr>
            </w:pPr>
            <w:r>
              <w:rPr>
                <w:rFonts w:ascii="Arial Narrow" w:hAnsi="Arial Narrow"/>
                <w:sz w:val="18"/>
              </w:rPr>
              <w:t>Importazioni</w:t>
            </w:r>
          </w:p>
        </w:tc>
        <w:tc>
          <w:tcPr>
            <w:tcW w:w="1291" w:type="dxa"/>
            <w:gridSpan w:val="2"/>
            <w:shd w:val="clear" w:color="auto" w:fill="D9D9D9"/>
            <w:vAlign w:val="bottom"/>
          </w:tcPr>
          <w:p w14:paraId="1DE08870" w14:textId="7CBCFA1A" w:rsidR="00C45789" w:rsidRDefault="00C45789" w:rsidP="00C45789">
            <w:pPr>
              <w:jc w:val="center"/>
              <w:rPr>
                <w:rFonts w:ascii="Arial Narrow" w:hAnsi="Arial Narrow"/>
                <w:sz w:val="18"/>
                <w:szCs w:val="18"/>
              </w:rPr>
            </w:pPr>
            <w:r>
              <w:rPr>
                <w:rFonts w:ascii="Arial Narrow" w:hAnsi="Arial Narrow"/>
                <w:sz w:val="18"/>
                <w:szCs w:val="18"/>
              </w:rPr>
              <w:t>+27.700</w:t>
            </w:r>
          </w:p>
        </w:tc>
        <w:tc>
          <w:tcPr>
            <w:tcW w:w="944" w:type="dxa"/>
            <w:shd w:val="clear" w:color="auto" w:fill="FFFFFF"/>
            <w:vAlign w:val="bottom"/>
          </w:tcPr>
          <w:p w14:paraId="49DEE357" w14:textId="6D336D4F" w:rsidR="00C45789" w:rsidRDefault="00C45789" w:rsidP="00C45789">
            <w:pPr>
              <w:jc w:val="center"/>
              <w:rPr>
                <w:rFonts w:ascii="Arial Narrow" w:hAnsi="Arial Narrow"/>
                <w:sz w:val="18"/>
                <w:szCs w:val="18"/>
              </w:rPr>
            </w:pPr>
            <w:r>
              <w:rPr>
                <w:rFonts w:ascii="Arial Narrow" w:hAnsi="Arial Narrow"/>
                <w:sz w:val="18"/>
                <w:szCs w:val="18"/>
              </w:rPr>
              <w:t>-8,7</w:t>
            </w:r>
          </w:p>
        </w:tc>
        <w:tc>
          <w:tcPr>
            <w:tcW w:w="1167" w:type="dxa"/>
            <w:shd w:val="clear" w:color="auto" w:fill="D9D9D9"/>
            <w:vAlign w:val="bottom"/>
          </w:tcPr>
          <w:p w14:paraId="06C4525B" w14:textId="274C2B46" w:rsidR="00C45789" w:rsidRDefault="00C45789" w:rsidP="00C45789">
            <w:pPr>
              <w:jc w:val="center"/>
              <w:rPr>
                <w:rFonts w:ascii="Arial Narrow" w:hAnsi="Arial Narrow"/>
                <w:sz w:val="18"/>
                <w:szCs w:val="18"/>
              </w:rPr>
            </w:pPr>
            <w:r>
              <w:rPr>
                <w:rFonts w:ascii="Arial Narrow" w:hAnsi="Arial Narrow"/>
                <w:sz w:val="18"/>
                <w:szCs w:val="18"/>
              </w:rPr>
              <w:t>+4,6</w:t>
            </w:r>
          </w:p>
        </w:tc>
        <w:tc>
          <w:tcPr>
            <w:tcW w:w="858" w:type="dxa"/>
            <w:shd w:val="clear" w:color="auto" w:fill="FFFFFF"/>
            <w:vAlign w:val="bottom"/>
          </w:tcPr>
          <w:p w14:paraId="3498270E" w14:textId="1475ED56" w:rsidR="00C45789" w:rsidRDefault="00C45789" w:rsidP="00C45789">
            <w:pPr>
              <w:jc w:val="center"/>
              <w:rPr>
                <w:rFonts w:ascii="Arial Narrow" w:hAnsi="Arial Narrow"/>
                <w:sz w:val="18"/>
                <w:szCs w:val="18"/>
              </w:rPr>
            </w:pPr>
            <w:r>
              <w:rPr>
                <w:rFonts w:ascii="Arial Narrow" w:hAnsi="Arial Narrow"/>
                <w:sz w:val="18"/>
                <w:szCs w:val="18"/>
              </w:rPr>
              <w:t>+27.624</w:t>
            </w:r>
          </w:p>
        </w:tc>
        <w:tc>
          <w:tcPr>
            <w:tcW w:w="1552" w:type="dxa"/>
            <w:shd w:val="clear" w:color="auto" w:fill="D9D9D9"/>
            <w:vAlign w:val="bottom"/>
          </w:tcPr>
          <w:p w14:paraId="4C1F0E31" w14:textId="35F6F89C" w:rsidR="00C45789" w:rsidRDefault="00C45789" w:rsidP="00C45789">
            <w:pPr>
              <w:jc w:val="center"/>
              <w:rPr>
                <w:rFonts w:ascii="Arial Narrow" w:hAnsi="Arial Narrow"/>
                <w:sz w:val="18"/>
                <w:szCs w:val="18"/>
              </w:rPr>
            </w:pPr>
            <w:r>
              <w:rPr>
                <w:rFonts w:ascii="Arial Narrow" w:hAnsi="Arial Narrow"/>
                <w:sz w:val="18"/>
                <w:szCs w:val="18"/>
              </w:rPr>
              <w:t>+271.579</w:t>
            </w:r>
          </w:p>
        </w:tc>
        <w:tc>
          <w:tcPr>
            <w:tcW w:w="1291" w:type="dxa"/>
            <w:shd w:val="clear" w:color="auto" w:fill="FFFFFF"/>
            <w:vAlign w:val="bottom"/>
          </w:tcPr>
          <w:p w14:paraId="5E7039ED" w14:textId="0FF54AA9" w:rsidR="00C45789" w:rsidRDefault="00C45789" w:rsidP="00C45789">
            <w:pPr>
              <w:jc w:val="center"/>
              <w:rPr>
                <w:rFonts w:ascii="Arial Narrow" w:hAnsi="Arial Narrow"/>
                <w:sz w:val="18"/>
                <w:szCs w:val="18"/>
              </w:rPr>
            </w:pPr>
            <w:r>
              <w:rPr>
                <w:rFonts w:ascii="Arial Narrow" w:hAnsi="Arial Narrow"/>
                <w:sz w:val="18"/>
                <w:szCs w:val="18"/>
              </w:rPr>
              <w:t>+38,3</w:t>
            </w:r>
          </w:p>
        </w:tc>
        <w:tc>
          <w:tcPr>
            <w:tcW w:w="1543" w:type="dxa"/>
            <w:shd w:val="clear" w:color="auto" w:fill="D9D9D9"/>
            <w:vAlign w:val="bottom"/>
          </w:tcPr>
          <w:p w14:paraId="126B27EB" w14:textId="705838FC" w:rsidR="00C45789" w:rsidRDefault="00C45789" w:rsidP="00C45789">
            <w:pPr>
              <w:jc w:val="center"/>
              <w:rPr>
                <w:rFonts w:ascii="Arial Narrow" w:hAnsi="Arial Narrow"/>
                <w:sz w:val="18"/>
                <w:szCs w:val="18"/>
              </w:rPr>
            </w:pPr>
            <w:r>
              <w:rPr>
                <w:rFonts w:ascii="Arial Narrow" w:hAnsi="Arial Narrow"/>
                <w:sz w:val="18"/>
                <w:szCs w:val="18"/>
              </w:rPr>
              <w:t>+62,9</w:t>
            </w:r>
          </w:p>
        </w:tc>
      </w:tr>
      <w:tr w:rsidR="00C45789" w:rsidRPr="00994790" w14:paraId="3C3138FF" w14:textId="77777777" w:rsidTr="00BF3957">
        <w:trPr>
          <w:trHeight w:val="255"/>
          <w:jc w:val="center"/>
        </w:trPr>
        <w:tc>
          <w:tcPr>
            <w:tcW w:w="1560" w:type="dxa"/>
            <w:vAlign w:val="bottom"/>
          </w:tcPr>
          <w:p w14:paraId="46F56CB2" w14:textId="77777777" w:rsidR="00C45789" w:rsidRDefault="00C45789" w:rsidP="00C45789">
            <w:pPr>
              <w:spacing w:before="40"/>
              <w:rPr>
                <w:rFonts w:ascii="Arial Narrow" w:hAnsi="Arial Narrow"/>
                <w:sz w:val="18"/>
              </w:rPr>
            </w:pPr>
            <w:r>
              <w:rPr>
                <w:rFonts w:ascii="Arial Narrow" w:hAnsi="Arial Narrow"/>
                <w:sz w:val="18"/>
              </w:rPr>
              <w:t>Saldo</w:t>
            </w:r>
          </w:p>
        </w:tc>
        <w:tc>
          <w:tcPr>
            <w:tcW w:w="1291" w:type="dxa"/>
            <w:gridSpan w:val="2"/>
            <w:shd w:val="clear" w:color="auto" w:fill="D9D9D9"/>
            <w:vAlign w:val="bottom"/>
          </w:tcPr>
          <w:p w14:paraId="5057D310" w14:textId="2350D020" w:rsidR="00C45789" w:rsidRDefault="00C45789" w:rsidP="00C45789">
            <w:pPr>
              <w:jc w:val="center"/>
              <w:rPr>
                <w:rFonts w:ascii="Arial Narrow" w:hAnsi="Arial Narrow"/>
                <w:sz w:val="18"/>
                <w:szCs w:val="18"/>
              </w:rPr>
            </w:pPr>
            <w:r>
              <w:rPr>
                <w:rFonts w:ascii="Arial Narrow" w:hAnsi="Arial Narrow"/>
                <w:sz w:val="18"/>
                <w:szCs w:val="18"/>
              </w:rPr>
              <w:t>-3.119</w:t>
            </w:r>
          </w:p>
        </w:tc>
        <w:tc>
          <w:tcPr>
            <w:tcW w:w="944" w:type="dxa"/>
            <w:shd w:val="clear" w:color="auto" w:fill="FFFFFF"/>
            <w:vAlign w:val="bottom"/>
          </w:tcPr>
          <w:p w14:paraId="5448E3F4" w14:textId="1D8B4725" w:rsidR="00C45789" w:rsidRDefault="00C45789" w:rsidP="00C45789">
            <w:pPr>
              <w:jc w:val="center"/>
              <w:rPr>
                <w:rFonts w:ascii="Arial Narrow" w:hAnsi="Arial Narrow"/>
                <w:sz w:val="18"/>
                <w:szCs w:val="18"/>
              </w:rPr>
            </w:pPr>
            <w:r>
              <w:rPr>
                <w:rFonts w:ascii="Arial Narrow" w:hAnsi="Arial Narrow"/>
                <w:sz w:val="18"/>
                <w:szCs w:val="18"/>
              </w:rPr>
              <w:t> </w:t>
            </w:r>
          </w:p>
        </w:tc>
        <w:tc>
          <w:tcPr>
            <w:tcW w:w="1167" w:type="dxa"/>
            <w:shd w:val="clear" w:color="auto" w:fill="D9D9D9"/>
            <w:vAlign w:val="bottom"/>
          </w:tcPr>
          <w:p w14:paraId="0B5DEB00" w14:textId="27C6EBA5" w:rsidR="00C45789" w:rsidRDefault="00C45789" w:rsidP="00C45789">
            <w:pPr>
              <w:jc w:val="center"/>
              <w:rPr>
                <w:rFonts w:ascii="Arial Narrow" w:hAnsi="Arial Narrow"/>
                <w:sz w:val="18"/>
                <w:szCs w:val="18"/>
              </w:rPr>
            </w:pPr>
            <w:r>
              <w:rPr>
                <w:rFonts w:ascii="Arial Narrow" w:hAnsi="Arial Narrow"/>
                <w:sz w:val="18"/>
                <w:szCs w:val="18"/>
              </w:rPr>
              <w:t> </w:t>
            </w:r>
          </w:p>
        </w:tc>
        <w:tc>
          <w:tcPr>
            <w:tcW w:w="858" w:type="dxa"/>
            <w:shd w:val="clear" w:color="auto" w:fill="FFFFFF"/>
            <w:vAlign w:val="bottom"/>
          </w:tcPr>
          <w:p w14:paraId="2D0D0CEF" w14:textId="73F27220" w:rsidR="00C45789" w:rsidRDefault="00C45789" w:rsidP="00C45789">
            <w:pPr>
              <w:jc w:val="center"/>
              <w:rPr>
                <w:rFonts w:ascii="Arial Narrow" w:hAnsi="Arial Narrow"/>
                <w:sz w:val="18"/>
                <w:szCs w:val="18"/>
              </w:rPr>
            </w:pPr>
            <w:r>
              <w:rPr>
                <w:rFonts w:ascii="Arial Narrow" w:hAnsi="Arial Narrow"/>
                <w:sz w:val="18"/>
                <w:szCs w:val="18"/>
              </w:rPr>
              <w:t>-2.040</w:t>
            </w:r>
          </w:p>
        </w:tc>
        <w:tc>
          <w:tcPr>
            <w:tcW w:w="1552" w:type="dxa"/>
            <w:shd w:val="clear" w:color="auto" w:fill="D9D9D9"/>
            <w:vAlign w:val="bottom"/>
          </w:tcPr>
          <w:p w14:paraId="68B5ED8F" w14:textId="2A2B391D" w:rsidR="00C45789" w:rsidRDefault="00C45789" w:rsidP="00C45789">
            <w:pPr>
              <w:jc w:val="center"/>
              <w:rPr>
                <w:rFonts w:ascii="Arial Narrow" w:hAnsi="Arial Narrow"/>
                <w:sz w:val="18"/>
                <w:szCs w:val="18"/>
              </w:rPr>
            </w:pPr>
            <w:r>
              <w:rPr>
                <w:rFonts w:ascii="Arial Narrow" w:hAnsi="Arial Narrow"/>
                <w:sz w:val="18"/>
                <w:szCs w:val="18"/>
              </w:rPr>
              <w:t>-31.277</w:t>
            </w:r>
          </w:p>
        </w:tc>
        <w:tc>
          <w:tcPr>
            <w:tcW w:w="1291" w:type="dxa"/>
            <w:shd w:val="clear" w:color="auto" w:fill="FFFFFF"/>
            <w:vAlign w:val="bottom"/>
          </w:tcPr>
          <w:p w14:paraId="266784C1" w14:textId="05057684" w:rsidR="00C45789" w:rsidRDefault="00C45789" w:rsidP="00C45789">
            <w:pPr>
              <w:jc w:val="center"/>
              <w:rPr>
                <w:rFonts w:ascii="Arial Narrow" w:hAnsi="Arial Narrow"/>
                <w:sz w:val="18"/>
                <w:szCs w:val="18"/>
              </w:rPr>
            </w:pPr>
            <w:r>
              <w:rPr>
                <w:rFonts w:ascii="Arial Narrow" w:hAnsi="Arial Narrow"/>
                <w:sz w:val="18"/>
                <w:szCs w:val="18"/>
              </w:rPr>
              <w:t> </w:t>
            </w:r>
          </w:p>
        </w:tc>
        <w:tc>
          <w:tcPr>
            <w:tcW w:w="1543" w:type="dxa"/>
            <w:shd w:val="clear" w:color="auto" w:fill="D9D9D9"/>
            <w:vAlign w:val="bottom"/>
          </w:tcPr>
          <w:p w14:paraId="6C5CB8FA" w14:textId="49859A4D" w:rsidR="00C45789" w:rsidRDefault="00C45789" w:rsidP="00C45789">
            <w:pPr>
              <w:jc w:val="center"/>
              <w:rPr>
                <w:rFonts w:ascii="Arial Narrow" w:hAnsi="Arial Narrow"/>
                <w:sz w:val="18"/>
                <w:szCs w:val="18"/>
              </w:rPr>
            </w:pPr>
            <w:r>
              <w:rPr>
                <w:rFonts w:ascii="Arial Narrow" w:hAnsi="Arial Narrow"/>
                <w:sz w:val="18"/>
                <w:szCs w:val="18"/>
              </w:rPr>
              <w:t> </w:t>
            </w:r>
          </w:p>
        </w:tc>
      </w:tr>
    </w:tbl>
    <w:p w14:paraId="160FE34F" w14:textId="68E7D5BF" w:rsidR="00A651E1" w:rsidRDefault="00E32477">
      <w:pPr>
        <w:pStyle w:val="Corpotesto"/>
        <w:numPr>
          <w:ilvl w:val="0"/>
          <w:numId w:val="23"/>
        </w:numPr>
        <w:tabs>
          <w:tab w:val="left" w:pos="284"/>
        </w:tabs>
        <w:spacing w:before="60" w:after="120" w:line="240" w:lineRule="auto"/>
        <w:ind w:left="0" w:firstLine="0"/>
        <w:jc w:val="both"/>
        <w:rPr>
          <w:rFonts w:ascii="Arial Narrow" w:hAnsi="Arial Narrow" w:cs="Arial"/>
          <w:b/>
          <w:sz w:val="15"/>
        </w:rPr>
      </w:pPr>
      <w:r>
        <w:rPr>
          <w:rFonts w:ascii="Arial Narrow" w:hAnsi="Arial Narrow" w:cs="Arial"/>
          <w:sz w:val="15"/>
        </w:rPr>
        <w:t>D</w:t>
      </w:r>
      <w:r w:rsidR="00E777A0">
        <w:rPr>
          <w:rFonts w:ascii="Arial Narrow" w:hAnsi="Arial Narrow" w:cs="Arial"/>
          <w:sz w:val="15"/>
        </w:rPr>
        <w:t>ati provvisori.</w:t>
      </w:r>
    </w:p>
    <w:p w14:paraId="7A9008E4" w14:textId="77777777" w:rsidR="006B6065" w:rsidRDefault="006B6065">
      <w:pPr>
        <w:rPr>
          <w:rStyle w:val="001TitoGraRed"/>
          <w:rFonts w:ascii="Arial Narrow" w:hAnsi="Arial Narrow"/>
          <w:b/>
          <w:color w:val="E42618"/>
          <w:sz w:val="22"/>
          <w:szCs w:val="22"/>
        </w:rPr>
      </w:pPr>
    </w:p>
    <w:p w14:paraId="02B1FFB4" w14:textId="4FD162EE" w:rsidR="00A651E1" w:rsidRDefault="00E777A0">
      <w:pPr>
        <w:rPr>
          <w:rFonts w:ascii="Arial Narrow" w:hAnsi="Arial Narrow" w:cs="Arial"/>
          <w:b/>
          <w:bCs/>
          <w:color w:val="5F5F5F"/>
          <w:sz w:val="22"/>
          <w:szCs w:val="22"/>
        </w:rPr>
      </w:pPr>
      <w:r>
        <w:rPr>
          <w:rStyle w:val="001TitoGraRed"/>
          <w:rFonts w:ascii="Arial Narrow" w:hAnsi="Arial Narrow"/>
          <w:b/>
          <w:color w:val="E42618"/>
          <w:sz w:val="22"/>
          <w:szCs w:val="22"/>
        </w:rPr>
        <w:t>FIGURA 3.</w:t>
      </w:r>
      <w:r>
        <w:rPr>
          <w:rFonts w:ascii="Arial Narrow" w:hAnsi="Arial Narrow"/>
          <w:b/>
          <w:sz w:val="22"/>
          <w:szCs w:val="22"/>
        </w:rPr>
        <w:t xml:space="preserve"> </w:t>
      </w:r>
      <w:r>
        <w:rPr>
          <w:rFonts w:ascii="Arial Narrow" w:hAnsi="Arial Narrow" w:cs="Arial"/>
          <w:b/>
          <w:bCs/>
          <w:color w:val="5F5F5F"/>
          <w:sz w:val="22"/>
          <w:szCs w:val="22"/>
        </w:rPr>
        <w:t>PRINCIPALI PARTNER COMMERCIALI EXTRA</w:t>
      </w:r>
      <w:r w:rsidR="002603B8">
        <w:rPr>
          <w:rFonts w:ascii="Arial Narrow" w:hAnsi="Arial Narrow" w:cs="Arial"/>
          <w:b/>
          <w:bCs/>
          <w:color w:val="5F5F5F"/>
          <w:sz w:val="22"/>
          <w:szCs w:val="22"/>
        </w:rPr>
        <w:t xml:space="preserve"> </w:t>
      </w:r>
      <w:r>
        <w:rPr>
          <w:rFonts w:ascii="Arial Narrow" w:hAnsi="Arial Narrow" w:cs="Arial"/>
          <w:b/>
          <w:bCs/>
          <w:color w:val="5F5F5F"/>
          <w:sz w:val="22"/>
          <w:szCs w:val="22"/>
        </w:rPr>
        <w:t>UE</w:t>
      </w:r>
      <w:r w:rsidR="006A6DA2">
        <w:rPr>
          <w:rFonts w:ascii="Arial Narrow" w:hAnsi="Arial Narrow" w:cs="Arial"/>
          <w:b/>
          <w:bCs/>
          <w:color w:val="5F5F5F"/>
          <w:sz w:val="22"/>
          <w:szCs w:val="22"/>
        </w:rPr>
        <w:t xml:space="preserve">27 </w:t>
      </w:r>
      <w:r w:rsidR="00041A5D">
        <w:rPr>
          <w:rFonts w:ascii="Arial Narrow" w:hAnsi="Arial Narrow" w:cs="Arial"/>
          <w:b/>
          <w:bCs/>
          <w:color w:val="5F5F5F"/>
          <w:sz w:val="22"/>
          <w:szCs w:val="22"/>
        </w:rPr>
        <w:t>(</w:t>
      </w:r>
      <w:r w:rsidR="00E32477">
        <w:rPr>
          <w:rFonts w:ascii="Arial Narrow" w:hAnsi="Arial Narrow" w:cs="Arial"/>
          <w:b/>
          <w:bCs/>
          <w:color w:val="5F5F5F"/>
          <w:sz w:val="22"/>
          <w:szCs w:val="22"/>
        </w:rPr>
        <w:t>a</w:t>
      </w:r>
      <w:r w:rsidR="00041A5D">
        <w:rPr>
          <w:rFonts w:ascii="Arial Narrow" w:hAnsi="Arial Narrow" w:cs="Arial"/>
          <w:b/>
          <w:bCs/>
          <w:color w:val="5F5F5F"/>
          <w:sz w:val="22"/>
          <w:szCs w:val="22"/>
        </w:rPr>
        <w:t>)</w:t>
      </w:r>
      <w:r>
        <w:rPr>
          <w:rFonts w:ascii="Arial Narrow" w:hAnsi="Arial Narrow" w:cs="Arial"/>
          <w:b/>
          <w:bCs/>
          <w:color w:val="5F5F5F"/>
          <w:sz w:val="22"/>
          <w:szCs w:val="22"/>
        </w:rPr>
        <w:t xml:space="preserve">: CONTRIBUTI ALLA VARIAZIONE TENDENZIALE DELLE ESPORTAZIONI E VARIAZIONI PERCENTUALI TENDENZIALI </w:t>
      </w:r>
    </w:p>
    <w:p w14:paraId="01AB4D06" w14:textId="300C63A3" w:rsidR="00A651E1" w:rsidRDefault="00F858C1">
      <w:pPr>
        <w:tabs>
          <w:tab w:val="left" w:pos="1365"/>
        </w:tabs>
      </w:pPr>
      <w:r>
        <w:rPr>
          <w:rFonts w:ascii="Arial Narrow" w:hAnsi="Arial Narrow" w:cs="Arial"/>
          <w:color w:val="5F5F5F"/>
          <w:sz w:val="20"/>
        </w:rPr>
        <w:t>Ottobre</w:t>
      </w:r>
      <w:r w:rsidR="0023747B">
        <w:rPr>
          <w:rFonts w:ascii="Arial Narrow" w:hAnsi="Arial Narrow" w:cs="Arial"/>
          <w:color w:val="5F5F5F"/>
          <w:sz w:val="20"/>
        </w:rPr>
        <w:t xml:space="preserve"> </w:t>
      </w:r>
      <w:r w:rsidR="0030302D">
        <w:rPr>
          <w:rFonts w:ascii="Arial Narrow" w:hAnsi="Arial Narrow" w:cs="Arial"/>
          <w:color w:val="5F5F5F"/>
          <w:sz w:val="20"/>
        </w:rPr>
        <w:t>202</w:t>
      </w:r>
      <w:r w:rsidR="008E367C">
        <w:rPr>
          <w:rFonts w:ascii="Arial Narrow" w:hAnsi="Arial Narrow" w:cs="Arial"/>
          <w:color w:val="5F5F5F"/>
          <w:sz w:val="20"/>
        </w:rPr>
        <w:t>2</w:t>
      </w:r>
      <w:r w:rsidR="008B2278" w:rsidRPr="008B2278">
        <w:rPr>
          <w:noProof/>
        </w:rPr>
        <w:t xml:space="preserve"> </w:t>
      </w:r>
      <w:r w:rsidR="00C45789">
        <w:rPr>
          <w:noProof/>
        </w:rPr>
        <w:drawing>
          <wp:inline distT="0" distB="0" distL="0" distR="0" wp14:anchorId="66573E80" wp14:editId="69A10AE1">
            <wp:extent cx="6660000" cy="2160000"/>
            <wp:effectExtent l="0" t="0" r="7620" b="0"/>
            <wp:docPr id="3" name="Gra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23B68E3D" w14:textId="780BD49A" w:rsidR="00A651E1" w:rsidRPr="009C2B9D" w:rsidRDefault="00041A5D" w:rsidP="00E32477">
      <w:pPr>
        <w:pStyle w:val="Corpotesto"/>
        <w:numPr>
          <w:ilvl w:val="0"/>
          <w:numId w:val="29"/>
        </w:numPr>
        <w:tabs>
          <w:tab w:val="left" w:pos="284"/>
        </w:tabs>
        <w:spacing w:before="60" w:after="120" w:line="240" w:lineRule="auto"/>
        <w:jc w:val="both"/>
        <w:rPr>
          <w:rFonts w:cs="Arial"/>
          <w:sz w:val="15"/>
        </w:rPr>
      </w:pPr>
      <w:r w:rsidRPr="009C2B9D">
        <w:rPr>
          <w:rFonts w:cs="Arial"/>
          <w:sz w:val="15"/>
        </w:rPr>
        <w:t xml:space="preserve">Il dato </w:t>
      </w:r>
      <w:r w:rsidR="009C2B9D" w:rsidRPr="009C2B9D">
        <w:rPr>
          <w:rFonts w:cs="Arial"/>
          <w:sz w:val="15"/>
        </w:rPr>
        <w:t xml:space="preserve">preliminare </w:t>
      </w:r>
      <w:r w:rsidRPr="009C2B9D">
        <w:rPr>
          <w:rFonts w:cs="Arial"/>
          <w:sz w:val="15"/>
        </w:rPr>
        <w:t xml:space="preserve">del Regno Unito </w:t>
      </w:r>
      <w:r w:rsidR="00897276" w:rsidRPr="009C2B9D">
        <w:rPr>
          <w:rFonts w:cs="Arial"/>
          <w:sz w:val="15"/>
        </w:rPr>
        <w:t>non comprende l’Irlanda del Nord</w:t>
      </w:r>
      <w:r w:rsidRPr="009C2B9D">
        <w:rPr>
          <w:rFonts w:cs="Arial"/>
          <w:sz w:val="15"/>
        </w:rPr>
        <w:t xml:space="preserve"> (</w:t>
      </w:r>
      <w:r w:rsidR="006D23B8" w:rsidRPr="009C2B9D">
        <w:rPr>
          <w:rFonts w:cs="Arial"/>
          <w:sz w:val="15"/>
        </w:rPr>
        <w:t xml:space="preserve">si </w:t>
      </w:r>
      <w:r w:rsidRPr="009C2B9D">
        <w:rPr>
          <w:rFonts w:cs="Arial"/>
          <w:sz w:val="15"/>
        </w:rPr>
        <w:t>ved</w:t>
      </w:r>
      <w:r w:rsidR="006D23B8" w:rsidRPr="009C2B9D">
        <w:rPr>
          <w:rFonts w:cs="Arial"/>
          <w:sz w:val="15"/>
        </w:rPr>
        <w:t>a</w:t>
      </w:r>
      <w:r w:rsidRPr="009C2B9D">
        <w:rPr>
          <w:rFonts w:cs="Arial"/>
          <w:sz w:val="15"/>
        </w:rPr>
        <w:t xml:space="preserve"> </w:t>
      </w:r>
      <w:r w:rsidR="005D5D9F" w:rsidRPr="009C2B9D">
        <w:rPr>
          <w:rFonts w:cs="Arial"/>
          <w:sz w:val="15"/>
        </w:rPr>
        <w:t xml:space="preserve">la </w:t>
      </w:r>
      <w:r w:rsidR="006D23B8" w:rsidRPr="009C2B9D">
        <w:rPr>
          <w:rFonts w:cs="Arial"/>
          <w:sz w:val="15"/>
        </w:rPr>
        <w:t>N</w:t>
      </w:r>
      <w:r w:rsidRPr="009C2B9D">
        <w:rPr>
          <w:rFonts w:cs="Arial"/>
          <w:sz w:val="15"/>
        </w:rPr>
        <w:t>ota metodologica).</w:t>
      </w:r>
    </w:p>
    <w:p w14:paraId="2D7B8755" w14:textId="77777777" w:rsidR="009B710E" w:rsidRPr="009B710E" w:rsidRDefault="009B710E">
      <w:pPr>
        <w:rPr>
          <w:rStyle w:val="001TitoGraRed"/>
          <w:rFonts w:ascii="Arial Narrow" w:hAnsi="Arial Narrow"/>
          <w:b/>
          <w:color w:val="E42618"/>
          <w:sz w:val="14"/>
          <w:szCs w:val="22"/>
        </w:rPr>
      </w:pPr>
    </w:p>
    <w:p w14:paraId="77039D85" w14:textId="23BE4ACA" w:rsidR="00A651E1" w:rsidRDefault="00E777A0">
      <w:pPr>
        <w:rPr>
          <w:color w:val="5F5F5F"/>
        </w:rPr>
      </w:pPr>
      <w:r>
        <w:rPr>
          <w:rStyle w:val="001TitoGraRed"/>
          <w:rFonts w:ascii="Arial Narrow" w:hAnsi="Arial Narrow"/>
          <w:b/>
          <w:color w:val="E42618"/>
          <w:sz w:val="22"/>
          <w:szCs w:val="22"/>
        </w:rPr>
        <w:t>FIGURA 4.</w:t>
      </w:r>
      <w:r>
        <w:rPr>
          <w:rFonts w:ascii="Arial Narrow" w:hAnsi="Arial Narrow"/>
          <w:b/>
          <w:sz w:val="22"/>
          <w:szCs w:val="22"/>
        </w:rPr>
        <w:t xml:space="preserve"> </w:t>
      </w:r>
      <w:r>
        <w:rPr>
          <w:rFonts w:ascii="Arial Narrow" w:hAnsi="Arial Narrow" w:cs="Arial"/>
          <w:b/>
          <w:bCs/>
          <w:color w:val="5F5F5F"/>
          <w:sz w:val="22"/>
          <w:szCs w:val="22"/>
        </w:rPr>
        <w:t>PRINCIPALI PARTNER COMMERCIALI EXTRA</w:t>
      </w:r>
      <w:r w:rsidR="002603B8">
        <w:rPr>
          <w:rFonts w:ascii="Arial Narrow" w:hAnsi="Arial Narrow" w:cs="Arial"/>
          <w:b/>
          <w:bCs/>
          <w:color w:val="5F5F5F"/>
          <w:sz w:val="22"/>
          <w:szCs w:val="22"/>
        </w:rPr>
        <w:t xml:space="preserve"> </w:t>
      </w:r>
      <w:r>
        <w:rPr>
          <w:rFonts w:ascii="Arial Narrow" w:hAnsi="Arial Narrow" w:cs="Arial"/>
          <w:b/>
          <w:bCs/>
          <w:color w:val="5F5F5F"/>
          <w:sz w:val="22"/>
          <w:szCs w:val="22"/>
        </w:rPr>
        <w:t>UE</w:t>
      </w:r>
      <w:r w:rsidR="00041A5D">
        <w:rPr>
          <w:rFonts w:ascii="Arial Narrow" w:hAnsi="Arial Narrow" w:cs="Arial"/>
          <w:b/>
          <w:bCs/>
          <w:color w:val="5F5F5F"/>
          <w:sz w:val="22"/>
          <w:szCs w:val="22"/>
        </w:rPr>
        <w:t xml:space="preserve"> </w:t>
      </w:r>
      <w:r w:rsidR="006A6DA2">
        <w:rPr>
          <w:rFonts w:ascii="Arial Narrow" w:hAnsi="Arial Narrow" w:cs="Arial"/>
          <w:b/>
          <w:bCs/>
          <w:color w:val="5F5F5F"/>
          <w:sz w:val="22"/>
          <w:szCs w:val="22"/>
        </w:rPr>
        <w:t xml:space="preserve">27 </w:t>
      </w:r>
      <w:r w:rsidR="00E32477">
        <w:rPr>
          <w:rFonts w:ascii="Arial Narrow" w:hAnsi="Arial Narrow" w:cs="Arial"/>
          <w:b/>
          <w:bCs/>
          <w:color w:val="5F5F5F"/>
          <w:sz w:val="22"/>
          <w:szCs w:val="22"/>
        </w:rPr>
        <w:t>(a</w:t>
      </w:r>
      <w:r w:rsidR="00041A5D">
        <w:rPr>
          <w:rFonts w:ascii="Arial Narrow" w:hAnsi="Arial Narrow" w:cs="Arial"/>
          <w:b/>
          <w:bCs/>
          <w:color w:val="5F5F5F"/>
          <w:sz w:val="22"/>
          <w:szCs w:val="22"/>
        </w:rPr>
        <w:t>)</w:t>
      </w:r>
      <w:r>
        <w:rPr>
          <w:rFonts w:ascii="Arial Narrow" w:hAnsi="Arial Narrow" w:cs="Arial"/>
          <w:b/>
          <w:bCs/>
          <w:color w:val="5F5F5F"/>
          <w:sz w:val="22"/>
          <w:szCs w:val="22"/>
        </w:rPr>
        <w:t>: CONTRIBUTI ALLA VARIAZIONE TENDENZIALE DELLE IMPORTAZIONI E VARIAZIONI PERCENTUALI TENDENZIALI</w:t>
      </w:r>
      <w:r>
        <w:rPr>
          <w:color w:val="5F5F5F"/>
        </w:rPr>
        <w:t xml:space="preserve"> </w:t>
      </w:r>
    </w:p>
    <w:p w14:paraId="60BEE8C2" w14:textId="1F014B08" w:rsidR="00436314" w:rsidRDefault="00F858C1">
      <w:pPr>
        <w:rPr>
          <w:rFonts w:ascii="Arial Narrow" w:hAnsi="Arial Narrow" w:cs="Arial"/>
          <w:color w:val="5F5F5F"/>
        </w:rPr>
      </w:pPr>
      <w:r>
        <w:rPr>
          <w:rFonts w:ascii="Arial Narrow" w:hAnsi="Arial Narrow" w:cs="Arial"/>
          <w:color w:val="5F5F5F"/>
          <w:sz w:val="20"/>
        </w:rPr>
        <w:t xml:space="preserve">Ottobre </w:t>
      </w:r>
      <w:r w:rsidR="0030302D">
        <w:rPr>
          <w:rFonts w:ascii="Arial Narrow" w:hAnsi="Arial Narrow" w:cs="Arial"/>
          <w:color w:val="5F5F5F"/>
          <w:sz w:val="20"/>
        </w:rPr>
        <w:t>202</w:t>
      </w:r>
      <w:r w:rsidR="008E367C">
        <w:rPr>
          <w:rFonts w:ascii="Arial Narrow" w:hAnsi="Arial Narrow" w:cs="Arial"/>
          <w:color w:val="5F5F5F"/>
          <w:sz w:val="20"/>
        </w:rPr>
        <w:t>2</w:t>
      </w:r>
    </w:p>
    <w:p w14:paraId="16F4349E" w14:textId="39DDE59F" w:rsidR="00436314" w:rsidRDefault="00C45789">
      <w:r>
        <w:rPr>
          <w:noProof/>
        </w:rPr>
        <w:drawing>
          <wp:inline distT="0" distB="0" distL="0" distR="0" wp14:anchorId="10BECD38" wp14:editId="6FA625DF">
            <wp:extent cx="6660000" cy="2160000"/>
            <wp:effectExtent l="0" t="0" r="7620" b="0"/>
            <wp:docPr id="7" name="Grafico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31935895" w14:textId="62D825CC" w:rsidR="00041A5D" w:rsidRPr="009C2B9D" w:rsidRDefault="00041A5D" w:rsidP="00E32477">
      <w:pPr>
        <w:pStyle w:val="Corpotesto"/>
        <w:numPr>
          <w:ilvl w:val="0"/>
          <w:numId w:val="30"/>
        </w:numPr>
        <w:tabs>
          <w:tab w:val="left" w:pos="284"/>
        </w:tabs>
        <w:spacing w:before="60" w:after="120" w:line="240" w:lineRule="auto"/>
        <w:jc w:val="both"/>
        <w:rPr>
          <w:rFonts w:cs="Arial"/>
          <w:sz w:val="15"/>
        </w:rPr>
      </w:pPr>
      <w:r w:rsidRPr="009C2B9D">
        <w:rPr>
          <w:rFonts w:cs="Arial"/>
          <w:sz w:val="15"/>
        </w:rPr>
        <w:t xml:space="preserve">Il dato </w:t>
      </w:r>
      <w:r w:rsidR="009C2B9D" w:rsidRPr="009C2B9D">
        <w:rPr>
          <w:rFonts w:cs="Arial"/>
          <w:sz w:val="15"/>
        </w:rPr>
        <w:t xml:space="preserve">preliminare </w:t>
      </w:r>
      <w:r w:rsidRPr="009C2B9D">
        <w:rPr>
          <w:rFonts w:cs="Arial"/>
          <w:sz w:val="15"/>
        </w:rPr>
        <w:t xml:space="preserve">del Regno Unito </w:t>
      </w:r>
      <w:r w:rsidR="00897276" w:rsidRPr="009C2B9D">
        <w:rPr>
          <w:rFonts w:cs="Arial"/>
          <w:sz w:val="15"/>
        </w:rPr>
        <w:t xml:space="preserve">non comprende l’Irlanda del Nord </w:t>
      </w:r>
      <w:r w:rsidRPr="009C2B9D">
        <w:rPr>
          <w:rFonts w:cs="Arial"/>
          <w:sz w:val="15"/>
        </w:rPr>
        <w:t>(</w:t>
      </w:r>
      <w:r w:rsidR="005D5D9F" w:rsidRPr="009C2B9D">
        <w:rPr>
          <w:rFonts w:cs="Arial"/>
          <w:sz w:val="15"/>
        </w:rPr>
        <w:t xml:space="preserve">si </w:t>
      </w:r>
      <w:r w:rsidRPr="009C2B9D">
        <w:rPr>
          <w:rFonts w:cs="Arial"/>
          <w:sz w:val="15"/>
        </w:rPr>
        <w:t>ved</w:t>
      </w:r>
      <w:r w:rsidR="005D5D9F" w:rsidRPr="009C2B9D">
        <w:rPr>
          <w:rFonts w:cs="Arial"/>
          <w:sz w:val="15"/>
        </w:rPr>
        <w:t>a</w:t>
      </w:r>
      <w:r w:rsidRPr="009C2B9D">
        <w:rPr>
          <w:rFonts w:cs="Arial"/>
          <w:sz w:val="15"/>
        </w:rPr>
        <w:t xml:space="preserve"> </w:t>
      </w:r>
      <w:r w:rsidR="005D5D9F" w:rsidRPr="009C2B9D">
        <w:rPr>
          <w:rFonts w:cs="Arial"/>
          <w:sz w:val="15"/>
        </w:rPr>
        <w:t>la N</w:t>
      </w:r>
      <w:r w:rsidRPr="009C2B9D">
        <w:rPr>
          <w:rFonts w:cs="Arial"/>
          <w:sz w:val="15"/>
        </w:rPr>
        <w:t>ota metodologica).</w:t>
      </w:r>
    </w:p>
    <w:p w14:paraId="7CBA1508" w14:textId="77777777" w:rsidR="00A651E1" w:rsidRPr="009B710E" w:rsidRDefault="00A651E1">
      <w:pPr>
        <w:rPr>
          <w:rStyle w:val="001TitoGraRed"/>
          <w:rFonts w:ascii="Arial Narrow" w:hAnsi="Arial Narrow"/>
          <w:b/>
          <w:color w:val="E42618"/>
          <w:sz w:val="14"/>
          <w:szCs w:val="22"/>
        </w:rPr>
      </w:pPr>
    </w:p>
    <w:p w14:paraId="09C5C9FF" w14:textId="7654073D" w:rsidR="00A651E1" w:rsidRDefault="00E777A0" w:rsidP="00BD1526">
      <w:pPr>
        <w:outlineLvl w:val="0"/>
        <w:rPr>
          <w:rFonts w:ascii="Arial Narrow" w:hAnsi="Arial Narrow" w:cs="Arial"/>
          <w:b/>
          <w:bCs/>
          <w:color w:val="5F5F5F"/>
          <w:sz w:val="22"/>
          <w:szCs w:val="22"/>
        </w:rPr>
      </w:pPr>
      <w:r>
        <w:rPr>
          <w:rStyle w:val="001TitoGraRed"/>
          <w:rFonts w:ascii="Arial Narrow" w:hAnsi="Arial Narrow"/>
          <w:b/>
          <w:color w:val="E42618"/>
          <w:sz w:val="22"/>
          <w:szCs w:val="22"/>
        </w:rPr>
        <w:t>FIGURA 5.</w:t>
      </w:r>
      <w:r>
        <w:t xml:space="preserve"> </w:t>
      </w:r>
      <w:r>
        <w:rPr>
          <w:rFonts w:ascii="Arial Narrow" w:hAnsi="Arial Narrow" w:cs="Arial"/>
          <w:b/>
          <w:bCs/>
          <w:color w:val="5F5F5F"/>
          <w:sz w:val="22"/>
          <w:szCs w:val="22"/>
        </w:rPr>
        <w:t>PRINCIPALI PARTNER COMMERCIALI EXTRA</w:t>
      </w:r>
      <w:r w:rsidR="002603B8">
        <w:rPr>
          <w:rFonts w:ascii="Arial Narrow" w:hAnsi="Arial Narrow" w:cs="Arial"/>
          <w:b/>
          <w:bCs/>
          <w:color w:val="5F5F5F"/>
          <w:sz w:val="22"/>
          <w:szCs w:val="22"/>
        </w:rPr>
        <w:t xml:space="preserve"> </w:t>
      </w:r>
      <w:r>
        <w:rPr>
          <w:rFonts w:ascii="Arial Narrow" w:hAnsi="Arial Narrow" w:cs="Arial"/>
          <w:b/>
          <w:bCs/>
          <w:color w:val="5F5F5F"/>
          <w:sz w:val="22"/>
          <w:szCs w:val="22"/>
        </w:rPr>
        <w:t>UE</w:t>
      </w:r>
      <w:r w:rsidR="006A6DA2">
        <w:rPr>
          <w:rFonts w:ascii="Arial Narrow" w:hAnsi="Arial Narrow" w:cs="Arial"/>
          <w:b/>
          <w:bCs/>
          <w:color w:val="5F5F5F"/>
          <w:sz w:val="22"/>
          <w:szCs w:val="22"/>
        </w:rPr>
        <w:t xml:space="preserve">27 </w:t>
      </w:r>
      <w:r w:rsidR="00041A5D">
        <w:rPr>
          <w:rFonts w:ascii="Arial Narrow" w:hAnsi="Arial Narrow" w:cs="Arial"/>
          <w:b/>
          <w:bCs/>
          <w:color w:val="5F5F5F"/>
          <w:sz w:val="22"/>
          <w:szCs w:val="22"/>
        </w:rPr>
        <w:t>(</w:t>
      </w:r>
      <w:r w:rsidR="00E32477">
        <w:rPr>
          <w:rFonts w:ascii="Arial Narrow" w:hAnsi="Arial Narrow" w:cs="Arial"/>
          <w:b/>
          <w:bCs/>
          <w:color w:val="5F5F5F"/>
          <w:sz w:val="22"/>
          <w:szCs w:val="22"/>
        </w:rPr>
        <w:t>a</w:t>
      </w:r>
      <w:r w:rsidR="00041A5D">
        <w:rPr>
          <w:rFonts w:ascii="Arial Narrow" w:hAnsi="Arial Narrow" w:cs="Arial"/>
          <w:b/>
          <w:bCs/>
          <w:color w:val="5F5F5F"/>
          <w:sz w:val="22"/>
          <w:szCs w:val="22"/>
        </w:rPr>
        <w:t>)</w:t>
      </w:r>
      <w:r>
        <w:rPr>
          <w:rFonts w:ascii="Arial Narrow" w:hAnsi="Arial Narrow" w:cs="Arial"/>
          <w:b/>
          <w:bCs/>
          <w:color w:val="5F5F5F"/>
          <w:sz w:val="22"/>
          <w:szCs w:val="22"/>
        </w:rPr>
        <w:t>: SALDI COMMERCIALI IN MILIONI DI EURO</w:t>
      </w:r>
    </w:p>
    <w:p w14:paraId="03E2F94F" w14:textId="356F25B5" w:rsidR="00A651E1" w:rsidRDefault="00F858C1">
      <w:r>
        <w:rPr>
          <w:rFonts w:ascii="Arial Narrow" w:hAnsi="Arial Narrow" w:cs="Arial"/>
          <w:color w:val="5F5F5F"/>
          <w:sz w:val="20"/>
        </w:rPr>
        <w:t xml:space="preserve">Ottobre </w:t>
      </w:r>
      <w:r w:rsidR="0030302D">
        <w:rPr>
          <w:rFonts w:ascii="Arial Narrow" w:hAnsi="Arial Narrow" w:cs="Arial"/>
          <w:color w:val="5F5F5F"/>
          <w:sz w:val="20"/>
        </w:rPr>
        <w:t>202</w:t>
      </w:r>
      <w:r w:rsidR="008E367C">
        <w:rPr>
          <w:rFonts w:ascii="Arial Narrow" w:hAnsi="Arial Narrow" w:cs="Arial"/>
          <w:color w:val="5F5F5F"/>
          <w:sz w:val="20"/>
        </w:rPr>
        <w:t>2</w:t>
      </w:r>
      <w:r w:rsidR="008B2278" w:rsidRPr="008B2278">
        <w:rPr>
          <w:noProof/>
        </w:rPr>
        <w:t xml:space="preserve"> </w:t>
      </w:r>
      <w:r w:rsidR="00C45789">
        <w:rPr>
          <w:noProof/>
        </w:rPr>
        <w:drawing>
          <wp:inline distT="0" distB="0" distL="0" distR="0" wp14:anchorId="04064FC6" wp14:editId="4AA25835">
            <wp:extent cx="6660000" cy="2160000"/>
            <wp:effectExtent l="0" t="0" r="7620" b="0"/>
            <wp:docPr id="14" name="Grafico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3582EB9F" w14:textId="19C85849" w:rsidR="00041A5D" w:rsidRPr="0064382E" w:rsidRDefault="00041A5D" w:rsidP="00E32477">
      <w:pPr>
        <w:pStyle w:val="Corpotesto"/>
        <w:numPr>
          <w:ilvl w:val="0"/>
          <w:numId w:val="31"/>
        </w:numPr>
        <w:tabs>
          <w:tab w:val="left" w:pos="284"/>
        </w:tabs>
        <w:spacing w:before="60" w:after="120" w:line="240" w:lineRule="auto"/>
        <w:jc w:val="both"/>
        <w:rPr>
          <w:rFonts w:ascii="Arial" w:hAnsi="Arial" w:cs="Arial"/>
          <w:sz w:val="16"/>
          <w:szCs w:val="16"/>
        </w:rPr>
      </w:pPr>
      <w:r w:rsidRPr="0064382E">
        <w:rPr>
          <w:rFonts w:ascii="Arial" w:hAnsi="Arial" w:cs="Arial"/>
          <w:sz w:val="16"/>
          <w:szCs w:val="16"/>
        </w:rPr>
        <w:t xml:space="preserve">Il dato </w:t>
      </w:r>
      <w:r w:rsidR="009C2B9D" w:rsidRPr="0064382E">
        <w:rPr>
          <w:rFonts w:ascii="Arial" w:hAnsi="Arial" w:cs="Arial"/>
          <w:sz w:val="16"/>
          <w:szCs w:val="16"/>
        </w:rPr>
        <w:t xml:space="preserve">preliminare </w:t>
      </w:r>
      <w:r w:rsidRPr="0064382E">
        <w:rPr>
          <w:rFonts w:ascii="Arial" w:hAnsi="Arial" w:cs="Arial"/>
          <w:sz w:val="16"/>
          <w:szCs w:val="16"/>
        </w:rPr>
        <w:t>del Regno Unito</w:t>
      </w:r>
      <w:r w:rsidR="005D5D9F" w:rsidRPr="0064382E">
        <w:rPr>
          <w:rFonts w:ascii="Arial" w:hAnsi="Arial" w:cs="Arial"/>
          <w:sz w:val="16"/>
          <w:szCs w:val="16"/>
        </w:rPr>
        <w:t xml:space="preserve"> </w:t>
      </w:r>
      <w:r w:rsidR="00897276" w:rsidRPr="0064382E">
        <w:rPr>
          <w:rFonts w:ascii="Arial" w:hAnsi="Arial" w:cs="Arial"/>
          <w:sz w:val="16"/>
          <w:szCs w:val="16"/>
        </w:rPr>
        <w:t xml:space="preserve">non comprende l’Irlanda del Nord </w:t>
      </w:r>
      <w:r w:rsidRPr="0064382E">
        <w:rPr>
          <w:rFonts w:ascii="Arial" w:hAnsi="Arial" w:cs="Arial"/>
          <w:sz w:val="16"/>
          <w:szCs w:val="16"/>
        </w:rPr>
        <w:t>(</w:t>
      </w:r>
      <w:r w:rsidR="005D5D9F" w:rsidRPr="0064382E">
        <w:rPr>
          <w:rFonts w:ascii="Arial" w:hAnsi="Arial" w:cs="Arial"/>
          <w:sz w:val="16"/>
          <w:szCs w:val="16"/>
        </w:rPr>
        <w:t xml:space="preserve">si </w:t>
      </w:r>
      <w:r w:rsidRPr="0064382E">
        <w:rPr>
          <w:rFonts w:ascii="Arial" w:hAnsi="Arial" w:cs="Arial"/>
          <w:sz w:val="16"/>
          <w:szCs w:val="16"/>
        </w:rPr>
        <w:t>ved</w:t>
      </w:r>
      <w:r w:rsidR="005D5D9F" w:rsidRPr="0064382E">
        <w:rPr>
          <w:rFonts w:ascii="Arial" w:hAnsi="Arial" w:cs="Arial"/>
          <w:sz w:val="16"/>
          <w:szCs w:val="16"/>
        </w:rPr>
        <w:t>a la</w:t>
      </w:r>
      <w:r w:rsidRPr="0064382E">
        <w:rPr>
          <w:rFonts w:ascii="Arial" w:hAnsi="Arial" w:cs="Arial"/>
          <w:sz w:val="16"/>
          <w:szCs w:val="16"/>
        </w:rPr>
        <w:t xml:space="preserve"> </w:t>
      </w:r>
      <w:r w:rsidR="005D5D9F" w:rsidRPr="0064382E">
        <w:rPr>
          <w:rFonts w:ascii="Arial" w:hAnsi="Arial" w:cs="Arial"/>
          <w:sz w:val="16"/>
          <w:szCs w:val="16"/>
        </w:rPr>
        <w:t>N</w:t>
      </w:r>
      <w:r w:rsidRPr="0064382E">
        <w:rPr>
          <w:rFonts w:ascii="Arial" w:hAnsi="Arial" w:cs="Arial"/>
          <w:sz w:val="16"/>
          <w:szCs w:val="16"/>
        </w:rPr>
        <w:t xml:space="preserve">ota metodologica). </w:t>
      </w:r>
    </w:p>
    <w:p w14:paraId="7A95F4C5" w14:textId="77777777" w:rsidR="0030302D" w:rsidRDefault="0030302D">
      <w:pPr>
        <w:pStyle w:val="Corpotesto"/>
        <w:spacing w:line="240" w:lineRule="auto"/>
        <w:jc w:val="both"/>
        <w:rPr>
          <w:rStyle w:val="001TitoGraRed"/>
          <w:rFonts w:ascii="Arial Narrow" w:hAnsi="Arial Narrow"/>
          <w:b/>
          <w:color w:val="E42618"/>
          <w:sz w:val="22"/>
          <w:szCs w:val="22"/>
        </w:rPr>
      </w:pPr>
      <w:bookmarkStart w:id="0" w:name="_GoBack"/>
      <w:bookmarkEnd w:id="0"/>
    </w:p>
    <w:p w14:paraId="55D9AEA3" w14:textId="77777777" w:rsidR="009C2B9D" w:rsidRDefault="009C2B9D">
      <w:pPr>
        <w:pStyle w:val="Corpotesto"/>
        <w:spacing w:line="240" w:lineRule="auto"/>
        <w:jc w:val="both"/>
        <w:rPr>
          <w:rStyle w:val="001TitoGraRed"/>
          <w:rFonts w:ascii="Arial Narrow" w:hAnsi="Arial Narrow"/>
          <w:b/>
          <w:color w:val="E42618"/>
          <w:sz w:val="22"/>
          <w:szCs w:val="22"/>
        </w:rPr>
      </w:pPr>
    </w:p>
    <w:p w14:paraId="65DC2ABE" w14:textId="2A45E11C" w:rsidR="00A651E1" w:rsidRDefault="00E777A0">
      <w:pPr>
        <w:pStyle w:val="Corpotesto"/>
        <w:spacing w:line="240" w:lineRule="auto"/>
        <w:jc w:val="both"/>
        <w:rPr>
          <w:rFonts w:ascii="Arial" w:hAnsi="Arial" w:cs="Arial"/>
          <w:sz w:val="17"/>
        </w:rPr>
      </w:pPr>
      <w:r>
        <w:rPr>
          <w:rStyle w:val="001TitoGraRed"/>
          <w:rFonts w:ascii="Arial Narrow" w:hAnsi="Arial Narrow"/>
          <w:b/>
          <w:color w:val="E42618"/>
          <w:sz w:val="22"/>
          <w:szCs w:val="22"/>
        </w:rPr>
        <w:t>PROSPETTO 2.</w:t>
      </w:r>
      <w:r>
        <w:rPr>
          <w:rFonts w:ascii="Arial Narrow" w:hAnsi="Arial Narrow" w:cs="Arial"/>
          <w:color w:val="5F5F5F"/>
          <w:sz w:val="22"/>
          <w:szCs w:val="22"/>
        </w:rPr>
        <w:t xml:space="preserve"> </w:t>
      </w:r>
      <w:r>
        <w:rPr>
          <w:rFonts w:ascii="Arial Narrow" w:hAnsi="Arial Narrow" w:cs="Arial"/>
          <w:b/>
          <w:color w:val="5F5F5F"/>
          <w:sz w:val="22"/>
          <w:szCs w:val="22"/>
        </w:rPr>
        <w:t>ESPORTAZIONI</w:t>
      </w:r>
      <w:r>
        <w:rPr>
          <w:rFonts w:ascii="Arial Narrow" w:hAnsi="Arial Narrow" w:cs="Arial"/>
          <w:color w:val="5F5F5F"/>
          <w:sz w:val="22"/>
          <w:szCs w:val="22"/>
        </w:rPr>
        <w:t xml:space="preserve">, </w:t>
      </w:r>
      <w:r>
        <w:rPr>
          <w:rFonts w:ascii="Arial Narrow" w:hAnsi="Arial Narrow" w:cs="Arial"/>
          <w:b/>
          <w:color w:val="5F5F5F"/>
          <w:sz w:val="22"/>
          <w:szCs w:val="22"/>
        </w:rPr>
        <w:t>IMPORTAZIONI E SALDI DELLA BILANCIA COMMERCIALE CON I PAESI EXTRA UE</w:t>
      </w:r>
      <w:r w:rsidR="006A6DA2">
        <w:rPr>
          <w:rFonts w:ascii="Arial Narrow" w:hAnsi="Arial Narrow" w:cs="Arial"/>
          <w:b/>
          <w:color w:val="5F5F5F"/>
          <w:sz w:val="22"/>
          <w:szCs w:val="22"/>
        </w:rPr>
        <w:t xml:space="preserve">27 </w:t>
      </w:r>
      <w:r>
        <w:rPr>
          <w:rFonts w:ascii="Arial Narrow" w:hAnsi="Arial Narrow" w:cs="Arial"/>
          <w:b/>
          <w:color w:val="5F5F5F"/>
          <w:sz w:val="22"/>
          <w:szCs w:val="22"/>
        </w:rPr>
        <w:t>PER RAGGRUPPAMENTO PRINCIPALE DI INDUSTRIE</w:t>
      </w:r>
      <w:r w:rsidR="002F15C9">
        <w:rPr>
          <w:rFonts w:ascii="Arial Narrow" w:hAnsi="Arial Narrow" w:cs="Arial"/>
          <w:b/>
          <w:color w:val="5F5F5F"/>
          <w:sz w:val="22"/>
          <w:szCs w:val="22"/>
        </w:rPr>
        <w:t xml:space="preserve"> (a)</w:t>
      </w:r>
    </w:p>
    <w:p w14:paraId="4A609A8F" w14:textId="27E99756" w:rsidR="00A651E1" w:rsidRPr="00AE5C79" w:rsidRDefault="00F858C1" w:rsidP="00BD1526">
      <w:pPr>
        <w:pStyle w:val="Corpotesto"/>
        <w:spacing w:after="120" w:line="240" w:lineRule="auto"/>
        <w:jc w:val="both"/>
        <w:outlineLvl w:val="0"/>
        <w:rPr>
          <w:rFonts w:ascii="Arial Narrow" w:hAnsi="Arial Narrow" w:cs="Arial"/>
          <w:color w:val="5F5F5F"/>
          <w:sz w:val="20"/>
        </w:rPr>
      </w:pPr>
      <w:r>
        <w:rPr>
          <w:rFonts w:ascii="Arial Narrow" w:hAnsi="Arial Narrow" w:cs="Arial"/>
          <w:color w:val="5F5F5F"/>
          <w:sz w:val="20"/>
        </w:rPr>
        <w:t xml:space="preserve">Ottobre </w:t>
      </w:r>
      <w:r w:rsidR="008E367C">
        <w:rPr>
          <w:rFonts w:ascii="Arial Narrow" w:hAnsi="Arial Narrow" w:cs="Arial"/>
          <w:color w:val="5F5F5F"/>
          <w:sz w:val="20"/>
        </w:rPr>
        <w:t>2022</w:t>
      </w:r>
      <w:r w:rsidR="00E777A0" w:rsidRPr="00AE5C79">
        <w:rPr>
          <w:rFonts w:ascii="Arial Narrow" w:hAnsi="Arial Narrow" w:cs="Arial"/>
          <w:color w:val="5F5F5F"/>
          <w:sz w:val="20"/>
        </w:rPr>
        <w:t>, dati destagionalizzati e grezzi, variazioni percentuali congiunturali e tendenziali e saldi</w:t>
      </w:r>
    </w:p>
    <w:tbl>
      <w:tblPr>
        <w:tblW w:w="10562" w:type="dxa"/>
        <w:tblInd w:w="70" w:type="dxa"/>
        <w:tblBorders>
          <w:top w:val="single" w:sz="4" w:space="0" w:color="auto"/>
          <w:bottom w:val="single" w:sz="4" w:space="0" w:color="auto"/>
          <w:insideH w:val="single" w:sz="4" w:space="0" w:color="auto"/>
        </w:tblBorders>
        <w:tblLayout w:type="fixed"/>
        <w:tblCellMar>
          <w:left w:w="70" w:type="dxa"/>
          <w:right w:w="70" w:type="dxa"/>
        </w:tblCellMar>
        <w:tblLook w:val="00A0" w:firstRow="1" w:lastRow="0" w:firstColumn="1" w:lastColumn="0" w:noHBand="0" w:noVBand="0"/>
      </w:tblPr>
      <w:tblGrid>
        <w:gridCol w:w="1625"/>
        <w:gridCol w:w="712"/>
        <w:gridCol w:w="1137"/>
        <w:gridCol w:w="633"/>
        <w:gridCol w:w="994"/>
        <w:gridCol w:w="6"/>
        <w:gridCol w:w="705"/>
        <w:gridCol w:w="1206"/>
        <w:gridCol w:w="731"/>
        <w:gridCol w:w="970"/>
        <w:gridCol w:w="850"/>
        <w:gridCol w:w="993"/>
      </w:tblGrid>
      <w:tr w:rsidR="00BB48EF" w14:paraId="667D6993" w14:textId="77777777" w:rsidTr="00831CA5">
        <w:trPr>
          <w:trHeight w:val="255"/>
        </w:trPr>
        <w:tc>
          <w:tcPr>
            <w:tcW w:w="1625" w:type="dxa"/>
            <w:vMerge w:val="restart"/>
            <w:vAlign w:val="center"/>
          </w:tcPr>
          <w:p w14:paraId="12F70DF6" w14:textId="77777777" w:rsidR="00BB48EF" w:rsidRDefault="00BB48EF" w:rsidP="00BF3957">
            <w:pPr>
              <w:spacing w:before="40" w:after="20"/>
              <w:rPr>
                <w:rFonts w:ascii="Arial Narrow" w:hAnsi="Arial Narrow"/>
                <w:b/>
                <w:sz w:val="18"/>
              </w:rPr>
            </w:pPr>
            <w:r>
              <w:rPr>
                <w:rFonts w:ascii="Arial Narrow" w:hAnsi="Arial Narrow"/>
                <w:b/>
                <w:sz w:val="18"/>
              </w:rPr>
              <w:t xml:space="preserve">RAGGRUPPAMENTI PRINCIPALI </w:t>
            </w:r>
            <w:r>
              <w:rPr>
                <w:rFonts w:ascii="Arial Narrow" w:hAnsi="Arial Narrow"/>
                <w:b/>
                <w:sz w:val="18"/>
              </w:rPr>
              <w:br/>
              <w:t>DI INDUSTRIE</w:t>
            </w:r>
          </w:p>
        </w:tc>
        <w:tc>
          <w:tcPr>
            <w:tcW w:w="3476" w:type="dxa"/>
            <w:gridSpan w:val="4"/>
            <w:shd w:val="clear" w:color="auto" w:fill="D9D9D9"/>
            <w:vAlign w:val="center"/>
          </w:tcPr>
          <w:p w14:paraId="2ADF48A5" w14:textId="77777777" w:rsidR="00BB48EF" w:rsidRDefault="00BB48EF" w:rsidP="00BF3957">
            <w:pPr>
              <w:spacing w:before="40" w:after="20"/>
              <w:jc w:val="center"/>
              <w:rPr>
                <w:rFonts w:ascii="Arial Narrow" w:hAnsi="Arial Narrow"/>
                <w:sz w:val="18"/>
              </w:rPr>
            </w:pPr>
            <w:r>
              <w:rPr>
                <w:rFonts w:ascii="Arial Narrow" w:hAnsi="Arial Narrow" w:cs="Arial"/>
                <w:b/>
                <w:sz w:val="18"/>
              </w:rPr>
              <w:t>ESPORTAZIONI</w:t>
            </w:r>
          </w:p>
        </w:tc>
        <w:tc>
          <w:tcPr>
            <w:tcW w:w="3618" w:type="dxa"/>
            <w:gridSpan w:val="5"/>
            <w:shd w:val="clear" w:color="auto" w:fill="FFFFFF"/>
            <w:vAlign w:val="center"/>
          </w:tcPr>
          <w:p w14:paraId="52F2B735" w14:textId="77777777" w:rsidR="00BB48EF" w:rsidRDefault="00BB48EF" w:rsidP="00BF3957">
            <w:pPr>
              <w:spacing w:before="40" w:after="20"/>
              <w:jc w:val="center"/>
              <w:rPr>
                <w:rFonts w:ascii="Arial Narrow" w:hAnsi="Arial Narrow" w:cs="Arial"/>
                <w:b/>
                <w:sz w:val="18"/>
              </w:rPr>
            </w:pPr>
            <w:r>
              <w:rPr>
                <w:rFonts w:ascii="Arial Narrow" w:hAnsi="Arial Narrow" w:cs="Arial"/>
                <w:b/>
                <w:sz w:val="18"/>
              </w:rPr>
              <w:t>IMPORTAZIONI</w:t>
            </w:r>
          </w:p>
        </w:tc>
        <w:tc>
          <w:tcPr>
            <w:tcW w:w="1843" w:type="dxa"/>
            <w:gridSpan w:val="2"/>
            <w:shd w:val="clear" w:color="auto" w:fill="D9D9D9"/>
            <w:vAlign w:val="center"/>
          </w:tcPr>
          <w:p w14:paraId="446B6138" w14:textId="77777777" w:rsidR="00BB48EF" w:rsidRDefault="00BB48EF" w:rsidP="00BF3957">
            <w:pPr>
              <w:spacing w:before="40" w:after="20"/>
              <w:jc w:val="center"/>
              <w:rPr>
                <w:rFonts w:ascii="Arial Narrow" w:hAnsi="Arial Narrow" w:cs="Arial"/>
                <w:b/>
                <w:sz w:val="18"/>
              </w:rPr>
            </w:pPr>
            <w:r>
              <w:rPr>
                <w:rFonts w:ascii="Arial Narrow" w:hAnsi="Arial Narrow" w:cs="Arial"/>
                <w:b/>
                <w:sz w:val="18"/>
              </w:rPr>
              <w:t>SALDI</w:t>
            </w:r>
          </w:p>
        </w:tc>
      </w:tr>
      <w:tr w:rsidR="00BB48EF" w14:paraId="7AC1784E" w14:textId="77777777" w:rsidTr="00831CA5">
        <w:trPr>
          <w:trHeight w:val="255"/>
        </w:trPr>
        <w:tc>
          <w:tcPr>
            <w:tcW w:w="1625" w:type="dxa"/>
            <w:vMerge/>
            <w:vAlign w:val="center"/>
          </w:tcPr>
          <w:p w14:paraId="74480A23" w14:textId="77777777" w:rsidR="00BB48EF" w:rsidRDefault="00BB48EF" w:rsidP="00BF3957">
            <w:pPr>
              <w:spacing w:before="40" w:after="20"/>
              <w:rPr>
                <w:rFonts w:ascii="Arial Narrow" w:hAnsi="Arial Narrow"/>
                <w:sz w:val="18"/>
              </w:rPr>
            </w:pPr>
          </w:p>
        </w:tc>
        <w:tc>
          <w:tcPr>
            <w:tcW w:w="1849" w:type="dxa"/>
            <w:gridSpan w:val="2"/>
            <w:shd w:val="clear" w:color="auto" w:fill="FFFFFF"/>
            <w:vAlign w:val="center"/>
          </w:tcPr>
          <w:p w14:paraId="0AB9C379" w14:textId="77777777" w:rsidR="00BB48EF" w:rsidRDefault="00BB48EF" w:rsidP="00BF3957">
            <w:pPr>
              <w:spacing w:before="40" w:after="20"/>
              <w:jc w:val="center"/>
              <w:rPr>
                <w:rFonts w:ascii="Arial Narrow" w:hAnsi="Arial Narrow"/>
                <w:b/>
                <w:sz w:val="18"/>
              </w:rPr>
            </w:pPr>
            <w:r>
              <w:rPr>
                <w:rFonts w:ascii="Arial Narrow" w:hAnsi="Arial Narrow"/>
                <w:b/>
                <w:sz w:val="18"/>
              </w:rPr>
              <w:t>Dati destagionalizzati</w:t>
            </w:r>
          </w:p>
        </w:tc>
        <w:tc>
          <w:tcPr>
            <w:tcW w:w="1633" w:type="dxa"/>
            <w:gridSpan w:val="3"/>
            <w:shd w:val="clear" w:color="auto" w:fill="D9D9D9"/>
            <w:vAlign w:val="center"/>
          </w:tcPr>
          <w:p w14:paraId="138CBC05" w14:textId="77777777" w:rsidR="00BB48EF" w:rsidRDefault="00BB48EF" w:rsidP="00BF3957">
            <w:pPr>
              <w:spacing w:before="40" w:after="20"/>
              <w:jc w:val="center"/>
              <w:rPr>
                <w:rFonts w:ascii="Arial Narrow" w:hAnsi="Arial Narrow"/>
                <w:b/>
                <w:sz w:val="18"/>
              </w:rPr>
            </w:pPr>
            <w:r>
              <w:rPr>
                <w:rFonts w:ascii="Arial Narrow" w:hAnsi="Arial Narrow"/>
                <w:b/>
                <w:sz w:val="18"/>
              </w:rPr>
              <w:t>Dati grezzi</w:t>
            </w:r>
          </w:p>
        </w:tc>
        <w:tc>
          <w:tcPr>
            <w:tcW w:w="1911" w:type="dxa"/>
            <w:gridSpan w:val="2"/>
            <w:shd w:val="clear" w:color="auto" w:fill="FFFFFF"/>
            <w:vAlign w:val="center"/>
          </w:tcPr>
          <w:p w14:paraId="1915D519" w14:textId="77777777" w:rsidR="00BB48EF" w:rsidRDefault="00BB48EF" w:rsidP="00BF3957">
            <w:pPr>
              <w:spacing w:before="40" w:after="20"/>
              <w:jc w:val="center"/>
              <w:rPr>
                <w:rFonts w:ascii="Arial Narrow" w:hAnsi="Arial Narrow"/>
                <w:b/>
                <w:sz w:val="18"/>
              </w:rPr>
            </w:pPr>
            <w:r>
              <w:rPr>
                <w:rFonts w:ascii="Arial Narrow" w:hAnsi="Arial Narrow"/>
                <w:b/>
                <w:sz w:val="18"/>
              </w:rPr>
              <w:t>Dati destagionalizzati</w:t>
            </w:r>
          </w:p>
        </w:tc>
        <w:tc>
          <w:tcPr>
            <w:tcW w:w="1701" w:type="dxa"/>
            <w:gridSpan w:val="2"/>
            <w:shd w:val="clear" w:color="auto" w:fill="D9D9D9"/>
            <w:vAlign w:val="center"/>
          </w:tcPr>
          <w:p w14:paraId="759CEC48" w14:textId="77777777" w:rsidR="00BB48EF" w:rsidRDefault="00BB48EF" w:rsidP="00BF3957">
            <w:pPr>
              <w:spacing w:before="40" w:after="20"/>
              <w:jc w:val="center"/>
              <w:rPr>
                <w:rFonts w:ascii="Arial Narrow" w:hAnsi="Arial Narrow"/>
                <w:b/>
                <w:sz w:val="18"/>
              </w:rPr>
            </w:pPr>
            <w:r>
              <w:rPr>
                <w:rFonts w:ascii="Arial Narrow" w:hAnsi="Arial Narrow"/>
                <w:b/>
                <w:sz w:val="18"/>
              </w:rPr>
              <w:t>Dati grezzi</w:t>
            </w:r>
          </w:p>
        </w:tc>
        <w:tc>
          <w:tcPr>
            <w:tcW w:w="1843" w:type="dxa"/>
            <w:gridSpan w:val="2"/>
            <w:shd w:val="clear" w:color="auto" w:fill="FFFFFF"/>
            <w:vAlign w:val="center"/>
          </w:tcPr>
          <w:p w14:paraId="20217BF2" w14:textId="77777777" w:rsidR="00BB48EF" w:rsidRDefault="00BB48EF" w:rsidP="00BF3957">
            <w:pPr>
              <w:spacing w:before="40" w:after="20"/>
              <w:jc w:val="center"/>
              <w:rPr>
                <w:rFonts w:ascii="Arial Narrow" w:hAnsi="Arial Narrow"/>
                <w:b/>
                <w:sz w:val="18"/>
              </w:rPr>
            </w:pPr>
            <w:r>
              <w:rPr>
                <w:rFonts w:ascii="Arial Narrow" w:hAnsi="Arial Narrow"/>
                <w:b/>
                <w:sz w:val="18"/>
              </w:rPr>
              <w:t>Dati grezzi</w:t>
            </w:r>
          </w:p>
          <w:p w14:paraId="3F9CBB12" w14:textId="77777777" w:rsidR="00BB48EF" w:rsidRDefault="00BB48EF" w:rsidP="00BF3957">
            <w:pPr>
              <w:spacing w:before="40" w:after="20"/>
              <w:jc w:val="center"/>
              <w:rPr>
                <w:rFonts w:ascii="Arial Narrow" w:hAnsi="Arial Narrow"/>
                <w:b/>
                <w:sz w:val="18"/>
              </w:rPr>
            </w:pPr>
            <w:r>
              <w:rPr>
                <w:rFonts w:ascii="Arial Narrow" w:hAnsi="Arial Narrow"/>
                <w:b/>
                <w:sz w:val="18"/>
              </w:rPr>
              <w:t>Milioni di euro</w:t>
            </w:r>
          </w:p>
        </w:tc>
      </w:tr>
      <w:tr w:rsidR="00F858C1" w14:paraId="04508C22" w14:textId="77777777" w:rsidTr="00831CA5">
        <w:trPr>
          <w:trHeight w:val="267"/>
        </w:trPr>
        <w:tc>
          <w:tcPr>
            <w:tcW w:w="1625" w:type="dxa"/>
            <w:vMerge/>
            <w:vAlign w:val="center"/>
          </w:tcPr>
          <w:p w14:paraId="6B312F36" w14:textId="77777777" w:rsidR="00F858C1" w:rsidRDefault="00F858C1" w:rsidP="00F858C1">
            <w:pPr>
              <w:spacing w:before="40" w:after="20"/>
              <w:rPr>
                <w:rFonts w:ascii="Arial Narrow" w:hAnsi="Arial Narrow"/>
                <w:sz w:val="18"/>
              </w:rPr>
            </w:pPr>
          </w:p>
        </w:tc>
        <w:tc>
          <w:tcPr>
            <w:tcW w:w="712" w:type="dxa"/>
            <w:vMerge w:val="restart"/>
            <w:shd w:val="clear" w:color="auto" w:fill="FFFFFF"/>
            <w:vAlign w:val="center"/>
          </w:tcPr>
          <w:p w14:paraId="5CB75E12" w14:textId="77777777" w:rsidR="00F858C1" w:rsidRDefault="00F858C1" w:rsidP="00F858C1">
            <w:pPr>
              <w:spacing w:before="40" w:after="20"/>
              <w:jc w:val="center"/>
              <w:rPr>
                <w:rFonts w:ascii="Arial Narrow" w:hAnsi="Arial Narrow"/>
                <w:sz w:val="18"/>
                <w:szCs w:val="18"/>
                <w:u w:val="single"/>
              </w:rPr>
            </w:pPr>
            <w:r>
              <w:rPr>
                <w:rFonts w:ascii="Arial Narrow" w:hAnsi="Arial Narrow"/>
                <w:sz w:val="18"/>
                <w:szCs w:val="18"/>
                <w:u w:val="single"/>
              </w:rPr>
              <w:t>ott 22</w:t>
            </w:r>
          </w:p>
          <w:p w14:paraId="1A157421" w14:textId="01A0B83A" w:rsidR="00F858C1" w:rsidRDefault="00F858C1" w:rsidP="00F858C1">
            <w:pPr>
              <w:spacing w:before="40" w:after="20"/>
              <w:jc w:val="center"/>
              <w:rPr>
                <w:rFonts w:ascii="Arial Narrow" w:hAnsi="Arial Narrow"/>
                <w:sz w:val="18"/>
                <w:szCs w:val="18"/>
                <w:u w:val="single"/>
              </w:rPr>
            </w:pPr>
            <w:r>
              <w:rPr>
                <w:rFonts w:ascii="Arial Narrow" w:hAnsi="Arial Narrow"/>
                <w:sz w:val="18"/>
                <w:szCs w:val="18"/>
              </w:rPr>
              <w:t>set 22</w:t>
            </w:r>
          </w:p>
        </w:tc>
        <w:tc>
          <w:tcPr>
            <w:tcW w:w="1137" w:type="dxa"/>
            <w:vMerge w:val="restart"/>
            <w:shd w:val="clear" w:color="auto" w:fill="FFFFFF"/>
            <w:vAlign w:val="center"/>
          </w:tcPr>
          <w:p w14:paraId="55857B82" w14:textId="77777777" w:rsidR="00F858C1" w:rsidRDefault="00F858C1" w:rsidP="00F858C1">
            <w:pPr>
              <w:spacing w:before="40" w:after="20"/>
              <w:jc w:val="center"/>
              <w:rPr>
                <w:rFonts w:ascii="Arial Narrow" w:hAnsi="Arial Narrow"/>
                <w:sz w:val="18"/>
                <w:szCs w:val="18"/>
                <w:u w:val="single"/>
              </w:rPr>
            </w:pPr>
            <w:r>
              <w:rPr>
                <w:rFonts w:ascii="Arial Narrow" w:hAnsi="Arial Narrow"/>
                <w:sz w:val="18"/>
                <w:szCs w:val="18"/>
                <w:u w:val="single"/>
              </w:rPr>
              <w:t>ago-ott 22</w:t>
            </w:r>
          </w:p>
          <w:p w14:paraId="6F366CBB" w14:textId="7CDFFACF" w:rsidR="00F858C1" w:rsidRDefault="00F858C1" w:rsidP="00F858C1">
            <w:pPr>
              <w:spacing w:before="40" w:after="20"/>
              <w:jc w:val="center"/>
              <w:rPr>
                <w:rFonts w:ascii="Arial Narrow" w:hAnsi="Arial Narrow"/>
                <w:sz w:val="18"/>
                <w:szCs w:val="18"/>
              </w:rPr>
            </w:pPr>
            <w:r>
              <w:rPr>
                <w:rFonts w:ascii="Arial Narrow" w:hAnsi="Arial Narrow"/>
                <w:sz w:val="18"/>
                <w:szCs w:val="18"/>
              </w:rPr>
              <w:t>mag-lug 22</w:t>
            </w:r>
          </w:p>
        </w:tc>
        <w:tc>
          <w:tcPr>
            <w:tcW w:w="633" w:type="dxa"/>
            <w:vMerge w:val="restart"/>
            <w:shd w:val="clear" w:color="auto" w:fill="FFFFFF"/>
            <w:vAlign w:val="center"/>
          </w:tcPr>
          <w:p w14:paraId="2999146C" w14:textId="77777777" w:rsidR="00F858C1" w:rsidRDefault="00F858C1" w:rsidP="00F858C1">
            <w:pPr>
              <w:spacing w:before="40" w:after="20"/>
              <w:jc w:val="center"/>
              <w:rPr>
                <w:rFonts w:ascii="Arial Narrow" w:hAnsi="Arial Narrow"/>
                <w:sz w:val="18"/>
                <w:szCs w:val="18"/>
                <w:u w:val="single"/>
              </w:rPr>
            </w:pPr>
            <w:r>
              <w:rPr>
                <w:rFonts w:ascii="Arial Narrow" w:hAnsi="Arial Narrow"/>
                <w:sz w:val="18"/>
                <w:szCs w:val="18"/>
                <w:u w:val="single"/>
              </w:rPr>
              <w:t>ott 22</w:t>
            </w:r>
          </w:p>
          <w:p w14:paraId="23E6A3F1" w14:textId="70B144E7" w:rsidR="00F858C1" w:rsidRDefault="00F858C1" w:rsidP="00F858C1">
            <w:pPr>
              <w:spacing w:before="40" w:after="20"/>
              <w:jc w:val="center"/>
              <w:rPr>
                <w:rFonts w:ascii="Arial Narrow" w:hAnsi="Arial Narrow"/>
                <w:sz w:val="18"/>
                <w:szCs w:val="18"/>
                <w:u w:val="single"/>
              </w:rPr>
            </w:pPr>
            <w:r>
              <w:rPr>
                <w:rFonts w:ascii="Arial Narrow" w:hAnsi="Arial Narrow"/>
                <w:sz w:val="18"/>
                <w:szCs w:val="18"/>
              </w:rPr>
              <w:t>ott 21</w:t>
            </w:r>
          </w:p>
        </w:tc>
        <w:tc>
          <w:tcPr>
            <w:tcW w:w="1000" w:type="dxa"/>
            <w:gridSpan w:val="2"/>
            <w:vMerge w:val="restart"/>
            <w:shd w:val="clear" w:color="auto" w:fill="FFFFFF"/>
            <w:vAlign w:val="center"/>
          </w:tcPr>
          <w:p w14:paraId="232301C9" w14:textId="77777777" w:rsidR="00F858C1" w:rsidRDefault="00F858C1" w:rsidP="00F858C1">
            <w:pPr>
              <w:spacing w:before="40" w:after="20"/>
              <w:jc w:val="center"/>
              <w:rPr>
                <w:rFonts w:ascii="Arial Narrow" w:hAnsi="Arial Narrow"/>
                <w:sz w:val="18"/>
                <w:szCs w:val="18"/>
                <w:u w:val="single"/>
              </w:rPr>
            </w:pPr>
            <w:r>
              <w:rPr>
                <w:rFonts w:ascii="Arial Narrow" w:hAnsi="Arial Narrow"/>
                <w:sz w:val="18"/>
                <w:szCs w:val="18"/>
                <w:u w:val="single"/>
              </w:rPr>
              <w:t>gen-ott 22</w:t>
            </w:r>
          </w:p>
          <w:p w14:paraId="5341AC68" w14:textId="11084EBE" w:rsidR="00F858C1" w:rsidRDefault="00F858C1" w:rsidP="00F858C1">
            <w:pPr>
              <w:spacing w:before="40" w:after="20"/>
              <w:jc w:val="center"/>
              <w:rPr>
                <w:rFonts w:ascii="Arial Narrow" w:hAnsi="Arial Narrow"/>
                <w:sz w:val="18"/>
                <w:szCs w:val="18"/>
                <w:u w:val="single"/>
              </w:rPr>
            </w:pPr>
            <w:r>
              <w:rPr>
                <w:rFonts w:ascii="Arial Narrow" w:hAnsi="Arial Narrow"/>
                <w:sz w:val="18"/>
                <w:szCs w:val="18"/>
              </w:rPr>
              <w:t>gen-ott 21</w:t>
            </w:r>
          </w:p>
        </w:tc>
        <w:tc>
          <w:tcPr>
            <w:tcW w:w="705" w:type="dxa"/>
            <w:vMerge w:val="restart"/>
            <w:shd w:val="clear" w:color="auto" w:fill="FFFFFF"/>
            <w:vAlign w:val="center"/>
          </w:tcPr>
          <w:p w14:paraId="63074313" w14:textId="77777777" w:rsidR="00F858C1" w:rsidRDefault="00F858C1" w:rsidP="00F858C1">
            <w:pPr>
              <w:spacing w:before="40" w:after="20"/>
              <w:jc w:val="center"/>
              <w:rPr>
                <w:rFonts w:ascii="Arial Narrow" w:hAnsi="Arial Narrow"/>
                <w:sz w:val="18"/>
                <w:szCs w:val="18"/>
                <w:u w:val="single"/>
              </w:rPr>
            </w:pPr>
            <w:r>
              <w:rPr>
                <w:rFonts w:ascii="Arial Narrow" w:hAnsi="Arial Narrow"/>
                <w:sz w:val="18"/>
                <w:szCs w:val="18"/>
                <w:u w:val="single"/>
              </w:rPr>
              <w:t>ott 22</w:t>
            </w:r>
          </w:p>
          <w:p w14:paraId="5B53E65F" w14:textId="28A50B9E" w:rsidR="00F858C1" w:rsidRDefault="00F858C1" w:rsidP="00F858C1">
            <w:pPr>
              <w:spacing w:before="40" w:after="20"/>
              <w:jc w:val="center"/>
              <w:rPr>
                <w:rFonts w:ascii="Arial Narrow" w:hAnsi="Arial Narrow"/>
                <w:sz w:val="18"/>
                <w:szCs w:val="18"/>
                <w:u w:val="single"/>
              </w:rPr>
            </w:pPr>
            <w:r>
              <w:rPr>
                <w:rFonts w:ascii="Arial Narrow" w:hAnsi="Arial Narrow"/>
                <w:sz w:val="18"/>
                <w:szCs w:val="18"/>
              </w:rPr>
              <w:t>set 22</w:t>
            </w:r>
          </w:p>
        </w:tc>
        <w:tc>
          <w:tcPr>
            <w:tcW w:w="1206" w:type="dxa"/>
            <w:vMerge w:val="restart"/>
            <w:shd w:val="clear" w:color="auto" w:fill="FFFFFF"/>
            <w:vAlign w:val="center"/>
          </w:tcPr>
          <w:p w14:paraId="573CD052" w14:textId="77777777" w:rsidR="00F858C1" w:rsidRDefault="00F858C1" w:rsidP="00F858C1">
            <w:pPr>
              <w:spacing w:before="40" w:after="20"/>
              <w:jc w:val="center"/>
              <w:rPr>
                <w:rFonts w:ascii="Arial Narrow" w:hAnsi="Arial Narrow"/>
                <w:sz w:val="18"/>
                <w:szCs w:val="18"/>
                <w:u w:val="single"/>
              </w:rPr>
            </w:pPr>
            <w:r>
              <w:rPr>
                <w:rFonts w:ascii="Arial Narrow" w:hAnsi="Arial Narrow"/>
                <w:sz w:val="18"/>
                <w:szCs w:val="18"/>
                <w:u w:val="single"/>
              </w:rPr>
              <w:t>ago-ott 22</w:t>
            </w:r>
          </w:p>
          <w:p w14:paraId="3C555AAA" w14:textId="5310B161" w:rsidR="00F858C1" w:rsidRDefault="00F858C1" w:rsidP="00F858C1">
            <w:pPr>
              <w:spacing w:before="40" w:after="20"/>
              <w:jc w:val="center"/>
              <w:rPr>
                <w:rFonts w:ascii="Arial Narrow" w:hAnsi="Arial Narrow"/>
                <w:sz w:val="18"/>
                <w:szCs w:val="18"/>
              </w:rPr>
            </w:pPr>
            <w:r>
              <w:rPr>
                <w:rFonts w:ascii="Arial Narrow" w:hAnsi="Arial Narrow"/>
                <w:sz w:val="18"/>
                <w:szCs w:val="18"/>
              </w:rPr>
              <w:t>mag-lug 22</w:t>
            </w:r>
          </w:p>
        </w:tc>
        <w:tc>
          <w:tcPr>
            <w:tcW w:w="731" w:type="dxa"/>
            <w:vMerge w:val="restart"/>
            <w:shd w:val="clear" w:color="auto" w:fill="FFFFFF"/>
            <w:vAlign w:val="center"/>
          </w:tcPr>
          <w:p w14:paraId="206E0A91" w14:textId="77777777" w:rsidR="00F858C1" w:rsidRDefault="00F858C1" w:rsidP="00F858C1">
            <w:pPr>
              <w:spacing w:before="40" w:after="20"/>
              <w:jc w:val="center"/>
              <w:rPr>
                <w:rFonts w:ascii="Arial Narrow" w:hAnsi="Arial Narrow"/>
                <w:sz w:val="18"/>
                <w:szCs w:val="18"/>
                <w:u w:val="single"/>
              </w:rPr>
            </w:pPr>
            <w:r>
              <w:rPr>
                <w:rFonts w:ascii="Arial Narrow" w:hAnsi="Arial Narrow"/>
                <w:sz w:val="18"/>
                <w:szCs w:val="18"/>
                <w:u w:val="single"/>
              </w:rPr>
              <w:t>ott 22</w:t>
            </w:r>
          </w:p>
          <w:p w14:paraId="30E5EF9C" w14:textId="38981FAA" w:rsidR="00F858C1" w:rsidRDefault="00F858C1" w:rsidP="00F858C1">
            <w:pPr>
              <w:spacing w:before="40" w:after="20"/>
              <w:jc w:val="center"/>
              <w:rPr>
                <w:rFonts w:ascii="Arial Narrow" w:hAnsi="Arial Narrow"/>
                <w:sz w:val="18"/>
                <w:szCs w:val="18"/>
                <w:u w:val="single"/>
              </w:rPr>
            </w:pPr>
            <w:r>
              <w:rPr>
                <w:rFonts w:ascii="Arial Narrow" w:hAnsi="Arial Narrow"/>
                <w:sz w:val="18"/>
                <w:szCs w:val="18"/>
              </w:rPr>
              <w:t>ott 21</w:t>
            </w:r>
          </w:p>
        </w:tc>
        <w:tc>
          <w:tcPr>
            <w:tcW w:w="970" w:type="dxa"/>
            <w:vMerge w:val="restart"/>
            <w:shd w:val="clear" w:color="auto" w:fill="FFFFFF"/>
            <w:vAlign w:val="center"/>
          </w:tcPr>
          <w:p w14:paraId="042EA5DE" w14:textId="77777777" w:rsidR="00F858C1" w:rsidRDefault="00F858C1" w:rsidP="00F858C1">
            <w:pPr>
              <w:spacing w:before="40" w:after="20"/>
              <w:jc w:val="center"/>
              <w:rPr>
                <w:rFonts w:ascii="Arial Narrow" w:hAnsi="Arial Narrow"/>
                <w:sz w:val="18"/>
                <w:szCs w:val="18"/>
                <w:u w:val="single"/>
              </w:rPr>
            </w:pPr>
            <w:r>
              <w:rPr>
                <w:rFonts w:ascii="Arial Narrow" w:hAnsi="Arial Narrow"/>
                <w:sz w:val="18"/>
                <w:szCs w:val="18"/>
                <w:u w:val="single"/>
              </w:rPr>
              <w:t>gen-ott 22</w:t>
            </w:r>
          </w:p>
          <w:p w14:paraId="4BB9709A" w14:textId="0C9DDE57" w:rsidR="00F858C1" w:rsidRDefault="00F858C1" w:rsidP="00F858C1">
            <w:pPr>
              <w:spacing w:before="40" w:after="20"/>
              <w:jc w:val="center"/>
              <w:rPr>
                <w:rFonts w:ascii="Arial Narrow" w:hAnsi="Arial Narrow"/>
                <w:sz w:val="18"/>
                <w:szCs w:val="18"/>
                <w:u w:val="single"/>
              </w:rPr>
            </w:pPr>
            <w:r>
              <w:rPr>
                <w:rFonts w:ascii="Arial Narrow" w:hAnsi="Arial Narrow"/>
                <w:sz w:val="18"/>
                <w:szCs w:val="18"/>
              </w:rPr>
              <w:t>gen-ott 21</w:t>
            </w:r>
          </w:p>
        </w:tc>
        <w:tc>
          <w:tcPr>
            <w:tcW w:w="850" w:type="dxa"/>
            <w:vMerge w:val="restart"/>
            <w:shd w:val="clear" w:color="auto" w:fill="FFFFFF"/>
            <w:vAlign w:val="center"/>
          </w:tcPr>
          <w:p w14:paraId="2421A475" w14:textId="4613A24F" w:rsidR="00F858C1" w:rsidRDefault="00F858C1" w:rsidP="00F858C1">
            <w:pPr>
              <w:spacing w:before="40" w:after="20"/>
              <w:jc w:val="center"/>
              <w:rPr>
                <w:rFonts w:ascii="Arial Narrow" w:hAnsi="Arial Narrow"/>
                <w:sz w:val="18"/>
                <w:szCs w:val="18"/>
              </w:rPr>
            </w:pPr>
            <w:r>
              <w:rPr>
                <w:rFonts w:ascii="Arial Narrow" w:hAnsi="Arial Narrow"/>
                <w:sz w:val="18"/>
                <w:szCs w:val="18"/>
              </w:rPr>
              <w:t>ott 2022</w:t>
            </w:r>
          </w:p>
        </w:tc>
        <w:tc>
          <w:tcPr>
            <w:tcW w:w="993" w:type="dxa"/>
            <w:vMerge w:val="restart"/>
            <w:shd w:val="clear" w:color="auto" w:fill="FFFFFF"/>
            <w:vAlign w:val="center"/>
          </w:tcPr>
          <w:p w14:paraId="39AEDC91" w14:textId="65688796" w:rsidR="00F858C1" w:rsidRDefault="00F858C1" w:rsidP="00F858C1">
            <w:pPr>
              <w:spacing w:before="40" w:after="20"/>
              <w:jc w:val="center"/>
              <w:rPr>
                <w:rFonts w:ascii="Arial Narrow" w:hAnsi="Arial Narrow"/>
                <w:sz w:val="18"/>
                <w:szCs w:val="18"/>
              </w:rPr>
            </w:pPr>
            <w:r>
              <w:rPr>
                <w:rFonts w:ascii="Arial Narrow" w:hAnsi="Arial Narrow"/>
                <w:sz w:val="18"/>
                <w:szCs w:val="18"/>
              </w:rPr>
              <w:t>gen-ott 22</w:t>
            </w:r>
          </w:p>
        </w:tc>
      </w:tr>
      <w:tr w:rsidR="00BB48EF" w14:paraId="063A3310" w14:textId="77777777" w:rsidTr="00831CA5">
        <w:trPr>
          <w:trHeight w:val="427"/>
        </w:trPr>
        <w:tc>
          <w:tcPr>
            <w:tcW w:w="1625" w:type="dxa"/>
            <w:vMerge/>
            <w:tcBorders>
              <w:bottom w:val="single" w:sz="4" w:space="0" w:color="auto"/>
            </w:tcBorders>
            <w:vAlign w:val="center"/>
          </w:tcPr>
          <w:p w14:paraId="211CA595" w14:textId="77777777" w:rsidR="00BB48EF" w:rsidRDefault="00BB48EF" w:rsidP="00BF3957">
            <w:pPr>
              <w:spacing w:before="40" w:after="20"/>
              <w:rPr>
                <w:rFonts w:ascii="Arial Narrow" w:hAnsi="Arial Narrow"/>
                <w:sz w:val="18"/>
              </w:rPr>
            </w:pPr>
          </w:p>
        </w:tc>
        <w:tc>
          <w:tcPr>
            <w:tcW w:w="712" w:type="dxa"/>
            <w:vMerge/>
            <w:tcBorders>
              <w:bottom w:val="single" w:sz="4" w:space="0" w:color="auto"/>
            </w:tcBorders>
            <w:shd w:val="clear" w:color="auto" w:fill="FFFFFF"/>
            <w:vAlign w:val="center"/>
          </w:tcPr>
          <w:p w14:paraId="63090591" w14:textId="77777777" w:rsidR="00BB48EF" w:rsidRDefault="00BB48EF" w:rsidP="00BF3957">
            <w:pPr>
              <w:spacing w:before="40" w:after="20"/>
              <w:jc w:val="center"/>
              <w:rPr>
                <w:sz w:val="16"/>
                <w:lang w:eastAsia="ar-SA"/>
              </w:rPr>
            </w:pPr>
          </w:p>
        </w:tc>
        <w:tc>
          <w:tcPr>
            <w:tcW w:w="1137" w:type="dxa"/>
            <w:vMerge/>
            <w:tcBorders>
              <w:bottom w:val="single" w:sz="4" w:space="0" w:color="auto"/>
            </w:tcBorders>
            <w:shd w:val="clear" w:color="auto" w:fill="FFFFFF"/>
            <w:vAlign w:val="center"/>
          </w:tcPr>
          <w:p w14:paraId="6C276D9B" w14:textId="77777777" w:rsidR="00BB48EF" w:rsidRDefault="00BB48EF" w:rsidP="00BF3957">
            <w:pPr>
              <w:spacing w:before="40" w:after="20"/>
              <w:jc w:val="center"/>
              <w:rPr>
                <w:rFonts w:ascii="Arial Narrow" w:hAnsi="Arial Narrow"/>
                <w:sz w:val="16"/>
              </w:rPr>
            </w:pPr>
          </w:p>
        </w:tc>
        <w:tc>
          <w:tcPr>
            <w:tcW w:w="633" w:type="dxa"/>
            <w:vMerge/>
            <w:tcBorders>
              <w:bottom w:val="single" w:sz="4" w:space="0" w:color="auto"/>
            </w:tcBorders>
            <w:shd w:val="clear" w:color="auto" w:fill="FFFFFF"/>
            <w:vAlign w:val="center"/>
          </w:tcPr>
          <w:p w14:paraId="3FA4BCA8" w14:textId="77777777" w:rsidR="00BB48EF" w:rsidRDefault="00BB48EF" w:rsidP="00BF3957">
            <w:pPr>
              <w:spacing w:before="40" w:after="20"/>
              <w:jc w:val="center"/>
              <w:rPr>
                <w:sz w:val="16"/>
                <w:lang w:eastAsia="ar-SA"/>
              </w:rPr>
            </w:pPr>
          </w:p>
        </w:tc>
        <w:tc>
          <w:tcPr>
            <w:tcW w:w="1000" w:type="dxa"/>
            <w:gridSpan w:val="2"/>
            <w:vMerge/>
            <w:tcBorders>
              <w:bottom w:val="single" w:sz="4" w:space="0" w:color="auto"/>
            </w:tcBorders>
            <w:shd w:val="clear" w:color="auto" w:fill="FFFFFF"/>
            <w:vAlign w:val="center"/>
          </w:tcPr>
          <w:p w14:paraId="2DE661DB" w14:textId="77777777" w:rsidR="00BB48EF" w:rsidRDefault="00BB48EF" w:rsidP="00BF3957">
            <w:pPr>
              <w:spacing w:before="40" w:after="20"/>
              <w:jc w:val="center"/>
              <w:rPr>
                <w:rFonts w:ascii="Arial Narrow" w:hAnsi="Arial Narrow"/>
                <w:sz w:val="16"/>
              </w:rPr>
            </w:pPr>
          </w:p>
        </w:tc>
        <w:tc>
          <w:tcPr>
            <w:tcW w:w="705" w:type="dxa"/>
            <w:vMerge/>
            <w:tcBorders>
              <w:bottom w:val="single" w:sz="4" w:space="0" w:color="auto"/>
            </w:tcBorders>
            <w:shd w:val="clear" w:color="auto" w:fill="FFFFFF"/>
            <w:vAlign w:val="center"/>
          </w:tcPr>
          <w:p w14:paraId="7A44ECD1" w14:textId="77777777" w:rsidR="00BB48EF" w:rsidRDefault="00BB48EF" w:rsidP="00BF3957">
            <w:pPr>
              <w:spacing w:before="40" w:after="20"/>
              <w:jc w:val="center"/>
              <w:rPr>
                <w:sz w:val="16"/>
                <w:lang w:eastAsia="ar-SA"/>
              </w:rPr>
            </w:pPr>
          </w:p>
        </w:tc>
        <w:tc>
          <w:tcPr>
            <w:tcW w:w="1206" w:type="dxa"/>
            <w:vMerge/>
            <w:tcBorders>
              <w:bottom w:val="single" w:sz="4" w:space="0" w:color="auto"/>
            </w:tcBorders>
            <w:shd w:val="clear" w:color="auto" w:fill="FFFFFF"/>
            <w:vAlign w:val="center"/>
          </w:tcPr>
          <w:p w14:paraId="413DFB19" w14:textId="77777777" w:rsidR="00BB48EF" w:rsidRDefault="00BB48EF" w:rsidP="00BF3957">
            <w:pPr>
              <w:spacing w:before="40" w:after="20"/>
              <w:jc w:val="center"/>
              <w:rPr>
                <w:rFonts w:ascii="Arial Narrow" w:hAnsi="Arial Narrow"/>
                <w:sz w:val="16"/>
              </w:rPr>
            </w:pPr>
          </w:p>
        </w:tc>
        <w:tc>
          <w:tcPr>
            <w:tcW w:w="731" w:type="dxa"/>
            <w:vMerge/>
            <w:tcBorders>
              <w:bottom w:val="single" w:sz="4" w:space="0" w:color="auto"/>
            </w:tcBorders>
            <w:shd w:val="clear" w:color="auto" w:fill="FFFFFF"/>
            <w:vAlign w:val="center"/>
          </w:tcPr>
          <w:p w14:paraId="01D6BA97" w14:textId="77777777" w:rsidR="00BB48EF" w:rsidRDefault="00BB48EF" w:rsidP="00BF3957">
            <w:pPr>
              <w:spacing w:before="40" w:after="20"/>
              <w:jc w:val="center"/>
              <w:rPr>
                <w:sz w:val="16"/>
                <w:lang w:eastAsia="ar-SA"/>
              </w:rPr>
            </w:pPr>
          </w:p>
        </w:tc>
        <w:tc>
          <w:tcPr>
            <w:tcW w:w="970" w:type="dxa"/>
            <w:vMerge/>
            <w:tcBorders>
              <w:bottom w:val="single" w:sz="4" w:space="0" w:color="auto"/>
            </w:tcBorders>
            <w:shd w:val="clear" w:color="auto" w:fill="FFFFFF"/>
            <w:vAlign w:val="center"/>
          </w:tcPr>
          <w:p w14:paraId="25C0D16E" w14:textId="77777777" w:rsidR="00BB48EF" w:rsidRDefault="00BB48EF" w:rsidP="00BF3957">
            <w:pPr>
              <w:spacing w:before="40" w:after="20"/>
              <w:jc w:val="center"/>
              <w:rPr>
                <w:rFonts w:ascii="Arial Narrow" w:hAnsi="Arial Narrow"/>
                <w:sz w:val="16"/>
              </w:rPr>
            </w:pPr>
          </w:p>
        </w:tc>
        <w:tc>
          <w:tcPr>
            <w:tcW w:w="850" w:type="dxa"/>
            <w:vMerge/>
            <w:tcBorders>
              <w:bottom w:val="single" w:sz="4" w:space="0" w:color="auto"/>
            </w:tcBorders>
            <w:shd w:val="clear" w:color="auto" w:fill="FFFFFF"/>
            <w:vAlign w:val="center"/>
          </w:tcPr>
          <w:p w14:paraId="712F20A2" w14:textId="77777777" w:rsidR="00BB48EF" w:rsidRDefault="00BB48EF" w:rsidP="00BF3957">
            <w:pPr>
              <w:spacing w:before="40" w:after="20"/>
              <w:jc w:val="center"/>
              <w:rPr>
                <w:rFonts w:ascii="Arial Narrow" w:hAnsi="Arial Narrow"/>
                <w:sz w:val="16"/>
              </w:rPr>
            </w:pPr>
          </w:p>
        </w:tc>
        <w:tc>
          <w:tcPr>
            <w:tcW w:w="993" w:type="dxa"/>
            <w:vMerge/>
            <w:tcBorders>
              <w:bottom w:val="single" w:sz="4" w:space="0" w:color="auto"/>
            </w:tcBorders>
            <w:shd w:val="clear" w:color="auto" w:fill="FFFFFF"/>
            <w:vAlign w:val="center"/>
          </w:tcPr>
          <w:p w14:paraId="3803D61F" w14:textId="77777777" w:rsidR="00BB48EF" w:rsidRDefault="00BB48EF" w:rsidP="00BF3957">
            <w:pPr>
              <w:spacing w:before="40" w:after="20"/>
              <w:jc w:val="center"/>
              <w:rPr>
                <w:rFonts w:ascii="Arial Narrow" w:hAnsi="Arial Narrow"/>
                <w:sz w:val="16"/>
              </w:rPr>
            </w:pPr>
          </w:p>
        </w:tc>
      </w:tr>
      <w:tr w:rsidR="00C45789" w:rsidRPr="005D27EB" w14:paraId="4AFA6DA2" w14:textId="77777777" w:rsidTr="00C45789">
        <w:trPr>
          <w:trHeight w:val="255"/>
        </w:trPr>
        <w:tc>
          <w:tcPr>
            <w:tcW w:w="1625" w:type="dxa"/>
          </w:tcPr>
          <w:p w14:paraId="01C5B173" w14:textId="77777777" w:rsidR="00C45789" w:rsidRDefault="00C45789" w:rsidP="00C45789">
            <w:pPr>
              <w:spacing w:before="40"/>
              <w:rPr>
                <w:rFonts w:ascii="Arial Narrow" w:hAnsi="Arial Narrow"/>
                <w:sz w:val="18"/>
              </w:rPr>
            </w:pPr>
            <w:r>
              <w:rPr>
                <w:rFonts w:ascii="Arial Narrow" w:hAnsi="Arial Narrow"/>
                <w:sz w:val="18"/>
              </w:rPr>
              <w:t>Beni di consumo</w:t>
            </w:r>
          </w:p>
        </w:tc>
        <w:tc>
          <w:tcPr>
            <w:tcW w:w="712" w:type="dxa"/>
            <w:shd w:val="clear" w:color="auto" w:fill="D9D9D9"/>
            <w:vAlign w:val="center"/>
          </w:tcPr>
          <w:p w14:paraId="18354AF1" w14:textId="22998225" w:rsidR="00C45789" w:rsidRDefault="00C45789" w:rsidP="00C45789">
            <w:pPr>
              <w:jc w:val="center"/>
              <w:rPr>
                <w:rFonts w:ascii="Arial Narrow" w:hAnsi="Arial Narrow"/>
                <w:sz w:val="18"/>
                <w:szCs w:val="18"/>
              </w:rPr>
            </w:pPr>
            <w:r>
              <w:rPr>
                <w:rFonts w:ascii="Arial Narrow" w:hAnsi="Arial Narrow"/>
                <w:sz w:val="18"/>
                <w:szCs w:val="18"/>
              </w:rPr>
              <w:t>-3,7</w:t>
            </w:r>
          </w:p>
        </w:tc>
        <w:tc>
          <w:tcPr>
            <w:tcW w:w="1137" w:type="dxa"/>
            <w:shd w:val="clear" w:color="auto" w:fill="FFFFFF"/>
            <w:vAlign w:val="center"/>
          </w:tcPr>
          <w:p w14:paraId="4F88C1F0" w14:textId="265160D8" w:rsidR="00C45789" w:rsidRDefault="00C45789" w:rsidP="00C45789">
            <w:pPr>
              <w:jc w:val="center"/>
              <w:rPr>
                <w:rFonts w:ascii="Arial Narrow" w:hAnsi="Arial Narrow"/>
                <w:sz w:val="18"/>
                <w:szCs w:val="18"/>
              </w:rPr>
            </w:pPr>
            <w:r>
              <w:rPr>
                <w:rFonts w:ascii="Arial Narrow" w:hAnsi="Arial Narrow"/>
                <w:sz w:val="18"/>
                <w:szCs w:val="18"/>
              </w:rPr>
              <w:t>+4,9</w:t>
            </w:r>
          </w:p>
        </w:tc>
        <w:tc>
          <w:tcPr>
            <w:tcW w:w="633" w:type="dxa"/>
            <w:shd w:val="clear" w:color="auto" w:fill="D9D9D9"/>
            <w:vAlign w:val="center"/>
          </w:tcPr>
          <w:p w14:paraId="4C85027B" w14:textId="763F128C" w:rsidR="00C45789" w:rsidRDefault="00C45789" w:rsidP="00C45789">
            <w:pPr>
              <w:jc w:val="center"/>
              <w:rPr>
                <w:rFonts w:ascii="Arial Narrow" w:hAnsi="Arial Narrow"/>
                <w:sz w:val="18"/>
                <w:szCs w:val="18"/>
              </w:rPr>
            </w:pPr>
            <w:r>
              <w:rPr>
                <w:rFonts w:ascii="Arial Narrow" w:hAnsi="Arial Narrow"/>
                <w:sz w:val="18"/>
                <w:szCs w:val="18"/>
              </w:rPr>
              <w:t>+18,6</w:t>
            </w:r>
          </w:p>
        </w:tc>
        <w:tc>
          <w:tcPr>
            <w:tcW w:w="1000" w:type="dxa"/>
            <w:gridSpan w:val="2"/>
            <w:shd w:val="clear" w:color="auto" w:fill="FFFFFF"/>
            <w:vAlign w:val="center"/>
          </w:tcPr>
          <w:p w14:paraId="25BD10E9" w14:textId="558FDE8B" w:rsidR="00C45789" w:rsidRDefault="00C45789" w:rsidP="00C45789">
            <w:pPr>
              <w:jc w:val="center"/>
              <w:rPr>
                <w:rFonts w:ascii="Arial Narrow" w:hAnsi="Arial Narrow"/>
                <w:sz w:val="18"/>
                <w:szCs w:val="18"/>
              </w:rPr>
            </w:pPr>
            <w:r>
              <w:rPr>
                <w:rFonts w:ascii="Arial Narrow" w:hAnsi="Arial Narrow"/>
                <w:sz w:val="18"/>
                <w:szCs w:val="18"/>
              </w:rPr>
              <w:t>+22,7</w:t>
            </w:r>
          </w:p>
        </w:tc>
        <w:tc>
          <w:tcPr>
            <w:tcW w:w="705" w:type="dxa"/>
            <w:shd w:val="clear" w:color="auto" w:fill="D9D9D9"/>
            <w:vAlign w:val="center"/>
          </w:tcPr>
          <w:p w14:paraId="613E8785" w14:textId="2157E63D" w:rsidR="00C45789" w:rsidRDefault="00C45789" w:rsidP="00C45789">
            <w:pPr>
              <w:jc w:val="center"/>
              <w:rPr>
                <w:rFonts w:ascii="Arial Narrow" w:hAnsi="Arial Narrow"/>
                <w:sz w:val="18"/>
                <w:szCs w:val="18"/>
              </w:rPr>
            </w:pPr>
            <w:r>
              <w:rPr>
                <w:rFonts w:ascii="Arial Narrow" w:hAnsi="Arial Narrow"/>
                <w:sz w:val="18"/>
                <w:szCs w:val="18"/>
              </w:rPr>
              <w:t>+1,9</w:t>
            </w:r>
          </w:p>
        </w:tc>
        <w:tc>
          <w:tcPr>
            <w:tcW w:w="1206" w:type="dxa"/>
            <w:shd w:val="clear" w:color="auto" w:fill="FFFFFF"/>
            <w:vAlign w:val="center"/>
          </w:tcPr>
          <w:p w14:paraId="36E1E118" w14:textId="61A6D825" w:rsidR="00C45789" w:rsidRDefault="00C45789" w:rsidP="00C45789">
            <w:pPr>
              <w:jc w:val="center"/>
              <w:rPr>
                <w:rFonts w:ascii="Arial Narrow" w:hAnsi="Arial Narrow"/>
                <w:sz w:val="18"/>
                <w:szCs w:val="18"/>
              </w:rPr>
            </w:pPr>
            <w:r>
              <w:rPr>
                <w:rFonts w:ascii="Arial Narrow" w:hAnsi="Arial Narrow"/>
                <w:sz w:val="18"/>
                <w:szCs w:val="18"/>
              </w:rPr>
              <w:t>+5,8</w:t>
            </w:r>
          </w:p>
        </w:tc>
        <w:tc>
          <w:tcPr>
            <w:tcW w:w="731" w:type="dxa"/>
            <w:shd w:val="clear" w:color="auto" w:fill="D9D9D9"/>
            <w:vAlign w:val="center"/>
          </w:tcPr>
          <w:p w14:paraId="12851F27" w14:textId="3132972D" w:rsidR="00C45789" w:rsidRDefault="00C45789" w:rsidP="00C45789">
            <w:pPr>
              <w:jc w:val="center"/>
              <w:rPr>
                <w:rFonts w:ascii="Arial Narrow" w:hAnsi="Arial Narrow"/>
                <w:sz w:val="18"/>
                <w:szCs w:val="18"/>
              </w:rPr>
            </w:pPr>
            <w:r>
              <w:rPr>
                <w:rFonts w:ascii="Arial Narrow" w:hAnsi="Arial Narrow"/>
                <w:sz w:val="18"/>
                <w:szCs w:val="18"/>
              </w:rPr>
              <w:t>+27,2</w:t>
            </w:r>
          </w:p>
        </w:tc>
        <w:tc>
          <w:tcPr>
            <w:tcW w:w="970" w:type="dxa"/>
            <w:shd w:val="clear" w:color="auto" w:fill="FFFFFF"/>
            <w:vAlign w:val="center"/>
          </w:tcPr>
          <w:p w14:paraId="1808CEF2" w14:textId="7D5A6594" w:rsidR="00C45789" w:rsidRDefault="00C45789" w:rsidP="00C45789">
            <w:pPr>
              <w:jc w:val="center"/>
              <w:rPr>
                <w:rFonts w:ascii="Arial Narrow" w:hAnsi="Arial Narrow"/>
                <w:sz w:val="18"/>
                <w:szCs w:val="18"/>
              </w:rPr>
            </w:pPr>
            <w:r>
              <w:rPr>
                <w:rFonts w:ascii="Arial Narrow" w:hAnsi="Arial Narrow"/>
                <w:sz w:val="18"/>
                <w:szCs w:val="18"/>
              </w:rPr>
              <w:t>+30,1</w:t>
            </w:r>
          </w:p>
        </w:tc>
        <w:tc>
          <w:tcPr>
            <w:tcW w:w="850" w:type="dxa"/>
            <w:shd w:val="clear" w:color="auto" w:fill="D9D9D9"/>
            <w:vAlign w:val="center"/>
          </w:tcPr>
          <w:p w14:paraId="24F7E119" w14:textId="3484D295" w:rsidR="00C45789" w:rsidRDefault="00C45789" w:rsidP="00C45789">
            <w:pPr>
              <w:jc w:val="center"/>
              <w:rPr>
                <w:rFonts w:ascii="Arial Narrow" w:hAnsi="Arial Narrow"/>
                <w:sz w:val="18"/>
                <w:szCs w:val="18"/>
              </w:rPr>
            </w:pPr>
            <w:r>
              <w:rPr>
                <w:rFonts w:ascii="Arial Narrow" w:hAnsi="Arial Narrow"/>
                <w:sz w:val="18"/>
                <w:szCs w:val="18"/>
              </w:rPr>
              <w:t>+4.386</w:t>
            </w:r>
          </w:p>
        </w:tc>
        <w:tc>
          <w:tcPr>
            <w:tcW w:w="993" w:type="dxa"/>
            <w:shd w:val="clear" w:color="auto" w:fill="FFFFFF"/>
            <w:vAlign w:val="center"/>
          </w:tcPr>
          <w:p w14:paraId="548344FD" w14:textId="2611B843" w:rsidR="00C45789" w:rsidRDefault="00C45789" w:rsidP="00C45789">
            <w:pPr>
              <w:jc w:val="center"/>
              <w:rPr>
                <w:rFonts w:ascii="Arial Narrow" w:hAnsi="Arial Narrow"/>
                <w:sz w:val="18"/>
                <w:szCs w:val="18"/>
              </w:rPr>
            </w:pPr>
            <w:r>
              <w:rPr>
                <w:rFonts w:ascii="Arial Narrow" w:hAnsi="Arial Narrow"/>
                <w:sz w:val="18"/>
                <w:szCs w:val="18"/>
              </w:rPr>
              <w:t>+35.105</w:t>
            </w:r>
          </w:p>
        </w:tc>
      </w:tr>
      <w:tr w:rsidR="00C45789" w:rsidRPr="005D27EB" w14:paraId="789AB03C" w14:textId="77777777" w:rsidTr="00C45789">
        <w:trPr>
          <w:trHeight w:val="255"/>
        </w:trPr>
        <w:tc>
          <w:tcPr>
            <w:tcW w:w="1625" w:type="dxa"/>
          </w:tcPr>
          <w:p w14:paraId="044CC3E3" w14:textId="77777777" w:rsidR="00C45789" w:rsidRDefault="00C45789" w:rsidP="00C45789">
            <w:pPr>
              <w:spacing w:before="40"/>
              <w:rPr>
                <w:rFonts w:ascii="Arial Narrow" w:hAnsi="Arial Narrow"/>
                <w:sz w:val="18"/>
              </w:rPr>
            </w:pPr>
            <w:r>
              <w:rPr>
                <w:rFonts w:ascii="Arial Narrow" w:hAnsi="Arial Narrow"/>
                <w:sz w:val="18"/>
              </w:rPr>
              <w:t xml:space="preserve"> durevoli</w:t>
            </w:r>
          </w:p>
        </w:tc>
        <w:tc>
          <w:tcPr>
            <w:tcW w:w="712" w:type="dxa"/>
            <w:shd w:val="clear" w:color="auto" w:fill="D9D9D9"/>
            <w:vAlign w:val="center"/>
          </w:tcPr>
          <w:p w14:paraId="10037B63" w14:textId="7F835C33" w:rsidR="00C45789" w:rsidRDefault="00C45789" w:rsidP="00C45789">
            <w:pPr>
              <w:jc w:val="center"/>
              <w:rPr>
                <w:rFonts w:ascii="Arial Narrow" w:hAnsi="Arial Narrow"/>
                <w:sz w:val="18"/>
                <w:szCs w:val="18"/>
              </w:rPr>
            </w:pPr>
            <w:r>
              <w:rPr>
                <w:rFonts w:ascii="Arial Narrow" w:hAnsi="Arial Narrow"/>
                <w:sz w:val="18"/>
                <w:szCs w:val="18"/>
              </w:rPr>
              <w:t>-6,9</w:t>
            </w:r>
          </w:p>
        </w:tc>
        <w:tc>
          <w:tcPr>
            <w:tcW w:w="1137" w:type="dxa"/>
            <w:shd w:val="clear" w:color="auto" w:fill="FFFFFF"/>
            <w:vAlign w:val="center"/>
          </w:tcPr>
          <w:p w14:paraId="70A146F9" w14:textId="3FDE9E5F" w:rsidR="00C45789" w:rsidRDefault="00C45789" w:rsidP="00C45789">
            <w:pPr>
              <w:jc w:val="center"/>
              <w:rPr>
                <w:rFonts w:ascii="Arial Narrow" w:hAnsi="Arial Narrow"/>
                <w:sz w:val="18"/>
                <w:szCs w:val="18"/>
              </w:rPr>
            </w:pPr>
            <w:r>
              <w:rPr>
                <w:rFonts w:ascii="Arial Narrow" w:hAnsi="Arial Narrow"/>
                <w:sz w:val="18"/>
                <w:szCs w:val="18"/>
              </w:rPr>
              <w:t>-1,7</w:t>
            </w:r>
          </w:p>
        </w:tc>
        <w:tc>
          <w:tcPr>
            <w:tcW w:w="633" w:type="dxa"/>
            <w:shd w:val="clear" w:color="auto" w:fill="D9D9D9"/>
            <w:vAlign w:val="center"/>
          </w:tcPr>
          <w:p w14:paraId="762CBFA1" w14:textId="58697F9D" w:rsidR="00C45789" w:rsidRDefault="00C45789" w:rsidP="00C45789">
            <w:pPr>
              <w:jc w:val="center"/>
              <w:rPr>
                <w:rFonts w:ascii="Arial Narrow" w:hAnsi="Arial Narrow"/>
                <w:sz w:val="18"/>
                <w:szCs w:val="18"/>
              </w:rPr>
            </w:pPr>
            <w:r>
              <w:rPr>
                <w:rFonts w:ascii="Arial Narrow" w:hAnsi="Arial Narrow"/>
                <w:sz w:val="18"/>
                <w:szCs w:val="18"/>
              </w:rPr>
              <w:t>+5,5</w:t>
            </w:r>
          </w:p>
        </w:tc>
        <w:tc>
          <w:tcPr>
            <w:tcW w:w="1000" w:type="dxa"/>
            <w:gridSpan w:val="2"/>
            <w:shd w:val="clear" w:color="auto" w:fill="FFFFFF"/>
            <w:vAlign w:val="center"/>
          </w:tcPr>
          <w:p w14:paraId="2DC08963" w14:textId="6BCFBEF5" w:rsidR="00C45789" w:rsidRDefault="00C45789" w:rsidP="00C45789">
            <w:pPr>
              <w:jc w:val="center"/>
              <w:rPr>
                <w:rFonts w:ascii="Arial Narrow" w:hAnsi="Arial Narrow"/>
                <w:sz w:val="18"/>
                <w:szCs w:val="18"/>
              </w:rPr>
            </w:pPr>
            <w:r>
              <w:rPr>
                <w:rFonts w:ascii="Arial Narrow" w:hAnsi="Arial Narrow"/>
                <w:sz w:val="18"/>
                <w:szCs w:val="18"/>
              </w:rPr>
              <w:t>+18,3</w:t>
            </w:r>
          </w:p>
        </w:tc>
        <w:tc>
          <w:tcPr>
            <w:tcW w:w="705" w:type="dxa"/>
            <w:shd w:val="clear" w:color="auto" w:fill="D9D9D9"/>
            <w:vAlign w:val="center"/>
          </w:tcPr>
          <w:p w14:paraId="4E636538" w14:textId="17E72EEE" w:rsidR="00C45789" w:rsidRDefault="00C45789" w:rsidP="00C45789">
            <w:pPr>
              <w:jc w:val="center"/>
              <w:rPr>
                <w:rFonts w:ascii="Arial Narrow" w:hAnsi="Arial Narrow"/>
                <w:sz w:val="18"/>
                <w:szCs w:val="18"/>
              </w:rPr>
            </w:pPr>
            <w:r>
              <w:rPr>
                <w:rFonts w:ascii="Arial Narrow" w:hAnsi="Arial Narrow"/>
                <w:sz w:val="18"/>
                <w:szCs w:val="18"/>
              </w:rPr>
              <w:t>-1,2</w:t>
            </w:r>
          </w:p>
        </w:tc>
        <w:tc>
          <w:tcPr>
            <w:tcW w:w="1206" w:type="dxa"/>
            <w:shd w:val="clear" w:color="auto" w:fill="FFFFFF"/>
            <w:vAlign w:val="center"/>
          </w:tcPr>
          <w:p w14:paraId="562EEF68" w14:textId="6F6274D4" w:rsidR="00C45789" w:rsidRDefault="00C45789" w:rsidP="00C45789">
            <w:pPr>
              <w:jc w:val="center"/>
              <w:rPr>
                <w:rFonts w:ascii="Arial Narrow" w:hAnsi="Arial Narrow"/>
                <w:sz w:val="18"/>
                <w:szCs w:val="18"/>
              </w:rPr>
            </w:pPr>
            <w:r>
              <w:rPr>
                <w:rFonts w:ascii="Arial Narrow" w:hAnsi="Arial Narrow"/>
                <w:sz w:val="18"/>
                <w:szCs w:val="18"/>
              </w:rPr>
              <w:t>+0,3</w:t>
            </w:r>
          </w:p>
        </w:tc>
        <w:tc>
          <w:tcPr>
            <w:tcW w:w="731" w:type="dxa"/>
            <w:shd w:val="clear" w:color="auto" w:fill="D9D9D9"/>
            <w:vAlign w:val="center"/>
          </w:tcPr>
          <w:p w14:paraId="61A34F5B" w14:textId="4CDE99D1" w:rsidR="00C45789" w:rsidRDefault="00C45789" w:rsidP="00C45789">
            <w:pPr>
              <w:jc w:val="center"/>
              <w:rPr>
                <w:rFonts w:ascii="Arial Narrow" w:hAnsi="Arial Narrow"/>
                <w:sz w:val="18"/>
                <w:szCs w:val="18"/>
              </w:rPr>
            </w:pPr>
            <w:r>
              <w:rPr>
                <w:rFonts w:ascii="Arial Narrow" w:hAnsi="Arial Narrow"/>
                <w:sz w:val="18"/>
                <w:szCs w:val="18"/>
              </w:rPr>
              <w:t>+4,8</w:t>
            </w:r>
          </w:p>
        </w:tc>
        <w:tc>
          <w:tcPr>
            <w:tcW w:w="970" w:type="dxa"/>
            <w:shd w:val="clear" w:color="auto" w:fill="FFFFFF"/>
            <w:vAlign w:val="center"/>
          </w:tcPr>
          <w:p w14:paraId="51284973" w14:textId="603C1D6B" w:rsidR="00C45789" w:rsidRDefault="00C45789" w:rsidP="00C45789">
            <w:pPr>
              <w:jc w:val="center"/>
              <w:rPr>
                <w:rFonts w:ascii="Arial Narrow" w:hAnsi="Arial Narrow"/>
                <w:sz w:val="18"/>
                <w:szCs w:val="18"/>
              </w:rPr>
            </w:pPr>
            <w:r>
              <w:rPr>
                <w:rFonts w:ascii="Arial Narrow" w:hAnsi="Arial Narrow"/>
                <w:sz w:val="18"/>
                <w:szCs w:val="18"/>
              </w:rPr>
              <w:t>+12,7</w:t>
            </w:r>
          </w:p>
        </w:tc>
        <w:tc>
          <w:tcPr>
            <w:tcW w:w="850" w:type="dxa"/>
            <w:shd w:val="clear" w:color="auto" w:fill="D9D9D9"/>
            <w:vAlign w:val="center"/>
          </w:tcPr>
          <w:p w14:paraId="11969021" w14:textId="5426BBC2" w:rsidR="00C45789" w:rsidRDefault="00C45789" w:rsidP="00C45789">
            <w:pPr>
              <w:jc w:val="center"/>
              <w:rPr>
                <w:rFonts w:ascii="Arial Narrow" w:hAnsi="Arial Narrow"/>
                <w:sz w:val="18"/>
                <w:szCs w:val="18"/>
              </w:rPr>
            </w:pPr>
            <w:r>
              <w:rPr>
                <w:rFonts w:ascii="Arial Narrow" w:hAnsi="Arial Narrow"/>
                <w:sz w:val="18"/>
                <w:szCs w:val="18"/>
              </w:rPr>
              <w:t>+1.053</w:t>
            </w:r>
          </w:p>
        </w:tc>
        <w:tc>
          <w:tcPr>
            <w:tcW w:w="993" w:type="dxa"/>
            <w:shd w:val="clear" w:color="auto" w:fill="FFFFFF"/>
            <w:vAlign w:val="center"/>
          </w:tcPr>
          <w:p w14:paraId="5824032D" w14:textId="64ECE067" w:rsidR="00C45789" w:rsidRDefault="00C45789" w:rsidP="00C45789">
            <w:pPr>
              <w:jc w:val="center"/>
              <w:rPr>
                <w:rFonts w:ascii="Arial Narrow" w:hAnsi="Arial Narrow"/>
                <w:sz w:val="18"/>
                <w:szCs w:val="18"/>
              </w:rPr>
            </w:pPr>
            <w:r>
              <w:rPr>
                <w:rFonts w:ascii="Arial Narrow" w:hAnsi="Arial Narrow"/>
                <w:sz w:val="18"/>
                <w:szCs w:val="18"/>
              </w:rPr>
              <w:t>+8.456</w:t>
            </w:r>
          </w:p>
        </w:tc>
      </w:tr>
      <w:tr w:rsidR="00C45789" w:rsidRPr="005D27EB" w14:paraId="5A6F6566" w14:textId="77777777" w:rsidTr="00C45789">
        <w:trPr>
          <w:trHeight w:val="255"/>
        </w:trPr>
        <w:tc>
          <w:tcPr>
            <w:tcW w:w="1625" w:type="dxa"/>
          </w:tcPr>
          <w:p w14:paraId="6167D44C" w14:textId="77777777" w:rsidR="00C45789" w:rsidRDefault="00C45789" w:rsidP="00C45789">
            <w:pPr>
              <w:spacing w:before="40"/>
              <w:rPr>
                <w:rFonts w:ascii="Arial Narrow" w:hAnsi="Arial Narrow"/>
                <w:sz w:val="18"/>
              </w:rPr>
            </w:pPr>
            <w:r>
              <w:rPr>
                <w:rFonts w:ascii="Arial Narrow" w:hAnsi="Arial Narrow"/>
                <w:sz w:val="18"/>
              </w:rPr>
              <w:t xml:space="preserve"> non durevoli</w:t>
            </w:r>
          </w:p>
        </w:tc>
        <w:tc>
          <w:tcPr>
            <w:tcW w:w="712" w:type="dxa"/>
            <w:shd w:val="clear" w:color="auto" w:fill="D9D9D9"/>
            <w:vAlign w:val="center"/>
          </w:tcPr>
          <w:p w14:paraId="67485407" w14:textId="2517E759" w:rsidR="00C45789" w:rsidRDefault="00C45789" w:rsidP="00C45789">
            <w:pPr>
              <w:jc w:val="center"/>
              <w:rPr>
                <w:rFonts w:ascii="Arial Narrow" w:hAnsi="Arial Narrow"/>
                <w:sz w:val="18"/>
                <w:szCs w:val="18"/>
              </w:rPr>
            </w:pPr>
            <w:r>
              <w:rPr>
                <w:rFonts w:ascii="Arial Narrow" w:hAnsi="Arial Narrow"/>
                <w:sz w:val="18"/>
                <w:szCs w:val="18"/>
              </w:rPr>
              <w:t>-2,9</w:t>
            </w:r>
          </w:p>
        </w:tc>
        <w:tc>
          <w:tcPr>
            <w:tcW w:w="1137" w:type="dxa"/>
            <w:shd w:val="clear" w:color="auto" w:fill="FFFFFF"/>
            <w:vAlign w:val="center"/>
          </w:tcPr>
          <w:p w14:paraId="5CCC8A60" w14:textId="710406D3" w:rsidR="00C45789" w:rsidRDefault="00C45789" w:rsidP="00C45789">
            <w:pPr>
              <w:jc w:val="center"/>
              <w:rPr>
                <w:rFonts w:ascii="Arial Narrow" w:hAnsi="Arial Narrow"/>
                <w:sz w:val="18"/>
                <w:szCs w:val="18"/>
              </w:rPr>
            </w:pPr>
            <w:r>
              <w:rPr>
                <w:rFonts w:ascii="Arial Narrow" w:hAnsi="Arial Narrow"/>
                <w:sz w:val="18"/>
                <w:szCs w:val="18"/>
              </w:rPr>
              <w:t>+6,5</w:t>
            </w:r>
          </w:p>
        </w:tc>
        <w:tc>
          <w:tcPr>
            <w:tcW w:w="633" w:type="dxa"/>
            <w:shd w:val="clear" w:color="auto" w:fill="D9D9D9"/>
            <w:vAlign w:val="center"/>
          </w:tcPr>
          <w:p w14:paraId="2DE56C0D" w14:textId="449F4B12" w:rsidR="00C45789" w:rsidRDefault="00C45789" w:rsidP="00C45789">
            <w:pPr>
              <w:jc w:val="center"/>
              <w:rPr>
                <w:rFonts w:ascii="Arial Narrow" w:hAnsi="Arial Narrow"/>
                <w:sz w:val="18"/>
                <w:szCs w:val="18"/>
              </w:rPr>
            </w:pPr>
            <w:r>
              <w:rPr>
                <w:rFonts w:ascii="Arial Narrow" w:hAnsi="Arial Narrow"/>
                <w:sz w:val="18"/>
                <w:szCs w:val="18"/>
              </w:rPr>
              <w:t>+22,1</w:t>
            </w:r>
          </w:p>
        </w:tc>
        <w:tc>
          <w:tcPr>
            <w:tcW w:w="1000" w:type="dxa"/>
            <w:gridSpan w:val="2"/>
            <w:shd w:val="clear" w:color="auto" w:fill="FFFFFF"/>
            <w:vAlign w:val="center"/>
          </w:tcPr>
          <w:p w14:paraId="556F0D22" w14:textId="314D1F24" w:rsidR="00C45789" w:rsidRDefault="00C45789" w:rsidP="00C45789">
            <w:pPr>
              <w:jc w:val="center"/>
              <w:rPr>
                <w:rFonts w:ascii="Arial Narrow" w:hAnsi="Arial Narrow"/>
                <w:sz w:val="18"/>
                <w:szCs w:val="18"/>
              </w:rPr>
            </w:pPr>
            <w:r>
              <w:rPr>
                <w:rFonts w:ascii="Arial Narrow" w:hAnsi="Arial Narrow"/>
                <w:sz w:val="18"/>
                <w:szCs w:val="18"/>
              </w:rPr>
              <w:t>+23,8</w:t>
            </w:r>
          </w:p>
        </w:tc>
        <w:tc>
          <w:tcPr>
            <w:tcW w:w="705" w:type="dxa"/>
            <w:shd w:val="clear" w:color="auto" w:fill="D9D9D9"/>
            <w:vAlign w:val="center"/>
          </w:tcPr>
          <w:p w14:paraId="2057A619" w14:textId="688903E3" w:rsidR="00C45789" w:rsidRDefault="00C45789" w:rsidP="00C45789">
            <w:pPr>
              <w:jc w:val="center"/>
              <w:rPr>
                <w:rFonts w:ascii="Arial Narrow" w:hAnsi="Arial Narrow"/>
                <w:sz w:val="18"/>
                <w:szCs w:val="18"/>
              </w:rPr>
            </w:pPr>
            <w:r>
              <w:rPr>
                <w:rFonts w:ascii="Arial Narrow" w:hAnsi="Arial Narrow"/>
                <w:sz w:val="18"/>
                <w:szCs w:val="18"/>
              </w:rPr>
              <w:t>+2,4</w:t>
            </w:r>
          </w:p>
        </w:tc>
        <w:tc>
          <w:tcPr>
            <w:tcW w:w="1206" w:type="dxa"/>
            <w:shd w:val="clear" w:color="auto" w:fill="FFFFFF"/>
            <w:vAlign w:val="center"/>
          </w:tcPr>
          <w:p w14:paraId="5D8BD144" w14:textId="685BFD51" w:rsidR="00C45789" w:rsidRDefault="00C45789" w:rsidP="00C45789">
            <w:pPr>
              <w:jc w:val="center"/>
              <w:rPr>
                <w:rFonts w:ascii="Arial Narrow" w:hAnsi="Arial Narrow"/>
                <w:sz w:val="18"/>
                <w:szCs w:val="18"/>
              </w:rPr>
            </w:pPr>
            <w:r>
              <w:rPr>
                <w:rFonts w:ascii="Arial Narrow" w:hAnsi="Arial Narrow"/>
                <w:sz w:val="18"/>
                <w:szCs w:val="18"/>
              </w:rPr>
              <w:t>+6,8</w:t>
            </w:r>
          </w:p>
        </w:tc>
        <w:tc>
          <w:tcPr>
            <w:tcW w:w="731" w:type="dxa"/>
            <w:shd w:val="clear" w:color="auto" w:fill="D9D9D9"/>
            <w:vAlign w:val="center"/>
          </w:tcPr>
          <w:p w14:paraId="57E802C8" w14:textId="47427EC9" w:rsidR="00C45789" w:rsidRDefault="00C45789" w:rsidP="00C45789">
            <w:pPr>
              <w:jc w:val="center"/>
              <w:rPr>
                <w:rFonts w:ascii="Arial Narrow" w:hAnsi="Arial Narrow"/>
                <w:sz w:val="18"/>
                <w:szCs w:val="18"/>
              </w:rPr>
            </w:pPr>
            <w:r>
              <w:rPr>
                <w:rFonts w:ascii="Arial Narrow" w:hAnsi="Arial Narrow"/>
                <w:sz w:val="18"/>
                <w:szCs w:val="18"/>
              </w:rPr>
              <w:t>+31,7</w:t>
            </w:r>
          </w:p>
        </w:tc>
        <w:tc>
          <w:tcPr>
            <w:tcW w:w="970" w:type="dxa"/>
            <w:shd w:val="clear" w:color="auto" w:fill="FFFFFF"/>
            <w:vAlign w:val="center"/>
          </w:tcPr>
          <w:p w14:paraId="7ABF8DC4" w14:textId="69027681" w:rsidR="00C45789" w:rsidRDefault="00C45789" w:rsidP="00C45789">
            <w:pPr>
              <w:jc w:val="center"/>
              <w:rPr>
                <w:rFonts w:ascii="Arial Narrow" w:hAnsi="Arial Narrow"/>
                <w:sz w:val="18"/>
                <w:szCs w:val="18"/>
              </w:rPr>
            </w:pPr>
            <w:r>
              <w:rPr>
                <w:rFonts w:ascii="Arial Narrow" w:hAnsi="Arial Narrow"/>
                <w:sz w:val="18"/>
                <w:szCs w:val="18"/>
              </w:rPr>
              <w:t>+33,8</w:t>
            </w:r>
          </w:p>
        </w:tc>
        <w:tc>
          <w:tcPr>
            <w:tcW w:w="850" w:type="dxa"/>
            <w:shd w:val="clear" w:color="auto" w:fill="D9D9D9"/>
            <w:vAlign w:val="center"/>
          </w:tcPr>
          <w:p w14:paraId="21AE939D" w14:textId="0B939D3D" w:rsidR="00C45789" w:rsidRDefault="00C45789" w:rsidP="00C45789">
            <w:pPr>
              <w:jc w:val="center"/>
              <w:rPr>
                <w:rFonts w:ascii="Arial Narrow" w:hAnsi="Arial Narrow"/>
                <w:sz w:val="18"/>
                <w:szCs w:val="18"/>
              </w:rPr>
            </w:pPr>
            <w:r>
              <w:rPr>
                <w:rFonts w:ascii="Arial Narrow" w:hAnsi="Arial Narrow"/>
                <w:sz w:val="18"/>
                <w:szCs w:val="18"/>
              </w:rPr>
              <w:t>+3.333</w:t>
            </w:r>
          </w:p>
        </w:tc>
        <w:tc>
          <w:tcPr>
            <w:tcW w:w="993" w:type="dxa"/>
            <w:shd w:val="clear" w:color="auto" w:fill="FFFFFF"/>
            <w:vAlign w:val="center"/>
          </w:tcPr>
          <w:p w14:paraId="4161A7CE" w14:textId="63CAEA86" w:rsidR="00C45789" w:rsidRDefault="00C45789" w:rsidP="00C45789">
            <w:pPr>
              <w:jc w:val="center"/>
              <w:rPr>
                <w:rFonts w:ascii="Arial Narrow" w:hAnsi="Arial Narrow"/>
                <w:sz w:val="18"/>
                <w:szCs w:val="18"/>
              </w:rPr>
            </w:pPr>
            <w:r>
              <w:rPr>
                <w:rFonts w:ascii="Arial Narrow" w:hAnsi="Arial Narrow"/>
                <w:sz w:val="18"/>
                <w:szCs w:val="18"/>
              </w:rPr>
              <w:t>+26.649</w:t>
            </w:r>
          </w:p>
        </w:tc>
      </w:tr>
      <w:tr w:rsidR="00C45789" w:rsidRPr="005D27EB" w14:paraId="12488B25" w14:textId="77777777" w:rsidTr="00C45789">
        <w:trPr>
          <w:trHeight w:val="255"/>
        </w:trPr>
        <w:tc>
          <w:tcPr>
            <w:tcW w:w="1625" w:type="dxa"/>
          </w:tcPr>
          <w:p w14:paraId="7E91D28B" w14:textId="77777777" w:rsidR="00C45789" w:rsidRDefault="00C45789" w:rsidP="00C45789">
            <w:pPr>
              <w:spacing w:before="40"/>
              <w:rPr>
                <w:rFonts w:ascii="Arial Narrow" w:hAnsi="Arial Narrow"/>
                <w:sz w:val="18"/>
              </w:rPr>
            </w:pPr>
            <w:r>
              <w:rPr>
                <w:rFonts w:ascii="Arial Narrow" w:hAnsi="Arial Narrow"/>
                <w:sz w:val="18"/>
              </w:rPr>
              <w:t>Beni strumentali</w:t>
            </w:r>
          </w:p>
        </w:tc>
        <w:tc>
          <w:tcPr>
            <w:tcW w:w="712" w:type="dxa"/>
            <w:shd w:val="clear" w:color="auto" w:fill="D9D9D9"/>
            <w:vAlign w:val="center"/>
          </w:tcPr>
          <w:p w14:paraId="3B470C31" w14:textId="6B07D677" w:rsidR="00C45789" w:rsidRDefault="00C45789" w:rsidP="00C45789">
            <w:pPr>
              <w:jc w:val="center"/>
              <w:rPr>
                <w:rFonts w:ascii="Arial Narrow" w:hAnsi="Arial Narrow"/>
                <w:sz w:val="18"/>
                <w:szCs w:val="18"/>
              </w:rPr>
            </w:pPr>
            <w:r>
              <w:rPr>
                <w:rFonts w:ascii="Arial Narrow" w:hAnsi="Arial Narrow"/>
                <w:sz w:val="18"/>
                <w:szCs w:val="18"/>
              </w:rPr>
              <w:t>-7,4</w:t>
            </w:r>
          </w:p>
        </w:tc>
        <w:tc>
          <w:tcPr>
            <w:tcW w:w="1137" w:type="dxa"/>
            <w:shd w:val="clear" w:color="auto" w:fill="FFFFFF"/>
            <w:vAlign w:val="center"/>
          </w:tcPr>
          <w:p w14:paraId="2FAB8AA5" w14:textId="02F77363" w:rsidR="00C45789" w:rsidRDefault="00C45789" w:rsidP="00C45789">
            <w:pPr>
              <w:jc w:val="center"/>
              <w:rPr>
                <w:rFonts w:ascii="Arial Narrow" w:hAnsi="Arial Narrow"/>
                <w:sz w:val="18"/>
                <w:szCs w:val="18"/>
              </w:rPr>
            </w:pPr>
            <w:r>
              <w:rPr>
                <w:rFonts w:ascii="Arial Narrow" w:hAnsi="Arial Narrow"/>
                <w:sz w:val="18"/>
                <w:szCs w:val="18"/>
              </w:rPr>
              <w:t>-4,7</w:t>
            </w:r>
          </w:p>
        </w:tc>
        <w:tc>
          <w:tcPr>
            <w:tcW w:w="633" w:type="dxa"/>
            <w:shd w:val="clear" w:color="auto" w:fill="D9D9D9"/>
            <w:vAlign w:val="center"/>
          </w:tcPr>
          <w:p w14:paraId="62F2A36C" w14:textId="5DBE588A" w:rsidR="00C45789" w:rsidRDefault="00C45789" w:rsidP="00C45789">
            <w:pPr>
              <w:jc w:val="center"/>
              <w:rPr>
                <w:rFonts w:ascii="Arial Narrow" w:hAnsi="Arial Narrow"/>
                <w:sz w:val="18"/>
                <w:szCs w:val="18"/>
              </w:rPr>
            </w:pPr>
            <w:r>
              <w:rPr>
                <w:rFonts w:ascii="Arial Narrow" w:hAnsi="Arial Narrow"/>
                <w:sz w:val="18"/>
                <w:szCs w:val="18"/>
              </w:rPr>
              <w:t>+6,2</w:t>
            </w:r>
          </w:p>
        </w:tc>
        <w:tc>
          <w:tcPr>
            <w:tcW w:w="1000" w:type="dxa"/>
            <w:gridSpan w:val="2"/>
            <w:shd w:val="clear" w:color="auto" w:fill="FFFFFF"/>
            <w:vAlign w:val="center"/>
          </w:tcPr>
          <w:p w14:paraId="11744B04" w14:textId="3CB52406" w:rsidR="00C45789" w:rsidRDefault="00C45789" w:rsidP="00C45789">
            <w:pPr>
              <w:jc w:val="center"/>
              <w:rPr>
                <w:rFonts w:ascii="Arial Narrow" w:hAnsi="Arial Narrow"/>
                <w:sz w:val="18"/>
                <w:szCs w:val="18"/>
              </w:rPr>
            </w:pPr>
            <w:r>
              <w:rPr>
                <w:rFonts w:ascii="Arial Narrow" w:hAnsi="Arial Narrow"/>
                <w:sz w:val="18"/>
                <w:szCs w:val="18"/>
              </w:rPr>
              <w:t>+11,0</w:t>
            </w:r>
          </w:p>
        </w:tc>
        <w:tc>
          <w:tcPr>
            <w:tcW w:w="705" w:type="dxa"/>
            <w:shd w:val="clear" w:color="auto" w:fill="D9D9D9"/>
            <w:vAlign w:val="center"/>
          </w:tcPr>
          <w:p w14:paraId="356E97B2" w14:textId="1C44C48A" w:rsidR="00C45789" w:rsidRDefault="00C45789" w:rsidP="00C45789">
            <w:pPr>
              <w:jc w:val="center"/>
              <w:rPr>
                <w:rFonts w:ascii="Arial Narrow" w:hAnsi="Arial Narrow"/>
                <w:sz w:val="18"/>
                <w:szCs w:val="18"/>
              </w:rPr>
            </w:pPr>
            <w:r>
              <w:rPr>
                <w:rFonts w:ascii="Arial Narrow" w:hAnsi="Arial Narrow"/>
                <w:sz w:val="18"/>
                <w:szCs w:val="18"/>
              </w:rPr>
              <w:t>-4,6</w:t>
            </w:r>
          </w:p>
        </w:tc>
        <w:tc>
          <w:tcPr>
            <w:tcW w:w="1206" w:type="dxa"/>
            <w:shd w:val="clear" w:color="auto" w:fill="FFFFFF"/>
            <w:vAlign w:val="center"/>
          </w:tcPr>
          <w:p w14:paraId="6EBE46D3" w14:textId="1CC6DA12" w:rsidR="00C45789" w:rsidRDefault="00C45789" w:rsidP="00C45789">
            <w:pPr>
              <w:jc w:val="center"/>
              <w:rPr>
                <w:rFonts w:ascii="Arial Narrow" w:hAnsi="Arial Narrow"/>
                <w:sz w:val="18"/>
                <w:szCs w:val="18"/>
              </w:rPr>
            </w:pPr>
            <w:r>
              <w:rPr>
                <w:rFonts w:ascii="Arial Narrow" w:hAnsi="Arial Narrow"/>
                <w:sz w:val="18"/>
                <w:szCs w:val="18"/>
              </w:rPr>
              <w:t>+10,5</w:t>
            </w:r>
          </w:p>
        </w:tc>
        <w:tc>
          <w:tcPr>
            <w:tcW w:w="731" w:type="dxa"/>
            <w:shd w:val="clear" w:color="auto" w:fill="D9D9D9"/>
            <w:vAlign w:val="center"/>
          </w:tcPr>
          <w:p w14:paraId="14B01194" w14:textId="4929BD1A" w:rsidR="00C45789" w:rsidRDefault="00C45789" w:rsidP="00C45789">
            <w:pPr>
              <w:jc w:val="center"/>
              <w:rPr>
                <w:rFonts w:ascii="Arial Narrow" w:hAnsi="Arial Narrow"/>
                <w:sz w:val="18"/>
                <w:szCs w:val="18"/>
              </w:rPr>
            </w:pPr>
            <w:r>
              <w:rPr>
                <w:rFonts w:ascii="Arial Narrow" w:hAnsi="Arial Narrow"/>
                <w:sz w:val="18"/>
                <w:szCs w:val="18"/>
              </w:rPr>
              <w:t>+35,3</w:t>
            </w:r>
          </w:p>
        </w:tc>
        <w:tc>
          <w:tcPr>
            <w:tcW w:w="970" w:type="dxa"/>
            <w:shd w:val="clear" w:color="auto" w:fill="FFFFFF"/>
            <w:vAlign w:val="center"/>
          </w:tcPr>
          <w:p w14:paraId="419F173C" w14:textId="342B6F4B" w:rsidR="00C45789" w:rsidRDefault="00C45789" w:rsidP="00C45789">
            <w:pPr>
              <w:jc w:val="center"/>
              <w:rPr>
                <w:rFonts w:ascii="Arial Narrow" w:hAnsi="Arial Narrow"/>
                <w:sz w:val="18"/>
                <w:szCs w:val="18"/>
              </w:rPr>
            </w:pPr>
            <w:r>
              <w:rPr>
                <w:rFonts w:ascii="Arial Narrow" w:hAnsi="Arial Narrow"/>
                <w:sz w:val="18"/>
                <w:szCs w:val="18"/>
              </w:rPr>
              <w:t>+24,6</w:t>
            </w:r>
          </w:p>
        </w:tc>
        <w:tc>
          <w:tcPr>
            <w:tcW w:w="850" w:type="dxa"/>
            <w:shd w:val="clear" w:color="auto" w:fill="D9D9D9"/>
            <w:vAlign w:val="center"/>
          </w:tcPr>
          <w:p w14:paraId="0F4B22AE" w14:textId="5C3C7733" w:rsidR="00C45789" w:rsidRDefault="00C45789" w:rsidP="00C45789">
            <w:pPr>
              <w:jc w:val="center"/>
              <w:rPr>
                <w:rFonts w:ascii="Arial Narrow" w:hAnsi="Arial Narrow"/>
                <w:sz w:val="18"/>
                <w:szCs w:val="18"/>
              </w:rPr>
            </w:pPr>
            <w:r>
              <w:rPr>
                <w:rFonts w:ascii="Arial Narrow" w:hAnsi="Arial Narrow"/>
                <w:sz w:val="18"/>
                <w:szCs w:val="18"/>
              </w:rPr>
              <w:t>+3.862</w:t>
            </w:r>
          </w:p>
        </w:tc>
        <w:tc>
          <w:tcPr>
            <w:tcW w:w="993" w:type="dxa"/>
            <w:shd w:val="clear" w:color="auto" w:fill="FFFFFF"/>
            <w:vAlign w:val="center"/>
          </w:tcPr>
          <w:p w14:paraId="507E246F" w14:textId="57AE8497" w:rsidR="00C45789" w:rsidRDefault="00C45789" w:rsidP="00C45789">
            <w:pPr>
              <w:jc w:val="center"/>
              <w:rPr>
                <w:rFonts w:ascii="Arial Narrow" w:hAnsi="Arial Narrow"/>
                <w:sz w:val="18"/>
                <w:szCs w:val="18"/>
              </w:rPr>
            </w:pPr>
            <w:r>
              <w:rPr>
                <w:rFonts w:ascii="Arial Narrow" w:hAnsi="Arial Narrow"/>
                <w:sz w:val="18"/>
                <w:szCs w:val="18"/>
              </w:rPr>
              <w:t>+40.840</w:t>
            </w:r>
          </w:p>
        </w:tc>
      </w:tr>
      <w:tr w:rsidR="00C45789" w:rsidRPr="005D27EB" w14:paraId="0104B156" w14:textId="77777777" w:rsidTr="00C45789">
        <w:trPr>
          <w:trHeight w:val="255"/>
        </w:trPr>
        <w:tc>
          <w:tcPr>
            <w:tcW w:w="1625" w:type="dxa"/>
          </w:tcPr>
          <w:p w14:paraId="040ED599" w14:textId="77777777" w:rsidR="00C45789" w:rsidRDefault="00C45789" w:rsidP="00C45789">
            <w:pPr>
              <w:spacing w:before="40"/>
              <w:rPr>
                <w:rFonts w:ascii="Arial Narrow" w:hAnsi="Arial Narrow"/>
                <w:sz w:val="18"/>
              </w:rPr>
            </w:pPr>
            <w:r>
              <w:rPr>
                <w:rFonts w:ascii="Arial Narrow" w:hAnsi="Arial Narrow"/>
                <w:sz w:val="18"/>
              </w:rPr>
              <w:t>Beni intermedi</w:t>
            </w:r>
          </w:p>
        </w:tc>
        <w:tc>
          <w:tcPr>
            <w:tcW w:w="712" w:type="dxa"/>
            <w:shd w:val="clear" w:color="auto" w:fill="D9D9D9"/>
            <w:vAlign w:val="center"/>
          </w:tcPr>
          <w:p w14:paraId="4825092D" w14:textId="3868775F" w:rsidR="00C45789" w:rsidRDefault="00C45789" w:rsidP="00C45789">
            <w:pPr>
              <w:jc w:val="center"/>
              <w:rPr>
                <w:rFonts w:ascii="Arial Narrow" w:hAnsi="Arial Narrow"/>
                <w:sz w:val="18"/>
                <w:szCs w:val="18"/>
              </w:rPr>
            </w:pPr>
            <w:r>
              <w:rPr>
                <w:rFonts w:ascii="Arial Narrow" w:hAnsi="Arial Narrow"/>
                <w:sz w:val="18"/>
                <w:szCs w:val="18"/>
              </w:rPr>
              <w:t>-1,5</w:t>
            </w:r>
          </w:p>
        </w:tc>
        <w:tc>
          <w:tcPr>
            <w:tcW w:w="1137" w:type="dxa"/>
            <w:shd w:val="clear" w:color="auto" w:fill="FFFFFF"/>
            <w:vAlign w:val="center"/>
          </w:tcPr>
          <w:p w14:paraId="4FDDDED6" w14:textId="2CD93293" w:rsidR="00C45789" w:rsidRDefault="00C45789" w:rsidP="00C45789">
            <w:pPr>
              <w:jc w:val="center"/>
              <w:rPr>
                <w:rFonts w:ascii="Arial Narrow" w:hAnsi="Arial Narrow"/>
                <w:sz w:val="18"/>
                <w:szCs w:val="18"/>
              </w:rPr>
            </w:pPr>
            <w:r>
              <w:rPr>
                <w:rFonts w:ascii="Arial Narrow" w:hAnsi="Arial Narrow"/>
                <w:sz w:val="18"/>
                <w:szCs w:val="18"/>
              </w:rPr>
              <w:t>+3,6</w:t>
            </w:r>
          </w:p>
        </w:tc>
        <w:tc>
          <w:tcPr>
            <w:tcW w:w="633" w:type="dxa"/>
            <w:shd w:val="clear" w:color="auto" w:fill="D9D9D9"/>
            <w:vAlign w:val="center"/>
          </w:tcPr>
          <w:p w14:paraId="0DBA8944" w14:textId="00C87026" w:rsidR="00C45789" w:rsidRDefault="00C45789" w:rsidP="00C45789">
            <w:pPr>
              <w:jc w:val="center"/>
              <w:rPr>
                <w:rFonts w:ascii="Arial Narrow" w:hAnsi="Arial Narrow"/>
                <w:sz w:val="18"/>
                <w:szCs w:val="18"/>
              </w:rPr>
            </w:pPr>
            <w:r>
              <w:rPr>
                <w:rFonts w:ascii="Arial Narrow" w:hAnsi="Arial Narrow"/>
                <w:sz w:val="18"/>
                <w:szCs w:val="18"/>
              </w:rPr>
              <w:t>+24,7</w:t>
            </w:r>
          </w:p>
        </w:tc>
        <w:tc>
          <w:tcPr>
            <w:tcW w:w="1000" w:type="dxa"/>
            <w:gridSpan w:val="2"/>
            <w:shd w:val="clear" w:color="auto" w:fill="FFFFFF"/>
            <w:vAlign w:val="center"/>
          </w:tcPr>
          <w:p w14:paraId="4830C128" w14:textId="561322F7" w:rsidR="00C45789" w:rsidRDefault="00C45789" w:rsidP="00C45789">
            <w:pPr>
              <w:jc w:val="center"/>
              <w:rPr>
                <w:rFonts w:ascii="Arial Narrow" w:hAnsi="Arial Narrow"/>
                <w:sz w:val="18"/>
                <w:szCs w:val="18"/>
              </w:rPr>
            </w:pPr>
            <w:r>
              <w:rPr>
                <w:rFonts w:ascii="Arial Narrow" w:hAnsi="Arial Narrow"/>
                <w:sz w:val="18"/>
                <w:szCs w:val="18"/>
              </w:rPr>
              <w:t>+19,3</w:t>
            </w:r>
          </w:p>
        </w:tc>
        <w:tc>
          <w:tcPr>
            <w:tcW w:w="705" w:type="dxa"/>
            <w:shd w:val="clear" w:color="auto" w:fill="D9D9D9"/>
            <w:vAlign w:val="center"/>
          </w:tcPr>
          <w:p w14:paraId="116EF200" w14:textId="67610BAB" w:rsidR="00C45789" w:rsidRDefault="00C45789" w:rsidP="00C45789">
            <w:pPr>
              <w:jc w:val="center"/>
              <w:rPr>
                <w:rFonts w:ascii="Arial Narrow" w:hAnsi="Arial Narrow"/>
                <w:sz w:val="18"/>
                <w:szCs w:val="18"/>
              </w:rPr>
            </w:pPr>
            <w:r>
              <w:rPr>
                <w:rFonts w:ascii="Arial Narrow" w:hAnsi="Arial Narrow"/>
                <w:sz w:val="18"/>
                <w:szCs w:val="18"/>
              </w:rPr>
              <w:t>+1,0</w:t>
            </w:r>
          </w:p>
        </w:tc>
        <w:tc>
          <w:tcPr>
            <w:tcW w:w="1206" w:type="dxa"/>
            <w:shd w:val="clear" w:color="auto" w:fill="FFFFFF"/>
            <w:vAlign w:val="center"/>
          </w:tcPr>
          <w:p w14:paraId="6846B500" w14:textId="37FE72AA" w:rsidR="00C45789" w:rsidRDefault="00C45789" w:rsidP="00C45789">
            <w:pPr>
              <w:jc w:val="center"/>
              <w:rPr>
                <w:rFonts w:ascii="Arial Narrow" w:hAnsi="Arial Narrow"/>
                <w:sz w:val="18"/>
                <w:szCs w:val="18"/>
              </w:rPr>
            </w:pPr>
            <w:r>
              <w:rPr>
                <w:rFonts w:ascii="Arial Narrow" w:hAnsi="Arial Narrow"/>
                <w:sz w:val="18"/>
                <w:szCs w:val="18"/>
              </w:rPr>
              <w:t>-3,5</w:t>
            </w:r>
          </w:p>
        </w:tc>
        <w:tc>
          <w:tcPr>
            <w:tcW w:w="731" w:type="dxa"/>
            <w:shd w:val="clear" w:color="auto" w:fill="D9D9D9"/>
            <w:vAlign w:val="center"/>
          </w:tcPr>
          <w:p w14:paraId="7B9ABA61" w14:textId="0459AA87" w:rsidR="00C45789" w:rsidRDefault="00C45789" w:rsidP="00C45789">
            <w:pPr>
              <w:jc w:val="center"/>
              <w:rPr>
                <w:rFonts w:ascii="Arial Narrow" w:hAnsi="Arial Narrow"/>
                <w:sz w:val="18"/>
                <w:szCs w:val="18"/>
              </w:rPr>
            </w:pPr>
            <w:r>
              <w:rPr>
                <w:rFonts w:ascii="Arial Narrow" w:hAnsi="Arial Narrow"/>
                <w:sz w:val="18"/>
                <w:szCs w:val="18"/>
              </w:rPr>
              <w:t>+19,4</w:t>
            </w:r>
          </w:p>
        </w:tc>
        <w:tc>
          <w:tcPr>
            <w:tcW w:w="970" w:type="dxa"/>
            <w:shd w:val="clear" w:color="auto" w:fill="FFFFFF"/>
            <w:vAlign w:val="center"/>
          </w:tcPr>
          <w:p w14:paraId="79ED2554" w14:textId="4EF171DB" w:rsidR="00C45789" w:rsidRDefault="00C45789" w:rsidP="00C45789">
            <w:pPr>
              <w:jc w:val="center"/>
              <w:rPr>
                <w:rFonts w:ascii="Arial Narrow" w:hAnsi="Arial Narrow"/>
                <w:sz w:val="18"/>
                <w:szCs w:val="18"/>
              </w:rPr>
            </w:pPr>
            <w:r>
              <w:rPr>
                <w:rFonts w:ascii="Arial Narrow" w:hAnsi="Arial Narrow"/>
                <w:sz w:val="18"/>
                <w:szCs w:val="18"/>
              </w:rPr>
              <w:t>+34,5</w:t>
            </w:r>
          </w:p>
        </w:tc>
        <w:tc>
          <w:tcPr>
            <w:tcW w:w="850" w:type="dxa"/>
            <w:shd w:val="clear" w:color="auto" w:fill="D9D9D9"/>
            <w:vAlign w:val="center"/>
          </w:tcPr>
          <w:p w14:paraId="19BDFEBB" w14:textId="4CDA7550" w:rsidR="00C45789" w:rsidRDefault="00C45789" w:rsidP="00C45789">
            <w:pPr>
              <w:jc w:val="center"/>
              <w:rPr>
                <w:rFonts w:ascii="Arial Narrow" w:hAnsi="Arial Narrow"/>
                <w:sz w:val="18"/>
                <w:szCs w:val="18"/>
              </w:rPr>
            </w:pPr>
            <w:r>
              <w:rPr>
                <w:rFonts w:ascii="Arial Narrow" w:hAnsi="Arial Narrow"/>
                <w:sz w:val="18"/>
                <w:szCs w:val="18"/>
              </w:rPr>
              <w:t>-924</w:t>
            </w:r>
          </w:p>
        </w:tc>
        <w:tc>
          <w:tcPr>
            <w:tcW w:w="993" w:type="dxa"/>
            <w:shd w:val="clear" w:color="auto" w:fill="FFFFFF"/>
            <w:vAlign w:val="center"/>
          </w:tcPr>
          <w:p w14:paraId="28E1FF1D" w14:textId="0EA9418A" w:rsidR="00C45789" w:rsidRDefault="00C45789" w:rsidP="00C45789">
            <w:pPr>
              <w:jc w:val="center"/>
              <w:rPr>
                <w:rFonts w:ascii="Arial Narrow" w:hAnsi="Arial Narrow"/>
                <w:sz w:val="18"/>
                <w:szCs w:val="18"/>
              </w:rPr>
            </w:pPr>
            <w:r>
              <w:rPr>
                <w:rFonts w:ascii="Arial Narrow" w:hAnsi="Arial Narrow"/>
                <w:sz w:val="18"/>
                <w:szCs w:val="18"/>
              </w:rPr>
              <w:t>-13.171</w:t>
            </w:r>
          </w:p>
        </w:tc>
      </w:tr>
      <w:tr w:rsidR="00C45789" w:rsidRPr="005D27EB" w14:paraId="3BF0A35B" w14:textId="77777777" w:rsidTr="00C45789">
        <w:trPr>
          <w:trHeight w:val="255"/>
        </w:trPr>
        <w:tc>
          <w:tcPr>
            <w:tcW w:w="1625" w:type="dxa"/>
          </w:tcPr>
          <w:p w14:paraId="2C13F3C1" w14:textId="77777777" w:rsidR="00C45789" w:rsidRDefault="00C45789" w:rsidP="00C45789">
            <w:pPr>
              <w:spacing w:before="40"/>
              <w:rPr>
                <w:rFonts w:ascii="Arial Narrow" w:hAnsi="Arial Narrow"/>
                <w:sz w:val="18"/>
              </w:rPr>
            </w:pPr>
            <w:r>
              <w:rPr>
                <w:rFonts w:ascii="Arial Narrow" w:hAnsi="Arial Narrow"/>
                <w:sz w:val="18"/>
              </w:rPr>
              <w:t>Energia</w:t>
            </w:r>
          </w:p>
        </w:tc>
        <w:tc>
          <w:tcPr>
            <w:tcW w:w="712" w:type="dxa"/>
            <w:shd w:val="clear" w:color="auto" w:fill="D9D9D9"/>
            <w:vAlign w:val="center"/>
          </w:tcPr>
          <w:p w14:paraId="147AFFD8" w14:textId="750CCABE" w:rsidR="00C45789" w:rsidRDefault="00C45789" w:rsidP="00C45789">
            <w:pPr>
              <w:jc w:val="center"/>
              <w:rPr>
                <w:rFonts w:ascii="Arial Narrow" w:hAnsi="Arial Narrow"/>
                <w:sz w:val="18"/>
                <w:szCs w:val="18"/>
              </w:rPr>
            </w:pPr>
            <w:r>
              <w:rPr>
                <w:rFonts w:ascii="Arial Narrow" w:hAnsi="Arial Narrow"/>
                <w:sz w:val="18"/>
                <w:szCs w:val="18"/>
              </w:rPr>
              <w:t>-4,3</w:t>
            </w:r>
          </w:p>
        </w:tc>
        <w:tc>
          <w:tcPr>
            <w:tcW w:w="1137" w:type="dxa"/>
            <w:shd w:val="clear" w:color="auto" w:fill="FFFFFF"/>
            <w:vAlign w:val="center"/>
          </w:tcPr>
          <w:p w14:paraId="4DB5C072" w14:textId="2E911A18" w:rsidR="00C45789" w:rsidRDefault="00C45789" w:rsidP="00C45789">
            <w:pPr>
              <w:jc w:val="center"/>
              <w:rPr>
                <w:rFonts w:ascii="Arial Narrow" w:hAnsi="Arial Narrow"/>
                <w:sz w:val="18"/>
                <w:szCs w:val="18"/>
              </w:rPr>
            </w:pPr>
            <w:r>
              <w:rPr>
                <w:rFonts w:ascii="Arial Narrow" w:hAnsi="Arial Narrow"/>
                <w:sz w:val="18"/>
                <w:szCs w:val="18"/>
              </w:rPr>
              <w:t>-37,9</w:t>
            </w:r>
          </w:p>
        </w:tc>
        <w:tc>
          <w:tcPr>
            <w:tcW w:w="633" w:type="dxa"/>
            <w:shd w:val="clear" w:color="auto" w:fill="D9D9D9"/>
            <w:vAlign w:val="center"/>
          </w:tcPr>
          <w:p w14:paraId="50A4B5BC" w14:textId="776930A5" w:rsidR="00C45789" w:rsidRDefault="00C45789" w:rsidP="00C45789">
            <w:pPr>
              <w:jc w:val="center"/>
              <w:rPr>
                <w:rFonts w:ascii="Arial Narrow" w:hAnsi="Arial Narrow"/>
                <w:sz w:val="18"/>
                <w:szCs w:val="18"/>
              </w:rPr>
            </w:pPr>
            <w:r>
              <w:rPr>
                <w:rFonts w:ascii="Arial Narrow" w:hAnsi="Arial Narrow"/>
                <w:sz w:val="18"/>
                <w:szCs w:val="18"/>
              </w:rPr>
              <w:t>+37,0</w:t>
            </w:r>
          </w:p>
        </w:tc>
        <w:tc>
          <w:tcPr>
            <w:tcW w:w="1000" w:type="dxa"/>
            <w:gridSpan w:val="2"/>
            <w:shd w:val="clear" w:color="auto" w:fill="FFFFFF"/>
            <w:vAlign w:val="center"/>
          </w:tcPr>
          <w:p w14:paraId="59DCC70F" w14:textId="48A39F0E" w:rsidR="00C45789" w:rsidRDefault="00C45789" w:rsidP="00C45789">
            <w:pPr>
              <w:jc w:val="center"/>
              <w:rPr>
                <w:rFonts w:ascii="Arial Narrow" w:hAnsi="Arial Narrow"/>
                <w:sz w:val="18"/>
                <w:szCs w:val="18"/>
              </w:rPr>
            </w:pPr>
            <w:r>
              <w:rPr>
                <w:rFonts w:ascii="Arial Narrow" w:hAnsi="Arial Narrow"/>
                <w:sz w:val="18"/>
                <w:szCs w:val="18"/>
              </w:rPr>
              <w:t>+99,7</w:t>
            </w:r>
          </w:p>
        </w:tc>
        <w:tc>
          <w:tcPr>
            <w:tcW w:w="705" w:type="dxa"/>
            <w:shd w:val="clear" w:color="auto" w:fill="D9D9D9"/>
            <w:vAlign w:val="center"/>
          </w:tcPr>
          <w:p w14:paraId="05CD7B85" w14:textId="643D594E" w:rsidR="00C45789" w:rsidRDefault="00C45789" w:rsidP="00C45789">
            <w:pPr>
              <w:jc w:val="center"/>
              <w:rPr>
                <w:rFonts w:ascii="Arial Narrow" w:hAnsi="Arial Narrow"/>
                <w:sz w:val="18"/>
                <w:szCs w:val="18"/>
              </w:rPr>
            </w:pPr>
            <w:r>
              <w:rPr>
                <w:rFonts w:ascii="Arial Narrow" w:hAnsi="Arial Narrow"/>
                <w:sz w:val="18"/>
                <w:szCs w:val="18"/>
              </w:rPr>
              <w:t>-19,5</w:t>
            </w:r>
          </w:p>
        </w:tc>
        <w:tc>
          <w:tcPr>
            <w:tcW w:w="1206" w:type="dxa"/>
            <w:shd w:val="clear" w:color="auto" w:fill="FFFFFF"/>
            <w:vAlign w:val="center"/>
          </w:tcPr>
          <w:p w14:paraId="37085477" w14:textId="7E8A454F" w:rsidR="00C45789" w:rsidRDefault="00C45789" w:rsidP="00C45789">
            <w:pPr>
              <w:jc w:val="center"/>
              <w:rPr>
                <w:rFonts w:ascii="Arial Narrow" w:hAnsi="Arial Narrow"/>
                <w:sz w:val="18"/>
                <w:szCs w:val="18"/>
              </w:rPr>
            </w:pPr>
            <w:r>
              <w:rPr>
                <w:rFonts w:ascii="Arial Narrow" w:hAnsi="Arial Narrow"/>
                <w:sz w:val="18"/>
                <w:szCs w:val="18"/>
              </w:rPr>
              <w:t>+7,9</w:t>
            </w:r>
          </w:p>
        </w:tc>
        <w:tc>
          <w:tcPr>
            <w:tcW w:w="731" w:type="dxa"/>
            <w:shd w:val="clear" w:color="auto" w:fill="D9D9D9"/>
            <w:vAlign w:val="center"/>
          </w:tcPr>
          <w:p w14:paraId="559D2714" w14:textId="0B2FF50D" w:rsidR="00C45789" w:rsidRDefault="00C45789" w:rsidP="00C45789">
            <w:pPr>
              <w:jc w:val="center"/>
              <w:rPr>
                <w:rFonts w:ascii="Arial Narrow" w:hAnsi="Arial Narrow"/>
                <w:sz w:val="18"/>
                <w:szCs w:val="18"/>
              </w:rPr>
            </w:pPr>
            <w:r>
              <w:rPr>
                <w:rFonts w:ascii="Arial Narrow" w:hAnsi="Arial Narrow"/>
                <w:sz w:val="18"/>
                <w:szCs w:val="18"/>
              </w:rPr>
              <w:t>+67,2</w:t>
            </w:r>
          </w:p>
        </w:tc>
        <w:tc>
          <w:tcPr>
            <w:tcW w:w="970" w:type="dxa"/>
            <w:shd w:val="clear" w:color="auto" w:fill="FFFFFF"/>
            <w:vAlign w:val="center"/>
          </w:tcPr>
          <w:p w14:paraId="08F11FE8" w14:textId="180EBBA4" w:rsidR="00C45789" w:rsidRDefault="00C45789" w:rsidP="00C45789">
            <w:pPr>
              <w:jc w:val="center"/>
              <w:rPr>
                <w:rFonts w:ascii="Arial Narrow" w:hAnsi="Arial Narrow"/>
                <w:sz w:val="18"/>
                <w:szCs w:val="18"/>
              </w:rPr>
            </w:pPr>
            <w:r>
              <w:rPr>
                <w:rFonts w:ascii="Arial Narrow" w:hAnsi="Arial Narrow"/>
                <w:sz w:val="18"/>
                <w:szCs w:val="18"/>
              </w:rPr>
              <w:t>+162,5</w:t>
            </w:r>
          </w:p>
        </w:tc>
        <w:tc>
          <w:tcPr>
            <w:tcW w:w="850" w:type="dxa"/>
            <w:shd w:val="clear" w:color="auto" w:fill="D9D9D9"/>
            <w:vAlign w:val="center"/>
          </w:tcPr>
          <w:p w14:paraId="2561C181" w14:textId="4AE2D051" w:rsidR="00C45789" w:rsidRDefault="00C45789" w:rsidP="00C45789">
            <w:pPr>
              <w:jc w:val="center"/>
              <w:rPr>
                <w:rFonts w:ascii="Arial Narrow" w:hAnsi="Arial Narrow"/>
                <w:sz w:val="18"/>
                <w:szCs w:val="18"/>
              </w:rPr>
            </w:pPr>
            <w:r>
              <w:rPr>
                <w:rFonts w:ascii="Arial Narrow" w:hAnsi="Arial Narrow"/>
                <w:sz w:val="18"/>
                <w:szCs w:val="18"/>
              </w:rPr>
              <w:t>-9.364</w:t>
            </w:r>
          </w:p>
        </w:tc>
        <w:tc>
          <w:tcPr>
            <w:tcW w:w="993" w:type="dxa"/>
            <w:shd w:val="clear" w:color="auto" w:fill="FFFFFF"/>
            <w:vAlign w:val="center"/>
          </w:tcPr>
          <w:p w14:paraId="32492A83" w14:textId="168F7033" w:rsidR="00C45789" w:rsidRDefault="00C45789" w:rsidP="00C45789">
            <w:pPr>
              <w:jc w:val="center"/>
              <w:rPr>
                <w:rFonts w:ascii="Arial Narrow" w:hAnsi="Arial Narrow"/>
                <w:sz w:val="18"/>
                <w:szCs w:val="18"/>
              </w:rPr>
            </w:pPr>
            <w:r>
              <w:rPr>
                <w:rFonts w:ascii="Arial Narrow" w:hAnsi="Arial Narrow"/>
                <w:sz w:val="18"/>
                <w:szCs w:val="18"/>
              </w:rPr>
              <w:t>-94.051</w:t>
            </w:r>
          </w:p>
        </w:tc>
      </w:tr>
      <w:tr w:rsidR="00C45789" w:rsidRPr="005D27EB" w14:paraId="603F57BE" w14:textId="77777777" w:rsidTr="00C45789">
        <w:trPr>
          <w:trHeight w:val="255"/>
        </w:trPr>
        <w:tc>
          <w:tcPr>
            <w:tcW w:w="1625" w:type="dxa"/>
            <w:vAlign w:val="center"/>
          </w:tcPr>
          <w:p w14:paraId="19B7A3A4" w14:textId="77777777" w:rsidR="00C45789" w:rsidRDefault="00C45789" w:rsidP="00C45789">
            <w:pPr>
              <w:spacing w:before="40"/>
              <w:rPr>
                <w:rFonts w:ascii="Arial Narrow" w:hAnsi="Arial Narrow"/>
                <w:sz w:val="18"/>
              </w:rPr>
            </w:pPr>
            <w:r>
              <w:rPr>
                <w:rFonts w:ascii="Arial Narrow" w:hAnsi="Arial Narrow"/>
                <w:sz w:val="18"/>
              </w:rPr>
              <w:t>Totale al netto dell’energia</w:t>
            </w:r>
          </w:p>
        </w:tc>
        <w:tc>
          <w:tcPr>
            <w:tcW w:w="712" w:type="dxa"/>
            <w:shd w:val="clear" w:color="auto" w:fill="D9D9D9"/>
            <w:vAlign w:val="center"/>
          </w:tcPr>
          <w:p w14:paraId="350D8C4B" w14:textId="2064943E" w:rsidR="00C45789" w:rsidRDefault="00C45789" w:rsidP="00C45789">
            <w:pPr>
              <w:jc w:val="center"/>
              <w:rPr>
                <w:rFonts w:ascii="Arial Narrow" w:hAnsi="Arial Narrow"/>
                <w:sz w:val="18"/>
                <w:szCs w:val="18"/>
              </w:rPr>
            </w:pPr>
            <w:r>
              <w:rPr>
                <w:rFonts w:ascii="Arial Narrow" w:hAnsi="Arial Narrow"/>
                <w:sz w:val="18"/>
                <w:szCs w:val="18"/>
              </w:rPr>
              <w:t>-4,3</w:t>
            </w:r>
          </w:p>
        </w:tc>
        <w:tc>
          <w:tcPr>
            <w:tcW w:w="1137" w:type="dxa"/>
            <w:shd w:val="clear" w:color="auto" w:fill="FFFFFF"/>
            <w:vAlign w:val="center"/>
          </w:tcPr>
          <w:p w14:paraId="63CBD82F" w14:textId="53BD975E" w:rsidR="00C45789" w:rsidRDefault="00C45789" w:rsidP="00C45789">
            <w:pPr>
              <w:jc w:val="center"/>
              <w:rPr>
                <w:rFonts w:ascii="Arial Narrow" w:hAnsi="Arial Narrow"/>
                <w:sz w:val="18"/>
                <w:szCs w:val="18"/>
              </w:rPr>
            </w:pPr>
            <w:r>
              <w:rPr>
                <w:rFonts w:ascii="Arial Narrow" w:hAnsi="Arial Narrow"/>
                <w:sz w:val="18"/>
                <w:szCs w:val="18"/>
              </w:rPr>
              <w:t>+1,2</w:t>
            </w:r>
          </w:p>
        </w:tc>
        <w:tc>
          <w:tcPr>
            <w:tcW w:w="633" w:type="dxa"/>
            <w:shd w:val="clear" w:color="auto" w:fill="D9D9D9"/>
            <w:vAlign w:val="center"/>
          </w:tcPr>
          <w:p w14:paraId="1E317318" w14:textId="5581356F" w:rsidR="00C45789" w:rsidRDefault="00C45789" w:rsidP="00C45789">
            <w:pPr>
              <w:jc w:val="center"/>
              <w:rPr>
                <w:rFonts w:ascii="Arial Narrow" w:hAnsi="Arial Narrow"/>
                <w:sz w:val="18"/>
                <w:szCs w:val="18"/>
              </w:rPr>
            </w:pPr>
            <w:r>
              <w:rPr>
                <w:rFonts w:ascii="Arial Narrow" w:hAnsi="Arial Narrow"/>
                <w:sz w:val="18"/>
                <w:szCs w:val="18"/>
              </w:rPr>
              <w:t>+15,9</w:t>
            </w:r>
          </w:p>
        </w:tc>
        <w:tc>
          <w:tcPr>
            <w:tcW w:w="1000" w:type="dxa"/>
            <w:gridSpan w:val="2"/>
            <w:shd w:val="clear" w:color="auto" w:fill="FFFFFF"/>
            <w:vAlign w:val="center"/>
          </w:tcPr>
          <w:p w14:paraId="6A192866" w14:textId="68099750" w:rsidR="00C45789" w:rsidRDefault="00C45789" w:rsidP="00C45789">
            <w:pPr>
              <w:jc w:val="center"/>
              <w:rPr>
                <w:rFonts w:ascii="Arial Narrow" w:hAnsi="Arial Narrow"/>
                <w:sz w:val="18"/>
                <w:szCs w:val="18"/>
              </w:rPr>
            </w:pPr>
            <w:r>
              <w:rPr>
                <w:rFonts w:ascii="Arial Narrow" w:hAnsi="Arial Narrow"/>
                <w:sz w:val="18"/>
                <w:szCs w:val="18"/>
              </w:rPr>
              <w:t>+17,5</w:t>
            </w:r>
          </w:p>
        </w:tc>
        <w:tc>
          <w:tcPr>
            <w:tcW w:w="705" w:type="dxa"/>
            <w:shd w:val="clear" w:color="auto" w:fill="D9D9D9"/>
            <w:vAlign w:val="center"/>
          </w:tcPr>
          <w:p w14:paraId="622FB23C" w14:textId="24738D28" w:rsidR="00C45789" w:rsidRDefault="00C45789" w:rsidP="00C45789">
            <w:pPr>
              <w:jc w:val="center"/>
              <w:rPr>
                <w:rFonts w:ascii="Arial Narrow" w:hAnsi="Arial Narrow"/>
                <w:sz w:val="18"/>
                <w:szCs w:val="18"/>
              </w:rPr>
            </w:pPr>
            <w:r>
              <w:rPr>
                <w:rFonts w:ascii="Arial Narrow" w:hAnsi="Arial Narrow"/>
                <w:sz w:val="18"/>
                <w:szCs w:val="18"/>
              </w:rPr>
              <w:t>-0,1</w:t>
            </w:r>
          </w:p>
        </w:tc>
        <w:tc>
          <w:tcPr>
            <w:tcW w:w="1206" w:type="dxa"/>
            <w:shd w:val="clear" w:color="auto" w:fill="FFFFFF"/>
            <w:vAlign w:val="center"/>
          </w:tcPr>
          <w:p w14:paraId="5AD59830" w14:textId="59D6E939" w:rsidR="00C45789" w:rsidRDefault="00C45789" w:rsidP="00C45789">
            <w:pPr>
              <w:jc w:val="center"/>
              <w:rPr>
                <w:rFonts w:ascii="Arial Narrow" w:hAnsi="Arial Narrow"/>
                <w:sz w:val="18"/>
                <w:szCs w:val="18"/>
              </w:rPr>
            </w:pPr>
            <w:r>
              <w:rPr>
                <w:rFonts w:ascii="Arial Narrow" w:hAnsi="Arial Narrow"/>
                <w:sz w:val="18"/>
                <w:szCs w:val="18"/>
              </w:rPr>
              <w:t>+2,4</w:t>
            </w:r>
          </w:p>
        </w:tc>
        <w:tc>
          <w:tcPr>
            <w:tcW w:w="731" w:type="dxa"/>
            <w:shd w:val="clear" w:color="auto" w:fill="D9D9D9"/>
            <w:vAlign w:val="center"/>
          </w:tcPr>
          <w:p w14:paraId="4F3C54F6" w14:textId="2ADA0204" w:rsidR="00C45789" w:rsidRDefault="00C45789" w:rsidP="00C45789">
            <w:pPr>
              <w:jc w:val="center"/>
              <w:rPr>
                <w:rFonts w:ascii="Arial Narrow" w:hAnsi="Arial Narrow"/>
                <w:sz w:val="18"/>
                <w:szCs w:val="18"/>
              </w:rPr>
            </w:pPr>
            <w:r>
              <w:rPr>
                <w:rFonts w:ascii="Arial Narrow" w:hAnsi="Arial Narrow"/>
                <w:sz w:val="18"/>
                <w:szCs w:val="18"/>
              </w:rPr>
              <w:t>+25,2</w:t>
            </w:r>
          </w:p>
        </w:tc>
        <w:tc>
          <w:tcPr>
            <w:tcW w:w="970" w:type="dxa"/>
            <w:shd w:val="clear" w:color="auto" w:fill="FFFFFF"/>
            <w:vAlign w:val="center"/>
          </w:tcPr>
          <w:p w14:paraId="58942DF1" w14:textId="7F8263AA" w:rsidR="00C45789" w:rsidRDefault="00C45789" w:rsidP="00C45789">
            <w:pPr>
              <w:jc w:val="center"/>
              <w:rPr>
                <w:rFonts w:ascii="Arial Narrow" w:hAnsi="Arial Narrow"/>
                <w:sz w:val="18"/>
                <w:szCs w:val="18"/>
              </w:rPr>
            </w:pPr>
            <w:r>
              <w:rPr>
                <w:rFonts w:ascii="Arial Narrow" w:hAnsi="Arial Narrow"/>
                <w:sz w:val="18"/>
                <w:szCs w:val="18"/>
              </w:rPr>
              <w:t>+30,8</w:t>
            </w:r>
          </w:p>
        </w:tc>
        <w:tc>
          <w:tcPr>
            <w:tcW w:w="850" w:type="dxa"/>
            <w:shd w:val="clear" w:color="auto" w:fill="D9D9D9"/>
            <w:vAlign w:val="center"/>
          </w:tcPr>
          <w:p w14:paraId="47B368D1" w14:textId="6964F876" w:rsidR="00C45789" w:rsidRDefault="00C45789" w:rsidP="00C45789">
            <w:pPr>
              <w:jc w:val="center"/>
              <w:rPr>
                <w:rFonts w:ascii="Arial Narrow" w:hAnsi="Arial Narrow"/>
                <w:sz w:val="18"/>
                <w:szCs w:val="18"/>
              </w:rPr>
            </w:pPr>
            <w:r>
              <w:rPr>
                <w:rFonts w:ascii="Arial Narrow" w:hAnsi="Arial Narrow"/>
                <w:sz w:val="18"/>
                <w:szCs w:val="18"/>
              </w:rPr>
              <w:t>+7.324</w:t>
            </w:r>
          </w:p>
        </w:tc>
        <w:tc>
          <w:tcPr>
            <w:tcW w:w="993" w:type="dxa"/>
            <w:shd w:val="clear" w:color="auto" w:fill="FFFFFF"/>
            <w:vAlign w:val="center"/>
          </w:tcPr>
          <w:p w14:paraId="48C8F3D7" w14:textId="5218A28D" w:rsidR="00C45789" w:rsidRDefault="00C45789" w:rsidP="00C45789">
            <w:pPr>
              <w:jc w:val="center"/>
              <w:rPr>
                <w:rFonts w:ascii="Arial Narrow" w:hAnsi="Arial Narrow"/>
                <w:sz w:val="18"/>
                <w:szCs w:val="18"/>
              </w:rPr>
            </w:pPr>
            <w:r>
              <w:rPr>
                <w:rFonts w:ascii="Arial Narrow" w:hAnsi="Arial Narrow"/>
                <w:sz w:val="18"/>
                <w:szCs w:val="18"/>
              </w:rPr>
              <w:t>+62.774</w:t>
            </w:r>
          </w:p>
        </w:tc>
      </w:tr>
      <w:tr w:rsidR="00C45789" w:rsidRPr="005D27EB" w14:paraId="71525998" w14:textId="77777777" w:rsidTr="00C45789">
        <w:trPr>
          <w:trHeight w:val="247"/>
        </w:trPr>
        <w:tc>
          <w:tcPr>
            <w:tcW w:w="1625" w:type="dxa"/>
            <w:tcBorders>
              <w:bottom w:val="single" w:sz="4" w:space="0" w:color="auto"/>
            </w:tcBorders>
            <w:shd w:val="clear" w:color="auto" w:fill="E42618"/>
          </w:tcPr>
          <w:p w14:paraId="79160FA7" w14:textId="77777777" w:rsidR="00C45789" w:rsidRPr="005D27EB" w:rsidRDefault="00C45789" w:rsidP="00C45789">
            <w:pPr>
              <w:spacing w:before="40"/>
              <w:rPr>
                <w:rFonts w:ascii="Arial Narrow" w:hAnsi="Arial Narrow"/>
                <w:b/>
                <w:color w:val="FFFFFF" w:themeColor="background1"/>
                <w:sz w:val="18"/>
              </w:rPr>
            </w:pPr>
            <w:r w:rsidRPr="005D27EB">
              <w:rPr>
                <w:rFonts w:ascii="Arial Narrow" w:hAnsi="Arial Narrow"/>
                <w:b/>
                <w:color w:val="FFFFFF" w:themeColor="background1"/>
                <w:sz w:val="18"/>
              </w:rPr>
              <w:t>Totale</w:t>
            </w:r>
          </w:p>
        </w:tc>
        <w:tc>
          <w:tcPr>
            <w:tcW w:w="712" w:type="dxa"/>
            <w:tcBorders>
              <w:bottom w:val="single" w:sz="4" w:space="0" w:color="auto"/>
            </w:tcBorders>
            <w:shd w:val="clear" w:color="auto" w:fill="E42618"/>
            <w:vAlign w:val="center"/>
          </w:tcPr>
          <w:p w14:paraId="5E636EA1" w14:textId="14DE2456" w:rsidR="00C45789" w:rsidRDefault="00C45789" w:rsidP="00C45789">
            <w:pPr>
              <w:jc w:val="center"/>
              <w:rPr>
                <w:rFonts w:ascii="Arial Narrow" w:hAnsi="Arial Narrow"/>
                <w:b/>
                <w:bCs/>
                <w:color w:val="FFFFFF"/>
                <w:sz w:val="18"/>
                <w:szCs w:val="18"/>
              </w:rPr>
            </w:pPr>
            <w:r>
              <w:rPr>
                <w:rFonts w:ascii="Arial Narrow" w:hAnsi="Arial Narrow"/>
                <w:b/>
                <w:bCs/>
                <w:color w:val="FFFFFF"/>
                <w:sz w:val="18"/>
                <w:szCs w:val="18"/>
              </w:rPr>
              <w:t>-4,3</w:t>
            </w:r>
          </w:p>
        </w:tc>
        <w:tc>
          <w:tcPr>
            <w:tcW w:w="1137" w:type="dxa"/>
            <w:tcBorders>
              <w:bottom w:val="single" w:sz="4" w:space="0" w:color="auto"/>
            </w:tcBorders>
            <w:shd w:val="clear" w:color="auto" w:fill="E42618"/>
            <w:vAlign w:val="center"/>
          </w:tcPr>
          <w:p w14:paraId="27980529" w14:textId="00347552" w:rsidR="00C45789" w:rsidRDefault="00C45789" w:rsidP="00C45789">
            <w:pPr>
              <w:jc w:val="center"/>
              <w:rPr>
                <w:rFonts w:ascii="Arial Narrow" w:hAnsi="Arial Narrow"/>
                <w:b/>
                <w:bCs/>
                <w:color w:val="FFFFFF"/>
                <w:sz w:val="18"/>
                <w:szCs w:val="18"/>
              </w:rPr>
            </w:pPr>
            <w:r>
              <w:rPr>
                <w:rFonts w:ascii="Arial Narrow" w:hAnsi="Arial Narrow"/>
                <w:b/>
                <w:bCs/>
                <w:color w:val="FFFFFF"/>
                <w:sz w:val="18"/>
                <w:szCs w:val="18"/>
              </w:rPr>
              <w:t>-1,5</w:t>
            </w:r>
          </w:p>
        </w:tc>
        <w:tc>
          <w:tcPr>
            <w:tcW w:w="633" w:type="dxa"/>
            <w:tcBorders>
              <w:bottom w:val="single" w:sz="4" w:space="0" w:color="auto"/>
            </w:tcBorders>
            <w:shd w:val="clear" w:color="auto" w:fill="E42618"/>
            <w:vAlign w:val="center"/>
          </w:tcPr>
          <w:p w14:paraId="0E0AB43D" w14:textId="5591FC2A" w:rsidR="00C45789" w:rsidRDefault="00C45789" w:rsidP="00C45789">
            <w:pPr>
              <w:jc w:val="center"/>
              <w:rPr>
                <w:rFonts w:ascii="Arial Narrow" w:hAnsi="Arial Narrow"/>
                <w:b/>
                <w:bCs/>
                <w:color w:val="FFFFFF"/>
                <w:sz w:val="18"/>
                <w:szCs w:val="18"/>
              </w:rPr>
            </w:pPr>
            <w:r>
              <w:rPr>
                <w:rFonts w:ascii="Arial Narrow" w:hAnsi="Arial Narrow"/>
                <w:b/>
                <w:bCs/>
                <w:color w:val="FFFFFF"/>
                <w:sz w:val="18"/>
                <w:szCs w:val="18"/>
              </w:rPr>
              <w:t>+16,6</w:t>
            </w:r>
          </w:p>
        </w:tc>
        <w:tc>
          <w:tcPr>
            <w:tcW w:w="1000" w:type="dxa"/>
            <w:gridSpan w:val="2"/>
            <w:tcBorders>
              <w:bottom w:val="single" w:sz="4" w:space="0" w:color="auto"/>
            </w:tcBorders>
            <w:shd w:val="clear" w:color="auto" w:fill="E42618"/>
            <w:vAlign w:val="center"/>
          </w:tcPr>
          <w:p w14:paraId="4BB1406E" w14:textId="4208AAF2" w:rsidR="00C45789" w:rsidRDefault="00C45789" w:rsidP="00C45789">
            <w:pPr>
              <w:jc w:val="center"/>
              <w:rPr>
                <w:rFonts w:ascii="Arial Narrow" w:hAnsi="Arial Narrow"/>
                <w:b/>
                <w:bCs/>
                <w:color w:val="FFFFFF"/>
                <w:sz w:val="18"/>
                <w:szCs w:val="18"/>
              </w:rPr>
            </w:pPr>
            <w:r>
              <w:rPr>
                <w:rFonts w:ascii="Arial Narrow" w:hAnsi="Arial Narrow"/>
                <w:b/>
                <w:bCs/>
                <w:color w:val="FFFFFF"/>
                <w:sz w:val="18"/>
                <w:szCs w:val="18"/>
              </w:rPr>
              <w:t>+20,1</w:t>
            </w:r>
          </w:p>
        </w:tc>
        <w:tc>
          <w:tcPr>
            <w:tcW w:w="705" w:type="dxa"/>
            <w:tcBorders>
              <w:bottom w:val="single" w:sz="4" w:space="0" w:color="auto"/>
            </w:tcBorders>
            <w:shd w:val="clear" w:color="auto" w:fill="E42618"/>
            <w:vAlign w:val="center"/>
          </w:tcPr>
          <w:p w14:paraId="6A01A59C" w14:textId="0840CE75" w:rsidR="00C45789" w:rsidRDefault="00C45789" w:rsidP="00C45789">
            <w:pPr>
              <w:jc w:val="center"/>
              <w:rPr>
                <w:rFonts w:ascii="Arial Narrow" w:hAnsi="Arial Narrow"/>
                <w:b/>
                <w:bCs/>
                <w:color w:val="FFFFFF"/>
                <w:sz w:val="18"/>
                <w:szCs w:val="18"/>
              </w:rPr>
            </w:pPr>
            <w:r>
              <w:rPr>
                <w:rFonts w:ascii="Arial Narrow" w:hAnsi="Arial Narrow"/>
                <w:b/>
                <w:bCs/>
                <w:color w:val="FFFFFF"/>
                <w:sz w:val="18"/>
                <w:szCs w:val="18"/>
              </w:rPr>
              <w:t>-8,7</w:t>
            </w:r>
          </w:p>
        </w:tc>
        <w:tc>
          <w:tcPr>
            <w:tcW w:w="1206" w:type="dxa"/>
            <w:tcBorders>
              <w:bottom w:val="single" w:sz="4" w:space="0" w:color="auto"/>
            </w:tcBorders>
            <w:shd w:val="clear" w:color="auto" w:fill="E42618"/>
            <w:vAlign w:val="center"/>
          </w:tcPr>
          <w:p w14:paraId="5C3B2FDB" w14:textId="7757B6CF" w:rsidR="00C45789" w:rsidRDefault="00C45789" w:rsidP="00C45789">
            <w:pPr>
              <w:jc w:val="center"/>
              <w:rPr>
                <w:rFonts w:ascii="Arial Narrow" w:hAnsi="Arial Narrow"/>
                <w:b/>
                <w:bCs/>
                <w:color w:val="FFFFFF"/>
                <w:sz w:val="18"/>
                <w:szCs w:val="18"/>
              </w:rPr>
            </w:pPr>
            <w:r>
              <w:rPr>
                <w:rFonts w:ascii="Arial Narrow" w:hAnsi="Arial Narrow"/>
                <w:b/>
                <w:bCs/>
                <w:color w:val="FFFFFF"/>
                <w:sz w:val="18"/>
                <w:szCs w:val="18"/>
              </w:rPr>
              <w:t>+4,6</w:t>
            </w:r>
          </w:p>
        </w:tc>
        <w:tc>
          <w:tcPr>
            <w:tcW w:w="731" w:type="dxa"/>
            <w:tcBorders>
              <w:bottom w:val="single" w:sz="4" w:space="0" w:color="auto"/>
            </w:tcBorders>
            <w:shd w:val="clear" w:color="auto" w:fill="E42618"/>
            <w:vAlign w:val="center"/>
          </w:tcPr>
          <w:p w14:paraId="65A7CAC2" w14:textId="40EBE569" w:rsidR="00C45789" w:rsidRDefault="00C45789" w:rsidP="00C45789">
            <w:pPr>
              <w:jc w:val="center"/>
              <w:rPr>
                <w:rFonts w:ascii="Arial Narrow" w:hAnsi="Arial Narrow"/>
                <w:b/>
                <w:bCs/>
                <w:color w:val="FFFFFF"/>
                <w:sz w:val="18"/>
                <w:szCs w:val="18"/>
              </w:rPr>
            </w:pPr>
            <w:r>
              <w:rPr>
                <w:rFonts w:ascii="Arial Narrow" w:hAnsi="Arial Narrow"/>
                <w:b/>
                <w:bCs/>
                <w:color w:val="FFFFFF"/>
                <w:sz w:val="18"/>
                <w:szCs w:val="18"/>
              </w:rPr>
              <w:t>+38,3</w:t>
            </w:r>
          </w:p>
        </w:tc>
        <w:tc>
          <w:tcPr>
            <w:tcW w:w="970" w:type="dxa"/>
            <w:tcBorders>
              <w:bottom w:val="single" w:sz="4" w:space="0" w:color="auto"/>
            </w:tcBorders>
            <w:shd w:val="clear" w:color="auto" w:fill="E42618"/>
            <w:vAlign w:val="center"/>
          </w:tcPr>
          <w:p w14:paraId="711A6B63" w14:textId="2F4AFF99" w:rsidR="00C45789" w:rsidRDefault="00C45789" w:rsidP="00C45789">
            <w:pPr>
              <w:jc w:val="center"/>
              <w:rPr>
                <w:rFonts w:ascii="Arial Narrow" w:hAnsi="Arial Narrow"/>
                <w:b/>
                <w:bCs/>
                <w:color w:val="FFFFFF"/>
                <w:sz w:val="18"/>
                <w:szCs w:val="18"/>
              </w:rPr>
            </w:pPr>
            <w:r>
              <w:rPr>
                <w:rFonts w:ascii="Arial Narrow" w:hAnsi="Arial Narrow"/>
                <w:b/>
                <w:bCs/>
                <w:color w:val="FFFFFF"/>
                <w:sz w:val="18"/>
                <w:szCs w:val="18"/>
              </w:rPr>
              <w:t>+62,9</w:t>
            </w:r>
          </w:p>
        </w:tc>
        <w:tc>
          <w:tcPr>
            <w:tcW w:w="850" w:type="dxa"/>
            <w:tcBorders>
              <w:bottom w:val="single" w:sz="4" w:space="0" w:color="auto"/>
            </w:tcBorders>
            <w:shd w:val="clear" w:color="auto" w:fill="E42618"/>
            <w:vAlign w:val="center"/>
          </w:tcPr>
          <w:p w14:paraId="1D9698EC" w14:textId="07AEC434" w:rsidR="00C45789" w:rsidRDefault="00C45789" w:rsidP="00C45789">
            <w:pPr>
              <w:jc w:val="center"/>
              <w:rPr>
                <w:rFonts w:ascii="Arial Narrow" w:hAnsi="Arial Narrow"/>
                <w:b/>
                <w:bCs/>
                <w:color w:val="FFFFFF"/>
                <w:sz w:val="18"/>
                <w:szCs w:val="18"/>
              </w:rPr>
            </w:pPr>
            <w:r>
              <w:rPr>
                <w:rFonts w:ascii="Arial Narrow" w:hAnsi="Arial Narrow"/>
                <w:b/>
                <w:bCs/>
                <w:color w:val="FFFFFF"/>
                <w:sz w:val="18"/>
                <w:szCs w:val="18"/>
              </w:rPr>
              <w:t>-2.040</w:t>
            </w:r>
          </w:p>
        </w:tc>
        <w:tc>
          <w:tcPr>
            <w:tcW w:w="993" w:type="dxa"/>
            <w:tcBorders>
              <w:bottom w:val="single" w:sz="4" w:space="0" w:color="auto"/>
            </w:tcBorders>
            <w:shd w:val="clear" w:color="auto" w:fill="E42618"/>
            <w:vAlign w:val="center"/>
          </w:tcPr>
          <w:p w14:paraId="35755533" w14:textId="47888DAF" w:rsidR="00C45789" w:rsidRDefault="00C45789" w:rsidP="00C45789">
            <w:pPr>
              <w:jc w:val="center"/>
              <w:rPr>
                <w:rFonts w:ascii="Arial Narrow" w:hAnsi="Arial Narrow"/>
                <w:b/>
                <w:bCs/>
                <w:color w:val="FFFFFF"/>
                <w:sz w:val="18"/>
                <w:szCs w:val="18"/>
              </w:rPr>
            </w:pPr>
            <w:r>
              <w:rPr>
                <w:rFonts w:ascii="Arial Narrow" w:hAnsi="Arial Narrow"/>
                <w:b/>
                <w:bCs/>
                <w:color w:val="FFFFFF"/>
                <w:sz w:val="18"/>
                <w:szCs w:val="18"/>
              </w:rPr>
              <w:t>-31.277</w:t>
            </w:r>
          </w:p>
        </w:tc>
      </w:tr>
    </w:tbl>
    <w:p w14:paraId="29967D75" w14:textId="0D82CEC9" w:rsidR="002F15C9" w:rsidRPr="000B5DFE" w:rsidRDefault="00E32477" w:rsidP="000B5DFE">
      <w:pPr>
        <w:pStyle w:val="Corpotesto"/>
        <w:numPr>
          <w:ilvl w:val="0"/>
          <w:numId w:val="27"/>
        </w:numPr>
        <w:tabs>
          <w:tab w:val="left" w:pos="284"/>
        </w:tabs>
        <w:spacing w:before="60" w:after="120" w:line="240" w:lineRule="auto"/>
        <w:ind w:left="1276" w:hanging="1276"/>
        <w:jc w:val="both"/>
        <w:rPr>
          <w:rFonts w:ascii="Arial Narrow" w:hAnsi="Arial Narrow" w:cs="Arial"/>
          <w:sz w:val="15"/>
        </w:rPr>
      </w:pPr>
      <w:r>
        <w:rPr>
          <w:rFonts w:ascii="Arial Narrow" w:hAnsi="Arial Narrow" w:cs="Arial"/>
          <w:sz w:val="15"/>
        </w:rPr>
        <w:t>D</w:t>
      </w:r>
      <w:r w:rsidR="002F15C9">
        <w:rPr>
          <w:rFonts w:ascii="Arial Narrow" w:hAnsi="Arial Narrow" w:cs="Arial"/>
          <w:sz w:val="15"/>
        </w:rPr>
        <w:t>ati provvisori.</w:t>
      </w:r>
    </w:p>
    <w:p w14:paraId="0D57CB92" w14:textId="77777777" w:rsidR="007A37FD" w:rsidRDefault="007A37FD"/>
    <w:p w14:paraId="7C296040" w14:textId="77777777" w:rsidR="007A37FD" w:rsidRDefault="007A37FD" w:rsidP="007A37FD"/>
    <w:p w14:paraId="5A5E6AA3" w14:textId="77777777" w:rsidR="00A651E1" w:rsidRPr="007A37FD" w:rsidRDefault="00A651E1" w:rsidP="007A37FD">
      <w:pPr>
        <w:sectPr w:rsidR="00A651E1" w:rsidRPr="007A37FD">
          <w:headerReference w:type="default" r:id="rId25"/>
          <w:footerReference w:type="default" r:id="rId26"/>
          <w:pgSz w:w="11907" w:h="16840"/>
          <w:pgMar w:top="567" w:right="851" w:bottom="680" w:left="851" w:header="567" w:footer="567" w:gutter="0"/>
          <w:cols w:space="720"/>
        </w:sectPr>
      </w:pPr>
    </w:p>
    <w:p w14:paraId="732DE4ED" w14:textId="77777777" w:rsidR="00A651E1" w:rsidRDefault="00A651E1">
      <w:pPr>
        <w:spacing w:after="120"/>
        <w:jc w:val="both"/>
        <w:rPr>
          <w:rFonts w:ascii="Arial" w:hAnsi="Arial" w:cs="Arial"/>
          <w:b/>
        </w:rPr>
      </w:pPr>
    </w:p>
    <w:p w14:paraId="42B43FA6" w14:textId="77777777" w:rsidR="00A651E1" w:rsidRPr="00B77592" w:rsidRDefault="00E777A0">
      <w:pPr>
        <w:spacing w:after="120"/>
        <w:jc w:val="both"/>
        <w:rPr>
          <w:rFonts w:ascii="Arial" w:hAnsi="Arial" w:cs="Arial"/>
          <w:sz w:val="20"/>
          <w:szCs w:val="20"/>
        </w:rPr>
      </w:pPr>
      <w:r w:rsidRPr="00B77592">
        <w:rPr>
          <w:rFonts w:ascii="Arial" w:hAnsi="Arial" w:cs="Arial"/>
          <w:b/>
          <w:sz w:val="20"/>
          <w:szCs w:val="20"/>
        </w:rPr>
        <w:t>Contributo alla variazione tendenziale dell’indice generale</w:t>
      </w:r>
      <w:r w:rsidRPr="00B77592">
        <w:rPr>
          <w:rFonts w:ascii="Arial" w:hAnsi="Arial" w:cs="Arial"/>
          <w:sz w:val="20"/>
          <w:szCs w:val="20"/>
        </w:rPr>
        <w:t xml:space="preserve">: misura l’incidenza delle variazioni delle importazioni e delle esportazioni dei singoli aggregati merceologici o geografici sull’aumento o sulla diminuzione dei flussi aggregati. </w:t>
      </w:r>
    </w:p>
    <w:p w14:paraId="17FA9E58" w14:textId="77777777" w:rsidR="00A651E1" w:rsidRPr="00B77592" w:rsidRDefault="00E777A0">
      <w:pPr>
        <w:spacing w:after="120"/>
        <w:jc w:val="both"/>
        <w:rPr>
          <w:rFonts w:ascii="Arial" w:hAnsi="Arial" w:cs="Arial"/>
          <w:sz w:val="20"/>
          <w:szCs w:val="20"/>
        </w:rPr>
      </w:pPr>
      <w:r w:rsidRPr="00B77592">
        <w:rPr>
          <w:rFonts w:ascii="Arial" w:hAnsi="Arial" w:cs="Arial"/>
          <w:b/>
          <w:sz w:val="20"/>
          <w:szCs w:val="20"/>
        </w:rPr>
        <w:t>Dati corretti per gli effetti di calendario</w:t>
      </w:r>
      <w:r w:rsidRPr="00B77592">
        <w:rPr>
          <w:rFonts w:ascii="Arial" w:hAnsi="Arial" w:cs="Arial"/>
          <w:sz w:val="20"/>
          <w:szCs w:val="20"/>
        </w:rPr>
        <w:t>: dati depurati mediante apposite tecniche statistiche dalla variabilità attribuibile alla composizione del calendario nei singoli periodi (mesi o trimestri) dell’anno, dovuta al diverso numero di giorni lavorativi o di giorni specifici della settimana in essi contenuti, nonché dell’anno bisestile. Il ricorso a tale trasformazione dei dati consente di cogliere in maniera più adeguata sia le variazioni tendenziali (calcolate rispetto allo stesso periodo dell'anno precedente), sia le variazioni medie annue.</w:t>
      </w:r>
    </w:p>
    <w:p w14:paraId="0499640C" w14:textId="77777777" w:rsidR="00A651E1" w:rsidRPr="00B77592" w:rsidRDefault="00E777A0">
      <w:pPr>
        <w:spacing w:after="120"/>
        <w:jc w:val="both"/>
        <w:rPr>
          <w:rFonts w:ascii="Arial" w:hAnsi="Arial" w:cs="Arial"/>
          <w:sz w:val="20"/>
          <w:szCs w:val="20"/>
        </w:rPr>
      </w:pPr>
      <w:r w:rsidRPr="00B77592">
        <w:rPr>
          <w:rFonts w:ascii="Arial" w:hAnsi="Arial" w:cs="Arial"/>
          <w:b/>
          <w:sz w:val="20"/>
          <w:szCs w:val="20"/>
        </w:rPr>
        <w:t>Dati destagionalizzati</w:t>
      </w:r>
      <w:r w:rsidRPr="00B77592">
        <w:rPr>
          <w:rFonts w:ascii="Arial" w:hAnsi="Arial" w:cs="Arial"/>
          <w:sz w:val="20"/>
          <w:szCs w:val="20"/>
        </w:rPr>
        <w:t>: dati depurati mediante apposite tecniche statistiche dalle fluttuazioni attribuibili alla componente stagionale (dovute a fattori meteorologici, consuetudinari, legislativi, ecc.) e, se significativi, dagli effetti di calendario. Questa trasformazione dei dati è la più idonea a cogliere l’evoluzione congiunturale di un indicatore.</w:t>
      </w:r>
    </w:p>
    <w:p w14:paraId="0B9FDE2E" w14:textId="77777777" w:rsidR="00A651E1" w:rsidRPr="00B77592" w:rsidRDefault="00E777A0">
      <w:pPr>
        <w:spacing w:after="120"/>
        <w:jc w:val="both"/>
        <w:rPr>
          <w:rFonts w:ascii="Arial" w:hAnsi="Arial" w:cs="Arial"/>
          <w:sz w:val="20"/>
          <w:szCs w:val="20"/>
        </w:rPr>
      </w:pPr>
      <w:r w:rsidRPr="00B77592">
        <w:rPr>
          <w:rFonts w:ascii="Arial" w:hAnsi="Arial" w:cs="Arial"/>
          <w:b/>
          <w:sz w:val="20"/>
          <w:szCs w:val="20"/>
        </w:rPr>
        <w:t>Esportazioni</w:t>
      </w:r>
      <w:r w:rsidRPr="00B77592">
        <w:rPr>
          <w:rFonts w:ascii="Arial" w:hAnsi="Arial" w:cs="Arial"/>
          <w:sz w:val="20"/>
          <w:szCs w:val="20"/>
        </w:rPr>
        <w:t>: includono tutti i beni (nazionali o nazionalizzati, nuovi o usati) che, a titolo oneroso o gratuito, escono dal territorio economico del Paese per essere destinati al resto del mondo. Esse sono valutate al valore FOB (free on board), che corrisponde al prezzo di mercato alla frontiera del Paese esportatore. Questo prezzo comprende il prezzo ex-fabrica, i margini commerciali, le spese di trasporto internazionale e gli eventuali diritti all'esportazione.</w:t>
      </w:r>
    </w:p>
    <w:p w14:paraId="0F1B3892" w14:textId="77777777" w:rsidR="00A651E1" w:rsidRPr="00B77592" w:rsidRDefault="00E777A0">
      <w:pPr>
        <w:spacing w:after="120"/>
        <w:jc w:val="both"/>
        <w:rPr>
          <w:rFonts w:ascii="Arial" w:hAnsi="Arial" w:cs="Arial"/>
          <w:sz w:val="20"/>
          <w:szCs w:val="20"/>
        </w:rPr>
      </w:pPr>
      <w:r w:rsidRPr="00B77592">
        <w:rPr>
          <w:rFonts w:ascii="Arial" w:hAnsi="Arial" w:cs="Arial"/>
          <w:b/>
          <w:sz w:val="20"/>
          <w:szCs w:val="20"/>
        </w:rPr>
        <w:t>Importazioni</w:t>
      </w:r>
      <w:r w:rsidRPr="00B77592">
        <w:rPr>
          <w:rFonts w:ascii="Arial" w:hAnsi="Arial" w:cs="Arial"/>
          <w:sz w:val="20"/>
          <w:szCs w:val="20"/>
        </w:rPr>
        <w:t>: comprendono tutti i beni (nuovi o usati) che, a titolo oneroso o gratuito, entrano nel territorio economico del Paese in provenienza dal Resto del mondo. Esse possono essere valutate al valore CIF (cost, insurance, freight), che comprende: il valore FOB dei beni, le spese di trasporto e le attività assicurative tra la frontiera del Paese esportatore e la frontiera del Paese importatore.</w:t>
      </w:r>
    </w:p>
    <w:p w14:paraId="2255F2D0" w14:textId="6700F957" w:rsidR="00A651E1" w:rsidRPr="00F576FF" w:rsidRDefault="00E777A0">
      <w:pPr>
        <w:spacing w:after="120"/>
        <w:jc w:val="both"/>
        <w:rPr>
          <w:rFonts w:ascii="Arial" w:hAnsi="Arial" w:cs="Arial"/>
          <w:strike/>
          <w:sz w:val="20"/>
          <w:szCs w:val="20"/>
        </w:rPr>
      </w:pPr>
      <w:r w:rsidRPr="00B77592">
        <w:rPr>
          <w:rFonts w:ascii="Arial" w:hAnsi="Arial" w:cs="Arial"/>
          <w:b/>
          <w:sz w:val="20"/>
          <w:szCs w:val="20"/>
        </w:rPr>
        <w:t>Paesi extra Ue</w:t>
      </w:r>
      <w:r w:rsidRPr="00B77592">
        <w:rPr>
          <w:rFonts w:ascii="Arial" w:hAnsi="Arial" w:cs="Arial"/>
          <w:sz w:val="20"/>
          <w:szCs w:val="20"/>
        </w:rPr>
        <w:t>: tutti i paesi non appartenenti all’Unione europea</w:t>
      </w:r>
      <w:r w:rsidR="00A0309B">
        <w:rPr>
          <w:rFonts w:ascii="Arial" w:hAnsi="Arial" w:cs="Arial"/>
          <w:sz w:val="20"/>
          <w:szCs w:val="20"/>
        </w:rPr>
        <w:t>.</w:t>
      </w:r>
    </w:p>
    <w:p w14:paraId="5650CAC3" w14:textId="77777777" w:rsidR="00A651E1" w:rsidRPr="00B77592" w:rsidRDefault="00E777A0">
      <w:pPr>
        <w:spacing w:after="120"/>
        <w:jc w:val="both"/>
        <w:rPr>
          <w:rFonts w:ascii="Arial" w:hAnsi="Arial" w:cs="Arial"/>
          <w:sz w:val="20"/>
          <w:szCs w:val="20"/>
        </w:rPr>
      </w:pPr>
      <w:r w:rsidRPr="00B77592">
        <w:rPr>
          <w:rFonts w:ascii="Arial" w:hAnsi="Arial" w:cs="Arial"/>
          <w:b/>
          <w:sz w:val="20"/>
          <w:szCs w:val="20"/>
        </w:rPr>
        <w:t>Variazione congiunturale</w:t>
      </w:r>
      <w:r w:rsidRPr="00B77592">
        <w:rPr>
          <w:rFonts w:ascii="Arial" w:hAnsi="Arial" w:cs="Arial"/>
          <w:sz w:val="20"/>
          <w:szCs w:val="20"/>
        </w:rPr>
        <w:t>: variazione percentuale rispetto al mese o al periodo precedente.</w:t>
      </w:r>
    </w:p>
    <w:p w14:paraId="747F7354" w14:textId="77777777" w:rsidR="00A651E1" w:rsidRPr="00B77592" w:rsidRDefault="00E777A0">
      <w:pPr>
        <w:spacing w:after="120"/>
        <w:jc w:val="both"/>
        <w:rPr>
          <w:rFonts w:ascii="Arial" w:hAnsi="Arial" w:cs="Arial"/>
          <w:sz w:val="20"/>
          <w:szCs w:val="20"/>
        </w:rPr>
      </w:pPr>
      <w:r w:rsidRPr="00B77592">
        <w:rPr>
          <w:rFonts w:ascii="Arial" w:hAnsi="Arial" w:cs="Arial"/>
          <w:b/>
          <w:sz w:val="20"/>
          <w:szCs w:val="20"/>
        </w:rPr>
        <w:t>Variazione tendenziale</w:t>
      </w:r>
      <w:r w:rsidRPr="00B77592">
        <w:rPr>
          <w:rFonts w:ascii="Arial" w:hAnsi="Arial" w:cs="Arial"/>
          <w:sz w:val="20"/>
          <w:szCs w:val="20"/>
        </w:rPr>
        <w:t>: variazione percentuale rispetto allo stesso mese o periodo dell’anno precedente.</w:t>
      </w:r>
    </w:p>
    <w:p w14:paraId="58784B36" w14:textId="77777777" w:rsidR="00A651E1" w:rsidRPr="00B77592" w:rsidRDefault="00A651E1">
      <w:pPr>
        <w:spacing w:after="120"/>
        <w:jc w:val="both"/>
        <w:rPr>
          <w:rFonts w:ascii="Arial" w:hAnsi="Arial" w:cs="Arial"/>
          <w:sz w:val="20"/>
          <w:szCs w:val="20"/>
        </w:rPr>
      </w:pPr>
    </w:p>
    <w:p w14:paraId="19EA2D76" w14:textId="77777777" w:rsidR="00A651E1" w:rsidRPr="00826A5F" w:rsidRDefault="00E777A0" w:rsidP="00BD1526">
      <w:pPr>
        <w:pStyle w:val="A"/>
        <w:spacing w:after="120"/>
        <w:outlineLvl w:val="0"/>
        <w:rPr>
          <w:rFonts w:ascii="Arial" w:hAnsi="Arial" w:cs="Arial"/>
          <w:sz w:val="22"/>
          <w:szCs w:val="20"/>
        </w:rPr>
      </w:pPr>
      <w:r w:rsidRPr="00826A5F">
        <w:rPr>
          <w:rFonts w:ascii="Arial" w:hAnsi="Arial" w:cs="Arial"/>
          <w:sz w:val="22"/>
          <w:szCs w:val="20"/>
        </w:rPr>
        <w:t>Definizioni delle aree geografiche e geoeconomiche</w:t>
      </w:r>
    </w:p>
    <w:p w14:paraId="47DECF59" w14:textId="17F6F722" w:rsidR="00A651E1" w:rsidRPr="00B77592" w:rsidRDefault="00E777A0">
      <w:pPr>
        <w:spacing w:after="120"/>
        <w:jc w:val="both"/>
        <w:rPr>
          <w:rFonts w:ascii="Arial" w:hAnsi="Arial" w:cs="Arial"/>
          <w:sz w:val="20"/>
          <w:szCs w:val="20"/>
        </w:rPr>
      </w:pPr>
      <w:r w:rsidRPr="00B77592">
        <w:rPr>
          <w:rFonts w:ascii="Arial" w:hAnsi="Arial" w:cs="Arial"/>
          <w:b/>
          <w:sz w:val="20"/>
          <w:szCs w:val="20"/>
        </w:rPr>
        <w:t>Paesi europei non Ue</w:t>
      </w:r>
      <w:r w:rsidRPr="00B77592">
        <w:rPr>
          <w:rFonts w:ascii="Arial" w:hAnsi="Arial" w:cs="Arial"/>
          <w:sz w:val="20"/>
          <w:szCs w:val="20"/>
        </w:rPr>
        <w:t xml:space="preserve">: comprende Albania, Andorra, Bielorussia, Bosnia-Erzegovina, Fær Øer, Gibilterra, Islanda, Kosovo, Liechtenstein, </w:t>
      </w:r>
      <w:r w:rsidR="00FB52D3">
        <w:rPr>
          <w:rFonts w:ascii="Arial" w:hAnsi="Arial" w:cs="Arial"/>
          <w:sz w:val="20"/>
          <w:szCs w:val="20"/>
        </w:rPr>
        <w:t>Macedonia del Nord,</w:t>
      </w:r>
      <w:r w:rsidR="00FB52D3" w:rsidRPr="00B77592">
        <w:rPr>
          <w:rFonts w:ascii="Arial" w:hAnsi="Arial" w:cs="Arial"/>
          <w:sz w:val="20"/>
          <w:szCs w:val="20"/>
        </w:rPr>
        <w:t xml:space="preserve"> </w:t>
      </w:r>
      <w:r w:rsidRPr="00B77592">
        <w:rPr>
          <w:rFonts w:ascii="Arial" w:hAnsi="Arial" w:cs="Arial"/>
          <w:sz w:val="20"/>
          <w:szCs w:val="20"/>
        </w:rPr>
        <w:t xml:space="preserve">Montenegro, Norvegia, </w:t>
      </w:r>
      <w:r w:rsidR="004E4AC6">
        <w:rPr>
          <w:rFonts w:ascii="Arial" w:hAnsi="Arial" w:cs="Arial"/>
          <w:sz w:val="20"/>
          <w:szCs w:val="20"/>
        </w:rPr>
        <w:t xml:space="preserve">Regno Unito, </w:t>
      </w:r>
      <w:r w:rsidRPr="00B77592">
        <w:rPr>
          <w:rFonts w:ascii="Arial" w:hAnsi="Arial" w:cs="Arial"/>
          <w:sz w:val="20"/>
          <w:szCs w:val="20"/>
        </w:rPr>
        <w:t>Repubblica moldova, Russia, Santa Sede (Stato della Città del Vaticano), Serbia, Svizzera, Turchia, Ucraina.</w:t>
      </w:r>
    </w:p>
    <w:p w14:paraId="49C56E1C" w14:textId="77777777" w:rsidR="00A651E1" w:rsidRPr="00B77592" w:rsidRDefault="00E777A0">
      <w:pPr>
        <w:spacing w:after="120"/>
        <w:jc w:val="both"/>
        <w:rPr>
          <w:rFonts w:ascii="Arial" w:hAnsi="Arial" w:cs="Arial"/>
          <w:sz w:val="20"/>
          <w:szCs w:val="20"/>
        </w:rPr>
      </w:pPr>
      <w:r w:rsidRPr="00B77592">
        <w:rPr>
          <w:rFonts w:ascii="Arial" w:hAnsi="Arial" w:cs="Arial"/>
          <w:b/>
          <w:sz w:val="20"/>
          <w:szCs w:val="20"/>
        </w:rPr>
        <w:t>Africa settentrionale</w:t>
      </w:r>
      <w:r w:rsidRPr="00B77592">
        <w:rPr>
          <w:rFonts w:ascii="Arial" w:hAnsi="Arial" w:cs="Arial"/>
          <w:sz w:val="20"/>
          <w:szCs w:val="20"/>
        </w:rPr>
        <w:t>: comprende Algeria, Egitto</w:t>
      </w:r>
      <w:r w:rsidR="003B57EB">
        <w:rPr>
          <w:rFonts w:ascii="Arial" w:hAnsi="Arial" w:cs="Arial"/>
          <w:sz w:val="20"/>
          <w:szCs w:val="20"/>
        </w:rPr>
        <w:t xml:space="preserve">, </w:t>
      </w:r>
      <w:r w:rsidRPr="00B77592">
        <w:rPr>
          <w:rFonts w:ascii="Arial" w:hAnsi="Arial" w:cs="Arial"/>
          <w:sz w:val="20"/>
          <w:szCs w:val="20"/>
        </w:rPr>
        <w:t>Ceuta, Libia, Marocco, Melilla, Sahara Occidentale, Tunisia.</w:t>
      </w:r>
    </w:p>
    <w:p w14:paraId="361E0DC7" w14:textId="77777777" w:rsidR="00A651E1" w:rsidRPr="00B77592" w:rsidRDefault="00E777A0">
      <w:pPr>
        <w:spacing w:after="120"/>
        <w:jc w:val="both"/>
        <w:rPr>
          <w:rFonts w:ascii="Arial" w:hAnsi="Arial" w:cs="Arial"/>
          <w:sz w:val="20"/>
          <w:szCs w:val="20"/>
        </w:rPr>
      </w:pPr>
      <w:r w:rsidRPr="00B77592">
        <w:rPr>
          <w:rFonts w:ascii="Arial" w:hAnsi="Arial" w:cs="Arial"/>
          <w:b/>
          <w:sz w:val="20"/>
          <w:szCs w:val="20"/>
        </w:rPr>
        <w:t>Altri paesi africani</w:t>
      </w:r>
      <w:r w:rsidRPr="00B77592">
        <w:rPr>
          <w:rFonts w:ascii="Arial" w:hAnsi="Arial" w:cs="Arial"/>
          <w:sz w:val="20"/>
          <w:szCs w:val="20"/>
        </w:rPr>
        <w:t xml:space="preserve">: comprende Angola, Benin, Botswana, Burkina Faso, Burundi, Camerun, Capo Verde, Ciad, Comore, Congo, Costa d’Avorio, Eritrea, Etiopia, Gabon, Gambia, Ghana, Gibuti, Guinea, Guinea equatoriale, Guinea-Bissau, Kenya, Lesotho, Liberia, Madagascar, Malawi, Mali, Mauritania, Maurizio, Mayotte, Mozambico, Namibia, Niger, Nigeria, Repubblica Centrafricana, Repubblica democratica del Congo, Repubblica unita di Tanzania, Ruanda, Sant’Elena-Ascensione e Tristan da Cunha, São Tomé e Principe, Seychelles, Senegal, Sierra Leone, Somalia, Sud Africa, Sudan, Sud Sudan, Swaziland, Territorio britannico dell’ Oceano Indiano, Togo, Uganda, Zambia, Zimbabwe. </w:t>
      </w:r>
    </w:p>
    <w:p w14:paraId="3A034A75" w14:textId="77777777" w:rsidR="00A651E1" w:rsidRPr="00B77592" w:rsidRDefault="00E777A0">
      <w:pPr>
        <w:spacing w:after="120"/>
        <w:jc w:val="both"/>
        <w:rPr>
          <w:rFonts w:ascii="Arial" w:hAnsi="Arial" w:cs="Arial"/>
          <w:sz w:val="20"/>
          <w:szCs w:val="20"/>
        </w:rPr>
      </w:pPr>
      <w:r w:rsidRPr="00B77592">
        <w:rPr>
          <w:rFonts w:ascii="Arial" w:hAnsi="Arial" w:cs="Arial"/>
          <w:b/>
          <w:sz w:val="20"/>
          <w:szCs w:val="20"/>
        </w:rPr>
        <w:t>America settentrionale</w:t>
      </w:r>
      <w:r w:rsidRPr="00B77592">
        <w:rPr>
          <w:rFonts w:ascii="Arial" w:hAnsi="Arial" w:cs="Arial"/>
          <w:sz w:val="20"/>
          <w:szCs w:val="20"/>
        </w:rPr>
        <w:t>: comprende Canada, Groenlandia, Saint-Pierre e Miquelon, Stati Uniti.</w:t>
      </w:r>
    </w:p>
    <w:p w14:paraId="2B4C4911" w14:textId="77777777" w:rsidR="00A651E1" w:rsidRPr="00B77592" w:rsidRDefault="00E777A0">
      <w:pPr>
        <w:spacing w:after="120"/>
        <w:jc w:val="both"/>
        <w:rPr>
          <w:rFonts w:ascii="Arial" w:hAnsi="Arial" w:cs="Arial"/>
          <w:sz w:val="20"/>
          <w:szCs w:val="20"/>
        </w:rPr>
      </w:pPr>
      <w:r w:rsidRPr="00B77592">
        <w:rPr>
          <w:rFonts w:ascii="Arial" w:hAnsi="Arial" w:cs="Arial"/>
          <w:b/>
          <w:sz w:val="20"/>
          <w:szCs w:val="20"/>
        </w:rPr>
        <w:t>America centro-meridionale</w:t>
      </w:r>
      <w:r w:rsidRPr="00B77592">
        <w:rPr>
          <w:rFonts w:ascii="Arial" w:hAnsi="Arial" w:cs="Arial"/>
          <w:sz w:val="20"/>
          <w:szCs w:val="20"/>
        </w:rPr>
        <w:t xml:space="preserve">: comprende Anguilla, Antigua e Barbuda, Argentina, Aruba, Bahama, Barbados, Belize, Bermuda, Bolivia, Bonaire, Sint Eustatius e Saba, Brasile, Cile, Colombia, Costa Rica, Cuba, Curaçao, Dominica, Ecuador, El Salvador, Giamaica, Grenada, Guatemala, Guyana, Haiti, Honduras, Isole Cayman, Isole Falkland, Isole Turks e Caicos, Isole Vergini Americane, Isole Vergini Britanniche, Messico, Montserrat, Nicaragua, Panama, Paraguay, Perù, Repubblica dominicana, Saint-Barthélemy, Saint Kitts e Nevis, Saint Vincente e le Grenadine, Santa Lucia, Sint Maarten, Suriname, Trinidad e Tobago, Uruguay, Venezuela. </w:t>
      </w:r>
    </w:p>
    <w:p w14:paraId="289BCD7F" w14:textId="77777777" w:rsidR="00A651E1" w:rsidRPr="00B77592" w:rsidRDefault="00E777A0">
      <w:pPr>
        <w:spacing w:after="120"/>
        <w:jc w:val="both"/>
        <w:rPr>
          <w:rFonts w:ascii="Arial" w:hAnsi="Arial" w:cs="Arial"/>
          <w:sz w:val="20"/>
          <w:szCs w:val="20"/>
        </w:rPr>
      </w:pPr>
      <w:r w:rsidRPr="00B77592">
        <w:rPr>
          <w:rFonts w:ascii="Arial" w:hAnsi="Arial" w:cs="Arial"/>
          <w:b/>
          <w:sz w:val="20"/>
          <w:szCs w:val="20"/>
        </w:rPr>
        <w:t>Medio Oriente</w:t>
      </w:r>
      <w:r w:rsidRPr="00B77592">
        <w:rPr>
          <w:rFonts w:ascii="Arial" w:hAnsi="Arial" w:cs="Arial"/>
          <w:sz w:val="20"/>
          <w:szCs w:val="20"/>
        </w:rPr>
        <w:t xml:space="preserve">: comprende Arabia Saudita, Armenia, Azerbaigian, Bahrein, Emirati Arabi Uniti, Georgia, Giordania, Iraq, Israele, Kuwait, Libano, Oman, Qatar, Repubblica islamica dell’Iran, Siria, Territorio palestinese occupato, Yemen. </w:t>
      </w:r>
    </w:p>
    <w:p w14:paraId="37E6E876" w14:textId="40A01401" w:rsidR="00A651E1" w:rsidRDefault="00E777A0">
      <w:pPr>
        <w:spacing w:after="120"/>
        <w:jc w:val="both"/>
        <w:rPr>
          <w:rFonts w:ascii="Arial" w:hAnsi="Arial" w:cs="Arial"/>
          <w:sz w:val="20"/>
          <w:szCs w:val="20"/>
        </w:rPr>
      </w:pPr>
      <w:r w:rsidRPr="00B77592">
        <w:rPr>
          <w:rFonts w:ascii="Arial" w:hAnsi="Arial" w:cs="Arial"/>
          <w:b/>
          <w:sz w:val="20"/>
          <w:szCs w:val="20"/>
        </w:rPr>
        <w:t>Altri paesi asiatici</w:t>
      </w:r>
      <w:r w:rsidRPr="00B77592">
        <w:rPr>
          <w:rFonts w:ascii="Arial" w:hAnsi="Arial" w:cs="Arial"/>
          <w:sz w:val="20"/>
          <w:szCs w:val="20"/>
        </w:rPr>
        <w:t>: comprende Afghanistan, Bangladesh, Bhutan, Birmania, Brunei, Cambogia, Cina, Corea del Nord, Corea del Sud, Filippine, Giappone, Hong Kong, India, Indonesia, Kazakistan, Kirghizistan, Laos, Macao, Malaysia, Maldive, Mongolia, Nepal, Pakistan, Singapore, Sri Lanka, Tagikistan, Taiwan, Thailandia, Timor-Leste, Turkmenistan, Uzbekistan, Vietnam.</w:t>
      </w:r>
    </w:p>
    <w:p w14:paraId="582C3EF5" w14:textId="4D15E209" w:rsidR="009C2B9D" w:rsidRDefault="009C2B9D">
      <w:pPr>
        <w:spacing w:after="120"/>
        <w:jc w:val="both"/>
        <w:rPr>
          <w:rFonts w:ascii="Arial" w:hAnsi="Arial" w:cs="Arial"/>
          <w:sz w:val="20"/>
          <w:szCs w:val="20"/>
        </w:rPr>
      </w:pPr>
    </w:p>
    <w:p w14:paraId="5B8D4C48" w14:textId="77777777" w:rsidR="009C2B9D" w:rsidRPr="00B77592" w:rsidRDefault="009C2B9D">
      <w:pPr>
        <w:spacing w:after="120"/>
        <w:jc w:val="both"/>
        <w:rPr>
          <w:rFonts w:ascii="Arial" w:hAnsi="Arial" w:cs="Arial"/>
          <w:sz w:val="20"/>
          <w:szCs w:val="20"/>
        </w:rPr>
      </w:pPr>
    </w:p>
    <w:p w14:paraId="3070CEFC" w14:textId="77777777" w:rsidR="00A651E1" w:rsidRPr="00B77592" w:rsidRDefault="00E777A0">
      <w:pPr>
        <w:spacing w:after="120"/>
        <w:jc w:val="both"/>
        <w:rPr>
          <w:rFonts w:ascii="Arial" w:hAnsi="Arial" w:cs="Arial"/>
          <w:sz w:val="20"/>
          <w:szCs w:val="20"/>
        </w:rPr>
      </w:pPr>
      <w:r w:rsidRPr="00B77592">
        <w:rPr>
          <w:rFonts w:ascii="Arial" w:hAnsi="Arial" w:cs="Arial"/>
          <w:b/>
          <w:sz w:val="20"/>
          <w:szCs w:val="20"/>
        </w:rPr>
        <w:t>Oceania e altri territori</w:t>
      </w:r>
      <w:r w:rsidRPr="00B77592">
        <w:rPr>
          <w:rFonts w:ascii="Arial" w:hAnsi="Arial" w:cs="Arial"/>
          <w:sz w:val="20"/>
          <w:szCs w:val="20"/>
        </w:rPr>
        <w:t>: comprende Antartide, Australia, Figi, Georgia del Sud e Isole Sandwich australi, Isola di Bouvet, Isola Christmas, Isole Cocos (Keeling), Isole Cook, Isole Heard e McDonald, Isole Marianne settentrionali, Isole Marshall, Isole minori periferiche degli Stati Uniti, Isola Norfolk, Isole Pitcairn, Isole Salomone, Kiribati, Nauru, Niue, Nuova Caledonia, Nuova Zelanda, Palau, Papua Nuova Guinea, Polinesia francese, Samoa, Samoa americane, Stati Federati di Micronesia, Terre australi e antartiche francesi, Tokelau, Tonga, Tuvalu, Vanuatu, Wallis e Futuna, Provviste e dotazioni di bordo, Paesi e territori non specificati, Paesi e territori non specificati per ragioni commerciali o militari.</w:t>
      </w:r>
    </w:p>
    <w:p w14:paraId="72C16466" w14:textId="77777777" w:rsidR="00A651E1" w:rsidRPr="00B77592" w:rsidRDefault="00E777A0">
      <w:pPr>
        <w:spacing w:after="120"/>
        <w:jc w:val="both"/>
        <w:rPr>
          <w:rFonts w:ascii="Arial" w:hAnsi="Arial" w:cs="Arial"/>
          <w:sz w:val="20"/>
          <w:szCs w:val="20"/>
        </w:rPr>
      </w:pPr>
      <w:r w:rsidRPr="00B77592">
        <w:rPr>
          <w:rFonts w:ascii="Arial" w:hAnsi="Arial" w:cs="Arial"/>
          <w:b/>
          <w:sz w:val="20"/>
          <w:szCs w:val="20"/>
        </w:rPr>
        <w:t>ASEAN (Associazione delle Nazioni del Sud-Est Asiatico)</w:t>
      </w:r>
      <w:r w:rsidRPr="00B77592">
        <w:rPr>
          <w:rFonts w:ascii="Arial" w:hAnsi="Arial" w:cs="Arial"/>
          <w:sz w:val="20"/>
          <w:szCs w:val="20"/>
        </w:rPr>
        <w:t xml:space="preserve">: comprende Brunei, Cambogia, Filippine, Indonesia, Laos, Malaysia, Birmania, Singapore, Thailandia, Vietnam. </w:t>
      </w:r>
    </w:p>
    <w:p w14:paraId="00358882" w14:textId="5054A66F" w:rsidR="00A651E1" w:rsidRPr="00B77592" w:rsidRDefault="00E777A0">
      <w:pPr>
        <w:spacing w:after="120"/>
        <w:jc w:val="both"/>
        <w:rPr>
          <w:rFonts w:ascii="Arial" w:hAnsi="Arial" w:cs="Arial"/>
          <w:sz w:val="20"/>
          <w:szCs w:val="20"/>
        </w:rPr>
      </w:pPr>
      <w:r w:rsidRPr="00B77592">
        <w:rPr>
          <w:rFonts w:ascii="Arial" w:hAnsi="Arial" w:cs="Arial"/>
          <w:b/>
          <w:sz w:val="20"/>
          <w:szCs w:val="20"/>
        </w:rPr>
        <w:t>OPEC</w:t>
      </w:r>
      <w:r w:rsidRPr="00B77592">
        <w:rPr>
          <w:rFonts w:ascii="Arial" w:hAnsi="Arial" w:cs="Arial"/>
          <w:sz w:val="20"/>
          <w:szCs w:val="20"/>
        </w:rPr>
        <w:t>: comprende Algeria, Angola, Arabia Saudita, Emirati Arabi Uniti</w:t>
      </w:r>
      <w:r w:rsidR="00407A14" w:rsidRPr="00B77592">
        <w:rPr>
          <w:rFonts w:ascii="Arial" w:hAnsi="Arial" w:cs="Arial"/>
          <w:sz w:val="20"/>
          <w:szCs w:val="20"/>
        </w:rPr>
        <w:t xml:space="preserve">, Iraq, Kuwait, Libia, Nigeria, </w:t>
      </w:r>
      <w:r w:rsidRPr="00B77592">
        <w:rPr>
          <w:rFonts w:ascii="Arial" w:hAnsi="Arial" w:cs="Arial"/>
          <w:sz w:val="20"/>
          <w:szCs w:val="20"/>
        </w:rPr>
        <w:t>Repubblica</w:t>
      </w:r>
      <w:r w:rsidR="00A32F3F">
        <w:rPr>
          <w:rFonts w:ascii="Arial" w:hAnsi="Arial" w:cs="Arial"/>
          <w:sz w:val="20"/>
          <w:szCs w:val="20"/>
        </w:rPr>
        <w:t xml:space="preserve"> islamica dell’Iran, Venezuela</w:t>
      </w:r>
      <w:r w:rsidR="00A80CCA" w:rsidRPr="00B77592">
        <w:rPr>
          <w:rFonts w:ascii="Arial" w:hAnsi="Arial" w:cs="Arial"/>
          <w:sz w:val="20"/>
          <w:szCs w:val="20"/>
        </w:rPr>
        <w:t xml:space="preserve">, </w:t>
      </w:r>
      <w:r w:rsidR="007D5291" w:rsidRPr="00B77592">
        <w:rPr>
          <w:rFonts w:ascii="Arial" w:hAnsi="Arial" w:cs="Arial"/>
          <w:sz w:val="20"/>
          <w:szCs w:val="20"/>
        </w:rPr>
        <w:t xml:space="preserve">Gabon, </w:t>
      </w:r>
      <w:r w:rsidR="00CF3DE7" w:rsidRPr="00B77592">
        <w:rPr>
          <w:rFonts w:ascii="Arial" w:hAnsi="Arial" w:cs="Arial"/>
          <w:sz w:val="20"/>
          <w:szCs w:val="20"/>
        </w:rPr>
        <w:t>Guinea Equatoriale</w:t>
      </w:r>
      <w:r w:rsidR="00A80CCA" w:rsidRPr="00B77592">
        <w:rPr>
          <w:rFonts w:ascii="Arial" w:hAnsi="Arial" w:cs="Arial"/>
          <w:sz w:val="20"/>
          <w:szCs w:val="20"/>
        </w:rPr>
        <w:t xml:space="preserve"> </w:t>
      </w:r>
      <w:r w:rsidR="00407A14" w:rsidRPr="00B77592">
        <w:rPr>
          <w:rFonts w:ascii="Arial" w:hAnsi="Arial" w:cs="Arial"/>
          <w:sz w:val="20"/>
          <w:szCs w:val="20"/>
        </w:rPr>
        <w:t>e Congo</w:t>
      </w:r>
      <w:r w:rsidRPr="00B77592">
        <w:rPr>
          <w:rFonts w:ascii="Arial" w:hAnsi="Arial" w:cs="Arial"/>
          <w:sz w:val="20"/>
          <w:szCs w:val="20"/>
        </w:rPr>
        <w:t>.</w:t>
      </w:r>
    </w:p>
    <w:p w14:paraId="20C282A0" w14:textId="77777777" w:rsidR="00A651E1" w:rsidRPr="00B77592" w:rsidRDefault="00E777A0">
      <w:pPr>
        <w:spacing w:after="120"/>
        <w:jc w:val="both"/>
        <w:rPr>
          <w:rFonts w:ascii="Arial" w:hAnsi="Arial" w:cs="Arial"/>
          <w:sz w:val="20"/>
          <w:szCs w:val="20"/>
        </w:rPr>
      </w:pPr>
      <w:r w:rsidRPr="00B77592">
        <w:rPr>
          <w:rFonts w:ascii="Arial" w:hAnsi="Arial" w:cs="Arial"/>
          <w:b/>
          <w:sz w:val="20"/>
          <w:szCs w:val="20"/>
        </w:rPr>
        <w:t>Mercosur</w:t>
      </w:r>
      <w:r w:rsidRPr="00B77592">
        <w:rPr>
          <w:rFonts w:ascii="Arial" w:hAnsi="Arial" w:cs="Arial"/>
          <w:sz w:val="20"/>
          <w:szCs w:val="20"/>
        </w:rPr>
        <w:t>: comprende Brasile, Paraguay, Uruguay, Argentina.</w:t>
      </w:r>
    </w:p>
    <w:p w14:paraId="6119EBB9" w14:textId="77777777" w:rsidR="00A651E1" w:rsidRPr="00210529" w:rsidRDefault="00A651E1">
      <w:pPr>
        <w:spacing w:after="120" w:line="240" w:lineRule="exact"/>
        <w:jc w:val="both"/>
        <w:rPr>
          <w:rFonts w:cs="Arial"/>
          <w:color w:val="FF0000"/>
          <w:sz w:val="20"/>
          <w:szCs w:val="20"/>
        </w:rPr>
        <w:sectPr w:rsidR="00A651E1" w:rsidRPr="00210529">
          <w:headerReference w:type="default" r:id="rId27"/>
          <w:pgSz w:w="11907" w:h="16840"/>
          <w:pgMar w:top="567" w:right="851" w:bottom="680" w:left="851" w:header="567" w:footer="567" w:gutter="0"/>
          <w:cols w:space="720"/>
        </w:sectPr>
      </w:pPr>
    </w:p>
    <w:p w14:paraId="3A74F7E4" w14:textId="77777777" w:rsidR="00A651E1" w:rsidRPr="00993765" w:rsidRDefault="00A651E1">
      <w:pPr>
        <w:pStyle w:val="A"/>
        <w:spacing w:after="120"/>
        <w:rPr>
          <w:rFonts w:ascii="Arial" w:hAnsi="Arial" w:cs="Arial"/>
          <w:b w:val="0"/>
          <w:sz w:val="20"/>
        </w:rPr>
      </w:pPr>
    </w:p>
    <w:p w14:paraId="3456BDF2" w14:textId="77777777" w:rsidR="00A651E1" w:rsidRPr="003F5831" w:rsidRDefault="00E777A0" w:rsidP="00BD1526">
      <w:pPr>
        <w:pStyle w:val="A"/>
        <w:spacing w:after="120"/>
        <w:outlineLvl w:val="0"/>
        <w:rPr>
          <w:rFonts w:ascii="Arial" w:hAnsi="Arial" w:cs="Arial"/>
          <w:sz w:val="22"/>
          <w:szCs w:val="20"/>
        </w:rPr>
      </w:pPr>
      <w:r w:rsidRPr="003F5831">
        <w:rPr>
          <w:rFonts w:ascii="Arial" w:hAnsi="Arial" w:cs="Arial"/>
          <w:sz w:val="22"/>
          <w:szCs w:val="20"/>
        </w:rPr>
        <w:t>Fonti utilizzate e quadro normativo di riferimento</w:t>
      </w:r>
    </w:p>
    <w:p w14:paraId="7EC1B7C4" w14:textId="437C18AD" w:rsidR="00A651E1" w:rsidRPr="00B77592" w:rsidRDefault="00E777A0">
      <w:pPr>
        <w:pStyle w:val="A"/>
        <w:spacing w:after="120"/>
        <w:rPr>
          <w:rFonts w:ascii="Arial" w:hAnsi="Arial" w:cs="Arial"/>
          <w:b w:val="0"/>
          <w:sz w:val="20"/>
          <w:szCs w:val="20"/>
        </w:rPr>
      </w:pPr>
      <w:r w:rsidRPr="00B77592">
        <w:rPr>
          <w:rFonts w:ascii="Arial" w:hAnsi="Arial" w:cs="Arial"/>
          <w:b w:val="0"/>
          <w:sz w:val="20"/>
          <w:szCs w:val="20"/>
        </w:rPr>
        <w:t>L’indagine del commercio con i paesi extra Ue è effettuata secondo la normativa comunitaria</w:t>
      </w:r>
      <w:r w:rsidR="00BA60AD">
        <w:rPr>
          <w:rFonts w:ascii="Arial" w:hAnsi="Arial" w:cs="Arial"/>
          <w:b w:val="0"/>
          <w:sz w:val="20"/>
          <w:szCs w:val="20"/>
        </w:rPr>
        <w:t xml:space="preserve">: </w:t>
      </w:r>
      <w:r w:rsidR="00BA60AD" w:rsidRPr="00BA60AD">
        <w:rPr>
          <w:rFonts w:ascii="Arial" w:hAnsi="Arial" w:cs="Arial"/>
          <w:b w:val="0"/>
          <w:sz w:val="20"/>
          <w:szCs w:val="20"/>
        </w:rPr>
        <w:t>Regolamento (UE) 2019/2152 del Parlamento europeo e del Consiglio relativo alle statistiche europee sulle imprese</w:t>
      </w:r>
      <w:r w:rsidR="00BA60AD">
        <w:rPr>
          <w:rFonts w:ascii="Arial" w:hAnsi="Arial" w:cs="Arial"/>
          <w:b w:val="0"/>
          <w:sz w:val="20"/>
          <w:szCs w:val="20"/>
        </w:rPr>
        <w:t xml:space="preserve">; </w:t>
      </w:r>
      <w:r w:rsidR="00AF02B8" w:rsidRPr="00AF02B8">
        <w:rPr>
          <w:rFonts w:ascii="Arial" w:hAnsi="Arial" w:cs="Arial"/>
          <w:b w:val="0"/>
          <w:sz w:val="20"/>
          <w:szCs w:val="20"/>
        </w:rPr>
        <w:t>Regolamento di esecuzione (UE) 2020/1197 della Commissione che stabilisce le specifiche tecniche e le modalità a norma del regolamento (UE) 2019/2152; Regolamento delegato (UE) 2021/1704 della Commissione che integra il regolamento (UE) 2019/2152 specificando ulteriormente i dettagli delle informazioni statistiche che devono essere fornite dalle autorità fiscali e doganali e che ne modifica gli allegati V e VI</w:t>
      </w:r>
      <w:r w:rsidR="00AF02B8">
        <w:rPr>
          <w:rFonts w:ascii="Arial" w:hAnsi="Arial" w:cs="Arial"/>
          <w:b w:val="0"/>
          <w:sz w:val="20"/>
          <w:szCs w:val="20"/>
        </w:rPr>
        <w:t xml:space="preserve">; </w:t>
      </w:r>
      <w:r w:rsidR="00AF02B8" w:rsidRPr="00AF02B8">
        <w:rPr>
          <w:rFonts w:ascii="Arial" w:hAnsi="Arial" w:cs="Arial"/>
          <w:b w:val="0"/>
          <w:sz w:val="20"/>
          <w:szCs w:val="20"/>
        </w:rPr>
        <w:t xml:space="preserve">Regolamento di esecuzione (UE) 2021/1225 della </w:t>
      </w:r>
      <w:r w:rsidR="001F6211" w:rsidRPr="00AF02B8">
        <w:rPr>
          <w:rFonts w:ascii="Arial" w:hAnsi="Arial" w:cs="Arial"/>
          <w:b w:val="0"/>
          <w:sz w:val="20"/>
          <w:szCs w:val="20"/>
        </w:rPr>
        <w:t>Commissione</w:t>
      </w:r>
      <w:r w:rsidR="00AF02B8" w:rsidRPr="00AF02B8">
        <w:rPr>
          <w:rFonts w:ascii="Arial" w:hAnsi="Arial" w:cs="Arial"/>
          <w:b w:val="0"/>
          <w:sz w:val="20"/>
          <w:szCs w:val="20"/>
        </w:rPr>
        <w:t xml:space="preserve"> che specifica le modalità degli scambi di dati a norma del regolamento (UE) 2019/2152 e che modifica il regolamento di esecuzione (UE) 2020/1197 per quanto riguarda lo Stato membro di esportazione extra-UE e gli obblighi delle unità rispondenti</w:t>
      </w:r>
      <w:r w:rsidR="00AF02B8">
        <w:rPr>
          <w:rFonts w:ascii="Arial" w:hAnsi="Arial" w:cs="Arial"/>
          <w:b w:val="0"/>
          <w:sz w:val="20"/>
          <w:szCs w:val="20"/>
        </w:rPr>
        <w:t>.</w:t>
      </w:r>
      <w:r w:rsidR="00BA60AD">
        <w:rPr>
          <w:rFonts w:ascii="Arial" w:hAnsi="Arial" w:cs="Arial"/>
          <w:b w:val="0"/>
          <w:sz w:val="20"/>
          <w:szCs w:val="20"/>
        </w:rPr>
        <w:t xml:space="preserve"> </w:t>
      </w:r>
      <w:r w:rsidRPr="00B77592">
        <w:rPr>
          <w:rFonts w:ascii="Arial" w:hAnsi="Arial" w:cs="Arial"/>
          <w:b w:val="0"/>
          <w:sz w:val="20"/>
          <w:szCs w:val="20"/>
        </w:rPr>
        <w:t xml:space="preserve">Trova applicazione in sede nazionale con opportuni provvedimenti emanati dall’Agenzia delle Dogane. </w:t>
      </w:r>
    </w:p>
    <w:p w14:paraId="68B3C5A6" w14:textId="77777777" w:rsidR="00A651E1" w:rsidRPr="00B77592" w:rsidRDefault="00E777A0">
      <w:pPr>
        <w:pStyle w:val="A"/>
        <w:spacing w:after="120"/>
        <w:rPr>
          <w:rFonts w:ascii="Arial" w:hAnsi="Arial" w:cs="Arial"/>
          <w:b w:val="0"/>
          <w:sz w:val="20"/>
          <w:szCs w:val="20"/>
        </w:rPr>
      </w:pPr>
      <w:r w:rsidRPr="00B77592">
        <w:rPr>
          <w:rFonts w:ascii="Arial" w:hAnsi="Arial" w:cs="Arial"/>
          <w:b w:val="0"/>
          <w:sz w:val="20"/>
          <w:szCs w:val="20"/>
        </w:rPr>
        <w:t xml:space="preserve">L'indagine ha periodicità mensile ed è effettuata elaborando dati provenienti da una base dati di tipo fiscale-amministrativo (Documento Amministrativo Unico – DAU) coerente con le definizioni e le classificazioni di tipo statistico. Questi vengono successivamente armonizzati e validati attraverso un processo di controllo e revisione esperta svolto dall’Istituto. </w:t>
      </w:r>
    </w:p>
    <w:p w14:paraId="53B25D6D" w14:textId="77777777" w:rsidR="00A651E1" w:rsidRPr="00B77592" w:rsidRDefault="00E777A0">
      <w:pPr>
        <w:pStyle w:val="A"/>
        <w:spacing w:after="120"/>
        <w:rPr>
          <w:rFonts w:ascii="Arial" w:hAnsi="Arial" w:cs="Arial"/>
          <w:sz w:val="20"/>
          <w:szCs w:val="20"/>
        </w:rPr>
      </w:pPr>
      <w:r w:rsidRPr="00B77592">
        <w:rPr>
          <w:rFonts w:ascii="Arial" w:hAnsi="Arial" w:cs="Arial"/>
          <w:b w:val="0"/>
          <w:sz w:val="20"/>
          <w:szCs w:val="20"/>
        </w:rPr>
        <w:t>Conformemente alla normativa comunitaria, dal 2000 le esportazioni e le importazioni al di sotto delle soglie di esclusione (operazioni commerciali di valore inferiore a 1.000 euro a partire dal 2010) vengono inserite nelle statistiche del commercio estero con i paesi extra Ue mensilmente in forma aggregata.</w:t>
      </w:r>
    </w:p>
    <w:p w14:paraId="17651726" w14:textId="5C8BE08F" w:rsidR="003C293E" w:rsidRPr="00B577D3" w:rsidRDefault="00B05DDB" w:rsidP="00B05DDB">
      <w:pPr>
        <w:pStyle w:val="A"/>
        <w:spacing w:after="120"/>
        <w:rPr>
          <w:rFonts w:ascii="Arial" w:hAnsi="Arial" w:cs="Arial"/>
          <w:b w:val="0"/>
          <w:sz w:val="20"/>
          <w:szCs w:val="20"/>
        </w:rPr>
      </w:pPr>
      <w:r w:rsidRPr="00B577D3">
        <w:rPr>
          <w:rFonts w:ascii="Arial" w:hAnsi="Arial" w:cs="Arial"/>
          <w:b w:val="0"/>
          <w:sz w:val="20"/>
          <w:szCs w:val="20"/>
        </w:rPr>
        <w:t>Dal 1° gennaio 2021, il Regno Unito non è più parte del territorio doganale e fiscale (IVA e accise) dell’Unione europea e le relazioni economiche tra i due sistemi, dopo la Brexit, sono disciplinate dall’accordo raggiunto tra le parti il 24 dicembre 2020. Tuttavia, sulla base di quanto previsto dal Protocollo su Irlanda/Irlanda del Nord - già allegato all’Accordo di recesso Regno Unito/Ue – al fine di evitare una front</w:t>
      </w:r>
      <w:r w:rsidR="001A34E1" w:rsidRPr="00B577D3">
        <w:rPr>
          <w:rFonts w:ascii="Arial" w:hAnsi="Arial" w:cs="Arial"/>
          <w:b w:val="0"/>
          <w:sz w:val="20"/>
          <w:szCs w:val="20"/>
        </w:rPr>
        <w:t>iera</w:t>
      </w:r>
      <w:r w:rsidRPr="00B577D3">
        <w:rPr>
          <w:rFonts w:ascii="Arial" w:hAnsi="Arial" w:cs="Arial"/>
          <w:b w:val="0"/>
          <w:sz w:val="20"/>
          <w:szCs w:val="20"/>
        </w:rPr>
        <w:t xml:space="preserve"> fisica tra i due </w:t>
      </w:r>
      <w:r w:rsidR="003C293E" w:rsidRPr="00B577D3">
        <w:rPr>
          <w:rFonts w:ascii="Arial" w:hAnsi="Arial" w:cs="Arial"/>
          <w:b w:val="0"/>
          <w:sz w:val="20"/>
          <w:szCs w:val="20"/>
        </w:rPr>
        <w:t>t</w:t>
      </w:r>
      <w:r w:rsidRPr="00B577D3">
        <w:rPr>
          <w:rFonts w:ascii="Arial" w:hAnsi="Arial" w:cs="Arial"/>
          <w:b w:val="0"/>
          <w:sz w:val="20"/>
          <w:szCs w:val="20"/>
        </w:rPr>
        <w:t xml:space="preserve">erritori, l’Irlanda del Nord resta soggetta alla normativa </w:t>
      </w:r>
      <w:r w:rsidR="00E01B83">
        <w:rPr>
          <w:rFonts w:ascii="Arial" w:hAnsi="Arial" w:cs="Arial"/>
          <w:b w:val="0"/>
          <w:sz w:val="20"/>
          <w:szCs w:val="20"/>
        </w:rPr>
        <w:t>dell’Ue</w:t>
      </w:r>
      <w:r w:rsidRPr="00B577D3">
        <w:rPr>
          <w:rFonts w:ascii="Arial" w:hAnsi="Arial" w:cs="Arial"/>
          <w:b w:val="0"/>
          <w:sz w:val="20"/>
          <w:szCs w:val="20"/>
        </w:rPr>
        <w:t xml:space="preserve"> in materia di IVA per gli scambi commerciali di beni. </w:t>
      </w:r>
    </w:p>
    <w:p w14:paraId="26E5F91B" w14:textId="013E3CD2" w:rsidR="00716789" w:rsidRPr="00B577D3" w:rsidRDefault="00B05DDB" w:rsidP="00B05DDB">
      <w:pPr>
        <w:pStyle w:val="A"/>
        <w:spacing w:after="120"/>
        <w:rPr>
          <w:rFonts w:ascii="Arial" w:hAnsi="Arial" w:cs="Arial"/>
          <w:b w:val="0"/>
          <w:sz w:val="20"/>
          <w:szCs w:val="20"/>
        </w:rPr>
      </w:pPr>
      <w:r w:rsidRPr="00B577D3">
        <w:rPr>
          <w:rFonts w:ascii="Arial" w:hAnsi="Arial" w:cs="Arial"/>
          <w:b w:val="0"/>
          <w:sz w:val="20"/>
          <w:szCs w:val="20"/>
        </w:rPr>
        <w:t>In termini di rilevazione dei dati di commercio estero, questo implica che dal 1° gennaio 2021 i flussi commerciali da e verso</w:t>
      </w:r>
      <w:r w:rsidR="002925B2">
        <w:rPr>
          <w:rFonts w:ascii="Arial" w:hAnsi="Arial" w:cs="Arial"/>
          <w:b w:val="0"/>
          <w:sz w:val="20"/>
          <w:szCs w:val="20"/>
        </w:rPr>
        <w:t xml:space="preserve"> la Gran Bretagna sono desunti </w:t>
      </w:r>
      <w:r w:rsidRPr="00B577D3">
        <w:rPr>
          <w:rFonts w:ascii="Arial" w:hAnsi="Arial" w:cs="Arial"/>
          <w:b w:val="0"/>
          <w:sz w:val="20"/>
          <w:szCs w:val="20"/>
        </w:rPr>
        <w:t xml:space="preserve">dalle dichiarazioni doganali (DAU), quelli da e verso l’Irlanda del Nord dalle dichiarazioni Intrastat. </w:t>
      </w:r>
    </w:p>
    <w:p w14:paraId="718FB0CF" w14:textId="11C418F0" w:rsidR="006A6DA2" w:rsidRDefault="00B05DDB" w:rsidP="001D1158">
      <w:pPr>
        <w:pStyle w:val="A"/>
        <w:spacing w:after="240"/>
        <w:rPr>
          <w:rFonts w:ascii="Arial" w:hAnsi="Arial" w:cs="Arial"/>
          <w:b w:val="0"/>
          <w:sz w:val="20"/>
          <w:szCs w:val="20"/>
        </w:rPr>
      </w:pPr>
      <w:r w:rsidRPr="00B577D3">
        <w:rPr>
          <w:rFonts w:ascii="Arial" w:hAnsi="Arial" w:cs="Arial"/>
          <w:b w:val="0"/>
          <w:sz w:val="20"/>
          <w:szCs w:val="20"/>
        </w:rPr>
        <w:t>Stante la diversa tempistica di ricezione delle fonti Intrastat ed Extrastat, che non rende disponibili le dichiarazioni Intrastat al momento della prima pubblicazione dei dati di commercio estero extra Ue, i dati preliminari del Regno Unito e, quindi dell’area extra Ue27,</w:t>
      </w:r>
      <w:r w:rsidR="00635CD8" w:rsidRPr="00B577D3">
        <w:rPr>
          <w:rFonts w:ascii="Arial" w:hAnsi="Arial" w:cs="Arial"/>
          <w:b w:val="0"/>
          <w:sz w:val="20"/>
          <w:szCs w:val="20"/>
        </w:rPr>
        <w:t xml:space="preserve"> diffusi nel presente comunicato,</w:t>
      </w:r>
      <w:r w:rsidRPr="00B577D3">
        <w:rPr>
          <w:rFonts w:ascii="Arial" w:hAnsi="Arial" w:cs="Arial"/>
          <w:b w:val="0"/>
          <w:sz w:val="20"/>
          <w:szCs w:val="20"/>
        </w:rPr>
        <w:t xml:space="preserve"> non comprendono</w:t>
      </w:r>
      <w:r w:rsidR="00341D1E" w:rsidRPr="00B577D3">
        <w:rPr>
          <w:rFonts w:ascii="Arial" w:hAnsi="Arial" w:cs="Arial"/>
          <w:b w:val="0"/>
          <w:sz w:val="20"/>
          <w:szCs w:val="20"/>
        </w:rPr>
        <w:t xml:space="preserve"> i dati di interscambio con</w:t>
      </w:r>
      <w:r w:rsidRPr="00B577D3">
        <w:rPr>
          <w:rFonts w:ascii="Arial" w:hAnsi="Arial" w:cs="Arial"/>
          <w:b w:val="0"/>
          <w:sz w:val="20"/>
          <w:szCs w:val="20"/>
        </w:rPr>
        <w:t xml:space="preserve"> l’Irlanda del Nord. Questi sono inclusi</w:t>
      </w:r>
      <w:r w:rsidR="00341D1E" w:rsidRPr="00B577D3">
        <w:rPr>
          <w:rFonts w:ascii="Arial" w:hAnsi="Arial" w:cs="Arial"/>
          <w:b w:val="0"/>
          <w:sz w:val="20"/>
          <w:szCs w:val="20"/>
        </w:rPr>
        <w:t xml:space="preserve"> nei dati di commercio estero extra Ue in occasione della </w:t>
      </w:r>
      <w:r w:rsidRPr="00B577D3">
        <w:rPr>
          <w:rFonts w:ascii="Arial" w:hAnsi="Arial" w:cs="Arial"/>
          <w:b w:val="0"/>
          <w:sz w:val="20"/>
          <w:szCs w:val="20"/>
        </w:rPr>
        <w:t xml:space="preserve">prima revisione nel mese successivo </w:t>
      </w:r>
      <w:r w:rsidR="00341D1E" w:rsidRPr="00B577D3">
        <w:rPr>
          <w:rFonts w:ascii="Arial" w:hAnsi="Arial" w:cs="Arial"/>
          <w:b w:val="0"/>
          <w:sz w:val="20"/>
          <w:szCs w:val="20"/>
        </w:rPr>
        <w:t xml:space="preserve">e diffusi </w:t>
      </w:r>
      <w:r w:rsidR="001A34E1" w:rsidRPr="00B577D3">
        <w:rPr>
          <w:rFonts w:ascii="Arial" w:hAnsi="Arial" w:cs="Arial"/>
          <w:b w:val="0"/>
          <w:sz w:val="20"/>
          <w:szCs w:val="20"/>
        </w:rPr>
        <w:t>nel</w:t>
      </w:r>
      <w:r w:rsidR="009C2B9D" w:rsidRPr="00B577D3">
        <w:rPr>
          <w:rFonts w:ascii="Arial" w:hAnsi="Arial" w:cs="Arial"/>
          <w:b w:val="0"/>
          <w:sz w:val="20"/>
          <w:szCs w:val="20"/>
        </w:rPr>
        <w:t xml:space="preserve"> </w:t>
      </w:r>
      <w:r w:rsidRPr="00B577D3">
        <w:rPr>
          <w:rFonts w:ascii="Arial" w:hAnsi="Arial" w:cs="Arial"/>
          <w:b w:val="0"/>
          <w:sz w:val="20"/>
          <w:szCs w:val="20"/>
        </w:rPr>
        <w:t>Comunicato Stampa Commercio con l’estero e prezzi all’import.</w:t>
      </w:r>
    </w:p>
    <w:p w14:paraId="163F9F51" w14:textId="77777777" w:rsidR="00F211F7" w:rsidRDefault="00F211F7" w:rsidP="00F211F7">
      <w:pPr>
        <w:pStyle w:val="A"/>
        <w:spacing w:after="120"/>
        <w:rPr>
          <w:rFonts w:ascii="Arial" w:hAnsi="Arial" w:cs="Arial"/>
          <w:b w:val="0"/>
          <w:sz w:val="20"/>
          <w:szCs w:val="20"/>
        </w:rPr>
      </w:pPr>
      <w:r w:rsidRPr="00B77592">
        <w:rPr>
          <w:rFonts w:ascii="Arial" w:hAnsi="Arial" w:cs="Arial"/>
          <w:b w:val="0"/>
          <w:sz w:val="20"/>
          <w:szCs w:val="20"/>
        </w:rPr>
        <w:t>A partire dal mese di Settembre 2011 è stata implementata una nuova metodologia di produzione delle statistiche sugli scambi con l’estero di gas naturale allo stato gassoso e di energia elettrica, che si basa sull’impiego diretto di fonti informative alternative</w:t>
      </w:r>
      <w:r w:rsidRPr="00B77592">
        <w:rPr>
          <w:rStyle w:val="Rimandonotaapidipagina"/>
          <w:rFonts w:ascii="Arial" w:hAnsi="Arial" w:cs="Arial"/>
          <w:b w:val="0"/>
          <w:sz w:val="20"/>
          <w:szCs w:val="20"/>
        </w:rPr>
        <w:footnoteReference w:id="2"/>
      </w:r>
      <w:r w:rsidRPr="00B77592">
        <w:rPr>
          <w:rFonts w:ascii="Arial" w:hAnsi="Arial" w:cs="Arial"/>
          <w:b w:val="0"/>
          <w:sz w:val="20"/>
          <w:szCs w:val="20"/>
        </w:rPr>
        <w:t xml:space="preserve"> ai dati statistico-doganali solo per quanto riguarda la misurazione degli scambi complessivi in quantità, mentre per le altre variabili di analisi e classificazione richieste dai regolamenti statistici comunitari (dati in valore monetario e allocazione geografica dei flussi con l’estero per “paese statistico”) sono stati adottati opportuni criteri di stima (per maggiori dettagli si veda la nota sulle revisioni straordinarie allegata al Comunicato Commercio con l’estero riferito al mese di Settembre 2011 </w:t>
      </w:r>
      <w:hyperlink r:id="rId28" w:history="1">
        <w:r w:rsidRPr="00B77592">
          <w:rPr>
            <w:rStyle w:val="Collegamentoipertestuale"/>
            <w:rFonts w:ascii="Arial" w:hAnsi="Arial" w:cs="Arial"/>
            <w:b w:val="0"/>
            <w:sz w:val="20"/>
            <w:szCs w:val="20"/>
          </w:rPr>
          <w:t>www.istat.it/it/archivio/45225</w:t>
        </w:r>
      </w:hyperlink>
      <w:r w:rsidRPr="00B77592">
        <w:rPr>
          <w:rFonts w:ascii="Arial" w:hAnsi="Arial" w:cs="Arial"/>
          <w:b w:val="0"/>
          <w:sz w:val="20"/>
          <w:szCs w:val="20"/>
        </w:rPr>
        <w:t>). La modifica introdotta ha comportato la conseguente revisione dei dati relativi ai periodi precedenti.</w:t>
      </w:r>
    </w:p>
    <w:p w14:paraId="015E08EB" w14:textId="751E174A" w:rsidR="00F211F7" w:rsidRPr="00C35C46" w:rsidRDefault="00F211F7" w:rsidP="00F211F7">
      <w:pPr>
        <w:pStyle w:val="A"/>
        <w:spacing w:after="120"/>
        <w:rPr>
          <w:rFonts w:ascii="Arial" w:hAnsi="Arial" w:cs="Arial"/>
          <w:b w:val="0"/>
          <w:sz w:val="20"/>
          <w:szCs w:val="20"/>
        </w:rPr>
      </w:pPr>
      <w:r w:rsidRPr="00C35C46">
        <w:rPr>
          <w:rFonts w:ascii="Arial" w:hAnsi="Arial" w:cs="Arial"/>
          <w:sz w:val="20"/>
          <w:szCs w:val="20"/>
        </w:rPr>
        <w:t>Si segnala che, dal mese di aprile 2022</w:t>
      </w:r>
      <w:r w:rsidRPr="00C35C46">
        <w:rPr>
          <w:rFonts w:ascii="Arial" w:hAnsi="Arial" w:cs="Arial"/>
          <w:b w:val="0"/>
          <w:sz w:val="20"/>
          <w:szCs w:val="20"/>
        </w:rPr>
        <w:t xml:space="preserve">, a seguito di modifiche introdotte nella procedura di stima delle importazioni di gas naturale allo stato gassoso, i valori monetari delle importazioni extra Ue27 – con riguardo, in particolare, al raggruppamento Energia e ad alcuni principali paesi partner –, potranno essere soggetti a revisioni più ampie di quelle usuali. </w:t>
      </w:r>
    </w:p>
    <w:p w14:paraId="345CDB61" w14:textId="54538286" w:rsidR="00F211F7" w:rsidRPr="00C35C46" w:rsidRDefault="00F211F7" w:rsidP="00F211F7">
      <w:pPr>
        <w:pStyle w:val="A"/>
        <w:spacing w:after="120"/>
        <w:rPr>
          <w:rFonts w:ascii="Arial" w:hAnsi="Arial" w:cs="Arial"/>
          <w:b w:val="0"/>
          <w:sz w:val="20"/>
          <w:szCs w:val="20"/>
        </w:rPr>
      </w:pPr>
      <w:r w:rsidRPr="00C35C46">
        <w:rPr>
          <w:rFonts w:ascii="Arial" w:hAnsi="Arial" w:cs="Arial"/>
          <w:b w:val="0"/>
          <w:sz w:val="20"/>
          <w:szCs w:val="20"/>
        </w:rPr>
        <w:t>I valori preliminari delle importazioni extra Ue27 di gas naturale allo stato gassoso, si baseranno, come di consueto, sulla procedura che utilizza i dati di quantità da fonte Snam Rete Gas S.p.a. relativi al mese di riferimento e i dati di prezzo (valore medio unitario) più aggiornati disponibili al momento della diffusione. Questi ultimi sono desunti dalle dichiarazioni doganali depositate nel mese di riferimento, che, nel rispetto degli adempimenti doganali relativi all’importazione di gas naturale a mezzo gasdotto, riferiscono a movimentazioni avvenute nel mese precedente. In occasione della prima revisione, diffusa con il Comunicato Stampa Commercio estero e prezzi all’import, grazie alle modifiche introdotte nel processo di lavorazione, le stime sui valori di import di gas naturale allo stato gassoso si baseranno sui dati di prezzo del mese di riferimento (dati che si rendono disponibili con la fornitura delle dichiarazioni doganali del mese successivo).</w:t>
      </w:r>
    </w:p>
    <w:p w14:paraId="32F64926" w14:textId="77777777" w:rsidR="00F211F7" w:rsidRDefault="00F211F7" w:rsidP="00F211F7">
      <w:pPr>
        <w:pStyle w:val="A"/>
        <w:spacing w:after="120"/>
        <w:rPr>
          <w:rFonts w:ascii="Arial" w:hAnsi="Arial" w:cs="Arial"/>
          <w:sz w:val="20"/>
          <w:szCs w:val="20"/>
          <w:highlight w:val="yellow"/>
        </w:rPr>
      </w:pPr>
    </w:p>
    <w:p w14:paraId="0DFF6CAA" w14:textId="006ABDB4" w:rsidR="00F211F7" w:rsidRPr="00C35C46" w:rsidRDefault="00F211F7" w:rsidP="00F211F7">
      <w:pPr>
        <w:pStyle w:val="A"/>
        <w:spacing w:after="120"/>
        <w:rPr>
          <w:rFonts w:ascii="Arial" w:hAnsi="Arial" w:cs="Arial"/>
          <w:b w:val="0"/>
          <w:sz w:val="20"/>
          <w:szCs w:val="20"/>
        </w:rPr>
      </w:pPr>
      <w:r w:rsidRPr="00C35C46">
        <w:rPr>
          <w:rFonts w:ascii="Arial" w:hAnsi="Arial" w:cs="Arial"/>
          <w:b w:val="0"/>
          <w:sz w:val="20"/>
          <w:szCs w:val="20"/>
        </w:rPr>
        <w:t>Si anticipa, che in occasione del consolidamento dei dati del 2021 che verrà effettuato a ottobre 2022, i valori di import di gas naturale allo stato gassoso saranno rivisti applicando la</w:t>
      </w:r>
      <w:r w:rsidR="002E25EC" w:rsidRPr="00C35C46">
        <w:rPr>
          <w:rFonts w:ascii="Arial" w:hAnsi="Arial" w:cs="Arial"/>
          <w:b w:val="0"/>
          <w:sz w:val="20"/>
          <w:szCs w:val="20"/>
        </w:rPr>
        <w:t xml:space="preserve"> nuova procedura. In tale occas</w:t>
      </w:r>
      <w:r w:rsidRPr="00C35C46">
        <w:rPr>
          <w:rFonts w:ascii="Arial" w:hAnsi="Arial" w:cs="Arial"/>
          <w:b w:val="0"/>
          <w:sz w:val="20"/>
          <w:szCs w:val="20"/>
        </w:rPr>
        <w:t>ione, verranno contestualmente rivisti anche i dati dei primi tre mesi del 2022.</w:t>
      </w:r>
    </w:p>
    <w:p w14:paraId="307EE152" w14:textId="77777777" w:rsidR="00A651E1" w:rsidRPr="00B77592" w:rsidRDefault="00A651E1" w:rsidP="00F211F7">
      <w:pPr>
        <w:pStyle w:val="Corpotesto"/>
        <w:spacing w:line="240" w:lineRule="auto"/>
        <w:rPr>
          <w:rFonts w:ascii="Arial" w:hAnsi="Arial" w:cs="Arial"/>
          <w:sz w:val="20"/>
          <w:szCs w:val="20"/>
          <w:lang w:eastAsia="ar-SA"/>
        </w:rPr>
      </w:pPr>
    </w:p>
    <w:p w14:paraId="0E96E4D4" w14:textId="77777777" w:rsidR="00A651E1" w:rsidRPr="003F5831" w:rsidRDefault="00E777A0" w:rsidP="00BD1526">
      <w:pPr>
        <w:pStyle w:val="A"/>
        <w:spacing w:after="120"/>
        <w:outlineLvl w:val="0"/>
        <w:rPr>
          <w:rFonts w:ascii="Arial" w:hAnsi="Arial" w:cs="Arial"/>
          <w:sz w:val="22"/>
          <w:szCs w:val="20"/>
        </w:rPr>
      </w:pPr>
      <w:r w:rsidRPr="003F5831">
        <w:rPr>
          <w:rFonts w:ascii="Arial" w:hAnsi="Arial" w:cs="Arial"/>
          <w:sz w:val="22"/>
          <w:szCs w:val="20"/>
        </w:rPr>
        <w:t>Popolazione di riferimento e classificazioni utilizzate</w:t>
      </w:r>
    </w:p>
    <w:p w14:paraId="4DD54AEB" w14:textId="06AD1755" w:rsidR="00A651E1" w:rsidRPr="00B77592" w:rsidRDefault="00E777A0">
      <w:pPr>
        <w:spacing w:after="120"/>
        <w:jc w:val="both"/>
        <w:rPr>
          <w:rFonts w:ascii="Arial" w:hAnsi="Arial" w:cs="Arial"/>
          <w:sz w:val="20"/>
          <w:szCs w:val="20"/>
        </w:rPr>
      </w:pPr>
      <w:r w:rsidRPr="00B77592">
        <w:rPr>
          <w:rFonts w:ascii="Arial" w:hAnsi="Arial" w:cs="Arial"/>
          <w:sz w:val="20"/>
          <w:szCs w:val="20"/>
        </w:rPr>
        <w:t>L’oggetto dell’indagine sono tutte le merci a esclusione dell’oro monetario, del software personalizzato, degli strumenti di pagamento aventi corso legale e valori, delle merci destinate alla riparazione. Nel rispetto dei Regolamenti comunitari, gli scambi commerciali di beni con paesi extra U</w:t>
      </w:r>
      <w:r w:rsidR="00E52308">
        <w:rPr>
          <w:rFonts w:ascii="Arial" w:hAnsi="Arial" w:cs="Arial"/>
          <w:sz w:val="20"/>
          <w:szCs w:val="20"/>
        </w:rPr>
        <w:t>e</w:t>
      </w:r>
      <w:r w:rsidRPr="00B77592">
        <w:rPr>
          <w:rFonts w:ascii="Arial" w:hAnsi="Arial" w:cs="Arial"/>
          <w:sz w:val="20"/>
          <w:szCs w:val="20"/>
        </w:rPr>
        <w:t xml:space="preserve"> sono classificati secondo il paese di origine per le importazioni e il paese di destinazione per le esportazioni.</w:t>
      </w:r>
    </w:p>
    <w:p w14:paraId="0AA7F22A" w14:textId="77777777" w:rsidR="00A651E1" w:rsidRPr="00B77592" w:rsidRDefault="00E777A0">
      <w:pPr>
        <w:spacing w:after="120"/>
        <w:jc w:val="both"/>
        <w:rPr>
          <w:rFonts w:ascii="Arial" w:hAnsi="Arial" w:cs="Arial"/>
          <w:sz w:val="20"/>
          <w:szCs w:val="20"/>
        </w:rPr>
      </w:pPr>
      <w:r w:rsidRPr="00B77592">
        <w:rPr>
          <w:rFonts w:ascii="Arial" w:hAnsi="Arial" w:cs="Arial"/>
          <w:sz w:val="20"/>
          <w:szCs w:val="20"/>
        </w:rPr>
        <w:t xml:space="preserve">I dati diffusi mensilmente riguardano i valori monetari, le variazioni tendenziali e quelle congiunturali relativi alle variabili che descrivono i flussi commerciali con l’estero. </w:t>
      </w:r>
    </w:p>
    <w:p w14:paraId="6801F219" w14:textId="77777777" w:rsidR="00A651E1" w:rsidRPr="00B77592" w:rsidRDefault="00E777A0">
      <w:pPr>
        <w:spacing w:after="120"/>
        <w:jc w:val="both"/>
        <w:rPr>
          <w:rFonts w:ascii="Arial" w:hAnsi="Arial" w:cs="Arial"/>
          <w:sz w:val="20"/>
          <w:szCs w:val="20"/>
        </w:rPr>
      </w:pPr>
      <w:r w:rsidRPr="00B77592">
        <w:rPr>
          <w:rFonts w:ascii="Arial" w:hAnsi="Arial" w:cs="Arial"/>
          <w:sz w:val="20"/>
          <w:szCs w:val="20"/>
        </w:rPr>
        <w:t>I valori monetari a prezzi correnti si riferiscono alle importazioni ed esportazioni di merci rilevate o stimate in termini di valore statistico (Cif, Fob).</w:t>
      </w:r>
    </w:p>
    <w:p w14:paraId="20901D4F" w14:textId="65874FA0" w:rsidR="00A651E1" w:rsidRPr="00B77592" w:rsidRDefault="00E777A0">
      <w:pPr>
        <w:pStyle w:val="A"/>
        <w:spacing w:after="120"/>
        <w:rPr>
          <w:rFonts w:ascii="Arial" w:hAnsi="Arial" w:cs="Arial"/>
          <w:b w:val="0"/>
          <w:sz w:val="20"/>
          <w:szCs w:val="20"/>
        </w:rPr>
      </w:pPr>
      <w:r w:rsidRPr="00B77592">
        <w:rPr>
          <w:rFonts w:ascii="Arial" w:hAnsi="Arial" w:cs="Arial"/>
          <w:b w:val="0"/>
          <w:sz w:val="20"/>
          <w:szCs w:val="20"/>
        </w:rPr>
        <w:t>Le principali classificazioni utilizzate nella produzione delle statistiche del commercio con l’estero sono definite a partire dall</w:t>
      </w:r>
      <w:r w:rsidR="002925B2">
        <w:rPr>
          <w:rFonts w:ascii="Arial" w:hAnsi="Arial" w:cs="Arial"/>
          <w:b w:val="0"/>
          <w:sz w:val="20"/>
          <w:szCs w:val="20"/>
        </w:rPr>
        <w:t>e</w:t>
      </w:r>
      <w:r w:rsidRPr="00B77592">
        <w:rPr>
          <w:rFonts w:ascii="Arial" w:hAnsi="Arial" w:cs="Arial"/>
          <w:b w:val="0"/>
          <w:sz w:val="20"/>
          <w:szCs w:val="20"/>
        </w:rPr>
        <w:t xml:space="preserve"> informazioni elementari riguardanti la tipologia delle merci, il paese statistico e la provincia di provenienza o destinazione delle merci. La Nomenclatura Combinata è la classificazione utilizzata per l’indagine dei prodotti a livello comunitario. Definita e aggiornata annualmente dall’Unione Europea, desume la sua codifica dal Sistema Armonizzato (SA). </w:t>
      </w:r>
    </w:p>
    <w:p w14:paraId="53C1265B" w14:textId="3E5BFB4B" w:rsidR="00A651E1" w:rsidRPr="00B77592" w:rsidRDefault="00E777A0">
      <w:pPr>
        <w:pStyle w:val="A"/>
        <w:spacing w:after="120"/>
        <w:rPr>
          <w:rFonts w:ascii="Arial" w:hAnsi="Arial" w:cs="Arial"/>
          <w:b w:val="0"/>
          <w:sz w:val="20"/>
          <w:szCs w:val="20"/>
        </w:rPr>
      </w:pPr>
      <w:r w:rsidRPr="00B77592">
        <w:rPr>
          <w:rFonts w:ascii="Arial" w:hAnsi="Arial" w:cs="Arial"/>
          <w:b w:val="0"/>
          <w:sz w:val="20"/>
          <w:szCs w:val="20"/>
        </w:rPr>
        <w:t>La classificazione utilizzata per definire le aree geografiche e le aree geoeconomiche di appartenenza dei paesi è la Geonomenclatura dei paesi e territori per le statistiche del commercio estero dell’Unione e del commercio tra i suoi Stati membri, stabilita da Eurostat.</w:t>
      </w:r>
    </w:p>
    <w:p w14:paraId="33E955EA" w14:textId="77777777" w:rsidR="00A651E1" w:rsidRPr="00B77592" w:rsidRDefault="00E777A0">
      <w:pPr>
        <w:spacing w:after="120"/>
        <w:jc w:val="both"/>
        <w:rPr>
          <w:rFonts w:ascii="Arial" w:hAnsi="Arial" w:cs="Arial"/>
          <w:sz w:val="20"/>
          <w:szCs w:val="20"/>
        </w:rPr>
      </w:pPr>
      <w:r w:rsidRPr="00B77592">
        <w:rPr>
          <w:rFonts w:ascii="Arial" w:hAnsi="Arial" w:cs="Arial"/>
          <w:sz w:val="20"/>
          <w:szCs w:val="20"/>
        </w:rPr>
        <w:t>A partire da gennaio 2009 i raggruppamenti di merci dell’interscambio commerciale sono definiti sulla base della classificazione delle attività economiche Ateco 2007 opportunamente adattata alle statistiche sul commercio estero. L’Ateco 2007, infatti, costituisce la versione nazionale della nomenclatura europea Nace rev. 2, pubblicata sull’Official Journal il 2 dicembre 2006 (Regolamento (CE) n.1893/2006 del P</w:t>
      </w:r>
      <w:r w:rsidR="000F72C6">
        <w:rPr>
          <w:rFonts w:ascii="Arial" w:hAnsi="Arial" w:cs="Arial"/>
          <w:sz w:val="20"/>
          <w:szCs w:val="20"/>
        </w:rPr>
        <w:t>arlamento europeo</w:t>
      </w:r>
      <w:r w:rsidRPr="00B77592">
        <w:rPr>
          <w:rFonts w:ascii="Arial" w:hAnsi="Arial" w:cs="Arial"/>
          <w:sz w:val="20"/>
          <w:szCs w:val="20"/>
        </w:rPr>
        <w:t xml:space="preserve"> e del Consiglio del 20/12/2006), con la quale coincide fino alla quarta cifra.</w:t>
      </w:r>
    </w:p>
    <w:p w14:paraId="1991B838" w14:textId="77777777" w:rsidR="00A651E1" w:rsidRPr="00B77592" w:rsidRDefault="00E777A0">
      <w:pPr>
        <w:spacing w:after="120"/>
        <w:jc w:val="both"/>
        <w:rPr>
          <w:rFonts w:ascii="Arial" w:hAnsi="Arial" w:cs="Arial"/>
          <w:sz w:val="20"/>
          <w:szCs w:val="20"/>
        </w:rPr>
      </w:pPr>
      <w:r w:rsidRPr="00B77592">
        <w:rPr>
          <w:rFonts w:ascii="Arial" w:hAnsi="Arial" w:cs="Arial"/>
          <w:sz w:val="20"/>
          <w:szCs w:val="20"/>
        </w:rPr>
        <w:t>Ai fini di fornire le informazioni a un livello di dettaglio idoneo ad analizzare l’interscambio commerciale italiano, i dati sono rilasciati secondo un’opportuna disaggregazione intermedia delle sezioni.</w:t>
      </w:r>
    </w:p>
    <w:p w14:paraId="0654F764" w14:textId="77777777" w:rsidR="00A651E1" w:rsidRPr="00B77592" w:rsidRDefault="00E777A0">
      <w:pPr>
        <w:pStyle w:val="A"/>
        <w:spacing w:after="120"/>
        <w:rPr>
          <w:rFonts w:ascii="Arial" w:hAnsi="Arial" w:cs="Arial"/>
          <w:b w:val="0"/>
          <w:sz w:val="20"/>
          <w:szCs w:val="20"/>
        </w:rPr>
      </w:pPr>
      <w:r w:rsidRPr="00B77592">
        <w:rPr>
          <w:rFonts w:ascii="Arial" w:hAnsi="Arial" w:cs="Arial"/>
          <w:b w:val="0"/>
          <w:sz w:val="20"/>
          <w:szCs w:val="20"/>
        </w:rPr>
        <w:t>Nel corso dell’anno 2003, l’Istat ha modificato, per i dati di commercio estero così come per tutti gli indicatori congiunturali dell’industria, la classificazione delle aggregazioni per destinazione economica dei prodotti “Raggruppamenti Principali di Industrie (RPI)”, definiti dal Regolamento della Commissione n.586/2001 (G.U. delle Comunità europee del 27/03/2001). A seguito dell'entrata in vigore della Nace rev. 2 tale Regolamento è stato modificato dal Regolamento (CE) n.656/2007 del 14/06/2007.</w:t>
      </w:r>
    </w:p>
    <w:p w14:paraId="04A36FE7" w14:textId="77777777" w:rsidR="00A651E1" w:rsidRPr="00B77592" w:rsidRDefault="00E777A0">
      <w:pPr>
        <w:pStyle w:val="A"/>
        <w:spacing w:after="120"/>
        <w:rPr>
          <w:rFonts w:ascii="Arial" w:hAnsi="Arial" w:cs="Arial"/>
          <w:b w:val="0"/>
          <w:sz w:val="20"/>
          <w:szCs w:val="20"/>
        </w:rPr>
      </w:pPr>
      <w:r w:rsidRPr="00B77592">
        <w:rPr>
          <w:rFonts w:ascii="Arial" w:hAnsi="Arial" w:cs="Arial"/>
          <w:b w:val="0"/>
          <w:sz w:val="20"/>
          <w:szCs w:val="20"/>
        </w:rPr>
        <w:t>I Raggruppamenti Principali di Industrie sono:</w:t>
      </w:r>
    </w:p>
    <w:p w14:paraId="0D08A9B8" w14:textId="77777777" w:rsidR="00A651E1" w:rsidRPr="00B77592" w:rsidRDefault="00E777A0">
      <w:pPr>
        <w:pStyle w:val="A"/>
        <w:numPr>
          <w:ilvl w:val="0"/>
          <w:numId w:val="21"/>
        </w:numPr>
        <w:tabs>
          <w:tab w:val="clear" w:pos="2534"/>
          <w:tab w:val="num" w:pos="567"/>
        </w:tabs>
        <w:ind w:left="567" w:hanging="567"/>
        <w:rPr>
          <w:rFonts w:ascii="Arial" w:hAnsi="Arial" w:cs="Arial"/>
          <w:b w:val="0"/>
          <w:sz w:val="20"/>
          <w:szCs w:val="20"/>
        </w:rPr>
      </w:pPr>
      <w:r w:rsidRPr="00B77592">
        <w:rPr>
          <w:rFonts w:ascii="Arial" w:hAnsi="Arial" w:cs="Arial"/>
          <w:b w:val="0"/>
          <w:sz w:val="20"/>
          <w:szCs w:val="20"/>
        </w:rPr>
        <w:t>Beni di consumo durevoli;</w:t>
      </w:r>
    </w:p>
    <w:p w14:paraId="20639F2F" w14:textId="77777777" w:rsidR="00A651E1" w:rsidRPr="00B77592" w:rsidRDefault="00E777A0">
      <w:pPr>
        <w:pStyle w:val="A"/>
        <w:numPr>
          <w:ilvl w:val="0"/>
          <w:numId w:val="21"/>
        </w:numPr>
        <w:tabs>
          <w:tab w:val="clear" w:pos="2534"/>
          <w:tab w:val="num" w:pos="567"/>
        </w:tabs>
        <w:ind w:left="567" w:hanging="567"/>
        <w:rPr>
          <w:rFonts w:ascii="Arial" w:hAnsi="Arial" w:cs="Arial"/>
          <w:b w:val="0"/>
          <w:sz w:val="20"/>
          <w:szCs w:val="20"/>
        </w:rPr>
      </w:pPr>
      <w:r w:rsidRPr="00B77592">
        <w:rPr>
          <w:rFonts w:ascii="Arial" w:hAnsi="Arial" w:cs="Arial"/>
          <w:b w:val="0"/>
          <w:sz w:val="20"/>
          <w:szCs w:val="20"/>
        </w:rPr>
        <w:t>Beni di consumo non durevoli;</w:t>
      </w:r>
    </w:p>
    <w:p w14:paraId="28DE8F6A" w14:textId="77777777" w:rsidR="00A651E1" w:rsidRPr="00B77592" w:rsidRDefault="00E777A0">
      <w:pPr>
        <w:pStyle w:val="A"/>
        <w:numPr>
          <w:ilvl w:val="0"/>
          <w:numId w:val="21"/>
        </w:numPr>
        <w:tabs>
          <w:tab w:val="clear" w:pos="2534"/>
          <w:tab w:val="num" w:pos="567"/>
        </w:tabs>
        <w:ind w:left="567" w:hanging="567"/>
        <w:rPr>
          <w:rFonts w:ascii="Arial" w:hAnsi="Arial" w:cs="Arial"/>
          <w:b w:val="0"/>
          <w:sz w:val="20"/>
          <w:szCs w:val="20"/>
        </w:rPr>
      </w:pPr>
      <w:r w:rsidRPr="00B77592">
        <w:rPr>
          <w:rFonts w:ascii="Arial" w:hAnsi="Arial" w:cs="Arial"/>
          <w:b w:val="0"/>
          <w:sz w:val="20"/>
          <w:szCs w:val="20"/>
        </w:rPr>
        <w:t>Beni strumentali;</w:t>
      </w:r>
    </w:p>
    <w:p w14:paraId="7D3097F7" w14:textId="77777777" w:rsidR="00A651E1" w:rsidRPr="00B77592" w:rsidRDefault="00E777A0">
      <w:pPr>
        <w:pStyle w:val="A"/>
        <w:numPr>
          <w:ilvl w:val="0"/>
          <w:numId w:val="21"/>
        </w:numPr>
        <w:tabs>
          <w:tab w:val="clear" w:pos="2534"/>
          <w:tab w:val="num" w:pos="567"/>
        </w:tabs>
        <w:ind w:left="567" w:hanging="567"/>
        <w:rPr>
          <w:rFonts w:ascii="Arial" w:hAnsi="Arial" w:cs="Arial"/>
          <w:b w:val="0"/>
          <w:sz w:val="20"/>
          <w:szCs w:val="20"/>
        </w:rPr>
      </w:pPr>
      <w:r w:rsidRPr="00B77592">
        <w:rPr>
          <w:rFonts w:ascii="Arial" w:hAnsi="Arial" w:cs="Arial"/>
          <w:b w:val="0"/>
          <w:sz w:val="20"/>
          <w:szCs w:val="20"/>
        </w:rPr>
        <w:t>Beni intermedi;</w:t>
      </w:r>
    </w:p>
    <w:p w14:paraId="4C42E35A" w14:textId="77777777" w:rsidR="00A651E1" w:rsidRPr="00B77592" w:rsidRDefault="00E777A0">
      <w:pPr>
        <w:pStyle w:val="A"/>
        <w:numPr>
          <w:ilvl w:val="0"/>
          <w:numId w:val="21"/>
        </w:numPr>
        <w:tabs>
          <w:tab w:val="clear" w:pos="2534"/>
          <w:tab w:val="num" w:pos="567"/>
        </w:tabs>
        <w:spacing w:after="120"/>
        <w:ind w:left="567" w:hanging="567"/>
        <w:rPr>
          <w:rFonts w:ascii="Arial" w:hAnsi="Arial" w:cs="Arial"/>
          <w:b w:val="0"/>
          <w:sz w:val="20"/>
          <w:szCs w:val="20"/>
        </w:rPr>
      </w:pPr>
      <w:r w:rsidRPr="00B77592">
        <w:rPr>
          <w:rFonts w:ascii="Arial" w:hAnsi="Arial" w:cs="Arial"/>
          <w:b w:val="0"/>
          <w:sz w:val="20"/>
          <w:szCs w:val="20"/>
        </w:rPr>
        <w:t>Energia.</w:t>
      </w:r>
    </w:p>
    <w:p w14:paraId="3D18E104" w14:textId="77777777" w:rsidR="00A651E1" w:rsidRPr="00B77592" w:rsidRDefault="00E777A0" w:rsidP="00F211F7">
      <w:pPr>
        <w:pStyle w:val="Corpotesto"/>
        <w:spacing w:after="240"/>
        <w:rPr>
          <w:rFonts w:ascii="Arial" w:hAnsi="Arial" w:cs="Arial"/>
          <w:b/>
          <w:sz w:val="20"/>
          <w:szCs w:val="20"/>
        </w:rPr>
      </w:pPr>
      <w:r w:rsidRPr="00B77592">
        <w:rPr>
          <w:rFonts w:ascii="Arial" w:hAnsi="Arial" w:cs="Arial"/>
          <w:sz w:val="20"/>
          <w:szCs w:val="20"/>
        </w:rPr>
        <w:t xml:space="preserve">La classificazione RPI è stata adattata alle statistiche sul commercio con l’estero. </w:t>
      </w:r>
    </w:p>
    <w:p w14:paraId="7E7D30D0" w14:textId="77777777" w:rsidR="00A651E1" w:rsidRPr="003F5831" w:rsidRDefault="00E777A0" w:rsidP="006018AD">
      <w:pPr>
        <w:spacing w:before="120" w:after="120"/>
        <w:jc w:val="both"/>
        <w:outlineLvl w:val="0"/>
        <w:rPr>
          <w:rFonts w:ascii="Arial" w:hAnsi="Arial" w:cs="Arial"/>
          <w:b/>
          <w:sz w:val="22"/>
          <w:szCs w:val="20"/>
        </w:rPr>
      </w:pPr>
      <w:r w:rsidRPr="003F5831">
        <w:rPr>
          <w:rFonts w:ascii="Arial" w:hAnsi="Arial" w:cs="Arial"/>
          <w:b/>
          <w:sz w:val="22"/>
          <w:szCs w:val="20"/>
        </w:rPr>
        <w:t>Strumenti di elaborazione dei dati</w:t>
      </w:r>
    </w:p>
    <w:p w14:paraId="35A7B6CB" w14:textId="77777777" w:rsidR="009C2B9D" w:rsidRPr="00B77592" w:rsidRDefault="009C2B9D" w:rsidP="009C2B9D">
      <w:pPr>
        <w:pStyle w:val="A"/>
        <w:spacing w:after="120"/>
        <w:rPr>
          <w:rFonts w:ascii="Arial" w:hAnsi="Arial" w:cs="Arial"/>
          <w:b w:val="0"/>
          <w:sz w:val="20"/>
          <w:szCs w:val="20"/>
        </w:rPr>
      </w:pPr>
      <w:r w:rsidRPr="00B77592">
        <w:rPr>
          <w:rFonts w:ascii="Arial" w:hAnsi="Arial" w:cs="Arial"/>
          <w:b w:val="0"/>
          <w:sz w:val="20"/>
          <w:szCs w:val="20"/>
        </w:rPr>
        <w:t>Oltre ai dati grezzi, vengono pubblicati anche i dati depurati d</w:t>
      </w:r>
      <w:r>
        <w:rPr>
          <w:rFonts w:ascii="Arial" w:hAnsi="Arial" w:cs="Arial"/>
          <w:b w:val="0"/>
          <w:sz w:val="20"/>
          <w:szCs w:val="20"/>
        </w:rPr>
        <w:t>a</w:t>
      </w:r>
      <w:r w:rsidRPr="00B77592">
        <w:rPr>
          <w:rFonts w:ascii="Arial" w:hAnsi="Arial" w:cs="Arial"/>
          <w:b w:val="0"/>
          <w:sz w:val="20"/>
          <w:szCs w:val="20"/>
        </w:rPr>
        <w:t>lla componente stagionale e dagli effetti di calendario. Tali dati sono ottenuti attraverso la procedura TRAMO-SEATS per Linux (versione di febbraio 2010).</w:t>
      </w:r>
    </w:p>
    <w:p w14:paraId="7E1C54F8" w14:textId="05D5D224" w:rsidR="009C2B9D" w:rsidRDefault="009C2B9D" w:rsidP="009C2B9D">
      <w:pPr>
        <w:pStyle w:val="A"/>
        <w:spacing w:after="120"/>
        <w:rPr>
          <w:rFonts w:ascii="Arial" w:hAnsi="Arial" w:cs="Arial"/>
          <w:b w:val="0"/>
          <w:sz w:val="20"/>
          <w:szCs w:val="20"/>
        </w:rPr>
      </w:pPr>
      <w:r w:rsidRPr="00B77592">
        <w:rPr>
          <w:rFonts w:ascii="Arial" w:hAnsi="Arial" w:cs="Arial"/>
          <w:b w:val="0"/>
          <w:sz w:val="20"/>
          <w:szCs w:val="20"/>
        </w:rPr>
        <w:t>A partire dai dati mensili del 2012 sono state introdotte alcune sostanziali innovazioni di processo e di prodotto nelle procedure di destagionalizzazione finalizzate a migliorare l’accuratezza delle stime prodotte e a fornire agli utenti un più ampio dettaglio degli indicatori statistici per l’analisi congiunturale del commercio con l’estero, rendendo disponibili nuove serie destagionalizzate a livello di raggruppamenti principali di industrie (RPI).</w:t>
      </w:r>
    </w:p>
    <w:p w14:paraId="1FF4BC63" w14:textId="77777777" w:rsidR="009C2B9D" w:rsidRDefault="009C2B9D" w:rsidP="009C2B9D">
      <w:pPr>
        <w:pStyle w:val="A"/>
        <w:spacing w:after="120"/>
        <w:rPr>
          <w:rFonts w:ascii="Arial" w:hAnsi="Arial" w:cs="Arial"/>
          <w:b w:val="0"/>
          <w:sz w:val="20"/>
          <w:szCs w:val="20"/>
        </w:rPr>
      </w:pPr>
      <w:r w:rsidRPr="00B77592">
        <w:rPr>
          <w:rFonts w:ascii="Arial" w:hAnsi="Arial" w:cs="Arial"/>
          <w:b w:val="0"/>
          <w:sz w:val="20"/>
          <w:szCs w:val="20"/>
        </w:rPr>
        <w:t>I dati destagionalizzati sono soggetti a revisione ogni mese. I modelli utilizzati vengono verificati, in occasione delle revisioni delle serie grezze. Le specifiche utilizzate dall'Istat nell'ambito della procedura TRAMO-SEATS sono disponibili per gli utenti che ne facciano richiesta per proprie finalità di analisi.</w:t>
      </w:r>
    </w:p>
    <w:p w14:paraId="3263422B" w14:textId="77777777" w:rsidR="00F211F7" w:rsidRDefault="00F211F7" w:rsidP="009C2B9D">
      <w:pPr>
        <w:pStyle w:val="A"/>
        <w:spacing w:after="120"/>
        <w:rPr>
          <w:rFonts w:ascii="Arial" w:hAnsi="Arial" w:cs="Arial"/>
          <w:b w:val="0"/>
          <w:sz w:val="20"/>
          <w:szCs w:val="20"/>
        </w:rPr>
      </w:pPr>
    </w:p>
    <w:p w14:paraId="0AEBD30C" w14:textId="535D03AF" w:rsidR="009C2B9D" w:rsidRPr="004A6591" w:rsidRDefault="009C2B9D" w:rsidP="009C2B9D">
      <w:pPr>
        <w:pStyle w:val="A"/>
        <w:spacing w:after="120"/>
        <w:rPr>
          <w:rFonts w:ascii="Arial" w:hAnsi="Arial" w:cs="Arial"/>
          <w:b w:val="0"/>
          <w:sz w:val="20"/>
          <w:szCs w:val="20"/>
        </w:rPr>
      </w:pPr>
      <w:r w:rsidRPr="004A6591">
        <w:rPr>
          <w:rFonts w:ascii="Arial" w:hAnsi="Arial" w:cs="Arial"/>
          <w:b w:val="0"/>
          <w:sz w:val="20"/>
          <w:szCs w:val="20"/>
        </w:rPr>
        <w:t xml:space="preserve">Al fine di gestire le discontinuità prodotte dalla crisi Covid-19 sulle serie storiche da marzo 2020 è stata operata una revisione dei modelli di destagionalizzazione, coerentemente alle linee guida metodologiche indicate da Eurostat, disponibili alla pagina web </w:t>
      </w:r>
      <w:hyperlink r:id="rId29" w:history="1">
        <w:r w:rsidRPr="004A6591">
          <w:rPr>
            <w:rStyle w:val="Collegamentoipertestuale"/>
            <w:rFonts w:ascii="Arial" w:hAnsi="Arial" w:cs="Arial"/>
            <w:b w:val="0"/>
            <w:sz w:val="20"/>
            <w:szCs w:val="20"/>
          </w:rPr>
          <w:t>Covid-19: Support for statisticians</w:t>
        </w:r>
      </w:hyperlink>
      <w:r w:rsidRPr="004A6591">
        <w:rPr>
          <w:rFonts w:ascii="Arial" w:hAnsi="Arial" w:cs="Arial"/>
          <w:b w:val="0"/>
          <w:sz w:val="20"/>
          <w:szCs w:val="20"/>
        </w:rPr>
        <w:t xml:space="preserve">. </w:t>
      </w:r>
    </w:p>
    <w:p w14:paraId="76F3B93B" w14:textId="36992F0B" w:rsidR="00A3250C" w:rsidRDefault="00A3250C" w:rsidP="0048020F">
      <w:pPr>
        <w:pStyle w:val="A"/>
        <w:spacing w:after="120"/>
        <w:rPr>
          <w:rFonts w:ascii="Arial" w:hAnsi="Arial" w:cs="Arial"/>
          <w:b w:val="0"/>
          <w:sz w:val="20"/>
          <w:szCs w:val="20"/>
        </w:rPr>
      </w:pPr>
      <w:r w:rsidRPr="00AF02B8">
        <w:rPr>
          <w:rFonts w:ascii="Arial" w:hAnsi="Arial" w:cs="Arial"/>
          <w:b w:val="0"/>
          <w:sz w:val="20"/>
          <w:szCs w:val="20"/>
        </w:rPr>
        <w:t>Pertanto, nelle serie storiche si è tenuto conto – a partire da marzo 2020 – dell’ampiezza inusuale delle variazioni dei flussi commerciali extra comunitari inserendo nei modelli statistici di destagionalizzazione, ove statisticamente significativi, regressori aggiuntivi</w:t>
      </w:r>
      <w:r w:rsidR="00096F61" w:rsidRPr="00AF02B8">
        <w:rPr>
          <w:rFonts w:ascii="Arial" w:hAnsi="Arial" w:cs="Arial"/>
          <w:b w:val="0"/>
          <w:sz w:val="20"/>
          <w:szCs w:val="20"/>
        </w:rPr>
        <w:t>. Non appena le informazioni disponibili lo consentiranno, si procederà alla revisione dei modelli</w:t>
      </w:r>
      <w:r w:rsidRPr="00AF02B8">
        <w:rPr>
          <w:rFonts w:ascii="Arial" w:hAnsi="Arial" w:cs="Arial"/>
          <w:b w:val="0"/>
          <w:sz w:val="20"/>
          <w:szCs w:val="20"/>
        </w:rPr>
        <w:t>.</w:t>
      </w:r>
    </w:p>
    <w:p w14:paraId="7658ACF3" w14:textId="77777777" w:rsidR="006E372E" w:rsidRDefault="006E372E" w:rsidP="00091C8D">
      <w:pPr>
        <w:jc w:val="both"/>
        <w:outlineLvl w:val="0"/>
        <w:rPr>
          <w:rFonts w:ascii="Arial" w:hAnsi="Arial" w:cs="Arial"/>
          <w:b/>
          <w:sz w:val="22"/>
          <w:szCs w:val="20"/>
        </w:rPr>
      </w:pPr>
    </w:p>
    <w:p w14:paraId="071F9F71" w14:textId="53A5DA06" w:rsidR="00A651E1" w:rsidRPr="003F5831" w:rsidRDefault="00E777A0" w:rsidP="00BD1526">
      <w:pPr>
        <w:spacing w:after="120"/>
        <w:jc w:val="both"/>
        <w:outlineLvl w:val="0"/>
        <w:rPr>
          <w:rFonts w:ascii="Arial" w:hAnsi="Arial" w:cs="Arial"/>
          <w:b/>
          <w:sz w:val="22"/>
          <w:szCs w:val="20"/>
        </w:rPr>
      </w:pPr>
      <w:r w:rsidRPr="003F5831">
        <w:rPr>
          <w:rFonts w:ascii="Arial" w:hAnsi="Arial" w:cs="Arial"/>
          <w:b/>
          <w:sz w:val="22"/>
          <w:szCs w:val="20"/>
        </w:rPr>
        <w:t>Tempestività nel rilascio e revisione dei dati</w:t>
      </w:r>
    </w:p>
    <w:p w14:paraId="76072F0E" w14:textId="31BCED04" w:rsidR="006B4B70" w:rsidRDefault="00E777A0" w:rsidP="009C2B9D">
      <w:pPr>
        <w:spacing w:after="120"/>
        <w:jc w:val="both"/>
        <w:rPr>
          <w:rFonts w:ascii="Arial" w:hAnsi="Arial" w:cs="Arial"/>
          <w:sz w:val="20"/>
          <w:szCs w:val="20"/>
        </w:rPr>
      </w:pPr>
      <w:r w:rsidRPr="00B77592">
        <w:rPr>
          <w:rFonts w:ascii="Arial" w:hAnsi="Arial" w:cs="Arial"/>
          <w:sz w:val="20"/>
          <w:szCs w:val="20"/>
        </w:rPr>
        <w:t>I dati sono diffusi a circa 25 giorni dal mese di riferimento.</w:t>
      </w:r>
    </w:p>
    <w:p w14:paraId="372CB171" w14:textId="35937BF5" w:rsidR="009C2B9D" w:rsidRDefault="00E777A0" w:rsidP="009C2B9D">
      <w:pPr>
        <w:spacing w:after="120"/>
        <w:jc w:val="both"/>
        <w:rPr>
          <w:rFonts w:ascii="Arial" w:hAnsi="Arial" w:cs="Arial"/>
          <w:sz w:val="20"/>
          <w:szCs w:val="20"/>
          <w:highlight w:val="yellow"/>
        </w:rPr>
      </w:pPr>
      <w:r w:rsidRPr="00B77592">
        <w:rPr>
          <w:rFonts w:ascii="Arial" w:hAnsi="Arial" w:cs="Arial"/>
          <w:sz w:val="20"/>
          <w:szCs w:val="20"/>
        </w:rPr>
        <w:t xml:space="preserve">Al momento della prima pubblicazione, i dati sono di natura provvisoria e sono soggetti a una prima revisione nel mese successivo, al fine di recepire ulteriori informazioni che si rendono disponibili successivamente alla loro diffusione, per </w:t>
      </w:r>
      <w:r w:rsidR="000F72C6">
        <w:rPr>
          <w:rFonts w:ascii="Arial" w:hAnsi="Arial" w:cs="Arial"/>
          <w:sz w:val="20"/>
          <w:szCs w:val="20"/>
        </w:rPr>
        <w:t xml:space="preserve">poi </w:t>
      </w:r>
      <w:r w:rsidRPr="00B77592">
        <w:rPr>
          <w:rFonts w:ascii="Arial" w:hAnsi="Arial" w:cs="Arial"/>
          <w:sz w:val="20"/>
          <w:szCs w:val="20"/>
        </w:rPr>
        <w:t xml:space="preserve">essere definitivamente consolidati nel mese di </w:t>
      </w:r>
      <w:r w:rsidR="002925B2">
        <w:rPr>
          <w:rFonts w:ascii="Arial" w:hAnsi="Arial" w:cs="Arial"/>
          <w:sz w:val="20"/>
          <w:szCs w:val="20"/>
        </w:rPr>
        <w:t>o</w:t>
      </w:r>
      <w:r w:rsidRPr="00B77592">
        <w:rPr>
          <w:rFonts w:ascii="Arial" w:hAnsi="Arial" w:cs="Arial"/>
          <w:sz w:val="20"/>
          <w:szCs w:val="20"/>
        </w:rPr>
        <w:t>ttobre dell’anno successivo.</w:t>
      </w:r>
      <w:r w:rsidR="00B544DA">
        <w:rPr>
          <w:rFonts w:ascii="Arial" w:hAnsi="Arial" w:cs="Arial"/>
          <w:sz w:val="20"/>
          <w:szCs w:val="20"/>
        </w:rPr>
        <w:t xml:space="preserve"> </w:t>
      </w:r>
    </w:p>
    <w:p w14:paraId="703F9124" w14:textId="553E7C47" w:rsidR="00635CD8" w:rsidRPr="00380D75" w:rsidRDefault="009C2B9D" w:rsidP="009C2B9D">
      <w:pPr>
        <w:spacing w:after="120"/>
        <w:jc w:val="both"/>
        <w:rPr>
          <w:rFonts w:ascii="Arial" w:hAnsi="Arial" w:cs="Arial"/>
          <w:sz w:val="20"/>
          <w:szCs w:val="20"/>
        </w:rPr>
      </w:pPr>
      <w:r w:rsidRPr="00380D75">
        <w:rPr>
          <w:rFonts w:ascii="Arial" w:hAnsi="Arial" w:cs="Arial"/>
          <w:sz w:val="20"/>
          <w:szCs w:val="20"/>
        </w:rPr>
        <w:t xml:space="preserve">Si ricorda che, al momento della prima pubblicazione, i dati del Regno Unito e quindi dell’area extra Ue27 non incorporano i dati </w:t>
      </w:r>
      <w:r w:rsidR="00635CD8" w:rsidRPr="00380D75">
        <w:rPr>
          <w:rFonts w:ascii="Arial" w:hAnsi="Arial" w:cs="Arial"/>
          <w:sz w:val="20"/>
          <w:szCs w:val="20"/>
        </w:rPr>
        <w:t xml:space="preserve">di interscambio con </w:t>
      </w:r>
      <w:r w:rsidRPr="00380D75">
        <w:rPr>
          <w:rFonts w:ascii="Arial" w:hAnsi="Arial" w:cs="Arial"/>
          <w:sz w:val="20"/>
          <w:szCs w:val="20"/>
        </w:rPr>
        <w:t>l’Irlanda del Nord.</w:t>
      </w:r>
      <w:r w:rsidR="00557121" w:rsidRPr="00380D75">
        <w:rPr>
          <w:rFonts w:ascii="Arial" w:hAnsi="Arial" w:cs="Arial"/>
          <w:sz w:val="20"/>
          <w:szCs w:val="20"/>
        </w:rPr>
        <w:t xml:space="preserve"> </w:t>
      </w:r>
      <w:r w:rsidR="00635CD8" w:rsidRPr="00380D75">
        <w:rPr>
          <w:rFonts w:ascii="Arial" w:hAnsi="Arial" w:cs="Arial"/>
          <w:sz w:val="20"/>
          <w:szCs w:val="20"/>
        </w:rPr>
        <w:t xml:space="preserve">Questi sono inclusi nei dati di commercio estero extra Ue in occasione della prima revisione nel mese successivo e </w:t>
      </w:r>
      <w:r w:rsidR="00380D75" w:rsidRPr="00380D75">
        <w:rPr>
          <w:rFonts w:ascii="Arial" w:hAnsi="Arial" w:cs="Arial"/>
          <w:sz w:val="20"/>
          <w:szCs w:val="20"/>
        </w:rPr>
        <w:t>sono diffusi</w:t>
      </w:r>
      <w:r w:rsidR="00635CD8" w:rsidRPr="00380D75">
        <w:rPr>
          <w:rFonts w:ascii="Arial" w:hAnsi="Arial" w:cs="Arial"/>
          <w:sz w:val="20"/>
          <w:szCs w:val="20"/>
        </w:rPr>
        <w:t xml:space="preserve"> </w:t>
      </w:r>
      <w:r w:rsidR="001A34E1" w:rsidRPr="00380D75">
        <w:rPr>
          <w:rFonts w:ascii="Arial" w:hAnsi="Arial" w:cs="Arial"/>
          <w:sz w:val="20"/>
          <w:szCs w:val="20"/>
        </w:rPr>
        <w:t>nel</w:t>
      </w:r>
      <w:r w:rsidR="00635CD8" w:rsidRPr="00380D75">
        <w:rPr>
          <w:rFonts w:ascii="Arial" w:hAnsi="Arial" w:cs="Arial"/>
          <w:sz w:val="20"/>
          <w:szCs w:val="20"/>
        </w:rPr>
        <w:t xml:space="preserve"> Comunicato Stampa Commercio con l’estero e prezzi all’import</w:t>
      </w:r>
      <w:r w:rsidR="00557121" w:rsidRPr="00380D75">
        <w:rPr>
          <w:rFonts w:ascii="Arial" w:hAnsi="Arial" w:cs="Arial"/>
          <w:sz w:val="20"/>
          <w:szCs w:val="20"/>
        </w:rPr>
        <w:t>.</w:t>
      </w:r>
    </w:p>
    <w:p w14:paraId="5BE5E8F4" w14:textId="77777777" w:rsidR="00A651E1" w:rsidRPr="00B77592" w:rsidRDefault="00E777A0">
      <w:pPr>
        <w:spacing w:after="120"/>
        <w:jc w:val="both"/>
        <w:rPr>
          <w:rFonts w:ascii="Arial" w:hAnsi="Arial" w:cs="Arial"/>
          <w:sz w:val="20"/>
          <w:szCs w:val="20"/>
        </w:rPr>
      </w:pPr>
      <w:r w:rsidRPr="00B77592">
        <w:rPr>
          <w:rFonts w:ascii="Arial" w:hAnsi="Arial" w:cs="Arial"/>
          <w:sz w:val="20"/>
          <w:szCs w:val="20"/>
        </w:rPr>
        <w:t xml:space="preserve">Per ulteriori informazioni sulle revisioni degli indicatori congiunturali, consultare la </w:t>
      </w:r>
      <w:hyperlink r:id="rId30" w:history="1">
        <w:r w:rsidRPr="00B77592">
          <w:rPr>
            <w:rStyle w:val="Collegamentoipertestuale"/>
            <w:rFonts w:ascii="Arial" w:hAnsi="Arial" w:cs="Arial"/>
            <w:sz w:val="20"/>
            <w:szCs w:val="20"/>
          </w:rPr>
          <w:t>sezione dedicata</w:t>
        </w:r>
      </w:hyperlink>
      <w:r w:rsidRPr="00B77592">
        <w:rPr>
          <w:rFonts w:ascii="Arial" w:hAnsi="Arial" w:cs="Arial"/>
          <w:sz w:val="20"/>
          <w:szCs w:val="20"/>
        </w:rPr>
        <w:t xml:space="preserve"> sul sito Istat. Fare riferimento, in particolare, alla </w:t>
      </w:r>
      <w:hyperlink r:id="rId31" w:history="1">
        <w:r w:rsidRPr="00B77592">
          <w:rPr>
            <w:rStyle w:val="Collegamentoipertestuale"/>
            <w:rFonts w:ascii="Arial" w:hAnsi="Arial" w:cs="Arial"/>
            <w:sz w:val="20"/>
            <w:szCs w:val="20"/>
          </w:rPr>
          <w:t>scheda</w:t>
        </w:r>
      </w:hyperlink>
      <w:r w:rsidRPr="00B77592">
        <w:rPr>
          <w:rFonts w:ascii="Arial" w:hAnsi="Arial" w:cs="Arial"/>
          <w:sz w:val="20"/>
          <w:szCs w:val="20"/>
        </w:rPr>
        <w:t xml:space="preserve"> relativa alle politiche di revisione degli indicatori del commercio estero extra UE.</w:t>
      </w:r>
    </w:p>
    <w:p w14:paraId="1E26B94D" w14:textId="77777777" w:rsidR="00A651E1" w:rsidRPr="00B77592" w:rsidRDefault="00A651E1" w:rsidP="00091C8D">
      <w:pPr>
        <w:jc w:val="both"/>
        <w:rPr>
          <w:rFonts w:ascii="Arial" w:hAnsi="Arial" w:cs="Arial"/>
          <w:sz w:val="20"/>
          <w:szCs w:val="20"/>
        </w:rPr>
      </w:pPr>
    </w:p>
    <w:p w14:paraId="4E9F7E96" w14:textId="77777777" w:rsidR="00A651E1" w:rsidRPr="003F5831" w:rsidRDefault="00E777A0" w:rsidP="00BD1526">
      <w:pPr>
        <w:spacing w:after="120"/>
        <w:jc w:val="both"/>
        <w:outlineLvl w:val="0"/>
        <w:rPr>
          <w:rFonts w:ascii="Arial" w:hAnsi="Arial" w:cs="Arial"/>
          <w:b/>
          <w:sz w:val="22"/>
          <w:szCs w:val="20"/>
        </w:rPr>
      </w:pPr>
      <w:r w:rsidRPr="003F5831">
        <w:rPr>
          <w:rFonts w:ascii="Arial" w:hAnsi="Arial" w:cs="Arial"/>
          <w:b/>
          <w:sz w:val="22"/>
          <w:szCs w:val="20"/>
        </w:rPr>
        <w:t>Riservatezza</w:t>
      </w:r>
    </w:p>
    <w:p w14:paraId="57C8227F" w14:textId="77777777" w:rsidR="00A651E1" w:rsidRPr="00B77592" w:rsidRDefault="00E777A0">
      <w:pPr>
        <w:spacing w:after="120"/>
        <w:jc w:val="both"/>
        <w:rPr>
          <w:rFonts w:ascii="Arial" w:hAnsi="Arial" w:cs="Arial"/>
          <w:sz w:val="20"/>
          <w:szCs w:val="20"/>
        </w:rPr>
      </w:pPr>
      <w:r w:rsidRPr="00B77592">
        <w:rPr>
          <w:rFonts w:ascii="Arial" w:hAnsi="Arial" w:cs="Arial"/>
          <w:sz w:val="20"/>
          <w:szCs w:val="20"/>
        </w:rPr>
        <w:t>A partire dall'anno 2000, l'Istat ha definito nuove procedure per il trattamento e la diffusione dei dati personali relativi agli scambi di merci con l'estero e ai soggetti importatori ed esportatori, compatibili con l'attuale quadro normativo nazionale (</w:t>
      </w:r>
      <w:r w:rsidR="000F72C6">
        <w:rPr>
          <w:rFonts w:ascii="Arial" w:hAnsi="Arial" w:cs="Arial"/>
          <w:sz w:val="20"/>
          <w:szCs w:val="20"/>
        </w:rPr>
        <w:t>L</w:t>
      </w:r>
      <w:r w:rsidRPr="00B77592">
        <w:rPr>
          <w:rFonts w:ascii="Arial" w:hAnsi="Arial" w:cs="Arial"/>
          <w:sz w:val="20"/>
          <w:szCs w:val="20"/>
        </w:rPr>
        <w:t>egge 675/96, D.lgs.322/89, 281/99 e 196/03).</w:t>
      </w:r>
    </w:p>
    <w:p w14:paraId="33E05275" w14:textId="77777777" w:rsidR="00A651E1" w:rsidRPr="00B77592" w:rsidRDefault="00E777A0">
      <w:pPr>
        <w:spacing w:after="120"/>
        <w:jc w:val="both"/>
        <w:rPr>
          <w:rFonts w:ascii="Arial" w:hAnsi="Arial" w:cs="Arial"/>
          <w:sz w:val="20"/>
          <w:szCs w:val="20"/>
        </w:rPr>
      </w:pPr>
      <w:r w:rsidRPr="00B77592">
        <w:rPr>
          <w:rFonts w:ascii="Arial" w:hAnsi="Arial" w:cs="Arial"/>
          <w:sz w:val="20"/>
          <w:szCs w:val="20"/>
        </w:rPr>
        <w:t xml:space="preserve">Per quanto riguarda le statistiche relative alle merci, l'Istat, oltre a tutelare le informazioni riservate secondo il principio della riservatezza passiva, ha definito un </w:t>
      </w:r>
      <w:hyperlink r:id="rId32" w:history="1">
        <w:r w:rsidRPr="00B77592">
          <w:rPr>
            <w:rFonts w:ascii="Arial" w:hAnsi="Arial" w:cs="Arial"/>
            <w:sz w:val="20"/>
            <w:szCs w:val="20"/>
          </w:rPr>
          <w:t>piano per la diffusione</w:t>
        </w:r>
      </w:hyperlink>
      <w:r w:rsidRPr="00B77592">
        <w:rPr>
          <w:rFonts w:ascii="Arial" w:hAnsi="Arial" w:cs="Arial"/>
          <w:sz w:val="20"/>
          <w:szCs w:val="20"/>
        </w:rPr>
        <w:t xml:space="preserve"> delle statistiche del commercio con l'estero. Tale piano disciplina le possibilità di incrocio tra variabili in funzione di particolari livelli di dettaglio merceologico, goegrafico o territoriale riducendo entro soglie ragionevoli il rischio di identificazione dei soggetti indirettamente interessati.</w:t>
      </w:r>
    </w:p>
    <w:p w14:paraId="3FC810B2" w14:textId="77777777" w:rsidR="00A651E1" w:rsidRPr="00B77592" w:rsidRDefault="00E777A0">
      <w:pPr>
        <w:spacing w:after="120"/>
        <w:jc w:val="both"/>
        <w:rPr>
          <w:rFonts w:ascii="Arial" w:hAnsi="Arial" w:cs="Arial"/>
          <w:sz w:val="20"/>
          <w:szCs w:val="20"/>
        </w:rPr>
      </w:pPr>
      <w:r w:rsidRPr="00B77592">
        <w:rPr>
          <w:rFonts w:ascii="Arial" w:hAnsi="Arial" w:cs="Arial"/>
          <w:sz w:val="20"/>
          <w:szCs w:val="20"/>
        </w:rPr>
        <w:t>In particolare, le procedure consentono di ridurre fortemente il rischio di identificazione, indiretta e accidentale, di dati confidenziali e nel contempo di limitare la perdita di informazione fornita agli utenti esterni.</w:t>
      </w:r>
    </w:p>
    <w:p w14:paraId="79354D5C" w14:textId="77777777" w:rsidR="00A651E1" w:rsidRPr="00B77592" w:rsidRDefault="00E777A0">
      <w:pPr>
        <w:spacing w:after="120"/>
        <w:jc w:val="both"/>
        <w:rPr>
          <w:rStyle w:val="Collegamentoipertestuale"/>
          <w:rFonts w:ascii="Arial" w:hAnsi="Arial" w:cs="Arial"/>
          <w:sz w:val="20"/>
          <w:szCs w:val="20"/>
        </w:rPr>
      </w:pPr>
      <w:r w:rsidRPr="00B77592">
        <w:rPr>
          <w:rFonts w:ascii="Arial" w:hAnsi="Arial" w:cs="Arial"/>
          <w:sz w:val="20"/>
          <w:szCs w:val="20"/>
        </w:rPr>
        <w:t xml:space="preserve">Ulteriori informazioni sulla tutela della riservatezza sono disponibili al seguente link </w:t>
      </w:r>
      <w:hyperlink r:id="rId33" w:history="1">
        <w:r w:rsidRPr="00B77592">
          <w:rPr>
            <w:rStyle w:val="Collegamentoipertestuale"/>
            <w:rFonts w:ascii="Arial" w:hAnsi="Arial" w:cs="Arial"/>
            <w:sz w:val="20"/>
            <w:szCs w:val="20"/>
          </w:rPr>
          <w:t>https://www.coeweb.istat.it/</w:t>
        </w:r>
      </w:hyperlink>
    </w:p>
    <w:p w14:paraId="0CE5B451" w14:textId="77777777" w:rsidR="00A651E1" w:rsidRPr="00B77592" w:rsidRDefault="00A651E1" w:rsidP="00091C8D">
      <w:pPr>
        <w:jc w:val="both"/>
        <w:rPr>
          <w:rStyle w:val="Collegamentoipertestuale"/>
          <w:rFonts w:ascii="Arial" w:hAnsi="Arial" w:cs="Arial"/>
          <w:color w:val="auto"/>
          <w:sz w:val="20"/>
          <w:szCs w:val="20"/>
        </w:rPr>
      </w:pPr>
    </w:p>
    <w:p w14:paraId="63433E7F" w14:textId="77777777" w:rsidR="00A651E1" w:rsidRPr="003F5831" w:rsidRDefault="00E777A0" w:rsidP="00BD1526">
      <w:pPr>
        <w:spacing w:after="120"/>
        <w:jc w:val="both"/>
        <w:outlineLvl w:val="0"/>
        <w:rPr>
          <w:rFonts w:ascii="Arial" w:hAnsi="Arial" w:cs="Arial"/>
          <w:b/>
          <w:sz w:val="22"/>
          <w:szCs w:val="20"/>
        </w:rPr>
      </w:pPr>
      <w:r w:rsidRPr="003F5831">
        <w:rPr>
          <w:rFonts w:ascii="Arial" w:hAnsi="Arial" w:cs="Arial"/>
          <w:b/>
          <w:sz w:val="22"/>
          <w:szCs w:val="20"/>
        </w:rPr>
        <w:t>Diffusione dei dati</w:t>
      </w:r>
    </w:p>
    <w:p w14:paraId="25C17B62" w14:textId="77777777" w:rsidR="00A651E1" w:rsidRPr="00B77592" w:rsidRDefault="00E777A0">
      <w:pPr>
        <w:spacing w:after="120"/>
        <w:jc w:val="both"/>
        <w:rPr>
          <w:rFonts w:ascii="Arial" w:hAnsi="Arial" w:cs="Arial"/>
          <w:sz w:val="20"/>
          <w:szCs w:val="20"/>
        </w:rPr>
      </w:pPr>
      <w:r w:rsidRPr="00B77592">
        <w:rPr>
          <w:rFonts w:ascii="Arial" w:hAnsi="Arial" w:cs="Arial"/>
          <w:sz w:val="20"/>
          <w:szCs w:val="20"/>
        </w:rPr>
        <w:t xml:space="preserve">I dati sono disponibili su Coeweb, </w:t>
      </w:r>
      <w:hyperlink r:id="rId34" w:history="1">
        <w:r w:rsidRPr="00B77592">
          <w:rPr>
            <w:rStyle w:val="Collegamentoipertestuale"/>
            <w:rFonts w:ascii="Arial" w:hAnsi="Arial" w:cs="Arial"/>
            <w:sz w:val="20"/>
            <w:szCs w:val="20"/>
          </w:rPr>
          <w:t>https://www.coeweb.istat.it/</w:t>
        </w:r>
      </w:hyperlink>
      <w:r w:rsidRPr="00B77592">
        <w:rPr>
          <w:rFonts w:ascii="Arial" w:hAnsi="Arial" w:cs="Arial"/>
          <w:sz w:val="20"/>
          <w:szCs w:val="20"/>
        </w:rPr>
        <w:t>, il datawarehouse completamente dedicato alle statistiche del commercio con l'estero, nel mese successivo all’uscita del comunicato. La banca dati fornisce, con cadenza mensile, un ricco patrimonio informativo sui flussi commerciali dell'Italia con il resto del mondo e contiene informazioni e serie storiche dal 1991.</w:t>
      </w:r>
    </w:p>
    <w:p w14:paraId="0AA73200" w14:textId="77777777" w:rsidR="00A651E1" w:rsidRPr="00B77592" w:rsidRDefault="00E777A0">
      <w:pPr>
        <w:spacing w:after="120"/>
        <w:jc w:val="both"/>
        <w:rPr>
          <w:rFonts w:ascii="Arial" w:hAnsi="Arial" w:cs="Arial"/>
          <w:sz w:val="20"/>
          <w:szCs w:val="20"/>
        </w:rPr>
      </w:pPr>
      <w:r w:rsidRPr="00B77592">
        <w:rPr>
          <w:rFonts w:ascii="Arial" w:hAnsi="Arial" w:cs="Arial"/>
          <w:sz w:val="20"/>
          <w:szCs w:val="20"/>
        </w:rPr>
        <w:t>Comunicati stampa commercio estero:</w:t>
      </w:r>
    </w:p>
    <w:p w14:paraId="4B35E3D8" w14:textId="77777777" w:rsidR="00A651E1" w:rsidRPr="00B77592" w:rsidRDefault="00F73F3B">
      <w:pPr>
        <w:pStyle w:val="Paragrafoelenco"/>
        <w:numPr>
          <w:ilvl w:val="0"/>
          <w:numId w:val="24"/>
        </w:numPr>
        <w:spacing w:after="120"/>
        <w:ind w:left="426" w:hanging="426"/>
        <w:jc w:val="both"/>
        <w:rPr>
          <w:rFonts w:ascii="Arial" w:hAnsi="Arial" w:cs="Arial"/>
          <w:sz w:val="20"/>
          <w:szCs w:val="20"/>
        </w:rPr>
      </w:pPr>
      <w:hyperlink r:id="rId35" w:history="1">
        <w:r w:rsidR="00E777A0" w:rsidRPr="00B77592">
          <w:rPr>
            <w:rStyle w:val="Collegamentoipertestuale"/>
            <w:rFonts w:ascii="Arial" w:hAnsi="Arial" w:cs="Arial"/>
            <w:sz w:val="20"/>
            <w:szCs w:val="20"/>
          </w:rPr>
          <w:t>Commercio estero e prezzi all’import</w:t>
        </w:r>
      </w:hyperlink>
    </w:p>
    <w:p w14:paraId="6D72B7FF" w14:textId="77777777" w:rsidR="00A651E1" w:rsidRPr="00B77592" w:rsidRDefault="00F73F3B">
      <w:pPr>
        <w:pStyle w:val="Paragrafoelenco"/>
        <w:numPr>
          <w:ilvl w:val="0"/>
          <w:numId w:val="24"/>
        </w:numPr>
        <w:spacing w:after="120"/>
        <w:ind w:left="426" w:hanging="426"/>
        <w:jc w:val="both"/>
        <w:rPr>
          <w:rFonts w:ascii="Arial" w:hAnsi="Arial" w:cs="Arial"/>
          <w:sz w:val="20"/>
          <w:szCs w:val="20"/>
        </w:rPr>
      </w:pPr>
      <w:hyperlink r:id="rId36" w:history="1">
        <w:r w:rsidR="00E777A0" w:rsidRPr="00B77592">
          <w:rPr>
            <w:rStyle w:val="Collegamentoipertestuale"/>
            <w:rFonts w:ascii="Arial" w:hAnsi="Arial" w:cs="Arial"/>
            <w:sz w:val="20"/>
            <w:szCs w:val="20"/>
          </w:rPr>
          <w:t>Commercio estero con i paesi extra UE</w:t>
        </w:r>
      </w:hyperlink>
    </w:p>
    <w:p w14:paraId="6509AC5E" w14:textId="77777777" w:rsidR="00A651E1" w:rsidRPr="00B77592" w:rsidRDefault="00F73F3B">
      <w:pPr>
        <w:pStyle w:val="Paragrafoelenco"/>
        <w:numPr>
          <w:ilvl w:val="0"/>
          <w:numId w:val="24"/>
        </w:numPr>
        <w:spacing w:after="120"/>
        <w:ind w:left="426" w:hanging="426"/>
        <w:jc w:val="both"/>
        <w:rPr>
          <w:rFonts w:ascii="Arial" w:hAnsi="Arial" w:cs="Arial"/>
          <w:sz w:val="20"/>
          <w:szCs w:val="20"/>
        </w:rPr>
      </w:pPr>
      <w:hyperlink r:id="rId37" w:history="1">
        <w:r w:rsidR="00E777A0" w:rsidRPr="00B77592">
          <w:rPr>
            <w:rStyle w:val="Collegamentoipertestuale"/>
            <w:rFonts w:ascii="Arial" w:hAnsi="Arial" w:cs="Arial"/>
            <w:sz w:val="20"/>
            <w:szCs w:val="20"/>
          </w:rPr>
          <w:t>Le esportazioni delle regioni italiane</w:t>
        </w:r>
      </w:hyperlink>
    </w:p>
    <w:p w14:paraId="3F26805E" w14:textId="77777777" w:rsidR="009E5E77" w:rsidRPr="006E372E" w:rsidRDefault="009E5E77" w:rsidP="00FA1CF6">
      <w:pPr>
        <w:jc w:val="both"/>
        <w:rPr>
          <w:rFonts w:ascii="Arial" w:hAnsi="Arial" w:cs="Arial"/>
          <w:sz w:val="10"/>
          <w:szCs w:val="10"/>
        </w:rPr>
      </w:pPr>
    </w:p>
    <w:p w14:paraId="43177768" w14:textId="5F778592" w:rsidR="00A651E1" w:rsidRPr="00B77592" w:rsidRDefault="00E777A0">
      <w:pPr>
        <w:spacing w:after="120"/>
        <w:jc w:val="both"/>
        <w:rPr>
          <w:rFonts w:ascii="Arial" w:hAnsi="Arial" w:cs="Arial"/>
          <w:sz w:val="20"/>
          <w:szCs w:val="20"/>
        </w:rPr>
      </w:pPr>
      <w:r w:rsidRPr="00B77592">
        <w:rPr>
          <w:rFonts w:ascii="Arial" w:hAnsi="Arial" w:cs="Arial"/>
          <w:sz w:val="20"/>
          <w:szCs w:val="20"/>
        </w:rPr>
        <w:t>Altri link utili:</w:t>
      </w:r>
    </w:p>
    <w:p w14:paraId="764CA1C7" w14:textId="7BDF2A6B" w:rsidR="00A651E1" w:rsidRDefault="00F73F3B">
      <w:pPr>
        <w:spacing w:after="120"/>
        <w:jc w:val="both"/>
        <w:rPr>
          <w:rFonts w:ascii="Arial" w:hAnsi="Arial" w:cs="Arial"/>
          <w:sz w:val="20"/>
          <w:szCs w:val="20"/>
        </w:rPr>
      </w:pPr>
      <w:hyperlink r:id="rId38" w:history="1">
        <w:r w:rsidR="00E777A0" w:rsidRPr="00B77592">
          <w:rPr>
            <w:rStyle w:val="Collegamentoipertestuale"/>
            <w:rFonts w:ascii="Arial" w:hAnsi="Arial" w:cs="Arial"/>
            <w:sz w:val="20"/>
            <w:szCs w:val="20"/>
          </w:rPr>
          <w:t>Nota informativa</w:t>
        </w:r>
      </w:hyperlink>
      <w:r w:rsidR="00E777A0" w:rsidRPr="00B77592">
        <w:rPr>
          <w:rFonts w:ascii="Arial" w:hAnsi="Arial" w:cs="Arial"/>
          <w:sz w:val="20"/>
          <w:szCs w:val="20"/>
        </w:rPr>
        <w:t xml:space="preserve"> sul nuovo sistema di produzione delle statistiche sugli scambi con l’estero di gas naturale ed energia elettrica del 15/11/2011.</w:t>
      </w:r>
    </w:p>
    <w:p w14:paraId="0ECF620C" w14:textId="65D39AC5" w:rsidR="006B4B70" w:rsidRDefault="006B4B70">
      <w:pPr>
        <w:spacing w:after="120"/>
        <w:jc w:val="both"/>
        <w:rPr>
          <w:rFonts w:ascii="Arial" w:hAnsi="Arial" w:cs="Arial"/>
          <w:sz w:val="20"/>
          <w:szCs w:val="20"/>
        </w:rPr>
      </w:pPr>
    </w:p>
    <w:p w14:paraId="01E5657E" w14:textId="7D897BA2" w:rsidR="00F211F7" w:rsidRDefault="00F211F7">
      <w:pPr>
        <w:spacing w:after="120"/>
        <w:jc w:val="both"/>
        <w:rPr>
          <w:rFonts w:ascii="Arial" w:hAnsi="Arial" w:cs="Arial"/>
          <w:sz w:val="20"/>
          <w:szCs w:val="20"/>
        </w:rPr>
      </w:pPr>
    </w:p>
    <w:p w14:paraId="1E58FCCD" w14:textId="77777777" w:rsidR="00F211F7" w:rsidRPr="006E372E" w:rsidRDefault="00F211F7">
      <w:pPr>
        <w:spacing w:after="120"/>
        <w:jc w:val="both"/>
        <w:rPr>
          <w:rFonts w:ascii="Arial" w:hAnsi="Arial" w:cs="Arial"/>
          <w:sz w:val="20"/>
          <w:szCs w:val="20"/>
        </w:rPr>
      </w:pPr>
    </w:p>
    <w:p w14:paraId="7A2A949B" w14:textId="77777777" w:rsidR="006B4B70" w:rsidRPr="00E8033F" w:rsidRDefault="006B4B70">
      <w:pPr>
        <w:spacing w:after="120"/>
        <w:jc w:val="both"/>
        <w:rPr>
          <w:rFonts w:ascii="Arial" w:hAnsi="Arial" w:cs="Arial"/>
          <w:sz w:val="10"/>
          <w:szCs w:val="10"/>
        </w:rPr>
      </w:pPr>
    </w:p>
    <w:p w14:paraId="1AD8D0DB" w14:textId="77777777" w:rsidR="00EF4437" w:rsidRPr="002300D8" w:rsidRDefault="00EF4437" w:rsidP="00EF4437">
      <w:pPr>
        <w:pStyle w:val="NormaleWeb"/>
        <w:spacing w:after="120"/>
        <w:rPr>
          <w:rFonts w:ascii="Arial" w:hAnsi="Arial" w:cs="Arial"/>
          <w:color w:val="CD242F"/>
          <w:sz w:val="36"/>
          <w:szCs w:val="36"/>
        </w:rPr>
      </w:pPr>
      <w:r w:rsidRPr="002300D8">
        <w:rPr>
          <w:rFonts w:ascii="Arial" w:hAnsi="Arial" w:cs="Arial"/>
          <w:bCs/>
          <w:color w:val="CD242F"/>
          <w:sz w:val="36"/>
          <w:szCs w:val="36"/>
        </w:rPr>
        <w:t>Per chiarimenti tecnici e metodologici</w:t>
      </w:r>
    </w:p>
    <w:tbl>
      <w:tblPr>
        <w:tblW w:w="4851" w:type="dxa"/>
        <w:tblBorders>
          <w:top w:val="dotted" w:sz="4" w:space="0" w:color="808080"/>
        </w:tblBorders>
        <w:tblLook w:val="04A0" w:firstRow="1" w:lastRow="0" w:firstColumn="1" w:lastColumn="0" w:noHBand="0" w:noVBand="1"/>
      </w:tblPr>
      <w:tblGrid>
        <w:gridCol w:w="4851"/>
      </w:tblGrid>
      <w:tr w:rsidR="00EF4437" w:rsidRPr="00E655EB" w14:paraId="6AC85FE4" w14:textId="77777777" w:rsidTr="0066317D">
        <w:trPr>
          <w:trHeight w:val="1134"/>
        </w:trPr>
        <w:tc>
          <w:tcPr>
            <w:tcW w:w="4851" w:type="dxa"/>
            <w:shd w:val="clear" w:color="auto" w:fill="auto"/>
            <w:tcMar>
              <w:top w:w="170" w:type="dxa"/>
              <w:left w:w="0" w:type="dxa"/>
              <w:right w:w="0" w:type="dxa"/>
            </w:tcMar>
          </w:tcPr>
          <w:p w14:paraId="0AD12DD7" w14:textId="77777777" w:rsidR="00EF4437" w:rsidRPr="00E655EB" w:rsidRDefault="00EF4437" w:rsidP="0066317D">
            <w:pPr>
              <w:pStyle w:val="NormaleWeb"/>
              <w:spacing w:after="120"/>
              <w:rPr>
                <w:rFonts w:ascii="Arial" w:hAnsi="Arial" w:cs="Arial"/>
                <w:b/>
                <w:bCs/>
                <w:color w:val="CD242F"/>
                <w:sz w:val="22"/>
                <w:szCs w:val="22"/>
              </w:rPr>
            </w:pPr>
            <w:r>
              <w:rPr>
                <w:rFonts w:ascii="Arial" w:hAnsi="Arial" w:cs="Arial"/>
                <w:b/>
                <w:bCs/>
                <w:color w:val="CD242F"/>
                <w:sz w:val="22"/>
                <w:szCs w:val="22"/>
              </w:rPr>
              <w:t>Mirella Morrone</w:t>
            </w:r>
          </w:p>
          <w:p w14:paraId="15D84123" w14:textId="77777777" w:rsidR="00EF4437" w:rsidRPr="00E655EB" w:rsidRDefault="00EF4437" w:rsidP="0066317D">
            <w:pPr>
              <w:pStyle w:val="NormaleWeb"/>
              <w:rPr>
                <w:rFonts w:ascii="Arial" w:hAnsi="Arial" w:cs="Arial"/>
                <w:color w:val="000000"/>
              </w:rPr>
            </w:pPr>
            <w:r>
              <w:rPr>
                <w:rFonts w:ascii="Arial" w:hAnsi="Arial" w:cs="Arial"/>
                <w:color w:val="000000"/>
              </w:rPr>
              <w:t xml:space="preserve">tel. +39 </w:t>
            </w:r>
            <w:r w:rsidRPr="00E655EB">
              <w:rPr>
                <w:rFonts w:ascii="Arial" w:hAnsi="Arial" w:cs="Arial"/>
                <w:color w:val="000000"/>
              </w:rPr>
              <w:t>06 4673.</w:t>
            </w:r>
            <w:r>
              <w:rPr>
                <w:rFonts w:ascii="Arial" w:hAnsi="Arial" w:cs="Arial"/>
                <w:color w:val="000000"/>
              </w:rPr>
              <w:t>6353</w:t>
            </w:r>
          </w:p>
          <w:p w14:paraId="24479FC0" w14:textId="77777777" w:rsidR="00EF4437" w:rsidRPr="00E655EB" w:rsidRDefault="00F73F3B" w:rsidP="0066317D">
            <w:pPr>
              <w:pStyle w:val="NormaleWeb"/>
              <w:spacing w:after="120"/>
              <w:rPr>
                <w:rFonts w:ascii="Arial" w:hAnsi="Arial" w:cs="Arial"/>
                <w:color w:val="000000"/>
              </w:rPr>
            </w:pPr>
            <w:hyperlink r:id="rId39" w:history="1">
              <w:r w:rsidR="00EF4437" w:rsidRPr="003E2D10">
                <w:rPr>
                  <w:rStyle w:val="Collegamentoipertestuale"/>
                  <w:rFonts w:ascii="Arial" w:hAnsi="Arial" w:cs="Arial"/>
                </w:rPr>
                <w:t>mimorron@istat.it</w:t>
              </w:r>
            </w:hyperlink>
          </w:p>
        </w:tc>
      </w:tr>
    </w:tbl>
    <w:p w14:paraId="2413912F" w14:textId="3C53F4EC" w:rsidR="00EF4437" w:rsidRPr="00B77592" w:rsidRDefault="00EF4437">
      <w:pPr>
        <w:spacing w:after="120"/>
        <w:jc w:val="both"/>
        <w:rPr>
          <w:rFonts w:ascii="Arial" w:hAnsi="Arial" w:cs="Arial"/>
          <w:sz w:val="20"/>
          <w:szCs w:val="20"/>
        </w:rPr>
      </w:pPr>
    </w:p>
    <w:sectPr w:rsidR="00EF4437" w:rsidRPr="00B77592" w:rsidSect="008C286E">
      <w:headerReference w:type="default" r:id="rId40"/>
      <w:pgSz w:w="11907" w:h="16840"/>
      <w:pgMar w:top="567" w:right="851" w:bottom="680" w:left="851"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F090E5" w14:textId="77777777" w:rsidR="00F73F3B" w:rsidRDefault="00F73F3B">
      <w:r>
        <w:separator/>
      </w:r>
    </w:p>
  </w:endnote>
  <w:endnote w:type="continuationSeparator" w:id="0">
    <w:p w14:paraId="60FD5C80" w14:textId="77777777" w:rsidR="00F73F3B" w:rsidRDefault="00F73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Times-Roman">
    <w:altName w:val="Times New Roman"/>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MT">
    <w:altName w:val="Times New Roman"/>
    <w:charset w:val="00"/>
    <w:family w:val="auto"/>
    <w:pitch w:val="variable"/>
    <w:sig w:usb0="00000000"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EF4B51" w14:textId="77777777" w:rsidR="00BF3957" w:rsidRDefault="00BF3957">
    <w:pPr>
      <w:pStyle w:val="Pidipagina"/>
      <w:ind w:left="1560"/>
      <w:rPr>
        <w:rFonts w:ascii="Calibri" w:hAnsi="Calibri"/>
      </w:rPr>
    </w:pPr>
  </w:p>
  <w:p w14:paraId="26295BD0" w14:textId="0FDFC165" w:rsidR="00BF3957" w:rsidRDefault="00BF3957">
    <w:pPr>
      <w:pStyle w:val="Pidipagina"/>
      <w:ind w:left="1560"/>
    </w:pPr>
    <w:r w:rsidRPr="00826A5F">
      <w:rPr>
        <w:rFonts w:ascii="Calibri" w:hAnsi="Calibri"/>
        <w:b/>
        <w:noProof/>
        <w:color w:val="E42618"/>
        <w:szCs w:val="28"/>
      </w:rPr>
      <w:drawing>
        <wp:anchor distT="0" distB="0" distL="114300" distR="114300" simplePos="0" relativeHeight="251655680" behindDoc="0" locked="0" layoutInCell="1" allowOverlap="1" wp14:anchorId="74874337" wp14:editId="042A7977">
          <wp:simplePos x="0" y="0"/>
          <wp:positionH relativeFrom="column">
            <wp:posOffset>13335</wp:posOffset>
          </wp:positionH>
          <wp:positionV relativeFrom="paragraph">
            <wp:posOffset>-107950</wp:posOffset>
          </wp:positionV>
          <wp:extent cx="943610" cy="390525"/>
          <wp:effectExtent l="0" t="0" r="8890" b="9525"/>
          <wp:wrapNone/>
          <wp:docPr id="27" name="Immagine 8" descr="Descrizione: Logo a colo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 descr="Descrizione: Logo a color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3610" cy="390525"/>
                  </a:xfrm>
                  <a:prstGeom prst="rect">
                    <a:avLst/>
                  </a:prstGeom>
                  <a:noFill/>
                  <a:ln>
                    <a:noFill/>
                  </a:ln>
                </pic:spPr>
              </pic:pic>
            </a:graphicData>
          </a:graphic>
        </wp:anchor>
      </w:drawing>
    </w:r>
    <w:r w:rsidRPr="00826A5F">
      <w:rPr>
        <w:rStyle w:val="Numeropagina"/>
        <w:rFonts w:ascii="Calibri" w:hAnsi="Calibri"/>
        <w:b/>
        <w:color w:val="E42618"/>
        <w:szCs w:val="28"/>
      </w:rPr>
      <w:t>|</w:t>
    </w:r>
    <w:r w:rsidRPr="00826A5F">
      <w:rPr>
        <w:rStyle w:val="Numeropagina"/>
        <w:rFonts w:ascii="Calibri" w:hAnsi="Calibri"/>
        <w:color w:val="E31C18"/>
        <w:szCs w:val="28"/>
      </w:rPr>
      <w:t xml:space="preserve"> </w:t>
    </w:r>
    <w:r w:rsidRPr="00826A5F">
      <w:rPr>
        <w:color w:val="5F5F5F"/>
      </w:rPr>
      <w:fldChar w:fldCharType="begin"/>
    </w:r>
    <w:r w:rsidRPr="00826A5F">
      <w:rPr>
        <w:color w:val="5F5F5F"/>
      </w:rPr>
      <w:instrText>PAGE   \* MERGEFORMAT</w:instrText>
    </w:r>
    <w:r w:rsidRPr="00826A5F">
      <w:rPr>
        <w:color w:val="5F5F5F"/>
      </w:rPr>
      <w:fldChar w:fldCharType="separate"/>
    </w:r>
    <w:r w:rsidR="0064382E" w:rsidRPr="0064382E">
      <w:rPr>
        <w:rFonts w:ascii="Calibri" w:hAnsi="Calibri"/>
        <w:noProof/>
        <w:color w:val="5F5F5F"/>
      </w:rPr>
      <w:t>10</w:t>
    </w:r>
    <w:r w:rsidRPr="00826A5F">
      <w:rPr>
        <w:color w:val="5F5F5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598F9E" w14:textId="77777777" w:rsidR="00F73F3B" w:rsidRDefault="00F73F3B">
      <w:r>
        <w:separator/>
      </w:r>
    </w:p>
  </w:footnote>
  <w:footnote w:type="continuationSeparator" w:id="0">
    <w:p w14:paraId="7CBC1725" w14:textId="77777777" w:rsidR="00F73F3B" w:rsidRDefault="00F73F3B">
      <w:r>
        <w:continuationSeparator/>
      </w:r>
    </w:p>
  </w:footnote>
  <w:footnote w:id="1">
    <w:p w14:paraId="2E81767E" w14:textId="6E5AF7C7" w:rsidR="00BF3957" w:rsidRPr="006F2EB6" w:rsidRDefault="00BF3957" w:rsidP="00B10BC9">
      <w:pPr>
        <w:pStyle w:val="Testonotaapidipagina"/>
        <w:jc w:val="both"/>
        <w:rPr>
          <w:rFonts w:ascii="Arial" w:hAnsi="Arial" w:cs="Arial"/>
          <w:sz w:val="16"/>
          <w:szCs w:val="16"/>
        </w:rPr>
      </w:pPr>
      <w:r w:rsidRPr="006F2EB6">
        <w:rPr>
          <w:rStyle w:val="Rimandonotaapidipagina"/>
          <w:rFonts w:ascii="Arial" w:hAnsi="Arial" w:cs="Arial"/>
          <w:sz w:val="16"/>
          <w:szCs w:val="16"/>
        </w:rPr>
        <w:footnoteRef/>
      </w:r>
      <w:r w:rsidRPr="006F2EB6">
        <w:rPr>
          <w:rFonts w:ascii="Arial" w:hAnsi="Arial" w:cs="Arial"/>
          <w:sz w:val="16"/>
          <w:szCs w:val="16"/>
        </w:rPr>
        <w:t xml:space="preserve"> </w:t>
      </w:r>
      <w:r w:rsidRPr="001A34E1">
        <w:rPr>
          <w:rFonts w:ascii="Arial" w:hAnsi="Arial" w:cs="Arial"/>
          <w:sz w:val="16"/>
          <w:szCs w:val="16"/>
        </w:rPr>
        <w:t>Come spiegato nella Nota metodologica</w:t>
      </w:r>
      <w:r>
        <w:rPr>
          <w:rFonts w:ascii="Arial" w:hAnsi="Arial" w:cs="Arial"/>
          <w:sz w:val="16"/>
          <w:szCs w:val="16"/>
        </w:rPr>
        <w:t xml:space="preserve"> (pag. 7)</w:t>
      </w:r>
      <w:r w:rsidRPr="001A34E1">
        <w:rPr>
          <w:rFonts w:ascii="Arial" w:hAnsi="Arial" w:cs="Arial"/>
          <w:sz w:val="16"/>
          <w:szCs w:val="16"/>
        </w:rPr>
        <w:t xml:space="preserve">, i valori preliminari extra Ue27 incorporano i dati di interscambio del Regno Unito, relativi alla Gran Bretagna mentre non includono i dati dell’Irlanda del Nord. Questi </w:t>
      </w:r>
      <w:r>
        <w:rPr>
          <w:rFonts w:ascii="Arial" w:hAnsi="Arial" w:cs="Arial"/>
          <w:sz w:val="16"/>
          <w:szCs w:val="16"/>
        </w:rPr>
        <w:t>saranno</w:t>
      </w:r>
      <w:r w:rsidRPr="001A34E1">
        <w:rPr>
          <w:rFonts w:ascii="Arial" w:hAnsi="Arial" w:cs="Arial"/>
          <w:sz w:val="16"/>
          <w:szCs w:val="16"/>
        </w:rPr>
        <w:t xml:space="preserve"> inclusi nei dati di commercio estero extra Ue27 in occasione della prima revisione </w:t>
      </w:r>
      <w:r>
        <w:rPr>
          <w:rFonts w:ascii="Arial" w:hAnsi="Arial" w:cs="Arial"/>
          <w:sz w:val="16"/>
          <w:szCs w:val="16"/>
        </w:rPr>
        <w:t xml:space="preserve">effettuata </w:t>
      </w:r>
      <w:r w:rsidRPr="001A34E1">
        <w:rPr>
          <w:rFonts w:ascii="Arial" w:hAnsi="Arial" w:cs="Arial"/>
          <w:sz w:val="16"/>
          <w:szCs w:val="16"/>
        </w:rPr>
        <w:t>nel mese successivo</w:t>
      </w:r>
      <w:r>
        <w:rPr>
          <w:rFonts w:ascii="Arial" w:hAnsi="Arial" w:cs="Arial"/>
          <w:sz w:val="16"/>
          <w:szCs w:val="16"/>
        </w:rPr>
        <w:t xml:space="preserve">, con </w:t>
      </w:r>
      <w:r w:rsidRPr="001A34E1">
        <w:rPr>
          <w:rFonts w:ascii="Arial" w:hAnsi="Arial" w:cs="Arial"/>
          <w:sz w:val="16"/>
          <w:szCs w:val="16"/>
        </w:rPr>
        <w:t>diffusione nel Comunicato Stampa Commercio con l’estero e prezzi all’import.</w:t>
      </w:r>
      <w:r>
        <w:rPr>
          <w:rFonts w:ascii="Arial" w:hAnsi="Arial" w:cs="Arial"/>
          <w:sz w:val="16"/>
          <w:szCs w:val="16"/>
        </w:rPr>
        <w:t xml:space="preserve"> </w:t>
      </w:r>
    </w:p>
  </w:footnote>
  <w:footnote w:id="2">
    <w:p w14:paraId="21CF98DB" w14:textId="63F3EC09" w:rsidR="00BF3957" w:rsidRDefault="00BF3957" w:rsidP="00F211F7">
      <w:pPr>
        <w:pStyle w:val="Testonotaapidipagina"/>
        <w:rPr>
          <w:rFonts w:ascii="Arial" w:hAnsi="Arial" w:cs="Arial"/>
          <w:sz w:val="16"/>
        </w:rPr>
      </w:pPr>
      <w:r>
        <w:rPr>
          <w:rStyle w:val="Rimandonotaapidipagina"/>
          <w:rFonts w:ascii="Arial" w:hAnsi="Arial" w:cs="Arial"/>
          <w:sz w:val="16"/>
        </w:rPr>
        <w:footnoteRef/>
      </w:r>
      <w:r>
        <w:rPr>
          <w:rFonts w:ascii="Arial" w:hAnsi="Arial" w:cs="Arial"/>
          <w:sz w:val="16"/>
        </w:rPr>
        <w:t xml:space="preserve"> Le fonti utilizzate sono le seguenti: Terna S.p.a., Borse elettriche europee, Snam Rete Gas S.p.a., Ministero dello Sviluppo Economico.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38E546" w14:textId="617B9E2F" w:rsidR="00BF3957" w:rsidRDefault="00BF3957" w:rsidP="00962644">
    <w:pPr>
      <w:pStyle w:val="Intestazione"/>
      <w:rPr>
        <w:sz w:val="20"/>
        <w:szCs w:val="20"/>
      </w:rPr>
    </w:pPr>
    <w:r>
      <w:rPr>
        <w:noProof/>
      </w:rPr>
      <w:drawing>
        <wp:anchor distT="0" distB="0" distL="114300" distR="114300" simplePos="0" relativeHeight="251664896" behindDoc="1" locked="0" layoutInCell="1" allowOverlap="1" wp14:anchorId="42C0592D" wp14:editId="3E6AC938">
          <wp:simplePos x="0" y="0"/>
          <wp:positionH relativeFrom="column">
            <wp:posOffset>12065</wp:posOffset>
          </wp:positionH>
          <wp:positionV relativeFrom="paragraph">
            <wp:posOffset>-142240</wp:posOffset>
          </wp:positionV>
          <wp:extent cx="5343525" cy="1137920"/>
          <wp:effectExtent l="0" t="0" r="9525" b="5080"/>
          <wp:wrapNone/>
          <wp:docPr id="6" name="Immagine 6" descr="iconeComunicatiRosso-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magine 6" descr="iconeComunicatiRosso-01"/>
                  <pic:cNvPicPr>
                    <a:picLocks noChangeArrowheads="1"/>
                  </pic:cNvPicPr>
                </pic:nvPicPr>
                <pic:blipFill>
                  <a:blip r:embed="rId1">
                    <a:extLst>
                      <a:ext uri="{28A0092B-C50C-407E-A947-70E740481C1C}">
                        <a14:useLocalDpi xmlns:a14="http://schemas.microsoft.com/office/drawing/2010/main" val="0"/>
                      </a:ext>
                    </a:extLst>
                  </a:blip>
                  <a:srcRect l="5" t="-12706" r="16052" b="7286"/>
                  <a:stretch>
                    <a:fillRect/>
                  </a:stretch>
                </pic:blipFill>
                <pic:spPr bwMode="auto">
                  <a:xfrm>
                    <a:off x="0" y="0"/>
                    <a:ext cx="5343525" cy="1137920"/>
                  </a:xfrm>
                  <a:prstGeom prst="rect">
                    <a:avLst/>
                  </a:prstGeom>
                  <a:noFill/>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2848" behindDoc="0" locked="0" layoutInCell="1" allowOverlap="1" wp14:anchorId="2C3683BB" wp14:editId="536A3534">
              <wp:simplePos x="0" y="0"/>
              <wp:positionH relativeFrom="column">
                <wp:posOffset>5434965</wp:posOffset>
              </wp:positionH>
              <wp:positionV relativeFrom="paragraph">
                <wp:posOffset>363855</wp:posOffset>
              </wp:positionV>
              <wp:extent cx="994410" cy="701675"/>
              <wp:effectExtent l="0" t="0" r="0" b="3175"/>
              <wp:wrapNone/>
              <wp:docPr id="36" name="Casella di testo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94410" cy="701675"/>
                      </a:xfrm>
                      <a:prstGeom prst="rect">
                        <a:avLst/>
                      </a:prstGeom>
                      <a:solidFill>
                        <a:sysClr val="window" lastClr="FFFFFF"/>
                      </a:solidFill>
                      <a:ln w="6350">
                        <a:noFill/>
                      </a:ln>
                    </wps:spPr>
                    <wps:txbx>
                      <w:txbxContent>
                        <w:p w14:paraId="2CD45D4F" w14:textId="77777777" w:rsidR="00BF3957" w:rsidRPr="004342C5" w:rsidRDefault="00BF3957" w:rsidP="00962644">
                          <w:pPr>
                            <w:spacing w:after="120" w:line="180" w:lineRule="exact"/>
                            <w:rPr>
                              <w:rFonts w:ascii="Arial Narrow" w:hAnsi="Arial Narrow"/>
                              <w:sz w:val="18"/>
                              <w:szCs w:val="18"/>
                            </w:rPr>
                          </w:pPr>
                          <w:r w:rsidRPr="004342C5">
                            <w:rPr>
                              <w:rFonts w:ascii="Arial Narrow" w:hAnsi="Arial Narrow"/>
                              <w:sz w:val="18"/>
                              <w:szCs w:val="18"/>
                            </w:rPr>
                            <w:t>http://www.istat.it</w:t>
                          </w:r>
                        </w:p>
                        <w:p w14:paraId="6A0C6980" w14:textId="77777777" w:rsidR="00BF3957" w:rsidRDefault="00BF3957" w:rsidP="00962644">
                          <w:pPr>
                            <w:spacing w:after="120" w:line="180" w:lineRule="exact"/>
                            <w:rPr>
                              <w:rFonts w:ascii="Arial Narrow" w:hAnsi="Arial Narrow"/>
                              <w:b/>
                              <w:bCs/>
                              <w:sz w:val="18"/>
                              <w:szCs w:val="18"/>
                              <w:lang w:val="en-US"/>
                            </w:rPr>
                          </w:pPr>
                          <w:r w:rsidRPr="004342C5">
                            <w:rPr>
                              <w:rFonts w:ascii="Arial Narrow" w:hAnsi="Arial Narrow"/>
                              <w:b/>
                              <w:bCs/>
                              <w:sz w:val="18"/>
                              <w:szCs w:val="18"/>
                            </w:rPr>
                            <w:t>Ufficio Stampa</w:t>
                          </w:r>
                          <w:r w:rsidRPr="004342C5">
                            <w:rPr>
                              <w:rFonts w:ascii="Arial Narrow" w:hAnsi="Arial Narrow"/>
                              <w:b/>
                              <w:bCs/>
                              <w:sz w:val="18"/>
                              <w:szCs w:val="18"/>
                            </w:rPr>
                            <w:br/>
                          </w:r>
                          <w:r w:rsidRPr="004342C5">
                            <w:rPr>
                              <w:rFonts w:ascii="Arial Narrow" w:hAnsi="Arial Narrow"/>
                              <w:sz w:val="18"/>
                              <w:szCs w:val="18"/>
                            </w:rPr>
                            <w:t xml:space="preserve">tel. </w:t>
                          </w:r>
                          <w:r>
                            <w:rPr>
                              <w:rFonts w:ascii="Arial Narrow" w:hAnsi="Arial Narrow"/>
                              <w:sz w:val="18"/>
                              <w:szCs w:val="18"/>
                              <w:lang w:val="en-US"/>
                            </w:rPr>
                            <w:t>+39 06 4673.2243/4</w:t>
                          </w:r>
                        </w:p>
                        <w:p w14:paraId="7938507A" w14:textId="77777777" w:rsidR="00BF3957" w:rsidRDefault="00BF3957" w:rsidP="00962644">
                          <w:pPr>
                            <w:spacing w:after="120" w:line="180" w:lineRule="exact"/>
                            <w:rPr>
                              <w:rFonts w:ascii="Arial Narrow" w:hAnsi="Arial Narrow"/>
                              <w:b/>
                              <w:bCs/>
                              <w:color w:val="7F7F7F"/>
                              <w:sz w:val="18"/>
                              <w:szCs w:val="18"/>
                              <w:lang w:val="en-US"/>
                            </w:rPr>
                          </w:pPr>
                          <w:r>
                            <w:rPr>
                              <w:rFonts w:ascii="Arial Narrow" w:hAnsi="Arial Narrow"/>
                              <w:b/>
                              <w:bCs/>
                              <w:color w:val="7F7F7F"/>
                              <w:sz w:val="18"/>
                              <w:szCs w:val="18"/>
                              <w:lang w:val="en-US"/>
                            </w:rPr>
                            <w:t>ufficiostampa@istat.it</w:t>
                          </w:r>
                        </w:p>
                        <w:p w14:paraId="007457A1" w14:textId="77777777" w:rsidR="00BF3957" w:rsidRDefault="00BF3957" w:rsidP="00962644">
                          <w:pPr>
                            <w:rPr>
                              <w:rFonts w:ascii="Arial Narrow" w:hAnsi="Arial Narrow"/>
                              <w:b/>
                              <w:bCs/>
                              <w:color w:val="7F7F7F"/>
                              <w:sz w:val="18"/>
                              <w:szCs w:val="18"/>
                              <w:lang w:val="en-US"/>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3683BB" id="_x0000_t202" coordsize="21600,21600" o:spt="202" path="m,l,21600r21600,l21600,xe">
              <v:stroke joinstyle="miter"/>
              <v:path gradientshapeok="t" o:connecttype="rect"/>
            </v:shapetype>
            <v:shape id="Casella di testo 36" o:spid="_x0000_s1027" type="#_x0000_t202" style="position:absolute;margin-left:427.95pt;margin-top:28.65pt;width:78.3pt;height:55.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" fillcolor="window" stroked="f" strokeweight=".5pt">
              <v:path arrowok="t"/>
              <v:textbox inset="0,0,0,0">
                <w:txbxContent>
                  <w:p w14:paraId="2CD45D4F" w14:textId="77777777" w:rsidR="00BF3957" w:rsidRPr="004342C5" w:rsidRDefault="00BF3957" w:rsidP="00962644">
                    <w:pPr>
                      <w:spacing w:after="120" w:line="180" w:lineRule="exact"/>
                      <w:rPr>
                        <w:rFonts w:ascii="Arial Narrow" w:hAnsi="Arial Narrow"/>
                        <w:sz w:val="18"/>
                        <w:szCs w:val="18"/>
                      </w:rPr>
                    </w:pPr>
                    <w:r w:rsidRPr="004342C5">
                      <w:rPr>
                        <w:rFonts w:ascii="Arial Narrow" w:hAnsi="Arial Narrow"/>
                        <w:sz w:val="18"/>
                        <w:szCs w:val="18"/>
                      </w:rPr>
                      <w:t>http://www.istat.it</w:t>
                    </w:r>
                  </w:p>
                  <w:p w14:paraId="6A0C6980" w14:textId="77777777" w:rsidR="00BF3957" w:rsidRDefault="00BF3957" w:rsidP="00962644">
                    <w:pPr>
                      <w:spacing w:after="120" w:line="180" w:lineRule="exact"/>
                      <w:rPr>
                        <w:rFonts w:ascii="Arial Narrow" w:hAnsi="Arial Narrow"/>
                        <w:b/>
                        <w:bCs/>
                        <w:sz w:val="18"/>
                        <w:szCs w:val="18"/>
                        <w:lang w:val="en-US"/>
                      </w:rPr>
                    </w:pPr>
                    <w:r w:rsidRPr="004342C5">
                      <w:rPr>
                        <w:rFonts w:ascii="Arial Narrow" w:hAnsi="Arial Narrow"/>
                        <w:b/>
                        <w:bCs/>
                        <w:sz w:val="18"/>
                        <w:szCs w:val="18"/>
                      </w:rPr>
                      <w:t>Ufficio Stampa</w:t>
                    </w:r>
                    <w:r w:rsidRPr="004342C5">
                      <w:rPr>
                        <w:rFonts w:ascii="Arial Narrow" w:hAnsi="Arial Narrow"/>
                        <w:b/>
                        <w:bCs/>
                        <w:sz w:val="18"/>
                        <w:szCs w:val="18"/>
                      </w:rPr>
                      <w:br/>
                    </w:r>
                    <w:r w:rsidRPr="004342C5">
                      <w:rPr>
                        <w:rFonts w:ascii="Arial Narrow" w:hAnsi="Arial Narrow"/>
                        <w:sz w:val="18"/>
                        <w:szCs w:val="18"/>
                      </w:rPr>
                      <w:t xml:space="preserve">tel. </w:t>
                    </w:r>
                    <w:r>
                      <w:rPr>
                        <w:rFonts w:ascii="Arial Narrow" w:hAnsi="Arial Narrow"/>
                        <w:sz w:val="18"/>
                        <w:szCs w:val="18"/>
                        <w:lang w:val="en-US"/>
                      </w:rPr>
                      <w:t>+39 06 4673.2243/4</w:t>
                    </w:r>
                  </w:p>
                  <w:p w14:paraId="7938507A" w14:textId="77777777" w:rsidR="00BF3957" w:rsidRDefault="00BF3957" w:rsidP="00962644">
                    <w:pPr>
                      <w:spacing w:after="120" w:line="180" w:lineRule="exact"/>
                      <w:rPr>
                        <w:rFonts w:ascii="Arial Narrow" w:hAnsi="Arial Narrow"/>
                        <w:b/>
                        <w:bCs/>
                        <w:color w:val="7F7F7F"/>
                        <w:sz w:val="18"/>
                        <w:szCs w:val="18"/>
                        <w:lang w:val="en-US"/>
                      </w:rPr>
                    </w:pPr>
                    <w:r>
                      <w:rPr>
                        <w:rFonts w:ascii="Arial Narrow" w:hAnsi="Arial Narrow"/>
                        <w:b/>
                        <w:bCs/>
                        <w:color w:val="7F7F7F"/>
                        <w:sz w:val="18"/>
                        <w:szCs w:val="18"/>
                        <w:lang w:val="en-US"/>
                      </w:rPr>
                      <w:t>ufficiostampa@istat.it</w:t>
                    </w:r>
                  </w:p>
                  <w:p w14:paraId="007457A1" w14:textId="77777777" w:rsidR="00BF3957" w:rsidRDefault="00BF3957" w:rsidP="00962644">
                    <w:pPr>
                      <w:rPr>
                        <w:rFonts w:ascii="Arial Narrow" w:hAnsi="Arial Narrow"/>
                        <w:b/>
                        <w:bCs/>
                        <w:color w:val="7F7F7F"/>
                        <w:sz w:val="18"/>
                        <w:szCs w:val="18"/>
                        <w:lang w:val="en-US"/>
                      </w:rPr>
                    </w:pPr>
                  </w:p>
                </w:txbxContent>
              </v:textbox>
            </v:shape>
          </w:pict>
        </mc:Fallback>
      </mc:AlternateContent>
    </w:r>
    <w:r>
      <w:rPr>
        <w:noProof/>
      </w:rPr>
      <mc:AlternateContent>
        <mc:Choice Requires="wps">
          <w:drawing>
            <wp:anchor distT="4294967295" distB="4294967295" distL="114300" distR="114300" simplePos="0" relativeHeight="251663872" behindDoc="0" locked="0" layoutInCell="1" allowOverlap="1" wp14:anchorId="3C735DAC" wp14:editId="30DD5E16">
              <wp:simplePos x="0" y="0"/>
              <wp:positionH relativeFrom="column">
                <wp:posOffset>0</wp:posOffset>
              </wp:positionH>
              <wp:positionV relativeFrom="paragraph">
                <wp:posOffset>1082039</wp:posOffset>
              </wp:positionV>
              <wp:extent cx="6414770" cy="0"/>
              <wp:effectExtent l="0" t="0" r="24130" b="19050"/>
              <wp:wrapNone/>
              <wp:docPr id="37" name="Connettore diritto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14770" cy="0"/>
                      </a:xfrm>
                      <a:prstGeom prst="line">
                        <a:avLst/>
                      </a:prstGeom>
                      <a:noFill/>
                      <a:ln w="9525" cap="flat" cmpd="sng" algn="ctr">
                        <a:solidFill>
                          <a:sysClr val="window" lastClr="FFFFFF">
                            <a:lumMod val="50000"/>
                          </a:sysClr>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mo="http://schemas.microsoft.com/office/mac/office/2008/main" xmlns:mv="urn:schemas-microsoft-com:mac:vml" xmlns:w16sdtdh="http://schemas.microsoft.com/office/word/2020/wordml/sdtdatahash">
          <w:pict>
            <v:line w14:anchorId="4D9D8FDB" id="Connettore diritto 37" o:spid="_x0000_s1026" style="position:absolute;z-index:2516638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85.2pt" to="505.1pt,8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" strokecolor="#7f7f7f">
              <v:stroke joinstyle="miter"/>
              <o:lock v:ext="edit" shapetype="f"/>
            </v:line>
          </w:pict>
        </mc:Fallback>
      </mc:AlternateContent>
    </w:r>
  </w:p>
  <w:p w14:paraId="7EA54556" w14:textId="5E705088" w:rsidR="00BF3957" w:rsidRDefault="00BF3957" w:rsidP="00962644">
    <w:pPr>
      <w:pStyle w:val="Intestazione"/>
    </w:pPr>
    <w:r>
      <w:rPr>
        <w:noProof/>
      </w:rPr>
      <mc:AlternateContent>
        <mc:Choice Requires="wps">
          <w:drawing>
            <wp:anchor distT="0" distB="0" distL="114300" distR="114300" simplePos="0" relativeHeight="251660800" behindDoc="0" locked="0" layoutInCell="1" allowOverlap="1" wp14:anchorId="2BB27B9D" wp14:editId="788CBF9C">
              <wp:simplePos x="0" y="0"/>
              <wp:positionH relativeFrom="column">
                <wp:posOffset>4041140</wp:posOffset>
              </wp:positionH>
              <wp:positionV relativeFrom="paragraph">
                <wp:posOffset>73660</wp:posOffset>
              </wp:positionV>
              <wp:extent cx="1228725" cy="285750"/>
              <wp:effectExtent l="0" t="0" r="28575" b="19050"/>
              <wp:wrapNone/>
              <wp:docPr id="1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285750"/>
                      </a:xfrm>
                      <a:prstGeom prst="rect">
                        <a:avLst/>
                      </a:prstGeom>
                      <a:solidFill>
                        <a:srgbClr val="FFFFFF"/>
                      </a:solidFill>
                      <a:ln w="9525">
                        <a:solidFill>
                          <a:srgbClr val="FFFFFF"/>
                        </a:solidFill>
                        <a:miter lim="800000"/>
                        <a:headEnd/>
                        <a:tailEnd/>
                      </a:ln>
                    </wps:spPr>
                    <wps:txbx>
                      <w:txbxContent>
                        <w:p w14:paraId="50C11F75" w14:textId="62992FC3" w:rsidR="00BF3957" w:rsidRPr="00826A5F" w:rsidRDefault="00BF3957" w:rsidP="00F45E29">
                          <w:pPr>
                            <w:ind w:left="-142" w:right="-195"/>
                            <w:rPr>
                              <w:rFonts w:ascii="Arial Narrow" w:hAnsi="Arial Narrow"/>
                              <w:b/>
                              <w:color w:val="5F5F5F"/>
                              <w:sz w:val="26"/>
                              <w:szCs w:val="26"/>
                            </w:rPr>
                          </w:pPr>
                          <w:r>
                            <w:rPr>
                              <w:rFonts w:ascii="Arial Narrow" w:hAnsi="Arial Narrow"/>
                              <w:b/>
                              <w:color w:val="5F5F5F"/>
                              <w:sz w:val="26"/>
                              <w:szCs w:val="26"/>
                            </w:rPr>
                            <w:t xml:space="preserve"> </w:t>
                          </w:r>
                          <w:r>
                            <w:rPr>
                              <w:rFonts w:ascii="Arial Narrow" w:hAnsi="Arial Narrow"/>
                              <w:b/>
                              <w:color w:val="0D0D0D" w:themeColor="text1" w:themeTint="F2"/>
                              <w:sz w:val="26"/>
                              <w:szCs w:val="26"/>
                            </w:rPr>
                            <w:t>25</w:t>
                          </w:r>
                          <w:r w:rsidRPr="00030F1C">
                            <w:rPr>
                              <w:rFonts w:ascii="Arial Narrow" w:hAnsi="Arial Narrow"/>
                              <w:b/>
                              <w:color w:val="0D0D0D" w:themeColor="text1" w:themeTint="F2"/>
                              <w:sz w:val="26"/>
                              <w:szCs w:val="26"/>
                            </w:rPr>
                            <w:t xml:space="preserve"> </w:t>
                          </w:r>
                          <w:r>
                            <w:rPr>
                              <w:rFonts w:ascii="Arial Narrow" w:hAnsi="Arial Narrow"/>
                              <w:b/>
                              <w:color w:val="0D0D0D" w:themeColor="text1" w:themeTint="F2"/>
                              <w:sz w:val="26"/>
                              <w:szCs w:val="26"/>
                            </w:rPr>
                            <w:t xml:space="preserve">novembre </w:t>
                          </w:r>
                          <w:r w:rsidRPr="00030F1C">
                            <w:rPr>
                              <w:rFonts w:ascii="Arial Narrow" w:hAnsi="Arial Narrow"/>
                              <w:b/>
                              <w:color w:val="0D0D0D" w:themeColor="text1" w:themeTint="F2"/>
                              <w:sz w:val="26"/>
                              <w:szCs w:val="26"/>
                            </w:rPr>
                            <w:t>202</w:t>
                          </w:r>
                          <w:r>
                            <w:rPr>
                              <w:rFonts w:ascii="Arial Narrow" w:hAnsi="Arial Narrow"/>
                              <w:b/>
                              <w:color w:val="0D0D0D" w:themeColor="text1" w:themeTint="F2"/>
                              <w:sz w:val="26"/>
                              <w:szCs w:val="26"/>
                            </w:rP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B27B9D" id="Text Box 4" o:spid="_x0000_s1028" type="#_x0000_t202" style="position:absolute;margin-left:318.2pt;margin-top:5.8pt;width:96.75pt;height:2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" strokecolor="white">
              <v:textbox>
                <w:txbxContent>
                  <w:p w14:paraId="50C11F75" w14:textId="62992FC3" w:rsidR="00BF3957" w:rsidRPr="00826A5F" w:rsidRDefault="00BF3957" w:rsidP="00F45E29">
                    <w:pPr>
                      <w:ind w:left="-142" w:right="-195"/>
                      <w:rPr>
                        <w:rFonts w:ascii="Arial Narrow" w:hAnsi="Arial Narrow"/>
                        <w:b/>
                        <w:color w:val="5F5F5F"/>
                        <w:sz w:val="26"/>
                        <w:szCs w:val="26"/>
                      </w:rPr>
                    </w:pPr>
                    <w:r>
                      <w:rPr>
                        <w:rFonts w:ascii="Arial Narrow" w:hAnsi="Arial Narrow"/>
                        <w:b/>
                        <w:color w:val="5F5F5F"/>
                        <w:sz w:val="26"/>
                        <w:szCs w:val="26"/>
                      </w:rPr>
                      <w:t xml:space="preserve"> </w:t>
                    </w:r>
                    <w:r>
                      <w:rPr>
                        <w:rFonts w:ascii="Arial Narrow" w:hAnsi="Arial Narrow"/>
                        <w:b/>
                        <w:color w:val="0D0D0D" w:themeColor="text1" w:themeTint="F2"/>
                        <w:sz w:val="26"/>
                        <w:szCs w:val="26"/>
                      </w:rPr>
                      <w:t>25</w:t>
                    </w:r>
                    <w:r w:rsidRPr="00030F1C">
                      <w:rPr>
                        <w:rFonts w:ascii="Arial Narrow" w:hAnsi="Arial Narrow"/>
                        <w:b/>
                        <w:color w:val="0D0D0D" w:themeColor="text1" w:themeTint="F2"/>
                        <w:sz w:val="26"/>
                        <w:szCs w:val="26"/>
                      </w:rPr>
                      <w:t xml:space="preserve"> </w:t>
                    </w:r>
                    <w:r>
                      <w:rPr>
                        <w:rFonts w:ascii="Arial Narrow" w:hAnsi="Arial Narrow"/>
                        <w:b/>
                        <w:color w:val="0D0D0D" w:themeColor="text1" w:themeTint="F2"/>
                        <w:sz w:val="26"/>
                        <w:szCs w:val="26"/>
                      </w:rPr>
                      <w:t xml:space="preserve">novembre </w:t>
                    </w:r>
                    <w:r w:rsidRPr="00030F1C">
                      <w:rPr>
                        <w:rFonts w:ascii="Arial Narrow" w:hAnsi="Arial Narrow"/>
                        <w:b/>
                        <w:color w:val="0D0D0D" w:themeColor="text1" w:themeTint="F2"/>
                        <w:sz w:val="26"/>
                        <w:szCs w:val="26"/>
                      </w:rPr>
                      <w:t>202</w:t>
                    </w:r>
                    <w:r>
                      <w:rPr>
                        <w:rFonts w:ascii="Arial Narrow" w:hAnsi="Arial Narrow"/>
                        <w:b/>
                        <w:color w:val="0D0D0D" w:themeColor="text1" w:themeTint="F2"/>
                        <w:sz w:val="26"/>
                        <w:szCs w:val="26"/>
                      </w:rPr>
                      <w:t>2</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AC7971" w14:textId="77777777" w:rsidR="00BF3957" w:rsidRDefault="00BF3957">
    <w:pPr>
      <w:pStyle w:val="Intestazione"/>
    </w:pPr>
    <w:r>
      <w:rPr>
        <w:noProof/>
      </w:rPr>
      <mc:AlternateContent>
        <mc:Choice Requires="wps">
          <w:drawing>
            <wp:anchor distT="0" distB="0" distL="114300" distR="114300" simplePos="0" relativeHeight="251656704" behindDoc="0" locked="0" layoutInCell="1" allowOverlap="1" wp14:anchorId="36D02F9F" wp14:editId="6BBFB090">
              <wp:simplePos x="0" y="0"/>
              <wp:positionH relativeFrom="column">
                <wp:posOffset>549275</wp:posOffset>
              </wp:positionH>
              <wp:positionV relativeFrom="paragraph">
                <wp:posOffset>63500</wp:posOffset>
              </wp:positionV>
              <wp:extent cx="1314450" cy="262890"/>
              <wp:effectExtent l="0" t="0" r="19050" b="22860"/>
              <wp:wrapNone/>
              <wp:docPr id="1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262890"/>
                      </a:xfrm>
                      <a:prstGeom prst="rect">
                        <a:avLst/>
                      </a:prstGeom>
                      <a:solidFill>
                        <a:srgbClr val="FFFFFF"/>
                      </a:solidFill>
                      <a:ln w="9525">
                        <a:solidFill>
                          <a:srgbClr val="FFFFFF"/>
                        </a:solidFill>
                        <a:miter lim="800000"/>
                        <a:headEnd/>
                        <a:tailEnd/>
                      </a:ln>
                    </wps:spPr>
                    <wps:txbx>
                      <w:txbxContent>
                        <w:p w14:paraId="1692775B" w14:textId="77777777" w:rsidR="00BF3957" w:rsidRPr="00826A5F" w:rsidRDefault="00BF3957">
                          <w:pPr>
                            <w:pStyle w:val="Intestazione"/>
                            <w:spacing w:line="200" w:lineRule="exact"/>
                            <w:rPr>
                              <w:rFonts w:ascii="Arial Narrow" w:hAnsi="Arial Narrow"/>
                              <w:b/>
                              <w:color w:val="808080"/>
                              <w:sz w:val="20"/>
                            </w:rPr>
                          </w:pPr>
                          <w:r w:rsidRPr="00826A5F">
                            <w:rPr>
                              <w:rFonts w:ascii="Arial Narrow" w:hAnsi="Arial Narrow"/>
                              <w:b/>
                              <w:color w:val="808080"/>
                              <w:sz w:val="20"/>
                            </w:rPr>
                            <w:t>COMMERCIO ESTERO EXTRA UE</w:t>
                          </w:r>
                        </w:p>
                      </w:txbxContent>
                    </wps:txbx>
                    <wps:bodyPr rot="0" vert="horz" wrap="square" lIns="0" tIns="0" rIns="0" bIns="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36D02F9F" id="_x0000_t202" coordsize="21600,21600" o:spt="202" path="m,l,21600r21600,l21600,xe">
              <v:stroke joinstyle="miter"/>
              <v:path gradientshapeok="t" o:connecttype="rect"/>
            </v:shapetype>
            <v:shape id="Text Box 3" o:spid="_x0000_s1029" type="#_x0000_t202" style="position:absolute;margin-left:43.25pt;margin-top:5pt;width:103.5pt;height:20.7pt;z-index:2516567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" strokecolor="white">
              <v:textbox style="mso-fit-shape-to-text:t" inset="0,0,0,0">
                <w:txbxContent>
                  <w:p w14:paraId="1692775B" w14:textId="77777777" w:rsidR="00BF3957" w:rsidRPr="00826A5F" w:rsidRDefault="00BF3957">
                    <w:pPr>
                      <w:pStyle w:val="Intestazione"/>
                      <w:spacing w:line="200" w:lineRule="exact"/>
                      <w:rPr>
                        <w:rFonts w:ascii="Arial Narrow" w:hAnsi="Arial Narrow"/>
                        <w:b/>
                        <w:color w:val="808080"/>
                        <w:sz w:val="20"/>
                      </w:rPr>
                    </w:pPr>
                    <w:r w:rsidRPr="00826A5F">
                      <w:rPr>
                        <w:rFonts w:ascii="Arial Narrow" w:hAnsi="Arial Narrow"/>
                        <w:b/>
                        <w:color w:val="808080"/>
                        <w:sz w:val="20"/>
                      </w:rPr>
                      <w:t>COMMERCIO ESTERO EXTRA UE</w:t>
                    </w:r>
                  </w:p>
                </w:txbxContent>
              </v:textbox>
            </v:shape>
          </w:pict>
        </mc:Fallback>
      </mc:AlternateContent>
    </w:r>
    <w:r>
      <w:rPr>
        <w:noProof/>
      </w:rPr>
      <w:drawing>
        <wp:inline distT="0" distB="0" distL="0" distR="0" wp14:anchorId="33E5814B" wp14:editId="069DF331">
          <wp:extent cx="6522720" cy="594360"/>
          <wp:effectExtent l="0" t="0" r="0" b="0"/>
          <wp:docPr id="26" name="Immagine 26" descr="iconeComunicati-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coneComunicati-0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22720" cy="59436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3B363B" w14:textId="77777777" w:rsidR="00BF3957" w:rsidRDefault="00BF3957">
    <w:pPr>
      <w:pStyle w:val="Intestazione"/>
    </w:pPr>
    <w:r>
      <w:rPr>
        <w:noProof/>
      </w:rPr>
      <mc:AlternateContent>
        <mc:Choice Requires="wps">
          <w:drawing>
            <wp:anchor distT="0" distB="0" distL="114300" distR="114300" simplePos="0" relativeHeight="251659776" behindDoc="0" locked="0" layoutInCell="1" allowOverlap="1" wp14:anchorId="6C826DAB" wp14:editId="62B6361A">
              <wp:simplePos x="0" y="0"/>
              <wp:positionH relativeFrom="column">
                <wp:posOffset>536575</wp:posOffset>
              </wp:positionH>
              <wp:positionV relativeFrom="paragraph">
                <wp:posOffset>41910</wp:posOffset>
              </wp:positionV>
              <wp:extent cx="1292225" cy="389890"/>
              <wp:effectExtent l="0" t="0" r="22225" b="1016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2225" cy="389890"/>
                      </a:xfrm>
                      <a:prstGeom prst="rect">
                        <a:avLst/>
                      </a:prstGeom>
                      <a:solidFill>
                        <a:srgbClr val="FFFFFF"/>
                      </a:solidFill>
                      <a:ln w="9525">
                        <a:solidFill>
                          <a:srgbClr val="FFFFFF"/>
                        </a:solidFill>
                        <a:miter lim="800000"/>
                        <a:headEnd/>
                        <a:tailEnd/>
                      </a:ln>
                    </wps:spPr>
                    <wps:txbx>
                      <w:txbxContent>
                        <w:p w14:paraId="022B511B" w14:textId="77777777" w:rsidR="00BF3957" w:rsidRPr="00B23A5A" w:rsidRDefault="00BF3957">
                          <w:pPr>
                            <w:pStyle w:val="Intestazione"/>
                            <w:spacing w:line="200" w:lineRule="exact"/>
                            <w:rPr>
                              <w:rFonts w:ascii="Arial Narrow" w:hAnsi="Arial Narrow"/>
                              <w:b/>
                              <w:color w:val="999999"/>
                              <w:sz w:val="20"/>
                            </w:rPr>
                          </w:pPr>
                          <w:r w:rsidRPr="00B23A5A">
                            <w:rPr>
                              <w:rFonts w:ascii="Arial Narrow" w:hAnsi="Arial Narrow"/>
                              <w:b/>
                              <w:color w:val="999999"/>
                              <w:sz w:val="20"/>
                            </w:rPr>
                            <w:t>COMMERCIO ESTERO EXTRA UE</w:t>
                          </w:r>
                        </w:p>
                        <w:p w14:paraId="52D33666" w14:textId="77777777" w:rsidR="00BF3957" w:rsidRDefault="00BF3957">
                          <w:pPr>
                            <w:pStyle w:val="Intestazione"/>
                            <w:spacing w:line="200" w:lineRule="exact"/>
                            <w:rPr>
                              <w:rFonts w:ascii="Arial Narrow" w:hAnsi="Arial Narrow"/>
                              <w:b/>
                              <w:color w:val="999999"/>
                            </w:rPr>
                          </w:pPr>
                        </w:p>
                      </w:txbxContent>
                    </wps:txbx>
                    <wps:bodyPr rot="0" vert="horz" wrap="square" lIns="0" tIns="0" rIns="0" bIns="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C826DAB" id="_x0000_t202" coordsize="21600,21600" o:spt="202" path="m,l,21600r21600,l21600,xe">
              <v:stroke joinstyle="miter"/>
              <v:path gradientshapeok="t" o:connecttype="rect"/>
            </v:shapetype>
            <v:shape id="Text Box 2" o:spid="_x0000_s1030" type="#_x0000_t202" style="position:absolute;margin-left:42.25pt;margin-top:3.3pt;width:101.75pt;height:30.7pt;z-index:251659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" strokecolor="white">
              <v:textbox style="mso-fit-shape-to-text:t" inset="0,0,0,0">
                <w:txbxContent>
                  <w:p w14:paraId="022B511B" w14:textId="77777777" w:rsidR="00BF3957" w:rsidRPr="00B23A5A" w:rsidRDefault="00BF3957">
                    <w:pPr>
                      <w:pStyle w:val="Intestazione"/>
                      <w:spacing w:line="200" w:lineRule="exact"/>
                      <w:rPr>
                        <w:rFonts w:ascii="Arial Narrow" w:hAnsi="Arial Narrow"/>
                        <w:b/>
                        <w:color w:val="999999"/>
                        <w:sz w:val="20"/>
                      </w:rPr>
                    </w:pPr>
                    <w:r w:rsidRPr="00B23A5A">
                      <w:rPr>
                        <w:rFonts w:ascii="Arial Narrow" w:hAnsi="Arial Narrow"/>
                        <w:b/>
                        <w:color w:val="999999"/>
                        <w:sz w:val="20"/>
                      </w:rPr>
                      <w:t>COMMERCIO ESTERO EXTRA UE</w:t>
                    </w:r>
                  </w:p>
                  <w:p w14:paraId="52D33666" w14:textId="77777777" w:rsidR="00BF3957" w:rsidRDefault="00BF3957">
                    <w:pPr>
                      <w:pStyle w:val="Intestazione"/>
                      <w:spacing w:line="200" w:lineRule="exact"/>
                      <w:rPr>
                        <w:rFonts w:ascii="Arial Narrow" w:hAnsi="Arial Narrow"/>
                        <w:b/>
                        <w:color w:val="999999"/>
                      </w:rPr>
                    </w:pPr>
                  </w:p>
                </w:txbxContent>
              </v:textbox>
            </v:shape>
          </w:pict>
        </mc:Fallback>
      </mc:AlternateContent>
    </w:r>
    <w:r>
      <w:rPr>
        <w:noProof/>
      </w:rPr>
      <w:drawing>
        <wp:inline distT="0" distB="0" distL="0" distR="0" wp14:anchorId="03465C64" wp14:editId="3D530CBE">
          <wp:extent cx="6484620" cy="586740"/>
          <wp:effectExtent l="0" t="0" r="0" b="3810"/>
          <wp:docPr id="8" name="Immagine 8" descr="iconeComunicati-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coneComunicati-0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4620" cy="586740"/>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400C8F" w14:textId="77777777" w:rsidR="00BF3957" w:rsidRDefault="00BF3957">
    <w:pPr>
      <w:pStyle w:val="Intestazione"/>
    </w:pPr>
    <w:r>
      <w:rPr>
        <w:noProof/>
      </w:rPr>
      <mc:AlternateContent>
        <mc:Choice Requires="wps">
          <w:drawing>
            <wp:anchor distT="0" distB="0" distL="114300" distR="114300" simplePos="0" relativeHeight="251657728" behindDoc="0" locked="0" layoutInCell="1" allowOverlap="1" wp14:anchorId="361CB981" wp14:editId="07056A99">
              <wp:simplePos x="0" y="0"/>
              <wp:positionH relativeFrom="column">
                <wp:posOffset>530225</wp:posOffset>
              </wp:positionH>
              <wp:positionV relativeFrom="paragraph">
                <wp:posOffset>74295</wp:posOffset>
              </wp:positionV>
              <wp:extent cx="1238250" cy="389890"/>
              <wp:effectExtent l="0" t="0" r="19050" b="1016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389890"/>
                      </a:xfrm>
                      <a:prstGeom prst="rect">
                        <a:avLst/>
                      </a:prstGeom>
                      <a:solidFill>
                        <a:srgbClr val="FFFFFF"/>
                      </a:solidFill>
                      <a:ln w="9525">
                        <a:solidFill>
                          <a:srgbClr val="FFFFFF"/>
                        </a:solidFill>
                        <a:miter lim="800000"/>
                        <a:headEnd/>
                        <a:tailEnd/>
                      </a:ln>
                    </wps:spPr>
                    <wps:txbx>
                      <w:txbxContent>
                        <w:p w14:paraId="63ED256E" w14:textId="77777777" w:rsidR="00BF3957" w:rsidRPr="00B23A5A" w:rsidRDefault="00BF3957">
                          <w:pPr>
                            <w:pStyle w:val="Intestazione"/>
                            <w:spacing w:line="200" w:lineRule="exact"/>
                            <w:rPr>
                              <w:rFonts w:ascii="Arial Narrow" w:hAnsi="Arial Narrow"/>
                              <w:b/>
                              <w:color w:val="808080"/>
                              <w:sz w:val="20"/>
                            </w:rPr>
                          </w:pPr>
                          <w:r w:rsidRPr="00B23A5A">
                            <w:rPr>
                              <w:rFonts w:ascii="Arial Narrow" w:hAnsi="Arial Narrow"/>
                              <w:b/>
                              <w:color w:val="808080"/>
                              <w:sz w:val="20"/>
                            </w:rPr>
                            <w:t>COMMERCIO ESTERO EXTRA UE</w:t>
                          </w:r>
                        </w:p>
                        <w:p w14:paraId="1BC1E4B3" w14:textId="77777777" w:rsidR="00BF3957" w:rsidRDefault="00BF3957">
                          <w:pPr>
                            <w:pStyle w:val="Intestazione"/>
                            <w:spacing w:line="200" w:lineRule="exact"/>
                            <w:rPr>
                              <w:rFonts w:ascii="Arial Narrow" w:hAnsi="Arial Narrow"/>
                              <w:b/>
                              <w:color w:val="999999"/>
                            </w:rPr>
                          </w:pPr>
                        </w:p>
                      </w:txbxContent>
                    </wps:txbx>
                    <wps:bodyPr rot="0" vert="horz" wrap="square" lIns="0" tIns="0" rIns="0" bIns="0" anchor="t" anchorCtr="0" upright="1">
                      <a:spAutoFit/>
                    </wps:bodyPr>
                  </wps:wsp>
                </a:graphicData>
              </a:graphic>
              <wp14:sizeRelH relativeFrom="margin">
                <wp14:pctWidth>0</wp14:pctWidth>
              </wp14:sizeRelH>
              <wp14:sizeRelV relativeFrom="margin">
                <wp14:pctHeight>20000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361CB981" id="_x0000_t202" coordsize="21600,21600" o:spt="202" path="m,l,21600r21600,l21600,xe">
              <v:stroke joinstyle="miter"/>
              <v:path gradientshapeok="t" o:connecttype="rect"/>
            </v:shapetype>
            <v:shape id="Text Box 1" o:spid="_x0000_s1031" type="#_x0000_t202" style="position:absolute;margin-left:41.75pt;margin-top:5.85pt;width:97.5pt;height:30.7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" strokecolor="white">
              <v:textbox style="mso-fit-shape-to-text:t" inset="0,0,0,0">
                <w:txbxContent>
                  <w:p w14:paraId="63ED256E" w14:textId="77777777" w:rsidR="001E7FE4" w:rsidRPr="00B23A5A" w:rsidRDefault="001E7FE4">
                    <w:pPr>
                      <w:pStyle w:val="Intestazione"/>
                      <w:spacing w:line="200" w:lineRule="exact"/>
                      <w:rPr>
                        <w:rFonts w:ascii="Arial Narrow" w:hAnsi="Arial Narrow"/>
                        <w:b/>
                        <w:color w:val="808080"/>
                        <w:sz w:val="20"/>
                      </w:rPr>
                    </w:pPr>
                    <w:r w:rsidRPr="00B23A5A">
                      <w:rPr>
                        <w:rFonts w:ascii="Arial Narrow" w:hAnsi="Arial Narrow"/>
                        <w:b/>
                        <w:color w:val="808080"/>
                        <w:sz w:val="20"/>
                      </w:rPr>
                      <w:t>COMMERCIO ESTERO EXTRA UE</w:t>
                    </w:r>
                  </w:p>
                  <w:p w14:paraId="1BC1E4B3" w14:textId="77777777" w:rsidR="001E7FE4" w:rsidRDefault="001E7FE4">
                    <w:pPr>
                      <w:pStyle w:val="Intestazione"/>
                      <w:spacing w:line="200" w:lineRule="exact"/>
                      <w:rPr>
                        <w:rFonts w:ascii="Arial Narrow" w:hAnsi="Arial Narrow"/>
                        <w:b/>
                        <w:color w:val="999999"/>
                      </w:rPr>
                    </w:pPr>
                  </w:p>
                </w:txbxContent>
              </v:textbox>
            </v:shape>
          </w:pict>
        </mc:Fallback>
      </mc:AlternateContent>
    </w:r>
    <w:r>
      <w:rPr>
        <w:noProof/>
      </w:rPr>
      <w:drawing>
        <wp:inline distT="0" distB="0" distL="0" distR="0" wp14:anchorId="75D73629" wp14:editId="5C45C724">
          <wp:extent cx="6484620" cy="586740"/>
          <wp:effectExtent l="0" t="0" r="0" b="3810"/>
          <wp:docPr id="9" name="Immagine 9" descr="iconeComunicati-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coneComunicati-0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4620" cy="5867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4.5pt;height:7.2pt" o:bullet="t">
        <v:imagedata r:id="rId1" o:title=""/>
      </v:shape>
    </w:pict>
  </w:numPicBullet>
  <w:numPicBullet w:numPicBulletId="1">
    <w:pict>
      <v:shape id="_x0000_i1033" type="#_x0000_t75" style="width:8.45pt;height:8.45pt" o:bullet="t">
        <v:imagedata r:id="rId2" o:title=""/>
      </v:shape>
    </w:pict>
  </w:numPicBullet>
  <w:abstractNum w:abstractNumId="0" w15:restartNumberingAfterBreak="0">
    <w:nsid w:val="00A61C4B"/>
    <w:multiLevelType w:val="hybridMultilevel"/>
    <w:tmpl w:val="E0ACEAB2"/>
    <w:lvl w:ilvl="0" w:tplc="55DC58FE">
      <w:start w:val="1"/>
      <w:numFmt w:val="lowerLetter"/>
      <w:lvlText w:val="(%1)"/>
      <w:lvlJc w:val="left"/>
      <w:pPr>
        <w:ind w:left="360" w:hanging="360"/>
      </w:pPr>
      <w:rPr>
        <w:rFonts w:cs="Times New Roman"/>
        <w:b w:val="0"/>
      </w:rPr>
    </w:lvl>
    <w:lvl w:ilvl="1" w:tplc="38B0214A">
      <w:start w:val="1"/>
      <w:numFmt w:val="lowerLetter"/>
      <w:lvlText w:val="%2."/>
      <w:lvlJc w:val="left"/>
      <w:pPr>
        <w:ind w:left="1080" w:hanging="360"/>
      </w:pPr>
      <w:rPr>
        <w:rFonts w:cs="Times New Roman"/>
      </w:rPr>
    </w:lvl>
    <w:lvl w:ilvl="2" w:tplc="68DE6A2A">
      <w:start w:val="1"/>
      <w:numFmt w:val="lowerRoman"/>
      <w:lvlText w:val="%3."/>
      <w:lvlJc w:val="right"/>
      <w:pPr>
        <w:ind w:left="1800" w:hanging="180"/>
      </w:pPr>
      <w:rPr>
        <w:rFonts w:cs="Times New Roman"/>
      </w:rPr>
    </w:lvl>
    <w:lvl w:ilvl="3" w:tplc="5906B76C">
      <w:start w:val="1"/>
      <w:numFmt w:val="decimal"/>
      <w:lvlText w:val="%4."/>
      <w:lvlJc w:val="left"/>
      <w:pPr>
        <w:ind w:left="2520" w:hanging="360"/>
      </w:pPr>
      <w:rPr>
        <w:rFonts w:cs="Times New Roman"/>
      </w:rPr>
    </w:lvl>
    <w:lvl w:ilvl="4" w:tplc="53205C18">
      <w:start w:val="1"/>
      <w:numFmt w:val="lowerLetter"/>
      <w:lvlText w:val="%5."/>
      <w:lvlJc w:val="left"/>
      <w:pPr>
        <w:ind w:left="3240" w:hanging="360"/>
      </w:pPr>
      <w:rPr>
        <w:rFonts w:cs="Times New Roman"/>
      </w:rPr>
    </w:lvl>
    <w:lvl w:ilvl="5" w:tplc="93A84296">
      <w:start w:val="1"/>
      <w:numFmt w:val="lowerRoman"/>
      <w:lvlText w:val="%6."/>
      <w:lvlJc w:val="right"/>
      <w:pPr>
        <w:ind w:left="3960" w:hanging="180"/>
      </w:pPr>
      <w:rPr>
        <w:rFonts w:cs="Times New Roman"/>
      </w:rPr>
    </w:lvl>
    <w:lvl w:ilvl="6" w:tplc="FFC6F268">
      <w:start w:val="1"/>
      <w:numFmt w:val="decimal"/>
      <w:lvlText w:val="%7."/>
      <w:lvlJc w:val="left"/>
      <w:pPr>
        <w:ind w:left="4680" w:hanging="360"/>
      </w:pPr>
      <w:rPr>
        <w:rFonts w:cs="Times New Roman"/>
      </w:rPr>
    </w:lvl>
    <w:lvl w:ilvl="7" w:tplc="45C271E2">
      <w:start w:val="1"/>
      <w:numFmt w:val="lowerLetter"/>
      <w:lvlText w:val="%8."/>
      <w:lvlJc w:val="left"/>
      <w:pPr>
        <w:ind w:left="5400" w:hanging="360"/>
      </w:pPr>
      <w:rPr>
        <w:rFonts w:cs="Times New Roman"/>
      </w:rPr>
    </w:lvl>
    <w:lvl w:ilvl="8" w:tplc="786643A4">
      <w:start w:val="1"/>
      <w:numFmt w:val="lowerRoman"/>
      <w:lvlText w:val="%9."/>
      <w:lvlJc w:val="right"/>
      <w:pPr>
        <w:ind w:left="6120" w:hanging="180"/>
      </w:pPr>
      <w:rPr>
        <w:rFonts w:cs="Times New Roman"/>
      </w:rPr>
    </w:lvl>
  </w:abstractNum>
  <w:abstractNum w:abstractNumId="1" w15:restartNumberingAfterBreak="0">
    <w:nsid w:val="05A70A2F"/>
    <w:multiLevelType w:val="hybridMultilevel"/>
    <w:tmpl w:val="C824C3CC"/>
    <w:lvl w:ilvl="0" w:tplc="84B80C2A">
      <w:start w:val="1"/>
      <w:numFmt w:val="lowerLetter"/>
      <w:lvlText w:val="(%1)"/>
      <w:lvlJc w:val="left"/>
      <w:pPr>
        <w:ind w:left="2174"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4D2104"/>
    <w:multiLevelType w:val="multilevel"/>
    <w:tmpl w:val="82F0A0DC"/>
    <w:lvl w:ilvl="0">
      <w:start w:val="1"/>
      <w:numFmt w:val="bullet"/>
      <w:lvlText w:val=""/>
      <w:lvlPicBulletId w:val="1"/>
      <w:lvlJc w:val="left"/>
      <w:pPr>
        <w:tabs>
          <w:tab w:val="num" w:pos="720"/>
        </w:tabs>
        <w:ind w:left="720" w:hanging="360"/>
      </w:pPr>
      <w:rPr>
        <w:rFonts w:ascii="Symbol" w:hAnsi="Symbol"/>
      </w:rPr>
    </w:lvl>
    <w:lvl w:ilvl="1">
      <w:start w:val="1"/>
      <w:numFmt w:val="bullet"/>
      <w:lvlText w:val=""/>
      <w:lvlJc w:val="left"/>
      <w:pPr>
        <w:tabs>
          <w:tab w:val="num" w:pos="1440"/>
        </w:tabs>
        <w:ind w:left="1440" w:hanging="360"/>
      </w:pPr>
      <w:rPr>
        <w:rFonts w:ascii="Symbol" w:hAnsi="Symbol"/>
      </w:rPr>
    </w:lvl>
    <w:lvl w:ilvl="2">
      <w:start w:val="1"/>
      <w:numFmt w:val="bullet"/>
      <w:lvlText w:val=""/>
      <w:lvlJc w:val="left"/>
      <w:pPr>
        <w:tabs>
          <w:tab w:val="num" w:pos="2160"/>
        </w:tabs>
        <w:ind w:left="2160" w:hanging="360"/>
      </w:pPr>
      <w:rPr>
        <w:rFonts w:ascii="Symbol" w:hAnsi="Symbol"/>
      </w:rPr>
    </w:lvl>
    <w:lvl w:ilvl="3">
      <w:start w:val="1"/>
      <w:numFmt w:val="bullet"/>
      <w:lvlText w:val=""/>
      <w:lvlJc w:val="left"/>
      <w:pPr>
        <w:tabs>
          <w:tab w:val="num" w:pos="2880"/>
        </w:tabs>
        <w:ind w:left="2880" w:hanging="360"/>
      </w:pPr>
      <w:rPr>
        <w:rFonts w:ascii="Symbol" w:hAnsi="Symbol"/>
      </w:rPr>
    </w:lvl>
    <w:lvl w:ilvl="4">
      <w:start w:val="1"/>
      <w:numFmt w:val="bullet"/>
      <w:lvlText w:val=""/>
      <w:lvlJc w:val="left"/>
      <w:pPr>
        <w:tabs>
          <w:tab w:val="num" w:pos="3600"/>
        </w:tabs>
        <w:ind w:left="3600" w:hanging="360"/>
      </w:pPr>
      <w:rPr>
        <w:rFonts w:ascii="Symbol" w:hAnsi="Symbol"/>
      </w:rPr>
    </w:lvl>
    <w:lvl w:ilvl="5">
      <w:start w:val="1"/>
      <w:numFmt w:val="bullet"/>
      <w:lvlText w:val=""/>
      <w:lvlJc w:val="left"/>
      <w:pPr>
        <w:tabs>
          <w:tab w:val="num" w:pos="4320"/>
        </w:tabs>
        <w:ind w:left="4320" w:hanging="360"/>
      </w:pPr>
      <w:rPr>
        <w:rFonts w:ascii="Symbol" w:hAnsi="Symbol"/>
      </w:rPr>
    </w:lvl>
    <w:lvl w:ilvl="6">
      <w:start w:val="1"/>
      <w:numFmt w:val="bullet"/>
      <w:lvlText w:val=""/>
      <w:lvlJc w:val="left"/>
      <w:pPr>
        <w:tabs>
          <w:tab w:val="num" w:pos="5040"/>
        </w:tabs>
        <w:ind w:left="5040" w:hanging="360"/>
      </w:pPr>
      <w:rPr>
        <w:rFonts w:ascii="Symbol" w:hAnsi="Symbol"/>
      </w:rPr>
    </w:lvl>
    <w:lvl w:ilvl="7">
      <w:start w:val="1"/>
      <w:numFmt w:val="bullet"/>
      <w:lvlText w:val=""/>
      <w:lvlJc w:val="left"/>
      <w:pPr>
        <w:tabs>
          <w:tab w:val="num" w:pos="5760"/>
        </w:tabs>
        <w:ind w:left="5760" w:hanging="360"/>
      </w:pPr>
      <w:rPr>
        <w:rFonts w:ascii="Symbol" w:hAnsi="Symbol"/>
      </w:rPr>
    </w:lvl>
    <w:lvl w:ilvl="8">
      <w:start w:val="1"/>
      <w:numFmt w:val="bullet"/>
      <w:lvlText w:val=""/>
      <w:lvlJc w:val="left"/>
      <w:pPr>
        <w:tabs>
          <w:tab w:val="num" w:pos="6480"/>
        </w:tabs>
        <w:ind w:left="6480" w:hanging="360"/>
      </w:pPr>
      <w:rPr>
        <w:rFonts w:ascii="Symbol" w:hAnsi="Symbol"/>
      </w:rPr>
    </w:lvl>
  </w:abstractNum>
  <w:abstractNum w:abstractNumId="3" w15:restartNumberingAfterBreak="0">
    <w:nsid w:val="105D7034"/>
    <w:multiLevelType w:val="multilevel"/>
    <w:tmpl w:val="A102325C"/>
    <w:lvl w:ilvl="0">
      <w:start w:val="1"/>
      <w:numFmt w:val="bullet"/>
      <w:lvlText w:val=""/>
      <w:lvlPicBulletId w:val="1"/>
      <w:lvlJc w:val="left"/>
      <w:pPr>
        <w:tabs>
          <w:tab w:val="num" w:pos="720"/>
        </w:tabs>
        <w:ind w:left="720" w:hanging="360"/>
      </w:pPr>
      <w:rPr>
        <w:rFonts w:ascii="Symbol" w:hAnsi="Symbol"/>
      </w:rPr>
    </w:lvl>
    <w:lvl w:ilvl="1">
      <w:start w:val="1"/>
      <w:numFmt w:val="bullet"/>
      <w:lvlText w:val=""/>
      <w:lvlJc w:val="left"/>
      <w:pPr>
        <w:tabs>
          <w:tab w:val="num" w:pos="1440"/>
        </w:tabs>
        <w:ind w:left="1440" w:hanging="360"/>
      </w:pPr>
      <w:rPr>
        <w:rFonts w:ascii="Symbol" w:hAnsi="Symbol"/>
      </w:rPr>
    </w:lvl>
    <w:lvl w:ilvl="2">
      <w:start w:val="1"/>
      <w:numFmt w:val="bullet"/>
      <w:lvlText w:val=""/>
      <w:lvlJc w:val="left"/>
      <w:pPr>
        <w:tabs>
          <w:tab w:val="num" w:pos="2160"/>
        </w:tabs>
        <w:ind w:left="2160" w:hanging="360"/>
      </w:pPr>
      <w:rPr>
        <w:rFonts w:ascii="Symbol" w:hAnsi="Symbol"/>
      </w:rPr>
    </w:lvl>
    <w:lvl w:ilvl="3">
      <w:start w:val="1"/>
      <w:numFmt w:val="bullet"/>
      <w:lvlText w:val=""/>
      <w:lvlJc w:val="left"/>
      <w:pPr>
        <w:tabs>
          <w:tab w:val="num" w:pos="2880"/>
        </w:tabs>
        <w:ind w:left="2880" w:hanging="360"/>
      </w:pPr>
      <w:rPr>
        <w:rFonts w:ascii="Symbol" w:hAnsi="Symbol"/>
      </w:rPr>
    </w:lvl>
    <w:lvl w:ilvl="4">
      <w:start w:val="1"/>
      <w:numFmt w:val="bullet"/>
      <w:lvlText w:val=""/>
      <w:lvlJc w:val="left"/>
      <w:pPr>
        <w:tabs>
          <w:tab w:val="num" w:pos="3600"/>
        </w:tabs>
        <w:ind w:left="3600" w:hanging="360"/>
      </w:pPr>
      <w:rPr>
        <w:rFonts w:ascii="Symbol" w:hAnsi="Symbol"/>
      </w:rPr>
    </w:lvl>
    <w:lvl w:ilvl="5">
      <w:start w:val="1"/>
      <w:numFmt w:val="bullet"/>
      <w:lvlText w:val=""/>
      <w:lvlJc w:val="left"/>
      <w:pPr>
        <w:tabs>
          <w:tab w:val="num" w:pos="4320"/>
        </w:tabs>
        <w:ind w:left="4320" w:hanging="360"/>
      </w:pPr>
      <w:rPr>
        <w:rFonts w:ascii="Symbol" w:hAnsi="Symbol"/>
      </w:rPr>
    </w:lvl>
    <w:lvl w:ilvl="6">
      <w:start w:val="1"/>
      <w:numFmt w:val="bullet"/>
      <w:lvlText w:val=""/>
      <w:lvlJc w:val="left"/>
      <w:pPr>
        <w:tabs>
          <w:tab w:val="num" w:pos="5040"/>
        </w:tabs>
        <w:ind w:left="5040" w:hanging="360"/>
      </w:pPr>
      <w:rPr>
        <w:rFonts w:ascii="Symbol" w:hAnsi="Symbol"/>
      </w:rPr>
    </w:lvl>
    <w:lvl w:ilvl="7">
      <w:start w:val="1"/>
      <w:numFmt w:val="bullet"/>
      <w:lvlText w:val=""/>
      <w:lvlJc w:val="left"/>
      <w:pPr>
        <w:tabs>
          <w:tab w:val="num" w:pos="5760"/>
        </w:tabs>
        <w:ind w:left="5760" w:hanging="360"/>
      </w:pPr>
      <w:rPr>
        <w:rFonts w:ascii="Symbol" w:hAnsi="Symbol"/>
      </w:rPr>
    </w:lvl>
    <w:lvl w:ilvl="8">
      <w:start w:val="1"/>
      <w:numFmt w:val="bullet"/>
      <w:lvlText w:val=""/>
      <w:lvlJc w:val="left"/>
      <w:pPr>
        <w:tabs>
          <w:tab w:val="num" w:pos="6480"/>
        </w:tabs>
        <w:ind w:left="6480" w:hanging="360"/>
      </w:pPr>
      <w:rPr>
        <w:rFonts w:ascii="Symbol" w:hAnsi="Symbol"/>
      </w:rPr>
    </w:lvl>
  </w:abstractNum>
  <w:abstractNum w:abstractNumId="4" w15:restartNumberingAfterBreak="0">
    <w:nsid w:val="154B18D6"/>
    <w:multiLevelType w:val="hybridMultilevel"/>
    <w:tmpl w:val="084A7D70"/>
    <w:lvl w:ilvl="0" w:tplc="96D60A54">
      <w:start w:val="1"/>
      <w:numFmt w:val="bullet"/>
      <w:lvlText w:val=""/>
      <w:lvlJc w:val="left"/>
      <w:pPr>
        <w:ind w:left="720" w:hanging="360"/>
      </w:pPr>
      <w:rPr>
        <w:rFonts w:ascii="Wingdings" w:hAnsi="Wingdings"/>
        <w:b/>
        <w:i w:val="0"/>
        <w:color w:val="FF0000"/>
        <w:sz w:val="18"/>
      </w:rPr>
    </w:lvl>
    <w:lvl w:ilvl="1" w:tplc="7610E30A">
      <w:start w:val="1"/>
      <w:numFmt w:val="bullet"/>
      <w:lvlText w:val="o"/>
      <w:lvlJc w:val="left"/>
      <w:pPr>
        <w:ind w:left="1440" w:hanging="360"/>
      </w:pPr>
      <w:rPr>
        <w:rFonts w:ascii="Courier New" w:hAnsi="Courier New" w:cs="Courier New"/>
      </w:rPr>
    </w:lvl>
    <w:lvl w:ilvl="2" w:tplc="7968F25E">
      <w:start w:val="1"/>
      <w:numFmt w:val="bullet"/>
      <w:lvlText w:val=""/>
      <w:lvlJc w:val="left"/>
      <w:pPr>
        <w:ind w:left="2160" w:hanging="360"/>
      </w:pPr>
      <w:rPr>
        <w:rFonts w:ascii="Wingdings" w:hAnsi="Wingdings"/>
      </w:rPr>
    </w:lvl>
    <w:lvl w:ilvl="3" w:tplc="7FA2ED40">
      <w:start w:val="1"/>
      <w:numFmt w:val="bullet"/>
      <w:lvlText w:val=""/>
      <w:lvlJc w:val="left"/>
      <w:pPr>
        <w:ind w:left="2880" w:hanging="360"/>
      </w:pPr>
      <w:rPr>
        <w:rFonts w:ascii="Symbol" w:hAnsi="Symbol"/>
      </w:rPr>
    </w:lvl>
    <w:lvl w:ilvl="4" w:tplc="6ABAC890">
      <w:start w:val="1"/>
      <w:numFmt w:val="bullet"/>
      <w:lvlText w:val="o"/>
      <w:lvlJc w:val="left"/>
      <w:pPr>
        <w:ind w:left="3600" w:hanging="360"/>
      </w:pPr>
      <w:rPr>
        <w:rFonts w:ascii="Courier New" w:hAnsi="Courier New" w:cs="Courier New"/>
      </w:rPr>
    </w:lvl>
    <w:lvl w:ilvl="5" w:tplc="B574BEF6">
      <w:start w:val="1"/>
      <w:numFmt w:val="bullet"/>
      <w:lvlText w:val=""/>
      <w:lvlJc w:val="left"/>
      <w:pPr>
        <w:ind w:left="4320" w:hanging="360"/>
      </w:pPr>
      <w:rPr>
        <w:rFonts w:ascii="Wingdings" w:hAnsi="Wingdings"/>
      </w:rPr>
    </w:lvl>
    <w:lvl w:ilvl="6" w:tplc="9AA2E1E2">
      <w:start w:val="1"/>
      <w:numFmt w:val="bullet"/>
      <w:lvlText w:val=""/>
      <w:lvlJc w:val="left"/>
      <w:pPr>
        <w:ind w:left="5040" w:hanging="360"/>
      </w:pPr>
      <w:rPr>
        <w:rFonts w:ascii="Symbol" w:hAnsi="Symbol"/>
      </w:rPr>
    </w:lvl>
    <w:lvl w:ilvl="7" w:tplc="1F98787E">
      <w:start w:val="1"/>
      <w:numFmt w:val="bullet"/>
      <w:lvlText w:val="o"/>
      <w:lvlJc w:val="left"/>
      <w:pPr>
        <w:ind w:left="5760" w:hanging="360"/>
      </w:pPr>
      <w:rPr>
        <w:rFonts w:ascii="Courier New" w:hAnsi="Courier New" w:cs="Courier New"/>
      </w:rPr>
    </w:lvl>
    <w:lvl w:ilvl="8" w:tplc="1680A77A">
      <w:start w:val="1"/>
      <w:numFmt w:val="bullet"/>
      <w:lvlText w:val=""/>
      <w:lvlJc w:val="left"/>
      <w:pPr>
        <w:ind w:left="6480" w:hanging="360"/>
      </w:pPr>
      <w:rPr>
        <w:rFonts w:ascii="Wingdings" w:hAnsi="Wingdings"/>
      </w:rPr>
    </w:lvl>
  </w:abstractNum>
  <w:abstractNum w:abstractNumId="5" w15:restartNumberingAfterBreak="0">
    <w:nsid w:val="156631CD"/>
    <w:multiLevelType w:val="hybridMultilevel"/>
    <w:tmpl w:val="9F308CDC"/>
    <w:lvl w:ilvl="0" w:tplc="4FA4B7CC">
      <w:start w:val="1"/>
      <w:numFmt w:val="bullet"/>
      <w:lvlText w:val=""/>
      <w:lvlJc w:val="left"/>
      <w:pPr>
        <w:tabs>
          <w:tab w:val="num" w:pos="340"/>
        </w:tabs>
        <w:ind w:left="0" w:firstLine="0"/>
      </w:pPr>
      <w:rPr>
        <w:rFonts w:ascii="Wingdings" w:hAnsi="Wingdings"/>
        <w:b w:val="0"/>
        <w:i w:val="0"/>
        <w:color w:val="FF0000"/>
        <w:spacing w:val="0"/>
        <w:sz w:val="24"/>
      </w:rPr>
    </w:lvl>
    <w:lvl w:ilvl="1" w:tplc="B192E29C">
      <w:start w:val="1"/>
      <w:numFmt w:val="bullet"/>
      <w:lvlText w:val="o"/>
      <w:lvlJc w:val="left"/>
      <w:pPr>
        <w:tabs>
          <w:tab w:val="num" w:pos="1440"/>
        </w:tabs>
        <w:ind w:left="1440" w:hanging="360"/>
      </w:pPr>
      <w:rPr>
        <w:rFonts w:ascii="Courier New" w:hAnsi="Courier New" w:cs="Courier New"/>
      </w:rPr>
    </w:lvl>
    <w:lvl w:ilvl="2" w:tplc="2C226184">
      <w:start w:val="1"/>
      <w:numFmt w:val="bullet"/>
      <w:lvlText w:val=""/>
      <w:lvlJc w:val="left"/>
      <w:pPr>
        <w:tabs>
          <w:tab w:val="num" w:pos="2160"/>
        </w:tabs>
        <w:ind w:left="2160" w:hanging="360"/>
      </w:pPr>
      <w:rPr>
        <w:rFonts w:ascii="Wingdings" w:hAnsi="Wingdings"/>
      </w:rPr>
    </w:lvl>
    <w:lvl w:ilvl="3" w:tplc="6B40F0A8">
      <w:start w:val="1"/>
      <w:numFmt w:val="bullet"/>
      <w:lvlText w:val=""/>
      <w:lvlJc w:val="left"/>
      <w:pPr>
        <w:tabs>
          <w:tab w:val="num" w:pos="2880"/>
        </w:tabs>
        <w:ind w:left="2880" w:hanging="360"/>
      </w:pPr>
      <w:rPr>
        <w:rFonts w:ascii="Symbol" w:hAnsi="Symbol"/>
      </w:rPr>
    </w:lvl>
    <w:lvl w:ilvl="4" w:tplc="08FAD4F6">
      <w:start w:val="1"/>
      <w:numFmt w:val="bullet"/>
      <w:lvlText w:val="o"/>
      <w:lvlJc w:val="left"/>
      <w:pPr>
        <w:tabs>
          <w:tab w:val="num" w:pos="3600"/>
        </w:tabs>
        <w:ind w:left="3600" w:hanging="360"/>
      </w:pPr>
      <w:rPr>
        <w:rFonts w:ascii="Courier New" w:hAnsi="Courier New" w:cs="Courier New"/>
      </w:rPr>
    </w:lvl>
    <w:lvl w:ilvl="5" w:tplc="6E74C1D4">
      <w:start w:val="1"/>
      <w:numFmt w:val="bullet"/>
      <w:lvlText w:val=""/>
      <w:lvlJc w:val="left"/>
      <w:pPr>
        <w:tabs>
          <w:tab w:val="num" w:pos="4320"/>
        </w:tabs>
        <w:ind w:left="4320" w:hanging="360"/>
      </w:pPr>
      <w:rPr>
        <w:rFonts w:ascii="Wingdings" w:hAnsi="Wingdings"/>
      </w:rPr>
    </w:lvl>
    <w:lvl w:ilvl="6" w:tplc="58FAFDA6">
      <w:start w:val="1"/>
      <w:numFmt w:val="bullet"/>
      <w:lvlText w:val=""/>
      <w:lvlJc w:val="left"/>
      <w:pPr>
        <w:tabs>
          <w:tab w:val="num" w:pos="5040"/>
        </w:tabs>
        <w:ind w:left="5040" w:hanging="360"/>
      </w:pPr>
      <w:rPr>
        <w:rFonts w:ascii="Symbol" w:hAnsi="Symbol"/>
      </w:rPr>
    </w:lvl>
    <w:lvl w:ilvl="7" w:tplc="87DC7F2C">
      <w:start w:val="1"/>
      <w:numFmt w:val="bullet"/>
      <w:lvlText w:val="o"/>
      <w:lvlJc w:val="left"/>
      <w:pPr>
        <w:tabs>
          <w:tab w:val="num" w:pos="5760"/>
        </w:tabs>
        <w:ind w:left="5760" w:hanging="360"/>
      </w:pPr>
      <w:rPr>
        <w:rFonts w:ascii="Courier New" w:hAnsi="Courier New" w:cs="Courier New"/>
      </w:rPr>
    </w:lvl>
    <w:lvl w:ilvl="8" w:tplc="38240A62">
      <w:start w:val="1"/>
      <w:numFmt w:val="bullet"/>
      <w:lvlText w:val=""/>
      <w:lvlJc w:val="left"/>
      <w:pPr>
        <w:tabs>
          <w:tab w:val="num" w:pos="6480"/>
        </w:tabs>
        <w:ind w:left="6480" w:hanging="360"/>
      </w:pPr>
      <w:rPr>
        <w:rFonts w:ascii="Wingdings" w:hAnsi="Wingdings"/>
      </w:rPr>
    </w:lvl>
  </w:abstractNum>
  <w:abstractNum w:abstractNumId="6" w15:restartNumberingAfterBreak="0">
    <w:nsid w:val="16B421E4"/>
    <w:multiLevelType w:val="hybridMultilevel"/>
    <w:tmpl w:val="C10466C8"/>
    <w:lvl w:ilvl="0" w:tplc="E77AB5FC">
      <w:start w:val="1"/>
      <w:numFmt w:val="lowerLetter"/>
      <w:lvlText w:val="(%1)"/>
      <w:lvlJc w:val="left"/>
      <w:pPr>
        <w:ind w:left="360" w:hanging="360"/>
      </w:pPr>
      <w:rPr>
        <w:rFonts w:cs="Times New Roman"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C220CBC"/>
    <w:multiLevelType w:val="hybridMultilevel"/>
    <w:tmpl w:val="8692084A"/>
    <w:lvl w:ilvl="0" w:tplc="50F40AD4">
      <w:start w:val="1"/>
      <w:numFmt w:val="bullet"/>
      <w:lvlText w:val=""/>
      <w:lvlPicBulletId w:val="0"/>
      <w:lvlJc w:val="left"/>
      <w:pPr>
        <w:tabs>
          <w:tab w:val="num" w:pos="2534"/>
        </w:tabs>
        <w:ind w:left="2534" w:hanging="360"/>
      </w:pPr>
      <w:rPr>
        <w:rFonts w:ascii="Symbol" w:hAnsi="Symbol"/>
        <w:color w:val="E42618"/>
      </w:rPr>
    </w:lvl>
    <w:lvl w:ilvl="1" w:tplc="A6EC593C">
      <w:start w:val="1"/>
      <w:numFmt w:val="bullet"/>
      <w:lvlText w:val="o"/>
      <w:lvlJc w:val="left"/>
      <w:pPr>
        <w:tabs>
          <w:tab w:val="num" w:pos="3254"/>
        </w:tabs>
        <w:ind w:left="3254" w:hanging="360"/>
      </w:pPr>
      <w:rPr>
        <w:rFonts w:ascii="Courier New" w:hAnsi="Courier New"/>
      </w:rPr>
    </w:lvl>
    <w:lvl w:ilvl="2" w:tplc="ECD6587A">
      <w:start w:val="1"/>
      <w:numFmt w:val="bullet"/>
      <w:lvlText w:val=""/>
      <w:lvlJc w:val="left"/>
      <w:pPr>
        <w:tabs>
          <w:tab w:val="num" w:pos="3974"/>
        </w:tabs>
        <w:ind w:left="3974" w:hanging="360"/>
      </w:pPr>
      <w:rPr>
        <w:rFonts w:ascii="Wingdings" w:hAnsi="Wingdings"/>
      </w:rPr>
    </w:lvl>
    <w:lvl w:ilvl="3" w:tplc="C53292A2">
      <w:start w:val="1"/>
      <w:numFmt w:val="bullet"/>
      <w:lvlText w:val=""/>
      <w:lvlJc w:val="left"/>
      <w:pPr>
        <w:tabs>
          <w:tab w:val="num" w:pos="4694"/>
        </w:tabs>
        <w:ind w:left="4694" w:hanging="360"/>
      </w:pPr>
      <w:rPr>
        <w:rFonts w:ascii="Symbol" w:hAnsi="Symbol"/>
      </w:rPr>
    </w:lvl>
    <w:lvl w:ilvl="4" w:tplc="B9B4DC82">
      <w:start w:val="1"/>
      <w:numFmt w:val="bullet"/>
      <w:lvlText w:val="o"/>
      <w:lvlJc w:val="left"/>
      <w:pPr>
        <w:tabs>
          <w:tab w:val="num" w:pos="5414"/>
        </w:tabs>
        <w:ind w:left="5414" w:hanging="360"/>
      </w:pPr>
      <w:rPr>
        <w:rFonts w:ascii="Courier New" w:hAnsi="Courier New"/>
      </w:rPr>
    </w:lvl>
    <w:lvl w:ilvl="5" w:tplc="17E04826">
      <w:start w:val="1"/>
      <w:numFmt w:val="bullet"/>
      <w:lvlText w:val=""/>
      <w:lvlJc w:val="left"/>
      <w:pPr>
        <w:tabs>
          <w:tab w:val="num" w:pos="6134"/>
        </w:tabs>
        <w:ind w:left="6134" w:hanging="360"/>
      </w:pPr>
      <w:rPr>
        <w:rFonts w:ascii="Wingdings" w:hAnsi="Wingdings"/>
      </w:rPr>
    </w:lvl>
    <w:lvl w:ilvl="6" w:tplc="272AC674">
      <w:start w:val="1"/>
      <w:numFmt w:val="bullet"/>
      <w:lvlText w:val=""/>
      <w:lvlJc w:val="left"/>
      <w:pPr>
        <w:tabs>
          <w:tab w:val="num" w:pos="6854"/>
        </w:tabs>
        <w:ind w:left="6854" w:hanging="360"/>
      </w:pPr>
      <w:rPr>
        <w:rFonts w:ascii="Symbol" w:hAnsi="Symbol"/>
      </w:rPr>
    </w:lvl>
    <w:lvl w:ilvl="7" w:tplc="EEC8FFCC">
      <w:start w:val="1"/>
      <w:numFmt w:val="bullet"/>
      <w:lvlText w:val="o"/>
      <w:lvlJc w:val="left"/>
      <w:pPr>
        <w:tabs>
          <w:tab w:val="num" w:pos="7574"/>
        </w:tabs>
        <w:ind w:left="7574" w:hanging="360"/>
      </w:pPr>
      <w:rPr>
        <w:rFonts w:ascii="Courier New" w:hAnsi="Courier New"/>
      </w:rPr>
    </w:lvl>
    <w:lvl w:ilvl="8" w:tplc="D6565836">
      <w:start w:val="1"/>
      <w:numFmt w:val="bullet"/>
      <w:lvlText w:val=""/>
      <w:lvlJc w:val="left"/>
      <w:pPr>
        <w:tabs>
          <w:tab w:val="num" w:pos="8294"/>
        </w:tabs>
        <w:ind w:left="8294" w:hanging="360"/>
      </w:pPr>
      <w:rPr>
        <w:rFonts w:ascii="Wingdings" w:hAnsi="Wingdings"/>
      </w:rPr>
    </w:lvl>
  </w:abstractNum>
  <w:abstractNum w:abstractNumId="8" w15:restartNumberingAfterBreak="0">
    <w:nsid w:val="1C24545E"/>
    <w:multiLevelType w:val="hybridMultilevel"/>
    <w:tmpl w:val="2BE66A3A"/>
    <w:lvl w:ilvl="0" w:tplc="6888BADE">
      <w:start w:val="1"/>
      <w:numFmt w:val="bullet"/>
      <w:lvlText w:val=""/>
      <w:lvlJc w:val="left"/>
      <w:pPr>
        <w:tabs>
          <w:tab w:val="num" w:pos="624"/>
        </w:tabs>
      </w:pPr>
      <w:rPr>
        <w:rFonts w:ascii="Webdings" w:hAnsi="Webdings" w:hint="default"/>
        <w:b w:val="0"/>
        <w:i w:val="0"/>
        <w:color w:val="E42618"/>
        <w:spacing w:val="0"/>
        <w:sz w:val="24"/>
        <w:szCs w:val="18"/>
      </w:rPr>
    </w:lvl>
    <w:lvl w:ilvl="1" w:tplc="E8FCC02E">
      <w:start w:val="1"/>
      <w:numFmt w:val="bullet"/>
      <w:lvlText w:val="o"/>
      <w:lvlJc w:val="left"/>
      <w:pPr>
        <w:tabs>
          <w:tab w:val="num" w:pos="1724"/>
        </w:tabs>
        <w:ind w:left="1724" w:hanging="360"/>
      </w:pPr>
      <w:rPr>
        <w:rFonts w:ascii="Courier New" w:hAnsi="Courier New"/>
      </w:rPr>
    </w:lvl>
    <w:lvl w:ilvl="2" w:tplc="57B2E412">
      <w:start w:val="1"/>
      <w:numFmt w:val="bullet"/>
      <w:lvlText w:val=""/>
      <w:lvlJc w:val="left"/>
      <w:pPr>
        <w:tabs>
          <w:tab w:val="num" w:pos="2444"/>
        </w:tabs>
        <w:ind w:left="2444" w:hanging="360"/>
      </w:pPr>
      <w:rPr>
        <w:rFonts w:ascii="Wingdings" w:hAnsi="Wingdings"/>
      </w:rPr>
    </w:lvl>
    <w:lvl w:ilvl="3" w:tplc="31BA2B30">
      <w:start w:val="1"/>
      <w:numFmt w:val="bullet"/>
      <w:lvlText w:val=""/>
      <w:lvlJc w:val="left"/>
      <w:pPr>
        <w:tabs>
          <w:tab w:val="num" w:pos="3164"/>
        </w:tabs>
        <w:ind w:left="3164" w:hanging="360"/>
      </w:pPr>
      <w:rPr>
        <w:rFonts w:ascii="Symbol" w:hAnsi="Symbol"/>
      </w:rPr>
    </w:lvl>
    <w:lvl w:ilvl="4" w:tplc="2C2276D6">
      <w:start w:val="1"/>
      <w:numFmt w:val="bullet"/>
      <w:lvlText w:val="o"/>
      <w:lvlJc w:val="left"/>
      <w:pPr>
        <w:tabs>
          <w:tab w:val="num" w:pos="3884"/>
        </w:tabs>
        <w:ind w:left="3884" w:hanging="360"/>
      </w:pPr>
      <w:rPr>
        <w:rFonts w:ascii="Courier New" w:hAnsi="Courier New"/>
      </w:rPr>
    </w:lvl>
    <w:lvl w:ilvl="5" w:tplc="85BACC6E">
      <w:start w:val="1"/>
      <w:numFmt w:val="bullet"/>
      <w:lvlText w:val=""/>
      <w:lvlJc w:val="left"/>
      <w:pPr>
        <w:tabs>
          <w:tab w:val="num" w:pos="4604"/>
        </w:tabs>
        <w:ind w:left="4604" w:hanging="360"/>
      </w:pPr>
      <w:rPr>
        <w:rFonts w:ascii="Wingdings" w:hAnsi="Wingdings"/>
      </w:rPr>
    </w:lvl>
    <w:lvl w:ilvl="6" w:tplc="1F3EF924">
      <w:start w:val="1"/>
      <w:numFmt w:val="bullet"/>
      <w:lvlText w:val=""/>
      <w:lvlJc w:val="left"/>
      <w:pPr>
        <w:tabs>
          <w:tab w:val="num" w:pos="5324"/>
        </w:tabs>
        <w:ind w:left="5324" w:hanging="360"/>
      </w:pPr>
      <w:rPr>
        <w:rFonts w:ascii="Symbol" w:hAnsi="Symbol"/>
      </w:rPr>
    </w:lvl>
    <w:lvl w:ilvl="7" w:tplc="6D82A608">
      <w:start w:val="1"/>
      <w:numFmt w:val="bullet"/>
      <w:lvlText w:val="o"/>
      <w:lvlJc w:val="left"/>
      <w:pPr>
        <w:tabs>
          <w:tab w:val="num" w:pos="6044"/>
        </w:tabs>
        <w:ind w:left="6044" w:hanging="360"/>
      </w:pPr>
      <w:rPr>
        <w:rFonts w:ascii="Courier New" w:hAnsi="Courier New"/>
      </w:rPr>
    </w:lvl>
    <w:lvl w:ilvl="8" w:tplc="11E84114">
      <w:start w:val="1"/>
      <w:numFmt w:val="bullet"/>
      <w:lvlText w:val=""/>
      <w:lvlJc w:val="left"/>
      <w:pPr>
        <w:tabs>
          <w:tab w:val="num" w:pos="6764"/>
        </w:tabs>
        <w:ind w:left="6764" w:hanging="360"/>
      </w:pPr>
      <w:rPr>
        <w:rFonts w:ascii="Wingdings" w:hAnsi="Wingdings"/>
      </w:rPr>
    </w:lvl>
  </w:abstractNum>
  <w:abstractNum w:abstractNumId="9" w15:restartNumberingAfterBreak="0">
    <w:nsid w:val="1E9E51FA"/>
    <w:multiLevelType w:val="hybridMultilevel"/>
    <w:tmpl w:val="5CE0707E"/>
    <w:lvl w:ilvl="0" w:tplc="FB4AE9E6">
      <w:start w:val="1"/>
      <w:numFmt w:val="bullet"/>
      <w:lvlText w:val=""/>
      <w:lvlPicBulletId w:val="0"/>
      <w:lvlJc w:val="left"/>
      <w:pPr>
        <w:tabs>
          <w:tab w:val="num" w:pos="720"/>
        </w:tabs>
        <w:ind w:left="720" w:hanging="360"/>
      </w:pPr>
      <w:rPr>
        <w:rFonts w:ascii="Symbol" w:hAnsi="Symbol"/>
      </w:rPr>
    </w:lvl>
    <w:lvl w:ilvl="1" w:tplc="9E9C2CD4">
      <w:start w:val="1"/>
      <w:numFmt w:val="bullet"/>
      <w:lvlText w:val=""/>
      <w:lvlJc w:val="left"/>
      <w:pPr>
        <w:tabs>
          <w:tab w:val="num" w:pos="1440"/>
        </w:tabs>
        <w:ind w:left="1440" w:hanging="360"/>
      </w:pPr>
      <w:rPr>
        <w:rFonts w:ascii="Symbol" w:hAnsi="Symbol"/>
      </w:rPr>
    </w:lvl>
    <w:lvl w:ilvl="2" w:tplc="296A2E42">
      <w:start w:val="1"/>
      <w:numFmt w:val="bullet"/>
      <w:lvlText w:val=""/>
      <w:lvlJc w:val="left"/>
      <w:pPr>
        <w:tabs>
          <w:tab w:val="num" w:pos="2160"/>
        </w:tabs>
        <w:ind w:left="2160" w:hanging="360"/>
      </w:pPr>
      <w:rPr>
        <w:rFonts w:ascii="Symbol" w:hAnsi="Symbol"/>
      </w:rPr>
    </w:lvl>
    <w:lvl w:ilvl="3" w:tplc="17DA73F2">
      <w:start w:val="1"/>
      <w:numFmt w:val="bullet"/>
      <w:lvlText w:val=""/>
      <w:lvlJc w:val="left"/>
      <w:pPr>
        <w:tabs>
          <w:tab w:val="num" w:pos="2880"/>
        </w:tabs>
        <w:ind w:left="2880" w:hanging="360"/>
      </w:pPr>
      <w:rPr>
        <w:rFonts w:ascii="Symbol" w:hAnsi="Symbol"/>
      </w:rPr>
    </w:lvl>
    <w:lvl w:ilvl="4" w:tplc="7BDAF212">
      <w:start w:val="1"/>
      <w:numFmt w:val="bullet"/>
      <w:lvlText w:val=""/>
      <w:lvlJc w:val="left"/>
      <w:pPr>
        <w:tabs>
          <w:tab w:val="num" w:pos="3600"/>
        </w:tabs>
        <w:ind w:left="3600" w:hanging="360"/>
      </w:pPr>
      <w:rPr>
        <w:rFonts w:ascii="Symbol" w:hAnsi="Symbol"/>
      </w:rPr>
    </w:lvl>
    <w:lvl w:ilvl="5" w:tplc="5E148CD4">
      <w:start w:val="1"/>
      <w:numFmt w:val="bullet"/>
      <w:lvlText w:val=""/>
      <w:lvlJc w:val="left"/>
      <w:pPr>
        <w:tabs>
          <w:tab w:val="num" w:pos="4320"/>
        </w:tabs>
        <w:ind w:left="4320" w:hanging="360"/>
      </w:pPr>
      <w:rPr>
        <w:rFonts w:ascii="Symbol" w:hAnsi="Symbol"/>
      </w:rPr>
    </w:lvl>
    <w:lvl w:ilvl="6" w:tplc="022E1762">
      <w:start w:val="1"/>
      <w:numFmt w:val="bullet"/>
      <w:lvlText w:val=""/>
      <w:lvlJc w:val="left"/>
      <w:pPr>
        <w:tabs>
          <w:tab w:val="num" w:pos="5040"/>
        </w:tabs>
        <w:ind w:left="5040" w:hanging="360"/>
      </w:pPr>
      <w:rPr>
        <w:rFonts w:ascii="Symbol" w:hAnsi="Symbol"/>
      </w:rPr>
    </w:lvl>
    <w:lvl w:ilvl="7" w:tplc="6B366274">
      <w:start w:val="1"/>
      <w:numFmt w:val="bullet"/>
      <w:lvlText w:val=""/>
      <w:lvlJc w:val="left"/>
      <w:pPr>
        <w:tabs>
          <w:tab w:val="num" w:pos="5760"/>
        </w:tabs>
        <w:ind w:left="5760" w:hanging="360"/>
      </w:pPr>
      <w:rPr>
        <w:rFonts w:ascii="Symbol" w:hAnsi="Symbol"/>
      </w:rPr>
    </w:lvl>
    <w:lvl w:ilvl="8" w:tplc="8D06C764">
      <w:start w:val="1"/>
      <w:numFmt w:val="bullet"/>
      <w:lvlText w:val=""/>
      <w:lvlJc w:val="left"/>
      <w:pPr>
        <w:tabs>
          <w:tab w:val="num" w:pos="6480"/>
        </w:tabs>
        <w:ind w:left="6480" w:hanging="360"/>
      </w:pPr>
      <w:rPr>
        <w:rFonts w:ascii="Symbol" w:hAnsi="Symbol"/>
      </w:rPr>
    </w:lvl>
  </w:abstractNum>
  <w:abstractNum w:abstractNumId="10" w15:restartNumberingAfterBreak="0">
    <w:nsid w:val="21892FCA"/>
    <w:multiLevelType w:val="hybridMultilevel"/>
    <w:tmpl w:val="19564044"/>
    <w:lvl w:ilvl="0" w:tplc="F5CE9E4A">
      <w:start w:val="1"/>
      <w:numFmt w:val="bullet"/>
      <w:lvlText w:val=""/>
      <w:lvlPicBulletId w:val="0"/>
      <w:lvlJc w:val="left"/>
      <w:pPr>
        <w:tabs>
          <w:tab w:val="num" w:pos="720"/>
        </w:tabs>
        <w:ind w:left="720" w:hanging="360"/>
      </w:pPr>
      <w:rPr>
        <w:rFonts w:ascii="Symbol" w:hAnsi="Symbol"/>
      </w:rPr>
    </w:lvl>
    <w:lvl w:ilvl="1" w:tplc="EEE2048A">
      <w:start w:val="1"/>
      <w:numFmt w:val="bullet"/>
      <w:lvlText w:val=""/>
      <w:lvlJc w:val="left"/>
      <w:pPr>
        <w:tabs>
          <w:tab w:val="num" w:pos="1440"/>
        </w:tabs>
        <w:ind w:left="1440" w:hanging="360"/>
      </w:pPr>
      <w:rPr>
        <w:rFonts w:ascii="Symbol" w:hAnsi="Symbol"/>
      </w:rPr>
    </w:lvl>
    <w:lvl w:ilvl="2" w:tplc="8A764058">
      <w:start w:val="1"/>
      <w:numFmt w:val="bullet"/>
      <w:lvlText w:val=""/>
      <w:lvlJc w:val="left"/>
      <w:pPr>
        <w:tabs>
          <w:tab w:val="num" w:pos="2160"/>
        </w:tabs>
        <w:ind w:left="2160" w:hanging="360"/>
      </w:pPr>
      <w:rPr>
        <w:rFonts w:ascii="Symbol" w:hAnsi="Symbol"/>
      </w:rPr>
    </w:lvl>
    <w:lvl w:ilvl="3" w:tplc="C49E8544">
      <w:start w:val="1"/>
      <w:numFmt w:val="bullet"/>
      <w:lvlText w:val=""/>
      <w:lvlJc w:val="left"/>
      <w:pPr>
        <w:tabs>
          <w:tab w:val="num" w:pos="2880"/>
        </w:tabs>
        <w:ind w:left="2880" w:hanging="360"/>
      </w:pPr>
      <w:rPr>
        <w:rFonts w:ascii="Symbol" w:hAnsi="Symbol"/>
      </w:rPr>
    </w:lvl>
    <w:lvl w:ilvl="4" w:tplc="216EFBF8">
      <w:start w:val="1"/>
      <w:numFmt w:val="bullet"/>
      <w:lvlText w:val=""/>
      <w:lvlJc w:val="left"/>
      <w:pPr>
        <w:tabs>
          <w:tab w:val="num" w:pos="3600"/>
        </w:tabs>
        <w:ind w:left="3600" w:hanging="360"/>
      </w:pPr>
      <w:rPr>
        <w:rFonts w:ascii="Symbol" w:hAnsi="Symbol"/>
      </w:rPr>
    </w:lvl>
    <w:lvl w:ilvl="5" w:tplc="DFD23F68">
      <w:start w:val="1"/>
      <w:numFmt w:val="bullet"/>
      <w:lvlText w:val=""/>
      <w:lvlJc w:val="left"/>
      <w:pPr>
        <w:tabs>
          <w:tab w:val="num" w:pos="4320"/>
        </w:tabs>
        <w:ind w:left="4320" w:hanging="360"/>
      </w:pPr>
      <w:rPr>
        <w:rFonts w:ascii="Symbol" w:hAnsi="Symbol"/>
      </w:rPr>
    </w:lvl>
    <w:lvl w:ilvl="6" w:tplc="D6E22452">
      <w:start w:val="1"/>
      <w:numFmt w:val="bullet"/>
      <w:lvlText w:val=""/>
      <w:lvlJc w:val="left"/>
      <w:pPr>
        <w:tabs>
          <w:tab w:val="num" w:pos="5040"/>
        </w:tabs>
        <w:ind w:left="5040" w:hanging="360"/>
      </w:pPr>
      <w:rPr>
        <w:rFonts w:ascii="Symbol" w:hAnsi="Symbol"/>
      </w:rPr>
    </w:lvl>
    <w:lvl w:ilvl="7" w:tplc="C740704A">
      <w:start w:val="1"/>
      <w:numFmt w:val="bullet"/>
      <w:lvlText w:val=""/>
      <w:lvlJc w:val="left"/>
      <w:pPr>
        <w:tabs>
          <w:tab w:val="num" w:pos="5760"/>
        </w:tabs>
        <w:ind w:left="5760" w:hanging="360"/>
      </w:pPr>
      <w:rPr>
        <w:rFonts w:ascii="Symbol" w:hAnsi="Symbol"/>
      </w:rPr>
    </w:lvl>
    <w:lvl w:ilvl="8" w:tplc="1EDAD48A">
      <w:start w:val="1"/>
      <w:numFmt w:val="bullet"/>
      <w:lvlText w:val=""/>
      <w:lvlJc w:val="left"/>
      <w:pPr>
        <w:tabs>
          <w:tab w:val="num" w:pos="6480"/>
        </w:tabs>
        <w:ind w:left="6480" w:hanging="360"/>
      </w:pPr>
      <w:rPr>
        <w:rFonts w:ascii="Symbol" w:hAnsi="Symbol"/>
      </w:rPr>
    </w:lvl>
  </w:abstractNum>
  <w:abstractNum w:abstractNumId="11" w15:restartNumberingAfterBreak="0">
    <w:nsid w:val="225D021C"/>
    <w:multiLevelType w:val="hybridMultilevel"/>
    <w:tmpl w:val="35321296"/>
    <w:lvl w:ilvl="0" w:tplc="7EFCE64A">
      <w:start w:val="1"/>
      <w:numFmt w:val="bullet"/>
      <w:lvlText w:val=""/>
      <w:lvlJc w:val="left"/>
      <w:pPr>
        <w:tabs>
          <w:tab w:val="num" w:pos="720"/>
        </w:tabs>
        <w:ind w:left="720" w:hanging="360"/>
      </w:pPr>
      <w:rPr>
        <w:rFonts w:ascii="Symbol" w:hAnsi="Symbol"/>
      </w:rPr>
    </w:lvl>
    <w:lvl w:ilvl="1" w:tplc="581225C4">
      <w:start w:val="1"/>
      <w:numFmt w:val="lowerLetter"/>
      <w:lvlText w:val="%2."/>
      <w:lvlJc w:val="left"/>
      <w:pPr>
        <w:tabs>
          <w:tab w:val="num" w:pos="1440"/>
        </w:tabs>
        <w:ind w:left="1440" w:hanging="360"/>
      </w:pPr>
    </w:lvl>
    <w:lvl w:ilvl="2" w:tplc="5E4E34D8">
      <w:start w:val="1"/>
      <w:numFmt w:val="lowerRoman"/>
      <w:lvlText w:val="%3."/>
      <w:lvlJc w:val="right"/>
      <w:pPr>
        <w:tabs>
          <w:tab w:val="num" w:pos="2160"/>
        </w:tabs>
        <w:ind w:left="2160" w:hanging="180"/>
      </w:pPr>
    </w:lvl>
    <w:lvl w:ilvl="3" w:tplc="89445CDC">
      <w:start w:val="1"/>
      <w:numFmt w:val="decimal"/>
      <w:lvlText w:val="%4."/>
      <w:lvlJc w:val="left"/>
      <w:pPr>
        <w:tabs>
          <w:tab w:val="num" w:pos="2880"/>
        </w:tabs>
        <w:ind w:left="2880" w:hanging="360"/>
      </w:pPr>
    </w:lvl>
    <w:lvl w:ilvl="4" w:tplc="E18A12BA">
      <w:start w:val="1"/>
      <w:numFmt w:val="lowerLetter"/>
      <w:lvlText w:val="%5."/>
      <w:lvlJc w:val="left"/>
      <w:pPr>
        <w:tabs>
          <w:tab w:val="num" w:pos="3600"/>
        </w:tabs>
        <w:ind w:left="3600" w:hanging="360"/>
      </w:pPr>
    </w:lvl>
    <w:lvl w:ilvl="5" w:tplc="E686378C">
      <w:start w:val="1"/>
      <w:numFmt w:val="lowerRoman"/>
      <w:lvlText w:val="%6."/>
      <w:lvlJc w:val="right"/>
      <w:pPr>
        <w:tabs>
          <w:tab w:val="num" w:pos="4320"/>
        </w:tabs>
        <w:ind w:left="4320" w:hanging="180"/>
      </w:pPr>
    </w:lvl>
    <w:lvl w:ilvl="6" w:tplc="6016AE32">
      <w:start w:val="1"/>
      <w:numFmt w:val="decimal"/>
      <w:lvlText w:val="%7."/>
      <w:lvlJc w:val="left"/>
      <w:pPr>
        <w:tabs>
          <w:tab w:val="num" w:pos="5040"/>
        </w:tabs>
        <w:ind w:left="5040" w:hanging="360"/>
      </w:pPr>
    </w:lvl>
    <w:lvl w:ilvl="7" w:tplc="3B9891C0">
      <w:start w:val="1"/>
      <w:numFmt w:val="lowerLetter"/>
      <w:lvlText w:val="%8."/>
      <w:lvlJc w:val="left"/>
      <w:pPr>
        <w:tabs>
          <w:tab w:val="num" w:pos="5760"/>
        </w:tabs>
        <w:ind w:left="5760" w:hanging="360"/>
      </w:pPr>
    </w:lvl>
    <w:lvl w:ilvl="8" w:tplc="EEA00058">
      <w:start w:val="1"/>
      <w:numFmt w:val="lowerRoman"/>
      <w:lvlText w:val="%9."/>
      <w:lvlJc w:val="right"/>
      <w:pPr>
        <w:tabs>
          <w:tab w:val="num" w:pos="6480"/>
        </w:tabs>
        <w:ind w:left="6480" w:hanging="180"/>
      </w:pPr>
    </w:lvl>
  </w:abstractNum>
  <w:abstractNum w:abstractNumId="12" w15:restartNumberingAfterBreak="0">
    <w:nsid w:val="28DE7CE3"/>
    <w:multiLevelType w:val="hybridMultilevel"/>
    <w:tmpl w:val="E28EFB74"/>
    <w:lvl w:ilvl="0" w:tplc="3F900930">
      <w:start w:val="1"/>
      <w:numFmt w:val="bullet"/>
      <w:lvlText w:val=""/>
      <w:lvlPicBulletId w:val="0"/>
      <w:lvlJc w:val="left"/>
      <w:pPr>
        <w:ind w:left="2534" w:hanging="360"/>
      </w:pPr>
      <w:rPr>
        <w:rFonts w:ascii="Symbol" w:hAnsi="Symbol"/>
      </w:rPr>
    </w:lvl>
    <w:lvl w:ilvl="1" w:tplc="BF50F02E">
      <w:start w:val="1"/>
      <w:numFmt w:val="bullet"/>
      <w:lvlText w:val="o"/>
      <w:lvlJc w:val="left"/>
      <w:pPr>
        <w:ind w:left="3254" w:hanging="360"/>
      </w:pPr>
      <w:rPr>
        <w:rFonts w:ascii="Courier New" w:hAnsi="Courier New" w:cs="Courier New"/>
      </w:rPr>
    </w:lvl>
    <w:lvl w:ilvl="2" w:tplc="DC44BFF2">
      <w:start w:val="1"/>
      <w:numFmt w:val="bullet"/>
      <w:lvlText w:val=""/>
      <w:lvlJc w:val="left"/>
      <w:pPr>
        <w:ind w:left="3974" w:hanging="360"/>
      </w:pPr>
      <w:rPr>
        <w:rFonts w:ascii="Wingdings" w:hAnsi="Wingdings"/>
      </w:rPr>
    </w:lvl>
    <w:lvl w:ilvl="3" w:tplc="394212DC">
      <w:start w:val="1"/>
      <w:numFmt w:val="bullet"/>
      <w:lvlText w:val=""/>
      <w:lvlJc w:val="left"/>
      <w:pPr>
        <w:ind w:left="4694" w:hanging="360"/>
      </w:pPr>
      <w:rPr>
        <w:rFonts w:ascii="Symbol" w:hAnsi="Symbol"/>
      </w:rPr>
    </w:lvl>
    <w:lvl w:ilvl="4" w:tplc="CC12554E">
      <w:start w:val="1"/>
      <w:numFmt w:val="bullet"/>
      <w:lvlText w:val="o"/>
      <w:lvlJc w:val="left"/>
      <w:pPr>
        <w:ind w:left="5414" w:hanging="360"/>
      </w:pPr>
      <w:rPr>
        <w:rFonts w:ascii="Courier New" w:hAnsi="Courier New" w:cs="Courier New"/>
      </w:rPr>
    </w:lvl>
    <w:lvl w:ilvl="5" w:tplc="F8DC90C6">
      <w:start w:val="1"/>
      <w:numFmt w:val="bullet"/>
      <w:lvlText w:val=""/>
      <w:lvlJc w:val="left"/>
      <w:pPr>
        <w:ind w:left="6134" w:hanging="360"/>
      </w:pPr>
      <w:rPr>
        <w:rFonts w:ascii="Wingdings" w:hAnsi="Wingdings"/>
      </w:rPr>
    </w:lvl>
    <w:lvl w:ilvl="6" w:tplc="6E3EC7FE">
      <w:start w:val="1"/>
      <w:numFmt w:val="bullet"/>
      <w:lvlText w:val=""/>
      <w:lvlJc w:val="left"/>
      <w:pPr>
        <w:ind w:left="6854" w:hanging="360"/>
      </w:pPr>
      <w:rPr>
        <w:rFonts w:ascii="Symbol" w:hAnsi="Symbol"/>
      </w:rPr>
    </w:lvl>
    <w:lvl w:ilvl="7" w:tplc="074072D0">
      <w:start w:val="1"/>
      <w:numFmt w:val="bullet"/>
      <w:lvlText w:val="o"/>
      <w:lvlJc w:val="left"/>
      <w:pPr>
        <w:ind w:left="7574" w:hanging="360"/>
      </w:pPr>
      <w:rPr>
        <w:rFonts w:ascii="Courier New" w:hAnsi="Courier New" w:cs="Courier New"/>
      </w:rPr>
    </w:lvl>
    <w:lvl w:ilvl="8" w:tplc="14902D3C">
      <w:start w:val="1"/>
      <w:numFmt w:val="bullet"/>
      <w:lvlText w:val=""/>
      <w:lvlJc w:val="left"/>
      <w:pPr>
        <w:ind w:left="8294" w:hanging="360"/>
      </w:pPr>
      <w:rPr>
        <w:rFonts w:ascii="Wingdings" w:hAnsi="Wingdings"/>
      </w:rPr>
    </w:lvl>
  </w:abstractNum>
  <w:abstractNum w:abstractNumId="13" w15:restartNumberingAfterBreak="0">
    <w:nsid w:val="306F5895"/>
    <w:multiLevelType w:val="multilevel"/>
    <w:tmpl w:val="08180012"/>
    <w:lvl w:ilvl="0">
      <w:start w:val="1"/>
      <w:numFmt w:val="bullet"/>
      <w:lvlText w:val=""/>
      <w:lvlJc w:val="left"/>
      <w:pPr>
        <w:tabs>
          <w:tab w:val="num" w:pos="0"/>
        </w:tabs>
        <w:ind w:left="0" w:firstLine="0"/>
      </w:pPr>
      <w:rPr>
        <w:rFonts w:ascii="Symbol" w:hAnsi="Symbol"/>
      </w:rPr>
    </w:lvl>
    <w:lvl w:ilvl="1">
      <w:start w:val="1"/>
      <w:numFmt w:val="bullet"/>
      <w:lvlText w:val=""/>
      <w:lvlJc w:val="left"/>
      <w:pPr>
        <w:tabs>
          <w:tab w:val="num" w:pos="720"/>
        </w:tabs>
        <w:ind w:left="1080" w:hanging="360"/>
      </w:pPr>
      <w:rPr>
        <w:rFonts w:ascii="Symbol" w:hAnsi="Symbol"/>
      </w:rPr>
    </w:lvl>
    <w:lvl w:ilvl="2">
      <w:start w:val="1"/>
      <w:numFmt w:val="bullet"/>
      <w:lvlText w:val="o"/>
      <w:lvlJc w:val="left"/>
      <w:pPr>
        <w:tabs>
          <w:tab w:val="num" w:pos="1440"/>
        </w:tabs>
        <w:ind w:left="1800" w:hanging="360"/>
      </w:pPr>
      <w:rPr>
        <w:rFonts w:ascii="Courier New" w:hAnsi="Courier New" w:cs="Courier New"/>
      </w:rPr>
    </w:lvl>
    <w:lvl w:ilvl="3">
      <w:start w:val="1"/>
      <w:numFmt w:val="bullet"/>
      <w:lvlText w:val=""/>
      <w:lvlJc w:val="left"/>
      <w:pPr>
        <w:tabs>
          <w:tab w:val="num" w:pos="2160"/>
        </w:tabs>
        <w:ind w:left="2520" w:hanging="360"/>
      </w:pPr>
      <w:rPr>
        <w:rFonts w:ascii="Wingdings" w:hAnsi="Wingdings"/>
      </w:rPr>
    </w:lvl>
    <w:lvl w:ilvl="4">
      <w:start w:val="1"/>
      <w:numFmt w:val="bullet"/>
      <w:lvlText w:val=""/>
      <w:lvlJc w:val="left"/>
      <w:pPr>
        <w:tabs>
          <w:tab w:val="num" w:pos="2880"/>
        </w:tabs>
        <w:ind w:left="3240" w:hanging="360"/>
      </w:pPr>
      <w:rPr>
        <w:rFonts w:ascii="Wingdings" w:hAnsi="Wingdings"/>
      </w:rPr>
    </w:lvl>
    <w:lvl w:ilvl="5">
      <w:start w:val="1"/>
      <w:numFmt w:val="bullet"/>
      <w:lvlText w:val=""/>
      <w:lvlJc w:val="left"/>
      <w:pPr>
        <w:tabs>
          <w:tab w:val="num" w:pos="3600"/>
        </w:tabs>
        <w:ind w:left="3960" w:hanging="360"/>
      </w:pPr>
      <w:rPr>
        <w:rFonts w:ascii="Symbol" w:hAnsi="Symbol"/>
      </w:rPr>
    </w:lvl>
    <w:lvl w:ilvl="6">
      <w:start w:val="1"/>
      <w:numFmt w:val="bullet"/>
      <w:lvlText w:val="o"/>
      <w:lvlJc w:val="left"/>
      <w:pPr>
        <w:tabs>
          <w:tab w:val="num" w:pos="4320"/>
        </w:tabs>
        <w:ind w:left="4680" w:hanging="360"/>
      </w:pPr>
      <w:rPr>
        <w:rFonts w:ascii="Courier New" w:hAnsi="Courier New" w:cs="Courier New"/>
      </w:rPr>
    </w:lvl>
    <w:lvl w:ilvl="7">
      <w:start w:val="1"/>
      <w:numFmt w:val="bullet"/>
      <w:lvlText w:val=""/>
      <w:lvlJc w:val="left"/>
      <w:pPr>
        <w:tabs>
          <w:tab w:val="num" w:pos="5040"/>
        </w:tabs>
        <w:ind w:left="5400" w:hanging="360"/>
      </w:pPr>
      <w:rPr>
        <w:rFonts w:ascii="Wingdings" w:hAnsi="Wingdings"/>
      </w:rPr>
    </w:lvl>
    <w:lvl w:ilvl="8">
      <w:start w:val="1"/>
      <w:numFmt w:val="bullet"/>
      <w:lvlText w:val=""/>
      <w:lvlJc w:val="left"/>
      <w:pPr>
        <w:tabs>
          <w:tab w:val="num" w:pos="5760"/>
        </w:tabs>
        <w:ind w:left="6120" w:hanging="360"/>
      </w:pPr>
      <w:rPr>
        <w:rFonts w:ascii="Wingdings" w:hAnsi="Wingdings"/>
      </w:rPr>
    </w:lvl>
  </w:abstractNum>
  <w:abstractNum w:abstractNumId="14" w15:restartNumberingAfterBreak="0">
    <w:nsid w:val="32FE67FB"/>
    <w:multiLevelType w:val="hybridMultilevel"/>
    <w:tmpl w:val="AD92383E"/>
    <w:lvl w:ilvl="0" w:tplc="0AEC8420">
      <w:start w:val="1"/>
      <w:numFmt w:val="bullet"/>
      <w:lvlText w:val=""/>
      <w:lvlJc w:val="left"/>
      <w:pPr>
        <w:ind w:left="2534" w:hanging="360"/>
      </w:pPr>
      <w:rPr>
        <w:rFonts w:ascii="Symbol" w:hAnsi="Symbol"/>
      </w:rPr>
    </w:lvl>
    <w:lvl w:ilvl="1" w:tplc="57106E76">
      <w:start w:val="1"/>
      <w:numFmt w:val="bullet"/>
      <w:lvlText w:val="o"/>
      <w:lvlJc w:val="left"/>
      <w:pPr>
        <w:ind w:left="3254" w:hanging="360"/>
      </w:pPr>
      <w:rPr>
        <w:rFonts w:ascii="Courier New" w:hAnsi="Courier New" w:cs="Courier New"/>
      </w:rPr>
    </w:lvl>
    <w:lvl w:ilvl="2" w:tplc="3FAACDFE">
      <w:start w:val="1"/>
      <w:numFmt w:val="bullet"/>
      <w:lvlText w:val=""/>
      <w:lvlJc w:val="left"/>
      <w:pPr>
        <w:ind w:left="3974" w:hanging="360"/>
      </w:pPr>
      <w:rPr>
        <w:rFonts w:ascii="Wingdings" w:hAnsi="Wingdings"/>
      </w:rPr>
    </w:lvl>
    <w:lvl w:ilvl="3" w:tplc="49C43C24">
      <w:start w:val="1"/>
      <w:numFmt w:val="bullet"/>
      <w:lvlText w:val=""/>
      <w:lvlJc w:val="left"/>
      <w:pPr>
        <w:ind w:left="4694" w:hanging="360"/>
      </w:pPr>
      <w:rPr>
        <w:rFonts w:ascii="Symbol" w:hAnsi="Symbol"/>
      </w:rPr>
    </w:lvl>
    <w:lvl w:ilvl="4" w:tplc="C2E6756E">
      <w:start w:val="1"/>
      <w:numFmt w:val="bullet"/>
      <w:lvlText w:val="o"/>
      <w:lvlJc w:val="left"/>
      <w:pPr>
        <w:ind w:left="5414" w:hanging="360"/>
      </w:pPr>
      <w:rPr>
        <w:rFonts w:ascii="Courier New" w:hAnsi="Courier New" w:cs="Courier New"/>
      </w:rPr>
    </w:lvl>
    <w:lvl w:ilvl="5" w:tplc="83DC12A6">
      <w:start w:val="1"/>
      <w:numFmt w:val="bullet"/>
      <w:lvlText w:val=""/>
      <w:lvlJc w:val="left"/>
      <w:pPr>
        <w:ind w:left="6134" w:hanging="360"/>
      </w:pPr>
      <w:rPr>
        <w:rFonts w:ascii="Wingdings" w:hAnsi="Wingdings"/>
      </w:rPr>
    </w:lvl>
    <w:lvl w:ilvl="6" w:tplc="D9CAA386">
      <w:start w:val="1"/>
      <w:numFmt w:val="bullet"/>
      <w:lvlText w:val=""/>
      <w:lvlJc w:val="left"/>
      <w:pPr>
        <w:ind w:left="6854" w:hanging="360"/>
      </w:pPr>
      <w:rPr>
        <w:rFonts w:ascii="Symbol" w:hAnsi="Symbol"/>
      </w:rPr>
    </w:lvl>
    <w:lvl w:ilvl="7" w:tplc="DCA06648">
      <w:start w:val="1"/>
      <w:numFmt w:val="bullet"/>
      <w:lvlText w:val="o"/>
      <w:lvlJc w:val="left"/>
      <w:pPr>
        <w:ind w:left="7574" w:hanging="360"/>
      </w:pPr>
      <w:rPr>
        <w:rFonts w:ascii="Courier New" w:hAnsi="Courier New" w:cs="Courier New"/>
      </w:rPr>
    </w:lvl>
    <w:lvl w:ilvl="8" w:tplc="3A3EE25A">
      <w:start w:val="1"/>
      <w:numFmt w:val="bullet"/>
      <w:lvlText w:val=""/>
      <w:lvlJc w:val="left"/>
      <w:pPr>
        <w:ind w:left="8294" w:hanging="360"/>
      </w:pPr>
      <w:rPr>
        <w:rFonts w:ascii="Wingdings" w:hAnsi="Wingdings"/>
      </w:rPr>
    </w:lvl>
  </w:abstractNum>
  <w:abstractNum w:abstractNumId="15" w15:restartNumberingAfterBreak="0">
    <w:nsid w:val="3B876B76"/>
    <w:multiLevelType w:val="hybridMultilevel"/>
    <w:tmpl w:val="CA7EBB5E"/>
    <w:lvl w:ilvl="0" w:tplc="B762B160">
      <w:start w:val="1"/>
      <w:numFmt w:val="bullet"/>
      <w:lvlText w:val=""/>
      <w:lvlJc w:val="left"/>
      <w:pPr>
        <w:tabs>
          <w:tab w:val="num" w:pos="340"/>
        </w:tabs>
      </w:pPr>
      <w:rPr>
        <w:rFonts w:ascii="Webdings" w:hAnsi="Webdings"/>
        <w:b w:val="0"/>
        <w:i w:val="0"/>
        <w:color w:val="E42618"/>
        <w:spacing w:val="0"/>
        <w:sz w:val="24"/>
        <w:szCs w:val="18"/>
      </w:rPr>
    </w:lvl>
    <w:lvl w:ilvl="1" w:tplc="4C468400">
      <w:start w:val="1"/>
      <w:numFmt w:val="bullet"/>
      <w:lvlText w:val="o"/>
      <w:lvlJc w:val="left"/>
      <w:pPr>
        <w:tabs>
          <w:tab w:val="num" w:pos="1440"/>
        </w:tabs>
        <w:ind w:left="1440" w:hanging="360"/>
      </w:pPr>
      <w:rPr>
        <w:rFonts w:ascii="Courier New" w:hAnsi="Courier New"/>
      </w:rPr>
    </w:lvl>
    <w:lvl w:ilvl="2" w:tplc="6D3638B2">
      <w:start w:val="1"/>
      <w:numFmt w:val="bullet"/>
      <w:lvlText w:val=""/>
      <w:lvlJc w:val="left"/>
      <w:pPr>
        <w:tabs>
          <w:tab w:val="num" w:pos="2160"/>
        </w:tabs>
        <w:ind w:left="2160" w:hanging="360"/>
      </w:pPr>
      <w:rPr>
        <w:rFonts w:ascii="Wingdings" w:hAnsi="Wingdings"/>
      </w:rPr>
    </w:lvl>
    <w:lvl w:ilvl="3" w:tplc="7B829CBE">
      <w:start w:val="1"/>
      <w:numFmt w:val="bullet"/>
      <w:lvlText w:val=""/>
      <w:lvlJc w:val="left"/>
      <w:pPr>
        <w:tabs>
          <w:tab w:val="num" w:pos="2880"/>
        </w:tabs>
        <w:ind w:left="2880" w:hanging="360"/>
      </w:pPr>
      <w:rPr>
        <w:rFonts w:ascii="Symbol" w:hAnsi="Symbol"/>
      </w:rPr>
    </w:lvl>
    <w:lvl w:ilvl="4" w:tplc="AC1ADE14">
      <w:start w:val="1"/>
      <w:numFmt w:val="bullet"/>
      <w:lvlText w:val="o"/>
      <w:lvlJc w:val="left"/>
      <w:pPr>
        <w:tabs>
          <w:tab w:val="num" w:pos="3600"/>
        </w:tabs>
        <w:ind w:left="3600" w:hanging="360"/>
      </w:pPr>
      <w:rPr>
        <w:rFonts w:ascii="Courier New" w:hAnsi="Courier New"/>
      </w:rPr>
    </w:lvl>
    <w:lvl w:ilvl="5" w:tplc="24FE8DD6">
      <w:start w:val="1"/>
      <w:numFmt w:val="bullet"/>
      <w:lvlText w:val=""/>
      <w:lvlJc w:val="left"/>
      <w:pPr>
        <w:tabs>
          <w:tab w:val="num" w:pos="4320"/>
        </w:tabs>
        <w:ind w:left="4320" w:hanging="360"/>
      </w:pPr>
      <w:rPr>
        <w:rFonts w:ascii="Wingdings" w:hAnsi="Wingdings"/>
      </w:rPr>
    </w:lvl>
    <w:lvl w:ilvl="6" w:tplc="E4A2D630">
      <w:start w:val="1"/>
      <w:numFmt w:val="bullet"/>
      <w:lvlText w:val=""/>
      <w:lvlJc w:val="left"/>
      <w:pPr>
        <w:tabs>
          <w:tab w:val="num" w:pos="5040"/>
        </w:tabs>
        <w:ind w:left="5040" w:hanging="360"/>
      </w:pPr>
      <w:rPr>
        <w:rFonts w:ascii="Symbol" w:hAnsi="Symbol"/>
      </w:rPr>
    </w:lvl>
    <w:lvl w:ilvl="7" w:tplc="A0789C62">
      <w:start w:val="1"/>
      <w:numFmt w:val="bullet"/>
      <w:lvlText w:val="o"/>
      <w:lvlJc w:val="left"/>
      <w:pPr>
        <w:tabs>
          <w:tab w:val="num" w:pos="5760"/>
        </w:tabs>
        <w:ind w:left="5760" w:hanging="360"/>
      </w:pPr>
      <w:rPr>
        <w:rFonts w:ascii="Courier New" w:hAnsi="Courier New"/>
      </w:rPr>
    </w:lvl>
    <w:lvl w:ilvl="8" w:tplc="E9AABDDE">
      <w:start w:val="1"/>
      <w:numFmt w:val="bullet"/>
      <w:lvlText w:val=""/>
      <w:lvlJc w:val="left"/>
      <w:pPr>
        <w:tabs>
          <w:tab w:val="num" w:pos="6480"/>
        </w:tabs>
        <w:ind w:left="6480" w:hanging="360"/>
      </w:pPr>
      <w:rPr>
        <w:rFonts w:ascii="Wingdings" w:hAnsi="Wingdings"/>
      </w:rPr>
    </w:lvl>
  </w:abstractNum>
  <w:abstractNum w:abstractNumId="16" w15:restartNumberingAfterBreak="0">
    <w:nsid w:val="3DC55E25"/>
    <w:multiLevelType w:val="hybridMultilevel"/>
    <w:tmpl w:val="F37ED956"/>
    <w:lvl w:ilvl="0" w:tplc="5DC011F6">
      <w:start w:val="1"/>
      <w:numFmt w:val="bullet"/>
      <w:lvlText w:val=""/>
      <w:lvlPicBulletId w:val="0"/>
      <w:lvlJc w:val="left"/>
      <w:pPr>
        <w:ind w:left="2534" w:hanging="360"/>
      </w:pPr>
      <w:rPr>
        <w:rFonts w:ascii="Symbol" w:hAnsi="Symbol"/>
      </w:rPr>
    </w:lvl>
    <w:lvl w:ilvl="1" w:tplc="4EAEFCDA">
      <w:start w:val="1"/>
      <w:numFmt w:val="bullet"/>
      <w:lvlText w:val="o"/>
      <w:lvlJc w:val="left"/>
      <w:pPr>
        <w:ind w:left="3254" w:hanging="360"/>
      </w:pPr>
      <w:rPr>
        <w:rFonts w:ascii="Courier New" w:hAnsi="Courier New" w:cs="Courier New"/>
      </w:rPr>
    </w:lvl>
    <w:lvl w:ilvl="2" w:tplc="BDB20F20">
      <w:start w:val="1"/>
      <w:numFmt w:val="bullet"/>
      <w:lvlText w:val=""/>
      <w:lvlJc w:val="left"/>
      <w:pPr>
        <w:ind w:left="3974" w:hanging="360"/>
      </w:pPr>
      <w:rPr>
        <w:rFonts w:ascii="Wingdings" w:hAnsi="Wingdings"/>
      </w:rPr>
    </w:lvl>
    <w:lvl w:ilvl="3" w:tplc="8CE497C2">
      <w:start w:val="1"/>
      <w:numFmt w:val="bullet"/>
      <w:lvlText w:val=""/>
      <w:lvlJc w:val="left"/>
      <w:pPr>
        <w:ind w:left="4694" w:hanging="360"/>
      </w:pPr>
      <w:rPr>
        <w:rFonts w:ascii="Symbol" w:hAnsi="Symbol"/>
      </w:rPr>
    </w:lvl>
    <w:lvl w:ilvl="4" w:tplc="58982EC0">
      <w:start w:val="1"/>
      <w:numFmt w:val="bullet"/>
      <w:lvlText w:val="o"/>
      <w:lvlJc w:val="left"/>
      <w:pPr>
        <w:ind w:left="5414" w:hanging="360"/>
      </w:pPr>
      <w:rPr>
        <w:rFonts w:ascii="Courier New" w:hAnsi="Courier New" w:cs="Courier New"/>
      </w:rPr>
    </w:lvl>
    <w:lvl w:ilvl="5" w:tplc="059A3C98">
      <w:start w:val="1"/>
      <w:numFmt w:val="bullet"/>
      <w:lvlText w:val=""/>
      <w:lvlJc w:val="left"/>
      <w:pPr>
        <w:ind w:left="6134" w:hanging="360"/>
      </w:pPr>
      <w:rPr>
        <w:rFonts w:ascii="Wingdings" w:hAnsi="Wingdings"/>
      </w:rPr>
    </w:lvl>
    <w:lvl w:ilvl="6" w:tplc="E15C016E">
      <w:start w:val="1"/>
      <w:numFmt w:val="bullet"/>
      <w:lvlText w:val=""/>
      <w:lvlJc w:val="left"/>
      <w:pPr>
        <w:ind w:left="6854" w:hanging="360"/>
      </w:pPr>
      <w:rPr>
        <w:rFonts w:ascii="Symbol" w:hAnsi="Symbol"/>
      </w:rPr>
    </w:lvl>
    <w:lvl w:ilvl="7" w:tplc="19CE6106">
      <w:start w:val="1"/>
      <w:numFmt w:val="bullet"/>
      <w:lvlText w:val="o"/>
      <w:lvlJc w:val="left"/>
      <w:pPr>
        <w:ind w:left="7574" w:hanging="360"/>
      </w:pPr>
      <w:rPr>
        <w:rFonts w:ascii="Courier New" w:hAnsi="Courier New" w:cs="Courier New"/>
      </w:rPr>
    </w:lvl>
    <w:lvl w:ilvl="8" w:tplc="899EDE62">
      <w:start w:val="1"/>
      <w:numFmt w:val="bullet"/>
      <w:lvlText w:val=""/>
      <w:lvlJc w:val="left"/>
      <w:pPr>
        <w:ind w:left="8294" w:hanging="360"/>
      </w:pPr>
      <w:rPr>
        <w:rFonts w:ascii="Wingdings" w:hAnsi="Wingdings"/>
      </w:rPr>
    </w:lvl>
  </w:abstractNum>
  <w:abstractNum w:abstractNumId="17" w15:restartNumberingAfterBreak="0">
    <w:nsid w:val="4417743D"/>
    <w:multiLevelType w:val="hybridMultilevel"/>
    <w:tmpl w:val="28E6672C"/>
    <w:lvl w:ilvl="0" w:tplc="8BCEC550">
      <w:start w:val="1"/>
      <w:numFmt w:val="bullet"/>
      <w:lvlText w:val=""/>
      <w:lvlJc w:val="left"/>
      <w:pPr>
        <w:ind w:left="2534" w:hanging="360"/>
      </w:pPr>
      <w:rPr>
        <w:rFonts w:ascii="Wingdings" w:hAnsi="Wingdings"/>
        <w:b/>
        <w:i w:val="0"/>
        <w:color w:val="FF0000"/>
        <w:sz w:val="18"/>
      </w:rPr>
    </w:lvl>
    <w:lvl w:ilvl="1" w:tplc="3A34462A">
      <w:start w:val="1"/>
      <w:numFmt w:val="bullet"/>
      <w:lvlText w:val="o"/>
      <w:lvlJc w:val="left"/>
      <w:pPr>
        <w:ind w:left="3254" w:hanging="360"/>
      </w:pPr>
      <w:rPr>
        <w:rFonts w:ascii="Courier New" w:hAnsi="Courier New" w:cs="Courier New"/>
      </w:rPr>
    </w:lvl>
    <w:lvl w:ilvl="2" w:tplc="3DE00996">
      <w:start w:val="1"/>
      <w:numFmt w:val="bullet"/>
      <w:lvlText w:val=""/>
      <w:lvlJc w:val="left"/>
      <w:pPr>
        <w:ind w:left="3974" w:hanging="360"/>
      </w:pPr>
      <w:rPr>
        <w:rFonts w:ascii="Wingdings" w:hAnsi="Wingdings"/>
      </w:rPr>
    </w:lvl>
    <w:lvl w:ilvl="3" w:tplc="02A4A7C2">
      <w:start w:val="1"/>
      <w:numFmt w:val="bullet"/>
      <w:lvlText w:val=""/>
      <w:lvlJc w:val="left"/>
      <w:pPr>
        <w:ind w:left="4694" w:hanging="360"/>
      </w:pPr>
      <w:rPr>
        <w:rFonts w:ascii="Symbol" w:hAnsi="Symbol"/>
      </w:rPr>
    </w:lvl>
    <w:lvl w:ilvl="4" w:tplc="67BAAEFA">
      <w:start w:val="1"/>
      <w:numFmt w:val="bullet"/>
      <w:lvlText w:val="o"/>
      <w:lvlJc w:val="left"/>
      <w:pPr>
        <w:ind w:left="5414" w:hanging="360"/>
      </w:pPr>
      <w:rPr>
        <w:rFonts w:ascii="Courier New" w:hAnsi="Courier New" w:cs="Courier New"/>
      </w:rPr>
    </w:lvl>
    <w:lvl w:ilvl="5" w:tplc="38BCE722">
      <w:start w:val="1"/>
      <w:numFmt w:val="bullet"/>
      <w:lvlText w:val=""/>
      <w:lvlJc w:val="left"/>
      <w:pPr>
        <w:ind w:left="6134" w:hanging="360"/>
      </w:pPr>
      <w:rPr>
        <w:rFonts w:ascii="Wingdings" w:hAnsi="Wingdings"/>
      </w:rPr>
    </w:lvl>
    <w:lvl w:ilvl="6" w:tplc="9B2EB5C6">
      <w:start w:val="1"/>
      <w:numFmt w:val="bullet"/>
      <w:lvlText w:val=""/>
      <w:lvlJc w:val="left"/>
      <w:pPr>
        <w:ind w:left="6854" w:hanging="360"/>
      </w:pPr>
      <w:rPr>
        <w:rFonts w:ascii="Symbol" w:hAnsi="Symbol"/>
      </w:rPr>
    </w:lvl>
    <w:lvl w:ilvl="7" w:tplc="FD766590">
      <w:start w:val="1"/>
      <w:numFmt w:val="bullet"/>
      <w:lvlText w:val="o"/>
      <w:lvlJc w:val="left"/>
      <w:pPr>
        <w:ind w:left="7574" w:hanging="360"/>
      </w:pPr>
      <w:rPr>
        <w:rFonts w:ascii="Courier New" w:hAnsi="Courier New" w:cs="Courier New"/>
      </w:rPr>
    </w:lvl>
    <w:lvl w:ilvl="8" w:tplc="AFB8B9CA">
      <w:start w:val="1"/>
      <w:numFmt w:val="bullet"/>
      <w:lvlText w:val=""/>
      <w:lvlJc w:val="left"/>
      <w:pPr>
        <w:ind w:left="8294" w:hanging="360"/>
      </w:pPr>
      <w:rPr>
        <w:rFonts w:ascii="Wingdings" w:hAnsi="Wingdings"/>
      </w:rPr>
    </w:lvl>
  </w:abstractNum>
  <w:abstractNum w:abstractNumId="18" w15:restartNumberingAfterBreak="0">
    <w:nsid w:val="4EC80B4A"/>
    <w:multiLevelType w:val="hybridMultilevel"/>
    <w:tmpl w:val="7B3AC8D8"/>
    <w:lvl w:ilvl="0" w:tplc="B0F4FEC8">
      <w:start w:val="1"/>
      <w:numFmt w:val="bullet"/>
      <w:lvlText w:val=""/>
      <w:lvlPicBulletId w:val="0"/>
      <w:lvlJc w:val="left"/>
      <w:pPr>
        <w:ind w:left="2534" w:hanging="360"/>
      </w:pPr>
      <w:rPr>
        <w:rFonts w:ascii="Symbol" w:hAnsi="Symbol"/>
      </w:rPr>
    </w:lvl>
    <w:lvl w:ilvl="1" w:tplc="D1F67C3C">
      <w:start w:val="1"/>
      <w:numFmt w:val="bullet"/>
      <w:lvlText w:val="o"/>
      <w:lvlJc w:val="left"/>
      <w:pPr>
        <w:ind w:left="3254" w:hanging="360"/>
      </w:pPr>
      <w:rPr>
        <w:rFonts w:ascii="Courier New" w:hAnsi="Courier New" w:cs="Courier New"/>
      </w:rPr>
    </w:lvl>
    <w:lvl w:ilvl="2" w:tplc="7F94D0B4">
      <w:start w:val="1"/>
      <w:numFmt w:val="bullet"/>
      <w:lvlText w:val=""/>
      <w:lvlJc w:val="left"/>
      <w:pPr>
        <w:ind w:left="3974" w:hanging="360"/>
      </w:pPr>
      <w:rPr>
        <w:rFonts w:ascii="Wingdings" w:hAnsi="Wingdings"/>
      </w:rPr>
    </w:lvl>
    <w:lvl w:ilvl="3" w:tplc="0B5E604A">
      <w:start w:val="1"/>
      <w:numFmt w:val="bullet"/>
      <w:lvlText w:val=""/>
      <w:lvlJc w:val="left"/>
      <w:pPr>
        <w:ind w:left="4694" w:hanging="360"/>
      </w:pPr>
      <w:rPr>
        <w:rFonts w:ascii="Symbol" w:hAnsi="Symbol"/>
      </w:rPr>
    </w:lvl>
    <w:lvl w:ilvl="4" w:tplc="5EB24CFA">
      <w:start w:val="1"/>
      <w:numFmt w:val="bullet"/>
      <w:lvlText w:val="o"/>
      <w:lvlJc w:val="left"/>
      <w:pPr>
        <w:ind w:left="5414" w:hanging="360"/>
      </w:pPr>
      <w:rPr>
        <w:rFonts w:ascii="Courier New" w:hAnsi="Courier New" w:cs="Courier New"/>
      </w:rPr>
    </w:lvl>
    <w:lvl w:ilvl="5" w:tplc="7E40DFEA">
      <w:start w:val="1"/>
      <w:numFmt w:val="bullet"/>
      <w:lvlText w:val=""/>
      <w:lvlJc w:val="left"/>
      <w:pPr>
        <w:ind w:left="6134" w:hanging="360"/>
      </w:pPr>
      <w:rPr>
        <w:rFonts w:ascii="Wingdings" w:hAnsi="Wingdings"/>
      </w:rPr>
    </w:lvl>
    <w:lvl w:ilvl="6" w:tplc="A0240204">
      <w:start w:val="1"/>
      <w:numFmt w:val="bullet"/>
      <w:lvlText w:val=""/>
      <w:lvlJc w:val="left"/>
      <w:pPr>
        <w:ind w:left="6854" w:hanging="360"/>
      </w:pPr>
      <w:rPr>
        <w:rFonts w:ascii="Symbol" w:hAnsi="Symbol"/>
      </w:rPr>
    </w:lvl>
    <w:lvl w:ilvl="7" w:tplc="D512D4D6">
      <w:start w:val="1"/>
      <w:numFmt w:val="bullet"/>
      <w:lvlText w:val="o"/>
      <w:lvlJc w:val="left"/>
      <w:pPr>
        <w:ind w:left="7574" w:hanging="360"/>
      </w:pPr>
      <w:rPr>
        <w:rFonts w:ascii="Courier New" w:hAnsi="Courier New" w:cs="Courier New"/>
      </w:rPr>
    </w:lvl>
    <w:lvl w:ilvl="8" w:tplc="A2FACB1E">
      <w:start w:val="1"/>
      <w:numFmt w:val="bullet"/>
      <w:lvlText w:val=""/>
      <w:lvlJc w:val="left"/>
      <w:pPr>
        <w:ind w:left="8294" w:hanging="360"/>
      </w:pPr>
      <w:rPr>
        <w:rFonts w:ascii="Wingdings" w:hAnsi="Wingdings"/>
      </w:rPr>
    </w:lvl>
  </w:abstractNum>
  <w:abstractNum w:abstractNumId="19" w15:restartNumberingAfterBreak="0">
    <w:nsid w:val="51AB46AE"/>
    <w:multiLevelType w:val="hybridMultilevel"/>
    <w:tmpl w:val="962E00F6"/>
    <w:lvl w:ilvl="0" w:tplc="B9F6AF38">
      <w:start w:val="2"/>
      <w:numFmt w:val="lowerLetter"/>
      <w:lvlText w:val="(%1)"/>
      <w:lvlJc w:val="left"/>
      <w:pPr>
        <w:ind w:left="2174" w:hanging="360"/>
      </w:pPr>
      <w:rPr>
        <w:rFonts w:cs="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55CD5AF9"/>
    <w:multiLevelType w:val="hybridMultilevel"/>
    <w:tmpl w:val="B3347FD6"/>
    <w:lvl w:ilvl="0" w:tplc="B418AB66">
      <w:start w:val="1"/>
      <w:numFmt w:val="bullet"/>
      <w:lvlText w:val=""/>
      <w:lvlJc w:val="left"/>
      <w:pPr>
        <w:tabs>
          <w:tab w:val="num" w:pos="2534"/>
        </w:tabs>
        <w:ind w:left="2534" w:hanging="360"/>
      </w:pPr>
      <w:rPr>
        <w:rFonts w:ascii="Symbol" w:hAnsi="Symbol"/>
      </w:rPr>
    </w:lvl>
    <w:lvl w:ilvl="1" w:tplc="0ECCECF4">
      <w:start w:val="1"/>
      <w:numFmt w:val="bullet"/>
      <w:lvlText w:val="o"/>
      <w:lvlJc w:val="left"/>
      <w:pPr>
        <w:tabs>
          <w:tab w:val="num" w:pos="3254"/>
        </w:tabs>
        <w:ind w:left="3254" w:hanging="360"/>
      </w:pPr>
      <w:rPr>
        <w:rFonts w:ascii="Courier New" w:hAnsi="Courier New"/>
      </w:rPr>
    </w:lvl>
    <w:lvl w:ilvl="2" w:tplc="D97ACCE6">
      <w:start w:val="1"/>
      <w:numFmt w:val="bullet"/>
      <w:lvlText w:val=""/>
      <w:lvlJc w:val="left"/>
      <w:pPr>
        <w:tabs>
          <w:tab w:val="num" w:pos="3974"/>
        </w:tabs>
        <w:ind w:left="3974" w:hanging="360"/>
      </w:pPr>
      <w:rPr>
        <w:rFonts w:ascii="Wingdings" w:hAnsi="Wingdings"/>
      </w:rPr>
    </w:lvl>
    <w:lvl w:ilvl="3" w:tplc="0D34C114">
      <w:start w:val="1"/>
      <w:numFmt w:val="bullet"/>
      <w:lvlText w:val=""/>
      <w:lvlJc w:val="left"/>
      <w:pPr>
        <w:tabs>
          <w:tab w:val="num" w:pos="4694"/>
        </w:tabs>
        <w:ind w:left="4694" w:hanging="360"/>
      </w:pPr>
      <w:rPr>
        <w:rFonts w:ascii="Symbol" w:hAnsi="Symbol"/>
      </w:rPr>
    </w:lvl>
    <w:lvl w:ilvl="4" w:tplc="C5469EAE">
      <w:start w:val="1"/>
      <w:numFmt w:val="bullet"/>
      <w:lvlText w:val="o"/>
      <w:lvlJc w:val="left"/>
      <w:pPr>
        <w:tabs>
          <w:tab w:val="num" w:pos="5414"/>
        </w:tabs>
        <w:ind w:left="5414" w:hanging="360"/>
      </w:pPr>
      <w:rPr>
        <w:rFonts w:ascii="Courier New" w:hAnsi="Courier New"/>
      </w:rPr>
    </w:lvl>
    <w:lvl w:ilvl="5" w:tplc="1A64BCE8">
      <w:start w:val="1"/>
      <w:numFmt w:val="bullet"/>
      <w:lvlText w:val=""/>
      <w:lvlJc w:val="left"/>
      <w:pPr>
        <w:tabs>
          <w:tab w:val="num" w:pos="6134"/>
        </w:tabs>
        <w:ind w:left="6134" w:hanging="360"/>
      </w:pPr>
      <w:rPr>
        <w:rFonts w:ascii="Wingdings" w:hAnsi="Wingdings"/>
      </w:rPr>
    </w:lvl>
    <w:lvl w:ilvl="6" w:tplc="987EB73C">
      <w:start w:val="1"/>
      <w:numFmt w:val="bullet"/>
      <w:lvlText w:val=""/>
      <w:lvlJc w:val="left"/>
      <w:pPr>
        <w:tabs>
          <w:tab w:val="num" w:pos="6854"/>
        </w:tabs>
        <w:ind w:left="6854" w:hanging="360"/>
      </w:pPr>
      <w:rPr>
        <w:rFonts w:ascii="Symbol" w:hAnsi="Symbol"/>
      </w:rPr>
    </w:lvl>
    <w:lvl w:ilvl="7" w:tplc="14B23C3C">
      <w:start w:val="1"/>
      <w:numFmt w:val="bullet"/>
      <w:lvlText w:val="o"/>
      <w:lvlJc w:val="left"/>
      <w:pPr>
        <w:tabs>
          <w:tab w:val="num" w:pos="7574"/>
        </w:tabs>
        <w:ind w:left="7574" w:hanging="360"/>
      </w:pPr>
      <w:rPr>
        <w:rFonts w:ascii="Courier New" w:hAnsi="Courier New"/>
      </w:rPr>
    </w:lvl>
    <w:lvl w:ilvl="8" w:tplc="1F6CCE32">
      <w:start w:val="1"/>
      <w:numFmt w:val="bullet"/>
      <w:lvlText w:val=""/>
      <w:lvlJc w:val="left"/>
      <w:pPr>
        <w:tabs>
          <w:tab w:val="num" w:pos="8294"/>
        </w:tabs>
        <w:ind w:left="8294" w:hanging="360"/>
      </w:pPr>
      <w:rPr>
        <w:rFonts w:ascii="Wingdings" w:hAnsi="Wingdings"/>
      </w:rPr>
    </w:lvl>
  </w:abstractNum>
  <w:abstractNum w:abstractNumId="21" w15:restartNumberingAfterBreak="0">
    <w:nsid w:val="58CC5A71"/>
    <w:multiLevelType w:val="multilevel"/>
    <w:tmpl w:val="C28050EE"/>
    <w:lvl w:ilvl="0">
      <w:start w:val="1"/>
      <w:numFmt w:val="bullet"/>
      <w:lvlText w:val=""/>
      <w:lvlPicBulletId w:val="1"/>
      <w:lvlJc w:val="left"/>
      <w:pPr>
        <w:tabs>
          <w:tab w:val="num" w:pos="720"/>
        </w:tabs>
        <w:ind w:left="720" w:hanging="360"/>
      </w:pPr>
      <w:rPr>
        <w:rFonts w:ascii="Symbol" w:hAnsi="Symbol"/>
      </w:rPr>
    </w:lvl>
    <w:lvl w:ilvl="1">
      <w:start w:val="1"/>
      <w:numFmt w:val="bullet"/>
      <w:lvlText w:val=""/>
      <w:lvlJc w:val="left"/>
      <w:pPr>
        <w:tabs>
          <w:tab w:val="num" w:pos="1440"/>
        </w:tabs>
        <w:ind w:left="1440" w:hanging="360"/>
      </w:pPr>
      <w:rPr>
        <w:rFonts w:ascii="Symbol" w:hAnsi="Symbol"/>
      </w:rPr>
    </w:lvl>
    <w:lvl w:ilvl="2">
      <w:start w:val="1"/>
      <w:numFmt w:val="bullet"/>
      <w:lvlText w:val=""/>
      <w:lvlJc w:val="left"/>
      <w:pPr>
        <w:tabs>
          <w:tab w:val="num" w:pos="2160"/>
        </w:tabs>
        <w:ind w:left="2160" w:hanging="360"/>
      </w:pPr>
      <w:rPr>
        <w:rFonts w:ascii="Symbol" w:hAnsi="Symbol"/>
      </w:rPr>
    </w:lvl>
    <w:lvl w:ilvl="3">
      <w:start w:val="1"/>
      <w:numFmt w:val="bullet"/>
      <w:lvlText w:val=""/>
      <w:lvlJc w:val="left"/>
      <w:pPr>
        <w:tabs>
          <w:tab w:val="num" w:pos="2880"/>
        </w:tabs>
        <w:ind w:left="2880" w:hanging="360"/>
      </w:pPr>
      <w:rPr>
        <w:rFonts w:ascii="Symbol" w:hAnsi="Symbol"/>
      </w:rPr>
    </w:lvl>
    <w:lvl w:ilvl="4">
      <w:start w:val="1"/>
      <w:numFmt w:val="bullet"/>
      <w:lvlText w:val=""/>
      <w:lvlJc w:val="left"/>
      <w:pPr>
        <w:tabs>
          <w:tab w:val="num" w:pos="3600"/>
        </w:tabs>
        <w:ind w:left="3600" w:hanging="360"/>
      </w:pPr>
      <w:rPr>
        <w:rFonts w:ascii="Symbol" w:hAnsi="Symbol"/>
      </w:rPr>
    </w:lvl>
    <w:lvl w:ilvl="5">
      <w:start w:val="1"/>
      <w:numFmt w:val="bullet"/>
      <w:lvlText w:val=""/>
      <w:lvlJc w:val="left"/>
      <w:pPr>
        <w:tabs>
          <w:tab w:val="num" w:pos="4320"/>
        </w:tabs>
        <w:ind w:left="4320" w:hanging="360"/>
      </w:pPr>
      <w:rPr>
        <w:rFonts w:ascii="Symbol" w:hAnsi="Symbol"/>
      </w:rPr>
    </w:lvl>
    <w:lvl w:ilvl="6">
      <w:start w:val="1"/>
      <w:numFmt w:val="bullet"/>
      <w:lvlText w:val=""/>
      <w:lvlJc w:val="left"/>
      <w:pPr>
        <w:tabs>
          <w:tab w:val="num" w:pos="5040"/>
        </w:tabs>
        <w:ind w:left="5040" w:hanging="360"/>
      </w:pPr>
      <w:rPr>
        <w:rFonts w:ascii="Symbol" w:hAnsi="Symbol"/>
      </w:rPr>
    </w:lvl>
    <w:lvl w:ilvl="7">
      <w:start w:val="1"/>
      <w:numFmt w:val="bullet"/>
      <w:lvlText w:val=""/>
      <w:lvlJc w:val="left"/>
      <w:pPr>
        <w:tabs>
          <w:tab w:val="num" w:pos="5760"/>
        </w:tabs>
        <w:ind w:left="5760" w:hanging="360"/>
      </w:pPr>
      <w:rPr>
        <w:rFonts w:ascii="Symbol" w:hAnsi="Symbol"/>
      </w:rPr>
    </w:lvl>
    <w:lvl w:ilvl="8">
      <w:start w:val="1"/>
      <w:numFmt w:val="bullet"/>
      <w:lvlText w:val=""/>
      <w:lvlJc w:val="left"/>
      <w:pPr>
        <w:tabs>
          <w:tab w:val="num" w:pos="6480"/>
        </w:tabs>
        <w:ind w:left="6480" w:hanging="360"/>
      </w:pPr>
      <w:rPr>
        <w:rFonts w:ascii="Symbol" w:hAnsi="Symbol"/>
      </w:rPr>
    </w:lvl>
  </w:abstractNum>
  <w:abstractNum w:abstractNumId="22" w15:restartNumberingAfterBreak="0">
    <w:nsid w:val="58DF1B38"/>
    <w:multiLevelType w:val="hybridMultilevel"/>
    <w:tmpl w:val="C8A84846"/>
    <w:lvl w:ilvl="0" w:tplc="FA1ED66E">
      <w:start w:val="1"/>
      <w:numFmt w:val="bullet"/>
      <w:lvlText w:val=""/>
      <w:lvlPicBulletId w:val="0"/>
      <w:lvlJc w:val="left"/>
      <w:pPr>
        <w:ind w:left="2563" w:hanging="360"/>
      </w:pPr>
      <w:rPr>
        <w:rFonts w:ascii="Symbol" w:hAnsi="Symbol"/>
      </w:rPr>
    </w:lvl>
    <w:lvl w:ilvl="1" w:tplc="B75A92AE">
      <w:start w:val="1"/>
      <w:numFmt w:val="bullet"/>
      <w:lvlText w:val="o"/>
      <w:lvlJc w:val="left"/>
      <w:pPr>
        <w:ind w:left="3283" w:hanging="360"/>
      </w:pPr>
      <w:rPr>
        <w:rFonts w:ascii="Courier New" w:hAnsi="Courier New" w:cs="Courier New"/>
      </w:rPr>
    </w:lvl>
    <w:lvl w:ilvl="2" w:tplc="8422A15A">
      <w:start w:val="1"/>
      <w:numFmt w:val="bullet"/>
      <w:lvlText w:val=""/>
      <w:lvlJc w:val="left"/>
      <w:pPr>
        <w:ind w:left="4003" w:hanging="360"/>
      </w:pPr>
      <w:rPr>
        <w:rFonts w:ascii="Wingdings" w:hAnsi="Wingdings"/>
      </w:rPr>
    </w:lvl>
    <w:lvl w:ilvl="3" w:tplc="71A40DA6">
      <w:start w:val="1"/>
      <w:numFmt w:val="bullet"/>
      <w:lvlText w:val=""/>
      <w:lvlJc w:val="left"/>
      <w:pPr>
        <w:ind w:left="4723" w:hanging="360"/>
      </w:pPr>
      <w:rPr>
        <w:rFonts w:ascii="Symbol" w:hAnsi="Symbol"/>
      </w:rPr>
    </w:lvl>
    <w:lvl w:ilvl="4" w:tplc="FA925F30">
      <w:start w:val="1"/>
      <w:numFmt w:val="bullet"/>
      <w:lvlText w:val="o"/>
      <w:lvlJc w:val="left"/>
      <w:pPr>
        <w:ind w:left="5443" w:hanging="360"/>
      </w:pPr>
      <w:rPr>
        <w:rFonts w:ascii="Courier New" w:hAnsi="Courier New" w:cs="Courier New"/>
      </w:rPr>
    </w:lvl>
    <w:lvl w:ilvl="5" w:tplc="0DB08B1E">
      <w:start w:val="1"/>
      <w:numFmt w:val="bullet"/>
      <w:lvlText w:val=""/>
      <w:lvlJc w:val="left"/>
      <w:pPr>
        <w:ind w:left="6163" w:hanging="360"/>
      </w:pPr>
      <w:rPr>
        <w:rFonts w:ascii="Wingdings" w:hAnsi="Wingdings"/>
      </w:rPr>
    </w:lvl>
    <w:lvl w:ilvl="6" w:tplc="9488C7D8">
      <w:start w:val="1"/>
      <w:numFmt w:val="bullet"/>
      <w:lvlText w:val=""/>
      <w:lvlJc w:val="left"/>
      <w:pPr>
        <w:ind w:left="6883" w:hanging="360"/>
      </w:pPr>
      <w:rPr>
        <w:rFonts w:ascii="Symbol" w:hAnsi="Symbol"/>
      </w:rPr>
    </w:lvl>
    <w:lvl w:ilvl="7" w:tplc="67F0D520">
      <w:start w:val="1"/>
      <w:numFmt w:val="bullet"/>
      <w:lvlText w:val="o"/>
      <w:lvlJc w:val="left"/>
      <w:pPr>
        <w:ind w:left="7603" w:hanging="360"/>
      </w:pPr>
      <w:rPr>
        <w:rFonts w:ascii="Courier New" w:hAnsi="Courier New" w:cs="Courier New"/>
      </w:rPr>
    </w:lvl>
    <w:lvl w:ilvl="8" w:tplc="E8AA7662">
      <w:start w:val="1"/>
      <w:numFmt w:val="bullet"/>
      <w:lvlText w:val=""/>
      <w:lvlJc w:val="left"/>
      <w:pPr>
        <w:ind w:left="8323" w:hanging="360"/>
      </w:pPr>
      <w:rPr>
        <w:rFonts w:ascii="Wingdings" w:hAnsi="Wingdings"/>
      </w:rPr>
    </w:lvl>
  </w:abstractNum>
  <w:abstractNum w:abstractNumId="23" w15:restartNumberingAfterBreak="0">
    <w:nsid w:val="62186C4E"/>
    <w:multiLevelType w:val="hybridMultilevel"/>
    <w:tmpl w:val="584A601E"/>
    <w:lvl w:ilvl="0" w:tplc="BC48B39E">
      <w:start w:val="1"/>
      <w:numFmt w:val="bullet"/>
      <w:lvlText w:val=""/>
      <w:lvlPicBulletId w:val="1"/>
      <w:lvlJc w:val="left"/>
      <w:pPr>
        <w:tabs>
          <w:tab w:val="num" w:pos="720"/>
        </w:tabs>
        <w:ind w:left="720" w:hanging="360"/>
      </w:pPr>
      <w:rPr>
        <w:rFonts w:ascii="Symbol" w:hAnsi="Symbol"/>
      </w:rPr>
    </w:lvl>
    <w:lvl w:ilvl="1" w:tplc="65E0ABD4">
      <w:start w:val="1"/>
      <w:numFmt w:val="bullet"/>
      <w:lvlText w:val=""/>
      <w:lvlJc w:val="left"/>
      <w:pPr>
        <w:tabs>
          <w:tab w:val="num" w:pos="1440"/>
        </w:tabs>
        <w:ind w:left="1440" w:hanging="360"/>
      </w:pPr>
      <w:rPr>
        <w:rFonts w:ascii="Symbol" w:hAnsi="Symbol"/>
      </w:rPr>
    </w:lvl>
    <w:lvl w:ilvl="2" w:tplc="60480BC6">
      <w:start w:val="1"/>
      <w:numFmt w:val="bullet"/>
      <w:lvlText w:val=""/>
      <w:lvlJc w:val="left"/>
      <w:pPr>
        <w:tabs>
          <w:tab w:val="num" w:pos="2160"/>
        </w:tabs>
        <w:ind w:left="2160" w:hanging="360"/>
      </w:pPr>
      <w:rPr>
        <w:rFonts w:ascii="Symbol" w:hAnsi="Symbol"/>
      </w:rPr>
    </w:lvl>
    <w:lvl w:ilvl="3" w:tplc="0EAC628A">
      <w:start w:val="1"/>
      <w:numFmt w:val="bullet"/>
      <w:lvlText w:val=""/>
      <w:lvlJc w:val="left"/>
      <w:pPr>
        <w:tabs>
          <w:tab w:val="num" w:pos="2880"/>
        </w:tabs>
        <w:ind w:left="2880" w:hanging="360"/>
      </w:pPr>
      <w:rPr>
        <w:rFonts w:ascii="Symbol" w:hAnsi="Symbol"/>
      </w:rPr>
    </w:lvl>
    <w:lvl w:ilvl="4" w:tplc="9ECECB06">
      <w:start w:val="1"/>
      <w:numFmt w:val="bullet"/>
      <w:lvlText w:val=""/>
      <w:lvlJc w:val="left"/>
      <w:pPr>
        <w:tabs>
          <w:tab w:val="num" w:pos="3600"/>
        </w:tabs>
        <w:ind w:left="3600" w:hanging="360"/>
      </w:pPr>
      <w:rPr>
        <w:rFonts w:ascii="Symbol" w:hAnsi="Symbol"/>
      </w:rPr>
    </w:lvl>
    <w:lvl w:ilvl="5" w:tplc="626EA3DE">
      <w:start w:val="1"/>
      <w:numFmt w:val="bullet"/>
      <w:lvlText w:val=""/>
      <w:lvlJc w:val="left"/>
      <w:pPr>
        <w:tabs>
          <w:tab w:val="num" w:pos="4320"/>
        </w:tabs>
        <w:ind w:left="4320" w:hanging="360"/>
      </w:pPr>
      <w:rPr>
        <w:rFonts w:ascii="Symbol" w:hAnsi="Symbol"/>
      </w:rPr>
    </w:lvl>
    <w:lvl w:ilvl="6" w:tplc="FFF6479E">
      <w:start w:val="1"/>
      <w:numFmt w:val="bullet"/>
      <w:lvlText w:val=""/>
      <w:lvlJc w:val="left"/>
      <w:pPr>
        <w:tabs>
          <w:tab w:val="num" w:pos="5040"/>
        </w:tabs>
        <w:ind w:left="5040" w:hanging="360"/>
      </w:pPr>
      <w:rPr>
        <w:rFonts w:ascii="Symbol" w:hAnsi="Symbol"/>
      </w:rPr>
    </w:lvl>
    <w:lvl w:ilvl="7" w:tplc="D76C00E0">
      <w:start w:val="1"/>
      <w:numFmt w:val="bullet"/>
      <w:lvlText w:val=""/>
      <w:lvlJc w:val="left"/>
      <w:pPr>
        <w:tabs>
          <w:tab w:val="num" w:pos="5760"/>
        </w:tabs>
        <w:ind w:left="5760" w:hanging="360"/>
      </w:pPr>
      <w:rPr>
        <w:rFonts w:ascii="Symbol" w:hAnsi="Symbol"/>
      </w:rPr>
    </w:lvl>
    <w:lvl w:ilvl="8" w:tplc="FDC41518">
      <w:start w:val="1"/>
      <w:numFmt w:val="bullet"/>
      <w:lvlText w:val=""/>
      <w:lvlJc w:val="left"/>
      <w:pPr>
        <w:tabs>
          <w:tab w:val="num" w:pos="6480"/>
        </w:tabs>
        <w:ind w:left="6480" w:hanging="360"/>
      </w:pPr>
      <w:rPr>
        <w:rFonts w:ascii="Symbol" w:hAnsi="Symbol"/>
      </w:rPr>
    </w:lvl>
  </w:abstractNum>
  <w:abstractNum w:abstractNumId="24" w15:restartNumberingAfterBreak="0">
    <w:nsid w:val="691C1B2F"/>
    <w:multiLevelType w:val="hybridMultilevel"/>
    <w:tmpl w:val="0A4E907A"/>
    <w:lvl w:ilvl="0" w:tplc="3202FF2A">
      <w:start w:val="1"/>
      <w:numFmt w:val="bullet"/>
      <w:lvlText w:val=""/>
      <w:lvlPicBulletId w:val="0"/>
      <w:lvlJc w:val="left"/>
      <w:pPr>
        <w:ind w:left="2534" w:hanging="360"/>
      </w:pPr>
      <w:rPr>
        <w:rFonts w:ascii="Symbol" w:hAnsi="Symbol"/>
      </w:rPr>
    </w:lvl>
    <w:lvl w:ilvl="1" w:tplc="B4107BD8">
      <w:start w:val="1"/>
      <w:numFmt w:val="bullet"/>
      <w:lvlText w:val="o"/>
      <w:lvlJc w:val="left"/>
      <w:pPr>
        <w:ind w:left="3254" w:hanging="360"/>
      </w:pPr>
      <w:rPr>
        <w:rFonts w:ascii="Courier New" w:hAnsi="Courier New" w:cs="Courier New"/>
      </w:rPr>
    </w:lvl>
    <w:lvl w:ilvl="2" w:tplc="8FB82A1E">
      <w:start w:val="1"/>
      <w:numFmt w:val="bullet"/>
      <w:lvlText w:val=""/>
      <w:lvlJc w:val="left"/>
      <w:pPr>
        <w:ind w:left="3974" w:hanging="360"/>
      </w:pPr>
      <w:rPr>
        <w:rFonts w:ascii="Wingdings" w:hAnsi="Wingdings"/>
      </w:rPr>
    </w:lvl>
    <w:lvl w:ilvl="3" w:tplc="1C10F192">
      <w:start w:val="1"/>
      <w:numFmt w:val="bullet"/>
      <w:lvlText w:val=""/>
      <w:lvlJc w:val="left"/>
      <w:pPr>
        <w:ind w:left="4694" w:hanging="360"/>
      </w:pPr>
      <w:rPr>
        <w:rFonts w:ascii="Symbol" w:hAnsi="Symbol"/>
      </w:rPr>
    </w:lvl>
    <w:lvl w:ilvl="4" w:tplc="381E489C">
      <w:start w:val="1"/>
      <w:numFmt w:val="bullet"/>
      <w:lvlText w:val="o"/>
      <w:lvlJc w:val="left"/>
      <w:pPr>
        <w:ind w:left="5414" w:hanging="360"/>
      </w:pPr>
      <w:rPr>
        <w:rFonts w:ascii="Courier New" w:hAnsi="Courier New" w:cs="Courier New"/>
      </w:rPr>
    </w:lvl>
    <w:lvl w:ilvl="5" w:tplc="D7546B46">
      <w:start w:val="1"/>
      <w:numFmt w:val="bullet"/>
      <w:lvlText w:val=""/>
      <w:lvlJc w:val="left"/>
      <w:pPr>
        <w:ind w:left="6134" w:hanging="360"/>
      </w:pPr>
      <w:rPr>
        <w:rFonts w:ascii="Wingdings" w:hAnsi="Wingdings"/>
      </w:rPr>
    </w:lvl>
    <w:lvl w:ilvl="6" w:tplc="B6CE8554">
      <w:start w:val="1"/>
      <w:numFmt w:val="bullet"/>
      <w:lvlText w:val=""/>
      <w:lvlJc w:val="left"/>
      <w:pPr>
        <w:ind w:left="6854" w:hanging="360"/>
      </w:pPr>
      <w:rPr>
        <w:rFonts w:ascii="Symbol" w:hAnsi="Symbol"/>
      </w:rPr>
    </w:lvl>
    <w:lvl w:ilvl="7" w:tplc="7AAEEBAE">
      <w:start w:val="1"/>
      <w:numFmt w:val="bullet"/>
      <w:lvlText w:val="o"/>
      <w:lvlJc w:val="left"/>
      <w:pPr>
        <w:ind w:left="7574" w:hanging="360"/>
      </w:pPr>
      <w:rPr>
        <w:rFonts w:ascii="Courier New" w:hAnsi="Courier New" w:cs="Courier New"/>
      </w:rPr>
    </w:lvl>
    <w:lvl w:ilvl="8" w:tplc="2E76E07C">
      <w:start w:val="1"/>
      <w:numFmt w:val="bullet"/>
      <w:lvlText w:val=""/>
      <w:lvlJc w:val="left"/>
      <w:pPr>
        <w:ind w:left="8294" w:hanging="360"/>
      </w:pPr>
      <w:rPr>
        <w:rFonts w:ascii="Wingdings" w:hAnsi="Wingdings"/>
      </w:rPr>
    </w:lvl>
  </w:abstractNum>
  <w:abstractNum w:abstractNumId="25" w15:restartNumberingAfterBreak="0">
    <w:nsid w:val="6FA6138A"/>
    <w:multiLevelType w:val="hybridMultilevel"/>
    <w:tmpl w:val="B29EDCDC"/>
    <w:lvl w:ilvl="0" w:tplc="4D309530">
      <w:start w:val="1"/>
      <w:numFmt w:val="lowerLetter"/>
      <w:lvlText w:val="(%1)"/>
      <w:lvlJc w:val="left"/>
      <w:pPr>
        <w:ind w:left="360" w:hanging="360"/>
      </w:pPr>
      <w:rPr>
        <w:rFonts w:cs="Times New Roman"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FB54722"/>
    <w:multiLevelType w:val="hybridMultilevel"/>
    <w:tmpl w:val="5CFA78DE"/>
    <w:lvl w:ilvl="0" w:tplc="5E2C12BE">
      <w:start w:val="1"/>
      <w:numFmt w:val="lowerLetter"/>
      <w:lvlText w:val="(%1)"/>
      <w:lvlJc w:val="left"/>
      <w:pPr>
        <w:ind w:left="2174" w:hanging="360"/>
      </w:pPr>
      <w:rPr>
        <w:rFonts w:cs="Times New Roman"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70180597"/>
    <w:multiLevelType w:val="hybridMultilevel"/>
    <w:tmpl w:val="211477FC"/>
    <w:lvl w:ilvl="0" w:tplc="7778D75A">
      <w:start w:val="1"/>
      <w:numFmt w:val="bullet"/>
      <w:lvlText w:val=""/>
      <w:lvlJc w:val="left"/>
      <w:pPr>
        <w:tabs>
          <w:tab w:val="num" w:pos="7428"/>
        </w:tabs>
      </w:pPr>
      <w:rPr>
        <w:rFonts w:ascii="Webdings" w:hAnsi="Webdings"/>
        <w:b w:val="0"/>
        <w:i w:val="0"/>
        <w:color w:val="E42618"/>
        <w:spacing w:val="0"/>
        <w:sz w:val="24"/>
        <w:szCs w:val="18"/>
      </w:rPr>
    </w:lvl>
    <w:lvl w:ilvl="1" w:tplc="42D446FA">
      <w:start w:val="1"/>
      <w:numFmt w:val="bullet"/>
      <w:lvlText w:val="o"/>
      <w:lvlJc w:val="left"/>
      <w:pPr>
        <w:tabs>
          <w:tab w:val="num" w:pos="1440"/>
        </w:tabs>
        <w:ind w:left="1440" w:hanging="360"/>
      </w:pPr>
      <w:rPr>
        <w:rFonts w:ascii="Courier New" w:hAnsi="Courier New"/>
      </w:rPr>
    </w:lvl>
    <w:lvl w:ilvl="2" w:tplc="5D0889FA">
      <w:start w:val="1"/>
      <w:numFmt w:val="bullet"/>
      <w:lvlText w:val=""/>
      <w:lvlJc w:val="left"/>
      <w:pPr>
        <w:tabs>
          <w:tab w:val="num" w:pos="2160"/>
        </w:tabs>
        <w:ind w:left="2160" w:hanging="360"/>
      </w:pPr>
      <w:rPr>
        <w:rFonts w:ascii="Wingdings" w:hAnsi="Wingdings"/>
      </w:rPr>
    </w:lvl>
    <w:lvl w:ilvl="3" w:tplc="B5EEF7EA">
      <w:start w:val="1"/>
      <w:numFmt w:val="bullet"/>
      <w:lvlText w:val=""/>
      <w:lvlJc w:val="left"/>
      <w:pPr>
        <w:tabs>
          <w:tab w:val="num" w:pos="2880"/>
        </w:tabs>
        <w:ind w:left="2880" w:hanging="360"/>
      </w:pPr>
      <w:rPr>
        <w:rFonts w:ascii="Symbol" w:hAnsi="Symbol"/>
      </w:rPr>
    </w:lvl>
    <w:lvl w:ilvl="4" w:tplc="6278F380">
      <w:start w:val="1"/>
      <w:numFmt w:val="bullet"/>
      <w:lvlText w:val="o"/>
      <w:lvlJc w:val="left"/>
      <w:pPr>
        <w:tabs>
          <w:tab w:val="num" w:pos="3600"/>
        </w:tabs>
        <w:ind w:left="3600" w:hanging="360"/>
      </w:pPr>
      <w:rPr>
        <w:rFonts w:ascii="Courier New" w:hAnsi="Courier New"/>
      </w:rPr>
    </w:lvl>
    <w:lvl w:ilvl="5" w:tplc="184A15FE">
      <w:start w:val="1"/>
      <w:numFmt w:val="bullet"/>
      <w:lvlText w:val=""/>
      <w:lvlJc w:val="left"/>
      <w:pPr>
        <w:tabs>
          <w:tab w:val="num" w:pos="4320"/>
        </w:tabs>
        <w:ind w:left="4320" w:hanging="360"/>
      </w:pPr>
      <w:rPr>
        <w:rFonts w:ascii="Wingdings" w:hAnsi="Wingdings"/>
      </w:rPr>
    </w:lvl>
    <w:lvl w:ilvl="6" w:tplc="2570810A">
      <w:start w:val="1"/>
      <w:numFmt w:val="bullet"/>
      <w:lvlText w:val=""/>
      <w:lvlJc w:val="left"/>
      <w:pPr>
        <w:tabs>
          <w:tab w:val="num" w:pos="5040"/>
        </w:tabs>
        <w:ind w:left="5040" w:hanging="360"/>
      </w:pPr>
      <w:rPr>
        <w:rFonts w:ascii="Symbol" w:hAnsi="Symbol"/>
      </w:rPr>
    </w:lvl>
    <w:lvl w:ilvl="7" w:tplc="E2BE1ADA">
      <w:start w:val="1"/>
      <w:numFmt w:val="bullet"/>
      <w:lvlText w:val="o"/>
      <w:lvlJc w:val="left"/>
      <w:pPr>
        <w:tabs>
          <w:tab w:val="num" w:pos="5760"/>
        </w:tabs>
        <w:ind w:left="5760" w:hanging="360"/>
      </w:pPr>
      <w:rPr>
        <w:rFonts w:ascii="Courier New" w:hAnsi="Courier New"/>
      </w:rPr>
    </w:lvl>
    <w:lvl w:ilvl="8" w:tplc="8B6634F0">
      <w:start w:val="1"/>
      <w:numFmt w:val="bullet"/>
      <w:lvlText w:val=""/>
      <w:lvlJc w:val="left"/>
      <w:pPr>
        <w:tabs>
          <w:tab w:val="num" w:pos="6480"/>
        </w:tabs>
        <w:ind w:left="6480" w:hanging="360"/>
      </w:pPr>
      <w:rPr>
        <w:rFonts w:ascii="Wingdings" w:hAnsi="Wingdings"/>
      </w:rPr>
    </w:lvl>
  </w:abstractNum>
  <w:abstractNum w:abstractNumId="28" w15:restartNumberingAfterBreak="0">
    <w:nsid w:val="72D5313B"/>
    <w:multiLevelType w:val="hybridMultilevel"/>
    <w:tmpl w:val="DA265EFA"/>
    <w:lvl w:ilvl="0" w:tplc="1D280DB6">
      <w:start w:val="1"/>
      <w:numFmt w:val="bullet"/>
      <w:lvlText w:val=""/>
      <w:lvlPicBulletId w:val="0"/>
      <w:lvlJc w:val="left"/>
      <w:pPr>
        <w:ind w:left="2534" w:hanging="360"/>
      </w:pPr>
      <w:rPr>
        <w:rFonts w:ascii="Symbol" w:hAnsi="Symbol"/>
      </w:rPr>
    </w:lvl>
    <w:lvl w:ilvl="1" w:tplc="7A90541A">
      <w:start w:val="1"/>
      <w:numFmt w:val="bullet"/>
      <w:lvlText w:val="o"/>
      <w:lvlJc w:val="left"/>
      <w:pPr>
        <w:ind w:left="3254" w:hanging="360"/>
      </w:pPr>
      <w:rPr>
        <w:rFonts w:ascii="Courier New" w:hAnsi="Courier New" w:cs="Courier New"/>
      </w:rPr>
    </w:lvl>
    <w:lvl w:ilvl="2" w:tplc="D360AD78">
      <w:start w:val="1"/>
      <w:numFmt w:val="bullet"/>
      <w:lvlText w:val=""/>
      <w:lvlJc w:val="left"/>
      <w:pPr>
        <w:ind w:left="3974" w:hanging="360"/>
      </w:pPr>
      <w:rPr>
        <w:rFonts w:ascii="Wingdings" w:hAnsi="Wingdings"/>
      </w:rPr>
    </w:lvl>
    <w:lvl w:ilvl="3" w:tplc="4F7E0D4C">
      <w:start w:val="1"/>
      <w:numFmt w:val="bullet"/>
      <w:lvlText w:val=""/>
      <w:lvlJc w:val="left"/>
      <w:pPr>
        <w:ind w:left="4694" w:hanging="360"/>
      </w:pPr>
      <w:rPr>
        <w:rFonts w:ascii="Symbol" w:hAnsi="Symbol"/>
      </w:rPr>
    </w:lvl>
    <w:lvl w:ilvl="4" w:tplc="8C8A2206">
      <w:start w:val="1"/>
      <w:numFmt w:val="bullet"/>
      <w:lvlText w:val="o"/>
      <w:lvlJc w:val="left"/>
      <w:pPr>
        <w:ind w:left="5414" w:hanging="360"/>
      </w:pPr>
      <w:rPr>
        <w:rFonts w:ascii="Courier New" w:hAnsi="Courier New" w:cs="Courier New"/>
      </w:rPr>
    </w:lvl>
    <w:lvl w:ilvl="5" w:tplc="CA54A694">
      <w:start w:val="1"/>
      <w:numFmt w:val="bullet"/>
      <w:lvlText w:val=""/>
      <w:lvlJc w:val="left"/>
      <w:pPr>
        <w:ind w:left="6134" w:hanging="360"/>
      </w:pPr>
      <w:rPr>
        <w:rFonts w:ascii="Wingdings" w:hAnsi="Wingdings"/>
      </w:rPr>
    </w:lvl>
    <w:lvl w:ilvl="6" w:tplc="F76A34AC">
      <w:start w:val="1"/>
      <w:numFmt w:val="bullet"/>
      <w:lvlText w:val=""/>
      <w:lvlJc w:val="left"/>
      <w:pPr>
        <w:ind w:left="6854" w:hanging="360"/>
      </w:pPr>
      <w:rPr>
        <w:rFonts w:ascii="Symbol" w:hAnsi="Symbol"/>
      </w:rPr>
    </w:lvl>
    <w:lvl w:ilvl="7" w:tplc="10142460">
      <w:start w:val="1"/>
      <w:numFmt w:val="bullet"/>
      <w:lvlText w:val="o"/>
      <w:lvlJc w:val="left"/>
      <w:pPr>
        <w:ind w:left="7574" w:hanging="360"/>
      </w:pPr>
      <w:rPr>
        <w:rFonts w:ascii="Courier New" w:hAnsi="Courier New" w:cs="Courier New"/>
      </w:rPr>
    </w:lvl>
    <w:lvl w:ilvl="8" w:tplc="00948126">
      <w:start w:val="1"/>
      <w:numFmt w:val="bullet"/>
      <w:lvlText w:val=""/>
      <w:lvlJc w:val="left"/>
      <w:pPr>
        <w:ind w:left="8294" w:hanging="360"/>
      </w:pPr>
      <w:rPr>
        <w:rFonts w:ascii="Wingdings" w:hAnsi="Wingdings"/>
      </w:rPr>
    </w:lvl>
  </w:abstractNum>
  <w:abstractNum w:abstractNumId="29" w15:restartNumberingAfterBreak="0">
    <w:nsid w:val="750924CB"/>
    <w:multiLevelType w:val="hybridMultilevel"/>
    <w:tmpl w:val="60228588"/>
    <w:lvl w:ilvl="0" w:tplc="1744D462">
      <w:start w:val="1"/>
      <w:numFmt w:val="bullet"/>
      <w:lvlText w:val=""/>
      <w:lvlPicBulletId w:val="0"/>
      <w:lvlJc w:val="left"/>
      <w:pPr>
        <w:tabs>
          <w:tab w:val="num" w:pos="720"/>
        </w:tabs>
        <w:ind w:left="720" w:hanging="360"/>
      </w:pPr>
      <w:rPr>
        <w:rFonts w:ascii="Symbol" w:hAnsi="Symbol"/>
      </w:rPr>
    </w:lvl>
    <w:lvl w:ilvl="1" w:tplc="2BE69FA6">
      <w:start w:val="1"/>
      <w:numFmt w:val="bullet"/>
      <w:lvlText w:val=""/>
      <w:lvlJc w:val="left"/>
      <w:pPr>
        <w:tabs>
          <w:tab w:val="num" w:pos="1440"/>
        </w:tabs>
        <w:ind w:left="1440" w:hanging="360"/>
      </w:pPr>
      <w:rPr>
        <w:rFonts w:ascii="Symbol" w:hAnsi="Symbol"/>
      </w:rPr>
    </w:lvl>
    <w:lvl w:ilvl="2" w:tplc="1D7EEA5C">
      <w:start w:val="1"/>
      <w:numFmt w:val="bullet"/>
      <w:lvlText w:val=""/>
      <w:lvlJc w:val="left"/>
      <w:pPr>
        <w:tabs>
          <w:tab w:val="num" w:pos="2160"/>
        </w:tabs>
        <w:ind w:left="2160" w:hanging="360"/>
      </w:pPr>
      <w:rPr>
        <w:rFonts w:ascii="Symbol" w:hAnsi="Symbol"/>
      </w:rPr>
    </w:lvl>
    <w:lvl w:ilvl="3" w:tplc="5A8E6AFE">
      <w:start w:val="1"/>
      <w:numFmt w:val="bullet"/>
      <w:lvlText w:val=""/>
      <w:lvlJc w:val="left"/>
      <w:pPr>
        <w:tabs>
          <w:tab w:val="num" w:pos="2880"/>
        </w:tabs>
        <w:ind w:left="2880" w:hanging="360"/>
      </w:pPr>
      <w:rPr>
        <w:rFonts w:ascii="Symbol" w:hAnsi="Symbol"/>
      </w:rPr>
    </w:lvl>
    <w:lvl w:ilvl="4" w:tplc="088AFD40">
      <w:start w:val="1"/>
      <w:numFmt w:val="bullet"/>
      <w:lvlText w:val=""/>
      <w:lvlJc w:val="left"/>
      <w:pPr>
        <w:tabs>
          <w:tab w:val="num" w:pos="3600"/>
        </w:tabs>
        <w:ind w:left="3600" w:hanging="360"/>
      </w:pPr>
      <w:rPr>
        <w:rFonts w:ascii="Symbol" w:hAnsi="Symbol"/>
      </w:rPr>
    </w:lvl>
    <w:lvl w:ilvl="5" w:tplc="05CEF3CE">
      <w:start w:val="1"/>
      <w:numFmt w:val="bullet"/>
      <w:lvlText w:val=""/>
      <w:lvlJc w:val="left"/>
      <w:pPr>
        <w:tabs>
          <w:tab w:val="num" w:pos="4320"/>
        </w:tabs>
        <w:ind w:left="4320" w:hanging="360"/>
      </w:pPr>
      <w:rPr>
        <w:rFonts w:ascii="Symbol" w:hAnsi="Symbol"/>
      </w:rPr>
    </w:lvl>
    <w:lvl w:ilvl="6" w:tplc="E6481CE0">
      <w:start w:val="1"/>
      <w:numFmt w:val="bullet"/>
      <w:lvlText w:val=""/>
      <w:lvlJc w:val="left"/>
      <w:pPr>
        <w:tabs>
          <w:tab w:val="num" w:pos="5040"/>
        </w:tabs>
        <w:ind w:left="5040" w:hanging="360"/>
      </w:pPr>
      <w:rPr>
        <w:rFonts w:ascii="Symbol" w:hAnsi="Symbol"/>
      </w:rPr>
    </w:lvl>
    <w:lvl w:ilvl="7" w:tplc="026AF7A0">
      <w:start w:val="1"/>
      <w:numFmt w:val="bullet"/>
      <w:lvlText w:val=""/>
      <w:lvlJc w:val="left"/>
      <w:pPr>
        <w:tabs>
          <w:tab w:val="num" w:pos="5760"/>
        </w:tabs>
        <w:ind w:left="5760" w:hanging="360"/>
      </w:pPr>
      <w:rPr>
        <w:rFonts w:ascii="Symbol" w:hAnsi="Symbol"/>
      </w:rPr>
    </w:lvl>
    <w:lvl w:ilvl="8" w:tplc="58B461BE">
      <w:start w:val="1"/>
      <w:numFmt w:val="bullet"/>
      <w:lvlText w:val=""/>
      <w:lvlJc w:val="left"/>
      <w:pPr>
        <w:tabs>
          <w:tab w:val="num" w:pos="6480"/>
        </w:tabs>
        <w:ind w:left="6480" w:hanging="360"/>
      </w:pPr>
      <w:rPr>
        <w:rFonts w:ascii="Symbol" w:hAnsi="Symbol"/>
      </w:rPr>
    </w:lvl>
  </w:abstractNum>
  <w:abstractNum w:abstractNumId="30" w15:restartNumberingAfterBreak="0">
    <w:nsid w:val="7DAA4176"/>
    <w:multiLevelType w:val="hybridMultilevel"/>
    <w:tmpl w:val="2F3C664A"/>
    <w:lvl w:ilvl="0" w:tplc="55087B62">
      <w:start w:val="1"/>
      <w:numFmt w:val="lowerLetter"/>
      <w:lvlText w:val="(%1)"/>
      <w:lvlJc w:val="left"/>
      <w:pPr>
        <w:ind w:left="360" w:hanging="360"/>
      </w:pPr>
      <w:rPr>
        <w:rFonts w:cs="Times New Roman"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3"/>
  </w:num>
  <w:num w:numId="2">
    <w:abstractNumId w:val="29"/>
  </w:num>
  <w:num w:numId="3">
    <w:abstractNumId w:val="22"/>
  </w:num>
  <w:num w:numId="4">
    <w:abstractNumId w:val="10"/>
  </w:num>
  <w:num w:numId="5">
    <w:abstractNumId w:val="17"/>
  </w:num>
  <w:num w:numId="6">
    <w:abstractNumId w:val="21"/>
  </w:num>
  <w:num w:numId="7">
    <w:abstractNumId w:val="13"/>
  </w:num>
  <w:num w:numId="8">
    <w:abstractNumId w:val="3"/>
  </w:num>
  <w:num w:numId="9">
    <w:abstractNumId w:val="2"/>
  </w:num>
  <w:num w:numId="10">
    <w:abstractNumId w:val="28"/>
  </w:num>
  <w:num w:numId="11">
    <w:abstractNumId w:val="16"/>
  </w:num>
  <w:num w:numId="12">
    <w:abstractNumId w:val="18"/>
  </w:num>
  <w:num w:numId="13">
    <w:abstractNumId w:val="9"/>
  </w:num>
  <w:num w:numId="14">
    <w:abstractNumId w:val="12"/>
  </w:num>
  <w:num w:numId="15">
    <w:abstractNumId w:val="24"/>
  </w:num>
  <w:num w:numId="16">
    <w:abstractNumId w:val="5"/>
  </w:num>
  <w:num w:numId="17">
    <w:abstractNumId w:val="11"/>
  </w:num>
  <w:num w:numId="18">
    <w:abstractNumId w:val="4"/>
  </w:num>
  <w:num w:numId="19">
    <w:abstractNumId w:val="15"/>
  </w:num>
  <w:num w:numId="20">
    <w:abstractNumId w:val="27"/>
  </w:num>
  <w:num w:numId="21">
    <w:abstractNumId w:val="20"/>
  </w:num>
  <w:num w:numId="22">
    <w:abstractNumId w:val="7"/>
  </w:num>
  <w:num w:numId="23">
    <w:abstractNumId w:val="0"/>
  </w:num>
  <w:num w:numId="24">
    <w:abstractNumId w:val="14"/>
  </w:num>
  <w:num w:numId="25">
    <w:abstractNumId w:val="8"/>
  </w:num>
  <w:num w:numId="26">
    <w:abstractNumId w:val="1"/>
  </w:num>
  <w:num w:numId="27">
    <w:abstractNumId w:val="26"/>
  </w:num>
  <w:num w:numId="28">
    <w:abstractNumId w:val="19"/>
  </w:num>
  <w:num w:numId="29">
    <w:abstractNumId w:val="25"/>
  </w:num>
  <w:num w:numId="30">
    <w:abstractNumId w:val="6"/>
  </w:num>
  <w:num w:numId="3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hideSpellingErrors/>
  <w:hideGrammaticalErrors/>
  <w:activeWritingStyle w:appName="MSWord" w:lang="it-IT" w:vendorID="64" w:dllVersion="6" w:nlCheck="1" w:checkStyle="0"/>
  <w:activeWritingStyle w:appName="MSWord" w:lang="it-IT" w:vendorID="64" w:dllVersion="0" w:nlCheck="1" w:checkStyle="0"/>
  <w:activeWritingStyle w:appName="MSWord" w:lang="en-US" w:vendorID="64" w:dllVersion="0" w:nlCheck="1" w:checkStyle="0"/>
  <w:activeWritingStyle w:appName="MSWord" w:lang="en-US" w:vendorID="64" w:dllVersion="6" w:nlCheck="1" w:checkStyle="0"/>
  <w:activeWritingStyle w:appName="MSWord" w:lang="fi-FI" w:vendorID="64" w:dllVersion="6" w:nlCheck="1" w:checkStyle="0"/>
  <w:activeWritingStyle w:appName="MSWord" w:lang="de-DE" w:vendorID="64" w:dllVersion="6" w:nlCheck="1" w:checkStyle="0"/>
  <w:activeWritingStyle w:appName="MSWord" w:lang="en-GB" w:vendorID="64" w:dllVersion="6" w:nlCheck="1" w:checkStyle="0"/>
  <w:activeWritingStyle w:appName="MSWord" w:lang="it-IT" w:vendorID="64" w:dllVersion="4096" w:nlCheck="1" w:checkStyle="0"/>
  <w:activeWritingStyle w:appName="MSWord" w:lang="en-GB" w:vendorID="64" w:dllVersion="4096" w:nlCheck="1" w:checkStyle="0"/>
  <w:activeWritingStyle w:appName="MSWord" w:lang="en-US" w:vendorID="64" w:dllVersion="4096" w:nlCheck="1" w:checkStyle="0"/>
  <w:activeWritingStyle w:appName="MSWord" w:lang="nl-NL" w:vendorID="64" w:dllVersion="6" w:nlCheck="1" w:checkStyle="0"/>
  <w:activeWritingStyle w:appName="MSWord" w:lang="it-IT"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hyphenationZone w:val="283"/>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hdrShapeDefaults>
    <o:shapedefaults v:ext="edit" spidmax="2049" style="mso-position-horizontal:center;mso-width-percent:400;mso-height-percent:200;mso-width-relative:margin;mso-height-relative:margin" fillcolor="white">
      <v:fill color="white"/>
      <v:textbox style="mso-fit-shape-to-text: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C7E"/>
    <w:rsid w:val="00000148"/>
    <w:rsid w:val="00000352"/>
    <w:rsid w:val="000004DF"/>
    <w:rsid w:val="000006C7"/>
    <w:rsid w:val="0000081F"/>
    <w:rsid w:val="000013FF"/>
    <w:rsid w:val="00001929"/>
    <w:rsid w:val="00001C85"/>
    <w:rsid w:val="000020B7"/>
    <w:rsid w:val="000020DF"/>
    <w:rsid w:val="0000242C"/>
    <w:rsid w:val="00002572"/>
    <w:rsid w:val="00002655"/>
    <w:rsid w:val="000026DF"/>
    <w:rsid w:val="000026F5"/>
    <w:rsid w:val="00002F2D"/>
    <w:rsid w:val="00003345"/>
    <w:rsid w:val="000034C8"/>
    <w:rsid w:val="00003834"/>
    <w:rsid w:val="00003AAA"/>
    <w:rsid w:val="00003AB5"/>
    <w:rsid w:val="00003AD9"/>
    <w:rsid w:val="00003EE3"/>
    <w:rsid w:val="00003F46"/>
    <w:rsid w:val="00004188"/>
    <w:rsid w:val="000041BD"/>
    <w:rsid w:val="000043D5"/>
    <w:rsid w:val="00004794"/>
    <w:rsid w:val="000049DD"/>
    <w:rsid w:val="00004DDD"/>
    <w:rsid w:val="00004DF3"/>
    <w:rsid w:val="00004E38"/>
    <w:rsid w:val="00005A6B"/>
    <w:rsid w:val="0000683C"/>
    <w:rsid w:val="0000688C"/>
    <w:rsid w:val="00006DB7"/>
    <w:rsid w:val="00007042"/>
    <w:rsid w:val="000070BF"/>
    <w:rsid w:val="000072F0"/>
    <w:rsid w:val="0000740E"/>
    <w:rsid w:val="0000797C"/>
    <w:rsid w:val="00010041"/>
    <w:rsid w:val="000100DA"/>
    <w:rsid w:val="000101B6"/>
    <w:rsid w:val="000102D5"/>
    <w:rsid w:val="0001046E"/>
    <w:rsid w:val="00010573"/>
    <w:rsid w:val="00010822"/>
    <w:rsid w:val="0001089C"/>
    <w:rsid w:val="000108ED"/>
    <w:rsid w:val="00010957"/>
    <w:rsid w:val="000109E3"/>
    <w:rsid w:val="00010A46"/>
    <w:rsid w:val="00010B15"/>
    <w:rsid w:val="00010B3C"/>
    <w:rsid w:val="000110CB"/>
    <w:rsid w:val="000113F8"/>
    <w:rsid w:val="00011610"/>
    <w:rsid w:val="000119A0"/>
    <w:rsid w:val="000119DB"/>
    <w:rsid w:val="00011A51"/>
    <w:rsid w:val="00011DBB"/>
    <w:rsid w:val="00011F76"/>
    <w:rsid w:val="00012364"/>
    <w:rsid w:val="00012457"/>
    <w:rsid w:val="0001283C"/>
    <w:rsid w:val="00012A11"/>
    <w:rsid w:val="00012F51"/>
    <w:rsid w:val="000134A3"/>
    <w:rsid w:val="000135AB"/>
    <w:rsid w:val="00013751"/>
    <w:rsid w:val="00013995"/>
    <w:rsid w:val="00013A1E"/>
    <w:rsid w:val="00013B9E"/>
    <w:rsid w:val="00013F41"/>
    <w:rsid w:val="000143F0"/>
    <w:rsid w:val="00014927"/>
    <w:rsid w:val="00015266"/>
    <w:rsid w:val="00015D22"/>
    <w:rsid w:val="00015EAD"/>
    <w:rsid w:val="0001639C"/>
    <w:rsid w:val="000164F8"/>
    <w:rsid w:val="000168D3"/>
    <w:rsid w:val="00016B13"/>
    <w:rsid w:val="00017353"/>
    <w:rsid w:val="00017E2C"/>
    <w:rsid w:val="000205CA"/>
    <w:rsid w:val="0002065A"/>
    <w:rsid w:val="00020BAC"/>
    <w:rsid w:val="000211AD"/>
    <w:rsid w:val="000213E2"/>
    <w:rsid w:val="00021652"/>
    <w:rsid w:val="0002181D"/>
    <w:rsid w:val="000219E8"/>
    <w:rsid w:val="00021B34"/>
    <w:rsid w:val="00021CE9"/>
    <w:rsid w:val="00022197"/>
    <w:rsid w:val="00022763"/>
    <w:rsid w:val="000228CB"/>
    <w:rsid w:val="00022EA6"/>
    <w:rsid w:val="00023385"/>
    <w:rsid w:val="00023C19"/>
    <w:rsid w:val="000241B7"/>
    <w:rsid w:val="0002466F"/>
    <w:rsid w:val="00024BDA"/>
    <w:rsid w:val="00025203"/>
    <w:rsid w:val="00025294"/>
    <w:rsid w:val="000254AC"/>
    <w:rsid w:val="000255D0"/>
    <w:rsid w:val="0002574E"/>
    <w:rsid w:val="000257C6"/>
    <w:rsid w:val="00025822"/>
    <w:rsid w:val="00025AA7"/>
    <w:rsid w:val="00025D71"/>
    <w:rsid w:val="00026388"/>
    <w:rsid w:val="00026544"/>
    <w:rsid w:val="0002663A"/>
    <w:rsid w:val="000266A7"/>
    <w:rsid w:val="00026CE1"/>
    <w:rsid w:val="00027728"/>
    <w:rsid w:val="00027BB0"/>
    <w:rsid w:val="00027BCF"/>
    <w:rsid w:val="00027C10"/>
    <w:rsid w:val="00027FBC"/>
    <w:rsid w:val="0003046A"/>
    <w:rsid w:val="000304B3"/>
    <w:rsid w:val="00030747"/>
    <w:rsid w:val="00030BEE"/>
    <w:rsid w:val="00030F1C"/>
    <w:rsid w:val="0003114F"/>
    <w:rsid w:val="00031258"/>
    <w:rsid w:val="000317B8"/>
    <w:rsid w:val="00031864"/>
    <w:rsid w:val="00031934"/>
    <w:rsid w:val="00031B77"/>
    <w:rsid w:val="00031C2E"/>
    <w:rsid w:val="00031CA1"/>
    <w:rsid w:val="000320B7"/>
    <w:rsid w:val="000329A9"/>
    <w:rsid w:val="00032A4E"/>
    <w:rsid w:val="00033432"/>
    <w:rsid w:val="00033F4F"/>
    <w:rsid w:val="00033F5C"/>
    <w:rsid w:val="00034068"/>
    <w:rsid w:val="00034365"/>
    <w:rsid w:val="00034970"/>
    <w:rsid w:val="000349CE"/>
    <w:rsid w:val="000349D0"/>
    <w:rsid w:val="00034B21"/>
    <w:rsid w:val="00034E6E"/>
    <w:rsid w:val="000350E3"/>
    <w:rsid w:val="00035164"/>
    <w:rsid w:val="00035837"/>
    <w:rsid w:val="00035DF0"/>
    <w:rsid w:val="0003629C"/>
    <w:rsid w:val="00036321"/>
    <w:rsid w:val="000363D3"/>
    <w:rsid w:val="00036DBD"/>
    <w:rsid w:val="0003704B"/>
    <w:rsid w:val="0004002D"/>
    <w:rsid w:val="00040033"/>
    <w:rsid w:val="00040065"/>
    <w:rsid w:val="000402DE"/>
    <w:rsid w:val="000409A2"/>
    <w:rsid w:val="00040FDE"/>
    <w:rsid w:val="00041081"/>
    <w:rsid w:val="000419DB"/>
    <w:rsid w:val="00041A5D"/>
    <w:rsid w:val="00041DD2"/>
    <w:rsid w:val="00041DDD"/>
    <w:rsid w:val="00041DEF"/>
    <w:rsid w:val="00041DF5"/>
    <w:rsid w:val="000420D4"/>
    <w:rsid w:val="0004257E"/>
    <w:rsid w:val="00042B16"/>
    <w:rsid w:val="00042D21"/>
    <w:rsid w:val="00042F77"/>
    <w:rsid w:val="000431E9"/>
    <w:rsid w:val="000433C2"/>
    <w:rsid w:val="0004346C"/>
    <w:rsid w:val="0004365B"/>
    <w:rsid w:val="00043835"/>
    <w:rsid w:val="00043C67"/>
    <w:rsid w:val="00044602"/>
    <w:rsid w:val="000446DC"/>
    <w:rsid w:val="00044806"/>
    <w:rsid w:val="00044863"/>
    <w:rsid w:val="00044BA2"/>
    <w:rsid w:val="00044EE3"/>
    <w:rsid w:val="00044EE4"/>
    <w:rsid w:val="000455A6"/>
    <w:rsid w:val="000456A7"/>
    <w:rsid w:val="000457A7"/>
    <w:rsid w:val="00045935"/>
    <w:rsid w:val="000459F1"/>
    <w:rsid w:val="00045B40"/>
    <w:rsid w:val="00045BC9"/>
    <w:rsid w:val="000462ED"/>
    <w:rsid w:val="00046668"/>
    <w:rsid w:val="00046881"/>
    <w:rsid w:val="00046950"/>
    <w:rsid w:val="000469E5"/>
    <w:rsid w:val="00046AF5"/>
    <w:rsid w:val="000471EF"/>
    <w:rsid w:val="00047304"/>
    <w:rsid w:val="00047435"/>
    <w:rsid w:val="000474A3"/>
    <w:rsid w:val="000477B2"/>
    <w:rsid w:val="000478E6"/>
    <w:rsid w:val="000479D4"/>
    <w:rsid w:val="00047CCE"/>
    <w:rsid w:val="00047E42"/>
    <w:rsid w:val="00050117"/>
    <w:rsid w:val="00050441"/>
    <w:rsid w:val="00050489"/>
    <w:rsid w:val="00050496"/>
    <w:rsid w:val="000504B8"/>
    <w:rsid w:val="000508D1"/>
    <w:rsid w:val="00050CFD"/>
    <w:rsid w:val="000512D1"/>
    <w:rsid w:val="0005182E"/>
    <w:rsid w:val="00051D92"/>
    <w:rsid w:val="00051E6A"/>
    <w:rsid w:val="00051FC2"/>
    <w:rsid w:val="000522BB"/>
    <w:rsid w:val="0005241D"/>
    <w:rsid w:val="00053235"/>
    <w:rsid w:val="000533C7"/>
    <w:rsid w:val="000533DF"/>
    <w:rsid w:val="00053471"/>
    <w:rsid w:val="000537BB"/>
    <w:rsid w:val="000538A1"/>
    <w:rsid w:val="00053987"/>
    <w:rsid w:val="000541C7"/>
    <w:rsid w:val="000542AF"/>
    <w:rsid w:val="00054645"/>
    <w:rsid w:val="00055283"/>
    <w:rsid w:val="000552B2"/>
    <w:rsid w:val="0005548D"/>
    <w:rsid w:val="000557ED"/>
    <w:rsid w:val="00055E26"/>
    <w:rsid w:val="0005652D"/>
    <w:rsid w:val="000565A3"/>
    <w:rsid w:val="00056612"/>
    <w:rsid w:val="00056635"/>
    <w:rsid w:val="000567BC"/>
    <w:rsid w:val="000569E0"/>
    <w:rsid w:val="00056ACB"/>
    <w:rsid w:val="00057588"/>
    <w:rsid w:val="00057640"/>
    <w:rsid w:val="000578A2"/>
    <w:rsid w:val="00057B81"/>
    <w:rsid w:val="00057F2C"/>
    <w:rsid w:val="00060194"/>
    <w:rsid w:val="000604F0"/>
    <w:rsid w:val="00060563"/>
    <w:rsid w:val="00060769"/>
    <w:rsid w:val="000607A6"/>
    <w:rsid w:val="000607BF"/>
    <w:rsid w:val="000607C8"/>
    <w:rsid w:val="0006148E"/>
    <w:rsid w:val="000617FF"/>
    <w:rsid w:val="00061A08"/>
    <w:rsid w:val="00061A6E"/>
    <w:rsid w:val="00061BEA"/>
    <w:rsid w:val="00061DC7"/>
    <w:rsid w:val="00061E24"/>
    <w:rsid w:val="00061E48"/>
    <w:rsid w:val="00061E67"/>
    <w:rsid w:val="00061E6C"/>
    <w:rsid w:val="000620FB"/>
    <w:rsid w:val="000621DF"/>
    <w:rsid w:val="00062437"/>
    <w:rsid w:val="000624F5"/>
    <w:rsid w:val="000629AB"/>
    <w:rsid w:val="00062C7C"/>
    <w:rsid w:val="00062E45"/>
    <w:rsid w:val="00063405"/>
    <w:rsid w:val="000635CC"/>
    <w:rsid w:val="000635F7"/>
    <w:rsid w:val="000637A8"/>
    <w:rsid w:val="000639B9"/>
    <w:rsid w:val="00063D28"/>
    <w:rsid w:val="000640D5"/>
    <w:rsid w:val="000643E1"/>
    <w:rsid w:val="000643F7"/>
    <w:rsid w:val="00064404"/>
    <w:rsid w:val="00064DBF"/>
    <w:rsid w:val="00064E2A"/>
    <w:rsid w:val="000650D8"/>
    <w:rsid w:val="0006537C"/>
    <w:rsid w:val="00065467"/>
    <w:rsid w:val="000657E2"/>
    <w:rsid w:val="00065E24"/>
    <w:rsid w:val="000662FB"/>
    <w:rsid w:val="0006665B"/>
    <w:rsid w:val="00066831"/>
    <w:rsid w:val="00066B28"/>
    <w:rsid w:val="00067259"/>
    <w:rsid w:val="000677B5"/>
    <w:rsid w:val="00067AB5"/>
    <w:rsid w:val="00067F81"/>
    <w:rsid w:val="000705C2"/>
    <w:rsid w:val="0007066C"/>
    <w:rsid w:val="00070718"/>
    <w:rsid w:val="0007076D"/>
    <w:rsid w:val="000708D3"/>
    <w:rsid w:val="00070DC4"/>
    <w:rsid w:val="0007153E"/>
    <w:rsid w:val="00071857"/>
    <w:rsid w:val="00071B43"/>
    <w:rsid w:val="00071EFA"/>
    <w:rsid w:val="0007204A"/>
    <w:rsid w:val="000720F5"/>
    <w:rsid w:val="000720F8"/>
    <w:rsid w:val="00072142"/>
    <w:rsid w:val="00072398"/>
    <w:rsid w:val="00072711"/>
    <w:rsid w:val="00072728"/>
    <w:rsid w:val="00072B3F"/>
    <w:rsid w:val="00072BE2"/>
    <w:rsid w:val="000732DF"/>
    <w:rsid w:val="0007358E"/>
    <w:rsid w:val="00073872"/>
    <w:rsid w:val="000738CF"/>
    <w:rsid w:val="00073E58"/>
    <w:rsid w:val="00073F42"/>
    <w:rsid w:val="00074665"/>
    <w:rsid w:val="000746D5"/>
    <w:rsid w:val="00074709"/>
    <w:rsid w:val="000749B9"/>
    <w:rsid w:val="00074CE9"/>
    <w:rsid w:val="000755F9"/>
    <w:rsid w:val="000757EE"/>
    <w:rsid w:val="00075941"/>
    <w:rsid w:val="00075CC6"/>
    <w:rsid w:val="00075DB3"/>
    <w:rsid w:val="0007633E"/>
    <w:rsid w:val="0007650D"/>
    <w:rsid w:val="00076A61"/>
    <w:rsid w:val="00076BAA"/>
    <w:rsid w:val="00076C27"/>
    <w:rsid w:val="00076E1F"/>
    <w:rsid w:val="00077520"/>
    <w:rsid w:val="00077534"/>
    <w:rsid w:val="0007754A"/>
    <w:rsid w:val="00077592"/>
    <w:rsid w:val="00077E7D"/>
    <w:rsid w:val="00080263"/>
    <w:rsid w:val="000803AD"/>
    <w:rsid w:val="00080865"/>
    <w:rsid w:val="000809E8"/>
    <w:rsid w:val="00080F62"/>
    <w:rsid w:val="000811D8"/>
    <w:rsid w:val="0008146C"/>
    <w:rsid w:val="000817F5"/>
    <w:rsid w:val="000818DD"/>
    <w:rsid w:val="000819D4"/>
    <w:rsid w:val="0008231C"/>
    <w:rsid w:val="000828E6"/>
    <w:rsid w:val="000829B6"/>
    <w:rsid w:val="00082A62"/>
    <w:rsid w:val="00082DF0"/>
    <w:rsid w:val="00082E1E"/>
    <w:rsid w:val="00082EA3"/>
    <w:rsid w:val="00083173"/>
    <w:rsid w:val="00083429"/>
    <w:rsid w:val="0008362B"/>
    <w:rsid w:val="00083FE3"/>
    <w:rsid w:val="00084387"/>
    <w:rsid w:val="00084761"/>
    <w:rsid w:val="00084AF6"/>
    <w:rsid w:val="00084CF2"/>
    <w:rsid w:val="00084E02"/>
    <w:rsid w:val="00084EE6"/>
    <w:rsid w:val="00084F18"/>
    <w:rsid w:val="0008506C"/>
    <w:rsid w:val="00085197"/>
    <w:rsid w:val="0008519C"/>
    <w:rsid w:val="0008527C"/>
    <w:rsid w:val="0008545A"/>
    <w:rsid w:val="000858AC"/>
    <w:rsid w:val="00085926"/>
    <w:rsid w:val="00085AC2"/>
    <w:rsid w:val="00085AEB"/>
    <w:rsid w:val="00085AFD"/>
    <w:rsid w:val="00085BC7"/>
    <w:rsid w:val="00085C51"/>
    <w:rsid w:val="00085E26"/>
    <w:rsid w:val="0008600B"/>
    <w:rsid w:val="00086154"/>
    <w:rsid w:val="000867A4"/>
    <w:rsid w:val="000868F4"/>
    <w:rsid w:val="000868F5"/>
    <w:rsid w:val="00086AE6"/>
    <w:rsid w:val="00086C83"/>
    <w:rsid w:val="000873CD"/>
    <w:rsid w:val="000876F1"/>
    <w:rsid w:val="000876FA"/>
    <w:rsid w:val="00087774"/>
    <w:rsid w:val="00087BB3"/>
    <w:rsid w:val="0009016A"/>
    <w:rsid w:val="00090558"/>
    <w:rsid w:val="00090660"/>
    <w:rsid w:val="000909B9"/>
    <w:rsid w:val="00090A07"/>
    <w:rsid w:val="00090B9F"/>
    <w:rsid w:val="00090D41"/>
    <w:rsid w:val="00090DE6"/>
    <w:rsid w:val="0009127D"/>
    <w:rsid w:val="00091965"/>
    <w:rsid w:val="00091C8D"/>
    <w:rsid w:val="00092439"/>
    <w:rsid w:val="000924D4"/>
    <w:rsid w:val="00092C29"/>
    <w:rsid w:val="00092C8C"/>
    <w:rsid w:val="00092F0E"/>
    <w:rsid w:val="00094A57"/>
    <w:rsid w:val="00094B3C"/>
    <w:rsid w:val="00094CB4"/>
    <w:rsid w:val="00094D9A"/>
    <w:rsid w:val="00095213"/>
    <w:rsid w:val="00095898"/>
    <w:rsid w:val="00095ABF"/>
    <w:rsid w:val="00096313"/>
    <w:rsid w:val="00096371"/>
    <w:rsid w:val="0009657B"/>
    <w:rsid w:val="000965C3"/>
    <w:rsid w:val="000966A1"/>
    <w:rsid w:val="00096954"/>
    <w:rsid w:val="00096C13"/>
    <w:rsid w:val="00096DB8"/>
    <w:rsid w:val="00096F61"/>
    <w:rsid w:val="000970D5"/>
    <w:rsid w:val="000972EF"/>
    <w:rsid w:val="000977C6"/>
    <w:rsid w:val="00097929"/>
    <w:rsid w:val="000A03D5"/>
    <w:rsid w:val="000A0936"/>
    <w:rsid w:val="000A09E7"/>
    <w:rsid w:val="000A0AC7"/>
    <w:rsid w:val="000A0D76"/>
    <w:rsid w:val="000A1070"/>
    <w:rsid w:val="000A123E"/>
    <w:rsid w:val="000A169F"/>
    <w:rsid w:val="000A1A26"/>
    <w:rsid w:val="000A2006"/>
    <w:rsid w:val="000A2640"/>
    <w:rsid w:val="000A27BB"/>
    <w:rsid w:val="000A2D99"/>
    <w:rsid w:val="000A2E1E"/>
    <w:rsid w:val="000A2F1D"/>
    <w:rsid w:val="000A3127"/>
    <w:rsid w:val="000A32BD"/>
    <w:rsid w:val="000A3E31"/>
    <w:rsid w:val="000A3EBA"/>
    <w:rsid w:val="000A4087"/>
    <w:rsid w:val="000A40FD"/>
    <w:rsid w:val="000A47E4"/>
    <w:rsid w:val="000A4E9A"/>
    <w:rsid w:val="000A5058"/>
    <w:rsid w:val="000A5314"/>
    <w:rsid w:val="000A5CC1"/>
    <w:rsid w:val="000A5D8F"/>
    <w:rsid w:val="000A5D99"/>
    <w:rsid w:val="000A6119"/>
    <w:rsid w:val="000A63AD"/>
    <w:rsid w:val="000A643E"/>
    <w:rsid w:val="000A6591"/>
    <w:rsid w:val="000A677A"/>
    <w:rsid w:val="000A67F1"/>
    <w:rsid w:val="000A68C0"/>
    <w:rsid w:val="000A69D2"/>
    <w:rsid w:val="000A6A6F"/>
    <w:rsid w:val="000A77D6"/>
    <w:rsid w:val="000A78EC"/>
    <w:rsid w:val="000A7B77"/>
    <w:rsid w:val="000A7B7D"/>
    <w:rsid w:val="000A7CF9"/>
    <w:rsid w:val="000B01FA"/>
    <w:rsid w:val="000B022B"/>
    <w:rsid w:val="000B02ED"/>
    <w:rsid w:val="000B05E7"/>
    <w:rsid w:val="000B0DCE"/>
    <w:rsid w:val="000B10EC"/>
    <w:rsid w:val="000B15F6"/>
    <w:rsid w:val="000B1BA4"/>
    <w:rsid w:val="000B1C7A"/>
    <w:rsid w:val="000B1F20"/>
    <w:rsid w:val="000B1F2B"/>
    <w:rsid w:val="000B27E0"/>
    <w:rsid w:val="000B2A66"/>
    <w:rsid w:val="000B2A82"/>
    <w:rsid w:val="000B2AAC"/>
    <w:rsid w:val="000B2B36"/>
    <w:rsid w:val="000B2FB6"/>
    <w:rsid w:val="000B32C5"/>
    <w:rsid w:val="000B32E4"/>
    <w:rsid w:val="000B3304"/>
    <w:rsid w:val="000B38EA"/>
    <w:rsid w:val="000B3F89"/>
    <w:rsid w:val="000B44FF"/>
    <w:rsid w:val="000B51E7"/>
    <w:rsid w:val="000B56C0"/>
    <w:rsid w:val="000B5A90"/>
    <w:rsid w:val="000B5B83"/>
    <w:rsid w:val="000B5C9D"/>
    <w:rsid w:val="000B5DC1"/>
    <w:rsid w:val="000B5DFE"/>
    <w:rsid w:val="000B5FC0"/>
    <w:rsid w:val="000B6575"/>
    <w:rsid w:val="000B6A87"/>
    <w:rsid w:val="000B6AA4"/>
    <w:rsid w:val="000B6C6C"/>
    <w:rsid w:val="000B6D0F"/>
    <w:rsid w:val="000B6E6D"/>
    <w:rsid w:val="000B72CE"/>
    <w:rsid w:val="000B72E0"/>
    <w:rsid w:val="000B7989"/>
    <w:rsid w:val="000B7C20"/>
    <w:rsid w:val="000C0226"/>
    <w:rsid w:val="000C022D"/>
    <w:rsid w:val="000C076E"/>
    <w:rsid w:val="000C099C"/>
    <w:rsid w:val="000C0C4E"/>
    <w:rsid w:val="000C0F55"/>
    <w:rsid w:val="000C1097"/>
    <w:rsid w:val="000C1526"/>
    <w:rsid w:val="000C1C3E"/>
    <w:rsid w:val="000C233C"/>
    <w:rsid w:val="000C25D8"/>
    <w:rsid w:val="000C267B"/>
    <w:rsid w:val="000C295A"/>
    <w:rsid w:val="000C2980"/>
    <w:rsid w:val="000C2FB7"/>
    <w:rsid w:val="000C35FB"/>
    <w:rsid w:val="000C3630"/>
    <w:rsid w:val="000C3699"/>
    <w:rsid w:val="000C3830"/>
    <w:rsid w:val="000C38FA"/>
    <w:rsid w:val="000C39B4"/>
    <w:rsid w:val="000C3DA5"/>
    <w:rsid w:val="000C4457"/>
    <w:rsid w:val="000C4689"/>
    <w:rsid w:val="000C482B"/>
    <w:rsid w:val="000C4D5C"/>
    <w:rsid w:val="000C4DAF"/>
    <w:rsid w:val="000C5202"/>
    <w:rsid w:val="000C52BE"/>
    <w:rsid w:val="000C53F5"/>
    <w:rsid w:val="000C5564"/>
    <w:rsid w:val="000C5602"/>
    <w:rsid w:val="000C5647"/>
    <w:rsid w:val="000C56C5"/>
    <w:rsid w:val="000C5738"/>
    <w:rsid w:val="000C5812"/>
    <w:rsid w:val="000C59C4"/>
    <w:rsid w:val="000C5B36"/>
    <w:rsid w:val="000C627A"/>
    <w:rsid w:val="000C66BD"/>
    <w:rsid w:val="000C6991"/>
    <w:rsid w:val="000C6F05"/>
    <w:rsid w:val="000C71A0"/>
    <w:rsid w:val="000C71C5"/>
    <w:rsid w:val="000C727A"/>
    <w:rsid w:val="000C7697"/>
    <w:rsid w:val="000C789E"/>
    <w:rsid w:val="000C7902"/>
    <w:rsid w:val="000C7B4C"/>
    <w:rsid w:val="000C7EF4"/>
    <w:rsid w:val="000D072A"/>
    <w:rsid w:val="000D0F51"/>
    <w:rsid w:val="000D1006"/>
    <w:rsid w:val="000D1221"/>
    <w:rsid w:val="000D1546"/>
    <w:rsid w:val="000D1B06"/>
    <w:rsid w:val="000D1E54"/>
    <w:rsid w:val="000D24E2"/>
    <w:rsid w:val="000D280E"/>
    <w:rsid w:val="000D2BA7"/>
    <w:rsid w:val="000D366B"/>
    <w:rsid w:val="000D3A7C"/>
    <w:rsid w:val="000D3CAE"/>
    <w:rsid w:val="000D425B"/>
    <w:rsid w:val="000D4568"/>
    <w:rsid w:val="000D4740"/>
    <w:rsid w:val="000D4EE8"/>
    <w:rsid w:val="000D4FE9"/>
    <w:rsid w:val="000D5383"/>
    <w:rsid w:val="000D53B8"/>
    <w:rsid w:val="000D58A4"/>
    <w:rsid w:val="000D593A"/>
    <w:rsid w:val="000D5990"/>
    <w:rsid w:val="000D5AED"/>
    <w:rsid w:val="000D61D8"/>
    <w:rsid w:val="000D6516"/>
    <w:rsid w:val="000D68E4"/>
    <w:rsid w:val="000D70FA"/>
    <w:rsid w:val="000D7279"/>
    <w:rsid w:val="000D7516"/>
    <w:rsid w:val="000D7679"/>
    <w:rsid w:val="000D7BF5"/>
    <w:rsid w:val="000E0A99"/>
    <w:rsid w:val="000E0B26"/>
    <w:rsid w:val="000E0D71"/>
    <w:rsid w:val="000E0FC9"/>
    <w:rsid w:val="000E1054"/>
    <w:rsid w:val="000E10C4"/>
    <w:rsid w:val="000E11B2"/>
    <w:rsid w:val="000E1473"/>
    <w:rsid w:val="000E15DD"/>
    <w:rsid w:val="000E162A"/>
    <w:rsid w:val="000E177D"/>
    <w:rsid w:val="000E19F0"/>
    <w:rsid w:val="000E1A5F"/>
    <w:rsid w:val="000E1E6F"/>
    <w:rsid w:val="000E2098"/>
    <w:rsid w:val="000E20BE"/>
    <w:rsid w:val="000E237E"/>
    <w:rsid w:val="000E23BF"/>
    <w:rsid w:val="000E23EF"/>
    <w:rsid w:val="000E2403"/>
    <w:rsid w:val="000E2BE0"/>
    <w:rsid w:val="000E2E1B"/>
    <w:rsid w:val="000E327D"/>
    <w:rsid w:val="000E32BE"/>
    <w:rsid w:val="000E32CD"/>
    <w:rsid w:val="000E33E6"/>
    <w:rsid w:val="000E3886"/>
    <w:rsid w:val="000E39C8"/>
    <w:rsid w:val="000E3CFC"/>
    <w:rsid w:val="000E3D7A"/>
    <w:rsid w:val="000E40CB"/>
    <w:rsid w:val="000E420F"/>
    <w:rsid w:val="000E44A9"/>
    <w:rsid w:val="000E4A6D"/>
    <w:rsid w:val="000E4C04"/>
    <w:rsid w:val="000E5429"/>
    <w:rsid w:val="000E5434"/>
    <w:rsid w:val="000E5C39"/>
    <w:rsid w:val="000E60A1"/>
    <w:rsid w:val="000E61AA"/>
    <w:rsid w:val="000E62CE"/>
    <w:rsid w:val="000E63BC"/>
    <w:rsid w:val="000E63CB"/>
    <w:rsid w:val="000E649F"/>
    <w:rsid w:val="000E66DF"/>
    <w:rsid w:val="000E6B08"/>
    <w:rsid w:val="000E6B15"/>
    <w:rsid w:val="000E6D39"/>
    <w:rsid w:val="000E70A5"/>
    <w:rsid w:val="000E7523"/>
    <w:rsid w:val="000E78BC"/>
    <w:rsid w:val="000E7C65"/>
    <w:rsid w:val="000E7F42"/>
    <w:rsid w:val="000F039B"/>
    <w:rsid w:val="000F0888"/>
    <w:rsid w:val="000F0B91"/>
    <w:rsid w:val="000F0DEA"/>
    <w:rsid w:val="000F0DFE"/>
    <w:rsid w:val="000F0F04"/>
    <w:rsid w:val="000F106A"/>
    <w:rsid w:val="000F1394"/>
    <w:rsid w:val="000F1519"/>
    <w:rsid w:val="000F1643"/>
    <w:rsid w:val="000F18A3"/>
    <w:rsid w:val="000F1921"/>
    <w:rsid w:val="000F19CA"/>
    <w:rsid w:val="000F1A51"/>
    <w:rsid w:val="000F1CEF"/>
    <w:rsid w:val="000F1D54"/>
    <w:rsid w:val="000F2058"/>
    <w:rsid w:val="000F25EE"/>
    <w:rsid w:val="000F269A"/>
    <w:rsid w:val="000F26C0"/>
    <w:rsid w:val="000F2873"/>
    <w:rsid w:val="000F2BE7"/>
    <w:rsid w:val="000F2D75"/>
    <w:rsid w:val="000F2F43"/>
    <w:rsid w:val="000F2FB2"/>
    <w:rsid w:val="000F32AC"/>
    <w:rsid w:val="000F370D"/>
    <w:rsid w:val="000F3A7C"/>
    <w:rsid w:val="000F3E1E"/>
    <w:rsid w:val="000F4259"/>
    <w:rsid w:val="000F4698"/>
    <w:rsid w:val="000F4792"/>
    <w:rsid w:val="000F4973"/>
    <w:rsid w:val="000F4D00"/>
    <w:rsid w:val="000F4FE7"/>
    <w:rsid w:val="000F5C7B"/>
    <w:rsid w:val="000F5E0E"/>
    <w:rsid w:val="000F5E41"/>
    <w:rsid w:val="000F5EC4"/>
    <w:rsid w:val="000F6161"/>
    <w:rsid w:val="000F686A"/>
    <w:rsid w:val="000F708E"/>
    <w:rsid w:val="000F72C6"/>
    <w:rsid w:val="000F7AD5"/>
    <w:rsid w:val="000F7CB4"/>
    <w:rsid w:val="000F7DA4"/>
    <w:rsid w:val="000F7DC2"/>
    <w:rsid w:val="000F7E1E"/>
    <w:rsid w:val="000F7E21"/>
    <w:rsid w:val="000F7F1D"/>
    <w:rsid w:val="000F7F64"/>
    <w:rsid w:val="000F7FAE"/>
    <w:rsid w:val="00100058"/>
    <w:rsid w:val="00100268"/>
    <w:rsid w:val="001003E1"/>
    <w:rsid w:val="00100472"/>
    <w:rsid w:val="001006B5"/>
    <w:rsid w:val="00100814"/>
    <w:rsid w:val="00100B0C"/>
    <w:rsid w:val="00100B6B"/>
    <w:rsid w:val="001010FA"/>
    <w:rsid w:val="001014D0"/>
    <w:rsid w:val="00101916"/>
    <w:rsid w:val="00101976"/>
    <w:rsid w:val="00101A55"/>
    <w:rsid w:val="00101E0C"/>
    <w:rsid w:val="00101F21"/>
    <w:rsid w:val="00101F33"/>
    <w:rsid w:val="0010203F"/>
    <w:rsid w:val="00102371"/>
    <w:rsid w:val="00102818"/>
    <w:rsid w:val="00102B06"/>
    <w:rsid w:val="00102B37"/>
    <w:rsid w:val="00102E12"/>
    <w:rsid w:val="001030AE"/>
    <w:rsid w:val="0010327A"/>
    <w:rsid w:val="00103356"/>
    <w:rsid w:val="00103433"/>
    <w:rsid w:val="001035FC"/>
    <w:rsid w:val="00103A48"/>
    <w:rsid w:val="00103AEA"/>
    <w:rsid w:val="00103ECF"/>
    <w:rsid w:val="00104168"/>
    <w:rsid w:val="00104CC6"/>
    <w:rsid w:val="00104E68"/>
    <w:rsid w:val="00104EC6"/>
    <w:rsid w:val="00104F5D"/>
    <w:rsid w:val="0010507C"/>
    <w:rsid w:val="001053BE"/>
    <w:rsid w:val="00105637"/>
    <w:rsid w:val="00105774"/>
    <w:rsid w:val="001059D3"/>
    <w:rsid w:val="00105B08"/>
    <w:rsid w:val="0010607E"/>
    <w:rsid w:val="001061DE"/>
    <w:rsid w:val="0010642A"/>
    <w:rsid w:val="0010687A"/>
    <w:rsid w:val="00106AA3"/>
    <w:rsid w:val="00106B50"/>
    <w:rsid w:val="00106D57"/>
    <w:rsid w:val="00107126"/>
    <w:rsid w:val="00107184"/>
    <w:rsid w:val="00107499"/>
    <w:rsid w:val="001075A8"/>
    <w:rsid w:val="0010788D"/>
    <w:rsid w:val="00107900"/>
    <w:rsid w:val="001079C3"/>
    <w:rsid w:val="001079F9"/>
    <w:rsid w:val="00107B24"/>
    <w:rsid w:val="00110856"/>
    <w:rsid w:val="001112CB"/>
    <w:rsid w:val="00111347"/>
    <w:rsid w:val="00111823"/>
    <w:rsid w:val="00111A6A"/>
    <w:rsid w:val="00111D49"/>
    <w:rsid w:val="0011204E"/>
    <w:rsid w:val="001124E6"/>
    <w:rsid w:val="00112A83"/>
    <w:rsid w:val="00112FD6"/>
    <w:rsid w:val="00113BDB"/>
    <w:rsid w:val="00113E20"/>
    <w:rsid w:val="00113E61"/>
    <w:rsid w:val="00113F0D"/>
    <w:rsid w:val="00114045"/>
    <w:rsid w:val="00114204"/>
    <w:rsid w:val="001143AE"/>
    <w:rsid w:val="001143D0"/>
    <w:rsid w:val="00114470"/>
    <w:rsid w:val="001145E7"/>
    <w:rsid w:val="001146BF"/>
    <w:rsid w:val="001146F4"/>
    <w:rsid w:val="001148A7"/>
    <w:rsid w:val="001148C3"/>
    <w:rsid w:val="001148FD"/>
    <w:rsid w:val="0011499F"/>
    <w:rsid w:val="00114E77"/>
    <w:rsid w:val="001151F5"/>
    <w:rsid w:val="0011562D"/>
    <w:rsid w:val="001156D5"/>
    <w:rsid w:val="00115EE6"/>
    <w:rsid w:val="00116113"/>
    <w:rsid w:val="001167F5"/>
    <w:rsid w:val="00116AF1"/>
    <w:rsid w:val="00116C1C"/>
    <w:rsid w:val="00116C75"/>
    <w:rsid w:val="00116DD5"/>
    <w:rsid w:val="001172B7"/>
    <w:rsid w:val="00117309"/>
    <w:rsid w:val="001174E2"/>
    <w:rsid w:val="00117927"/>
    <w:rsid w:val="00117AF1"/>
    <w:rsid w:val="00117BB0"/>
    <w:rsid w:val="00120030"/>
    <w:rsid w:val="0012011D"/>
    <w:rsid w:val="00120457"/>
    <w:rsid w:val="00120623"/>
    <w:rsid w:val="00120D11"/>
    <w:rsid w:val="00120D7F"/>
    <w:rsid w:val="00120F89"/>
    <w:rsid w:val="00121177"/>
    <w:rsid w:val="001216FA"/>
    <w:rsid w:val="001218FF"/>
    <w:rsid w:val="00121D1D"/>
    <w:rsid w:val="00121F1E"/>
    <w:rsid w:val="00122847"/>
    <w:rsid w:val="00122912"/>
    <w:rsid w:val="00122976"/>
    <w:rsid w:val="00122A9B"/>
    <w:rsid w:val="0012380F"/>
    <w:rsid w:val="00123A77"/>
    <w:rsid w:val="001248B9"/>
    <w:rsid w:val="001249B2"/>
    <w:rsid w:val="00124FBE"/>
    <w:rsid w:val="001252BA"/>
    <w:rsid w:val="001254C6"/>
    <w:rsid w:val="00125651"/>
    <w:rsid w:val="00125958"/>
    <w:rsid w:val="00125AC1"/>
    <w:rsid w:val="00125C51"/>
    <w:rsid w:val="00125D56"/>
    <w:rsid w:val="00125FC1"/>
    <w:rsid w:val="001261E2"/>
    <w:rsid w:val="00126235"/>
    <w:rsid w:val="001267F9"/>
    <w:rsid w:val="00126876"/>
    <w:rsid w:val="00126980"/>
    <w:rsid w:val="00126FCA"/>
    <w:rsid w:val="001273DA"/>
    <w:rsid w:val="00127771"/>
    <w:rsid w:val="00127C10"/>
    <w:rsid w:val="00127CCE"/>
    <w:rsid w:val="00127F8B"/>
    <w:rsid w:val="0013060B"/>
    <w:rsid w:val="001306A7"/>
    <w:rsid w:val="001308AD"/>
    <w:rsid w:val="00131047"/>
    <w:rsid w:val="00131084"/>
    <w:rsid w:val="0013114E"/>
    <w:rsid w:val="001315D4"/>
    <w:rsid w:val="001315EA"/>
    <w:rsid w:val="0013171C"/>
    <w:rsid w:val="001319AE"/>
    <w:rsid w:val="00131A4B"/>
    <w:rsid w:val="00132098"/>
    <w:rsid w:val="001321E2"/>
    <w:rsid w:val="0013239A"/>
    <w:rsid w:val="00132674"/>
    <w:rsid w:val="00132857"/>
    <w:rsid w:val="001329D5"/>
    <w:rsid w:val="00132A09"/>
    <w:rsid w:val="00132D0E"/>
    <w:rsid w:val="00132F27"/>
    <w:rsid w:val="00133323"/>
    <w:rsid w:val="001334D9"/>
    <w:rsid w:val="00133558"/>
    <w:rsid w:val="001335FA"/>
    <w:rsid w:val="0013399B"/>
    <w:rsid w:val="00133B6D"/>
    <w:rsid w:val="0013455F"/>
    <w:rsid w:val="00134BB2"/>
    <w:rsid w:val="00134D35"/>
    <w:rsid w:val="00135207"/>
    <w:rsid w:val="0013523C"/>
    <w:rsid w:val="001353CC"/>
    <w:rsid w:val="001353DB"/>
    <w:rsid w:val="001358CD"/>
    <w:rsid w:val="00135B41"/>
    <w:rsid w:val="00135CEF"/>
    <w:rsid w:val="00135D93"/>
    <w:rsid w:val="00135EC9"/>
    <w:rsid w:val="00136284"/>
    <w:rsid w:val="00136CB5"/>
    <w:rsid w:val="0013714A"/>
    <w:rsid w:val="00137191"/>
    <w:rsid w:val="001373C3"/>
    <w:rsid w:val="001376AE"/>
    <w:rsid w:val="00137940"/>
    <w:rsid w:val="00137B50"/>
    <w:rsid w:val="00137C78"/>
    <w:rsid w:val="00137FEB"/>
    <w:rsid w:val="0014041C"/>
    <w:rsid w:val="00140BAF"/>
    <w:rsid w:val="00140C00"/>
    <w:rsid w:val="00140EB2"/>
    <w:rsid w:val="0014104F"/>
    <w:rsid w:val="001418A2"/>
    <w:rsid w:val="001419EF"/>
    <w:rsid w:val="001419FF"/>
    <w:rsid w:val="00141A37"/>
    <w:rsid w:val="00141B4A"/>
    <w:rsid w:val="00141C42"/>
    <w:rsid w:val="001421E4"/>
    <w:rsid w:val="0014267D"/>
    <w:rsid w:val="00142963"/>
    <w:rsid w:val="00142F44"/>
    <w:rsid w:val="00143151"/>
    <w:rsid w:val="001431DB"/>
    <w:rsid w:val="00143799"/>
    <w:rsid w:val="00143A49"/>
    <w:rsid w:val="00143C18"/>
    <w:rsid w:val="00143CB4"/>
    <w:rsid w:val="001440DD"/>
    <w:rsid w:val="00144529"/>
    <w:rsid w:val="00144917"/>
    <w:rsid w:val="00144DF8"/>
    <w:rsid w:val="001450F7"/>
    <w:rsid w:val="00145580"/>
    <w:rsid w:val="00145738"/>
    <w:rsid w:val="00145A1D"/>
    <w:rsid w:val="00146243"/>
    <w:rsid w:val="001463B3"/>
    <w:rsid w:val="00146767"/>
    <w:rsid w:val="00147253"/>
    <w:rsid w:val="0014748A"/>
    <w:rsid w:val="00147559"/>
    <w:rsid w:val="0014774B"/>
    <w:rsid w:val="001478BA"/>
    <w:rsid w:val="00147A1C"/>
    <w:rsid w:val="00147CF6"/>
    <w:rsid w:val="00150945"/>
    <w:rsid w:val="001511A4"/>
    <w:rsid w:val="0015128D"/>
    <w:rsid w:val="00151343"/>
    <w:rsid w:val="00151539"/>
    <w:rsid w:val="001515F2"/>
    <w:rsid w:val="001516DB"/>
    <w:rsid w:val="00151BB3"/>
    <w:rsid w:val="00151CAF"/>
    <w:rsid w:val="00151E34"/>
    <w:rsid w:val="00151E44"/>
    <w:rsid w:val="00152902"/>
    <w:rsid w:val="001529BB"/>
    <w:rsid w:val="00152E56"/>
    <w:rsid w:val="001531EB"/>
    <w:rsid w:val="001532E5"/>
    <w:rsid w:val="001538D3"/>
    <w:rsid w:val="00153A3C"/>
    <w:rsid w:val="00153C7B"/>
    <w:rsid w:val="00153CB5"/>
    <w:rsid w:val="00153E1B"/>
    <w:rsid w:val="00154850"/>
    <w:rsid w:val="0015485C"/>
    <w:rsid w:val="001549DF"/>
    <w:rsid w:val="00154B63"/>
    <w:rsid w:val="00154CB3"/>
    <w:rsid w:val="00155117"/>
    <w:rsid w:val="001555D0"/>
    <w:rsid w:val="00155620"/>
    <w:rsid w:val="00155774"/>
    <w:rsid w:val="001559AA"/>
    <w:rsid w:val="00155DF1"/>
    <w:rsid w:val="0015602C"/>
    <w:rsid w:val="001566B3"/>
    <w:rsid w:val="00156B69"/>
    <w:rsid w:val="00156C7D"/>
    <w:rsid w:val="00156D13"/>
    <w:rsid w:val="00157260"/>
    <w:rsid w:val="001575D8"/>
    <w:rsid w:val="00157664"/>
    <w:rsid w:val="00157EBF"/>
    <w:rsid w:val="001600DF"/>
    <w:rsid w:val="00160180"/>
    <w:rsid w:val="001601F4"/>
    <w:rsid w:val="00160503"/>
    <w:rsid w:val="00161148"/>
    <w:rsid w:val="001611C8"/>
    <w:rsid w:val="00161230"/>
    <w:rsid w:val="00161444"/>
    <w:rsid w:val="0016149C"/>
    <w:rsid w:val="001614D8"/>
    <w:rsid w:val="00161A69"/>
    <w:rsid w:val="00161AEE"/>
    <w:rsid w:val="00161BFF"/>
    <w:rsid w:val="00162056"/>
    <w:rsid w:val="001622A4"/>
    <w:rsid w:val="001622D3"/>
    <w:rsid w:val="001625AE"/>
    <w:rsid w:val="0016293F"/>
    <w:rsid w:val="00162C0B"/>
    <w:rsid w:val="00162C1E"/>
    <w:rsid w:val="00162E48"/>
    <w:rsid w:val="00162F6A"/>
    <w:rsid w:val="0016323D"/>
    <w:rsid w:val="001632FB"/>
    <w:rsid w:val="0016343C"/>
    <w:rsid w:val="00163540"/>
    <w:rsid w:val="00163D7B"/>
    <w:rsid w:val="001645B6"/>
    <w:rsid w:val="0016485B"/>
    <w:rsid w:val="00164938"/>
    <w:rsid w:val="00164DAA"/>
    <w:rsid w:val="0016539E"/>
    <w:rsid w:val="001655DC"/>
    <w:rsid w:val="00165947"/>
    <w:rsid w:val="00165C76"/>
    <w:rsid w:val="00165E0A"/>
    <w:rsid w:val="00166045"/>
    <w:rsid w:val="001661D3"/>
    <w:rsid w:val="00166288"/>
    <w:rsid w:val="00166316"/>
    <w:rsid w:val="00166319"/>
    <w:rsid w:val="001664CA"/>
    <w:rsid w:val="00166525"/>
    <w:rsid w:val="00166889"/>
    <w:rsid w:val="00166F92"/>
    <w:rsid w:val="00166FD0"/>
    <w:rsid w:val="001671CF"/>
    <w:rsid w:val="00167687"/>
    <w:rsid w:val="00167757"/>
    <w:rsid w:val="00167891"/>
    <w:rsid w:val="00167A99"/>
    <w:rsid w:val="00167E14"/>
    <w:rsid w:val="00167FAA"/>
    <w:rsid w:val="00167FBE"/>
    <w:rsid w:val="00167FDD"/>
    <w:rsid w:val="001703A0"/>
    <w:rsid w:val="00170636"/>
    <w:rsid w:val="00170967"/>
    <w:rsid w:val="00170991"/>
    <w:rsid w:val="00170A4B"/>
    <w:rsid w:val="00170C4B"/>
    <w:rsid w:val="00170E15"/>
    <w:rsid w:val="00170E70"/>
    <w:rsid w:val="001714BE"/>
    <w:rsid w:val="0017188E"/>
    <w:rsid w:val="00172E48"/>
    <w:rsid w:val="00172EC1"/>
    <w:rsid w:val="00173151"/>
    <w:rsid w:val="001731B5"/>
    <w:rsid w:val="00173AA4"/>
    <w:rsid w:val="001741AA"/>
    <w:rsid w:val="0017468B"/>
    <w:rsid w:val="001747FB"/>
    <w:rsid w:val="00174879"/>
    <w:rsid w:val="0017489B"/>
    <w:rsid w:val="00174B36"/>
    <w:rsid w:val="00174D35"/>
    <w:rsid w:val="0017508C"/>
    <w:rsid w:val="00175120"/>
    <w:rsid w:val="00175364"/>
    <w:rsid w:val="00175805"/>
    <w:rsid w:val="00175897"/>
    <w:rsid w:val="00175B59"/>
    <w:rsid w:val="00175DBA"/>
    <w:rsid w:val="00175FBA"/>
    <w:rsid w:val="0017600F"/>
    <w:rsid w:val="00176AEB"/>
    <w:rsid w:val="00176C6D"/>
    <w:rsid w:val="00176F23"/>
    <w:rsid w:val="00176F52"/>
    <w:rsid w:val="001770F1"/>
    <w:rsid w:val="001772A7"/>
    <w:rsid w:val="001774BC"/>
    <w:rsid w:val="00177771"/>
    <w:rsid w:val="0018016F"/>
    <w:rsid w:val="00180192"/>
    <w:rsid w:val="00180464"/>
    <w:rsid w:val="00180934"/>
    <w:rsid w:val="00180A46"/>
    <w:rsid w:val="00180B19"/>
    <w:rsid w:val="00180B4B"/>
    <w:rsid w:val="00180F58"/>
    <w:rsid w:val="00181180"/>
    <w:rsid w:val="00181555"/>
    <w:rsid w:val="00181A1C"/>
    <w:rsid w:val="00182103"/>
    <w:rsid w:val="00182252"/>
    <w:rsid w:val="0018239D"/>
    <w:rsid w:val="001823B9"/>
    <w:rsid w:val="00182A18"/>
    <w:rsid w:val="00182B9D"/>
    <w:rsid w:val="0018350C"/>
    <w:rsid w:val="001835AA"/>
    <w:rsid w:val="001836BE"/>
    <w:rsid w:val="00183ACA"/>
    <w:rsid w:val="00183E53"/>
    <w:rsid w:val="00184420"/>
    <w:rsid w:val="00184632"/>
    <w:rsid w:val="00184694"/>
    <w:rsid w:val="00184EBC"/>
    <w:rsid w:val="00184ED8"/>
    <w:rsid w:val="00185048"/>
    <w:rsid w:val="001857BC"/>
    <w:rsid w:val="00185A57"/>
    <w:rsid w:val="00185DEC"/>
    <w:rsid w:val="00185F1A"/>
    <w:rsid w:val="00186029"/>
    <w:rsid w:val="00186163"/>
    <w:rsid w:val="001865C8"/>
    <w:rsid w:val="00186FBF"/>
    <w:rsid w:val="001871F1"/>
    <w:rsid w:val="001872AF"/>
    <w:rsid w:val="0018754B"/>
    <w:rsid w:val="00187799"/>
    <w:rsid w:val="00187BC3"/>
    <w:rsid w:val="00187D5A"/>
    <w:rsid w:val="00187FD8"/>
    <w:rsid w:val="00190007"/>
    <w:rsid w:val="00190077"/>
    <w:rsid w:val="00190122"/>
    <w:rsid w:val="00190333"/>
    <w:rsid w:val="001906DB"/>
    <w:rsid w:val="0019079B"/>
    <w:rsid w:val="00190B27"/>
    <w:rsid w:val="001910F4"/>
    <w:rsid w:val="00191101"/>
    <w:rsid w:val="00191237"/>
    <w:rsid w:val="0019150C"/>
    <w:rsid w:val="00191515"/>
    <w:rsid w:val="0019207F"/>
    <w:rsid w:val="00192220"/>
    <w:rsid w:val="00192293"/>
    <w:rsid w:val="001927F0"/>
    <w:rsid w:val="00192880"/>
    <w:rsid w:val="00192E96"/>
    <w:rsid w:val="00192F98"/>
    <w:rsid w:val="00193846"/>
    <w:rsid w:val="0019395E"/>
    <w:rsid w:val="00193A14"/>
    <w:rsid w:val="00193A4B"/>
    <w:rsid w:val="00193CF7"/>
    <w:rsid w:val="00193D54"/>
    <w:rsid w:val="00194384"/>
    <w:rsid w:val="0019478E"/>
    <w:rsid w:val="00194DAF"/>
    <w:rsid w:val="001952AD"/>
    <w:rsid w:val="00195425"/>
    <w:rsid w:val="001957DF"/>
    <w:rsid w:val="00195940"/>
    <w:rsid w:val="001959E9"/>
    <w:rsid w:val="00196468"/>
    <w:rsid w:val="00196693"/>
    <w:rsid w:val="0019672E"/>
    <w:rsid w:val="001967B2"/>
    <w:rsid w:val="00196AB3"/>
    <w:rsid w:val="00196C94"/>
    <w:rsid w:val="00196D70"/>
    <w:rsid w:val="001971CB"/>
    <w:rsid w:val="0019720C"/>
    <w:rsid w:val="001977AD"/>
    <w:rsid w:val="001977EB"/>
    <w:rsid w:val="00197AB3"/>
    <w:rsid w:val="00197AD3"/>
    <w:rsid w:val="00197D65"/>
    <w:rsid w:val="001A009D"/>
    <w:rsid w:val="001A047F"/>
    <w:rsid w:val="001A0668"/>
    <w:rsid w:val="001A081D"/>
    <w:rsid w:val="001A0B49"/>
    <w:rsid w:val="001A0D3B"/>
    <w:rsid w:val="001A0DEB"/>
    <w:rsid w:val="001A11E5"/>
    <w:rsid w:val="001A13B6"/>
    <w:rsid w:val="001A14D5"/>
    <w:rsid w:val="001A176F"/>
    <w:rsid w:val="001A19E6"/>
    <w:rsid w:val="001A1B79"/>
    <w:rsid w:val="001A2017"/>
    <w:rsid w:val="001A20C6"/>
    <w:rsid w:val="001A22C1"/>
    <w:rsid w:val="001A2616"/>
    <w:rsid w:val="001A28FB"/>
    <w:rsid w:val="001A2902"/>
    <w:rsid w:val="001A2E37"/>
    <w:rsid w:val="001A302B"/>
    <w:rsid w:val="001A3039"/>
    <w:rsid w:val="001A332E"/>
    <w:rsid w:val="001A34D7"/>
    <w:rsid w:val="001A34E1"/>
    <w:rsid w:val="001A35D8"/>
    <w:rsid w:val="001A3A0A"/>
    <w:rsid w:val="001A3F3F"/>
    <w:rsid w:val="001A41BF"/>
    <w:rsid w:val="001A457C"/>
    <w:rsid w:val="001A477A"/>
    <w:rsid w:val="001A4955"/>
    <w:rsid w:val="001A4AAD"/>
    <w:rsid w:val="001A4C85"/>
    <w:rsid w:val="001A4D76"/>
    <w:rsid w:val="001A5199"/>
    <w:rsid w:val="001A57C1"/>
    <w:rsid w:val="001A59C2"/>
    <w:rsid w:val="001A5AFA"/>
    <w:rsid w:val="001A5E2F"/>
    <w:rsid w:val="001A67D1"/>
    <w:rsid w:val="001A702E"/>
    <w:rsid w:val="001A7295"/>
    <w:rsid w:val="001A7AAD"/>
    <w:rsid w:val="001B000F"/>
    <w:rsid w:val="001B01CB"/>
    <w:rsid w:val="001B07B9"/>
    <w:rsid w:val="001B0ADE"/>
    <w:rsid w:val="001B10B4"/>
    <w:rsid w:val="001B1426"/>
    <w:rsid w:val="001B15BA"/>
    <w:rsid w:val="001B16A1"/>
    <w:rsid w:val="001B1A43"/>
    <w:rsid w:val="001B1C0F"/>
    <w:rsid w:val="001B20F5"/>
    <w:rsid w:val="001B28C7"/>
    <w:rsid w:val="001B29BC"/>
    <w:rsid w:val="001B2A8B"/>
    <w:rsid w:val="001B3221"/>
    <w:rsid w:val="001B374A"/>
    <w:rsid w:val="001B3775"/>
    <w:rsid w:val="001B3AD8"/>
    <w:rsid w:val="001B3DFA"/>
    <w:rsid w:val="001B43F9"/>
    <w:rsid w:val="001B4695"/>
    <w:rsid w:val="001B472B"/>
    <w:rsid w:val="001B4B8C"/>
    <w:rsid w:val="001B4C0B"/>
    <w:rsid w:val="001B5070"/>
    <w:rsid w:val="001B52C9"/>
    <w:rsid w:val="001B5337"/>
    <w:rsid w:val="001B53BC"/>
    <w:rsid w:val="001B57BC"/>
    <w:rsid w:val="001B599E"/>
    <w:rsid w:val="001B5A78"/>
    <w:rsid w:val="001B5BC6"/>
    <w:rsid w:val="001B5CAF"/>
    <w:rsid w:val="001B68EE"/>
    <w:rsid w:val="001B6B0B"/>
    <w:rsid w:val="001B7735"/>
    <w:rsid w:val="001B775D"/>
    <w:rsid w:val="001B7B68"/>
    <w:rsid w:val="001C01C8"/>
    <w:rsid w:val="001C061E"/>
    <w:rsid w:val="001C093D"/>
    <w:rsid w:val="001C0A40"/>
    <w:rsid w:val="001C0F4B"/>
    <w:rsid w:val="001C0FBC"/>
    <w:rsid w:val="001C129F"/>
    <w:rsid w:val="001C14A7"/>
    <w:rsid w:val="001C164B"/>
    <w:rsid w:val="001C1A81"/>
    <w:rsid w:val="001C1BB0"/>
    <w:rsid w:val="001C1F72"/>
    <w:rsid w:val="001C218A"/>
    <w:rsid w:val="001C2213"/>
    <w:rsid w:val="001C22EF"/>
    <w:rsid w:val="001C2A4B"/>
    <w:rsid w:val="001C2C8A"/>
    <w:rsid w:val="001C2E71"/>
    <w:rsid w:val="001C395B"/>
    <w:rsid w:val="001C3F7C"/>
    <w:rsid w:val="001C51E1"/>
    <w:rsid w:val="001C5236"/>
    <w:rsid w:val="001C5EF4"/>
    <w:rsid w:val="001C5F64"/>
    <w:rsid w:val="001C6181"/>
    <w:rsid w:val="001C6347"/>
    <w:rsid w:val="001C6CA2"/>
    <w:rsid w:val="001C736C"/>
    <w:rsid w:val="001C76F8"/>
    <w:rsid w:val="001C78BB"/>
    <w:rsid w:val="001C7A5F"/>
    <w:rsid w:val="001C7B4E"/>
    <w:rsid w:val="001D0426"/>
    <w:rsid w:val="001D07C1"/>
    <w:rsid w:val="001D0D4A"/>
    <w:rsid w:val="001D0DC3"/>
    <w:rsid w:val="001D1045"/>
    <w:rsid w:val="001D1158"/>
    <w:rsid w:val="001D169B"/>
    <w:rsid w:val="001D169D"/>
    <w:rsid w:val="001D2416"/>
    <w:rsid w:val="001D2568"/>
    <w:rsid w:val="001D2592"/>
    <w:rsid w:val="001D2613"/>
    <w:rsid w:val="001D26FF"/>
    <w:rsid w:val="001D2AA4"/>
    <w:rsid w:val="001D2C5F"/>
    <w:rsid w:val="001D3155"/>
    <w:rsid w:val="001D35C0"/>
    <w:rsid w:val="001D3A04"/>
    <w:rsid w:val="001D3A08"/>
    <w:rsid w:val="001D3C3A"/>
    <w:rsid w:val="001D4279"/>
    <w:rsid w:val="001D447C"/>
    <w:rsid w:val="001D4832"/>
    <w:rsid w:val="001D4AD4"/>
    <w:rsid w:val="001D4E3C"/>
    <w:rsid w:val="001D5006"/>
    <w:rsid w:val="001D5683"/>
    <w:rsid w:val="001D58AB"/>
    <w:rsid w:val="001D5C63"/>
    <w:rsid w:val="001D5CF9"/>
    <w:rsid w:val="001D5E51"/>
    <w:rsid w:val="001D6B45"/>
    <w:rsid w:val="001D6D6E"/>
    <w:rsid w:val="001D744B"/>
    <w:rsid w:val="001D7AFE"/>
    <w:rsid w:val="001E0000"/>
    <w:rsid w:val="001E03DC"/>
    <w:rsid w:val="001E079A"/>
    <w:rsid w:val="001E081F"/>
    <w:rsid w:val="001E08DA"/>
    <w:rsid w:val="001E0C86"/>
    <w:rsid w:val="001E0EDB"/>
    <w:rsid w:val="001E158F"/>
    <w:rsid w:val="001E15E8"/>
    <w:rsid w:val="001E16E4"/>
    <w:rsid w:val="001E16FF"/>
    <w:rsid w:val="001E1B40"/>
    <w:rsid w:val="001E1D16"/>
    <w:rsid w:val="001E1F17"/>
    <w:rsid w:val="001E24EA"/>
    <w:rsid w:val="001E2626"/>
    <w:rsid w:val="001E2EF1"/>
    <w:rsid w:val="001E2F57"/>
    <w:rsid w:val="001E3923"/>
    <w:rsid w:val="001E398F"/>
    <w:rsid w:val="001E41FD"/>
    <w:rsid w:val="001E46EB"/>
    <w:rsid w:val="001E4755"/>
    <w:rsid w:val="001E4804"/>
    <w:rsid w:val="001E4BE4"/>
    <w:rsid w:val="001E4C5D"/>
    <w:rsid w:val="001E4E6B"/>
    <w:rsid w:val="001E4ECD"/>
    <w:rsid w:val="001E4F73"/>
    <w:rsid w:val="001E51F7"/>
    <w:rsid w:val="001E531B"/>
    <w:rsid w:val="001E54C0"/>
    <w:rsid w:val="001E551F"/>
    <w:rsid w:val="001E5D07"/>
    <w:rsid w:val="001E5DAC"/>
    <w:rsid w:val="001E5EE0"/>
    <w:rsid w:val="001E6089"/>
    <w:rsid w:val="001E6682"/>
    <w:rsid w:val="001E67C4"/>
    <w:rsid w:val="001E6CB1"/>
    <w:rsid w:val="001E6DBB"/>
    <w:rsid w:val="001E6ED8"/>
    <w:rsid w:val="001E7779"/>
    <w:rsid w:val="001E779F"/>
    <w:rsid w:val="001E79F6"/>
    <w:rsid w:val="001E7A0A"/>
    <w:rsid w:val="001E7BB8"/>
    <w:rsid w:val="001E7D97"/>
    <w:rsid w:val="001E7DDE"/>
    <w:rsid w:val="001E7FE4"/>
    <w:rsid w:val="001F0235"/>
    <w:rsid w:val="001F0698"/>
    <w:rsid w:val="001F0F79"/>
    <w:rsid w:val="001F1597"/>
    <w:rsid w:val="001F173C"/>
    <w:rsid w:val="001F196B"/>
    <w:rsid w:val="001F19CD"/>
    <w:rsid w:val="001F1ABC"/>
    <w:rsid w:val="001F1ABF"/>
    <w:rsid w:val="001F1DAA"/>
    <w:rsid w:val="001F1EBF"/>
    <w:rsid w:val="001F1F6F"/>
    <w:rsid w:val="001F21EC"/>
    <w:rsid w:val="001F263A"/>
    <w:rsid w:val="001F3366"/>
    <w:rsid w:val="001F352E"/>
    <w:rsid w:val="001F38D3"/>
    <w:rsid w:val="001F3908"/>
    <w:rsid w:val="001F39AA"/>
    <w:rsid w:val="001F39B8"/>
    <w:rsid w:val="001F3E60"/>
    <w:rsid w:val="001F3E90"/>
    <w:rsid w:val="001F3EF9"/>
    <w:rsid w:val="001F4907"/>
    <w:rsid w:val="001F5063"/>
    <w:rsid w:val="001F51B8"/>
    <w:rsid w:val="001F5233"/>
    <w:rsid w:val="001F53EF"/>
    <w:rsid w:val="001F573B"/>
    <w:rsid w:val="001F5C30"/>
    <w:rsid w:val="001F5C37"/>
    <w:rsid w:val="001F5EA0"/>
    <w:rsid w:val="001F60A2"/>
    <w:rsid w:val="001F6211"/>
    <w:rsid w:val="001F6302"/>
    <w:rsid w:val="001F64D7"/>
    <w:rsid w:val="001F6630"/>
    <w:rsid w:val="001F66D3"/>
    <w:rsid w:val="001F6C99"/>
    <w:rsid w:val="001F6D61"/>
    <w:rsid w:val="001F7077"/>
    <w:rsid w:val="001F70B7"/>
    <w:rsid w:val="001F7282"/>
    <w:rsid w:val="001F7366"/>
    <w:rsid w:val="001F7498"/>
    <w:rsid w:val="001F7A72"/>
    <w:rsid w:val="001F7D1B"/>
    <w:rsid w:val="001F7DD3"/>
    <w:rsid w:val="002000EB"/>
    <w:rsid w:val="00200482"/>
    <w:rsid w:val="002005F7"/>
    <w:rsid w:val="00200A45"/>
    <w:rsid w:val="00200C03"/>
    <w:rsid w:val="00200EAC"/>
    <w:rsid w:val="00201193"/>
    <w:rsid w:val="0020164F"/>
    <w:rsid w:val="0020169C"/>
    <w:rsid w:val="00201D2E"/>
    <w:rsid w:val="002023EE"/>
    <w:rsid w:val="002027D0"/>
    <w:rsid w:val="00202FBE"/>
    <w:rsid w:val="00203061"/>
    <w:rsid w:val="002032D4"/>
    <w:rsid w:val="002033E6"/>
    <w:rsid w:val="002034BA"/>
    <w:rsid w:val="0020368C"/>
    <w:rsid w:val="002039D7"/>
    <w:rsid w:val="00203A47"/>
    <w:rsid w:val="00203B8B"/>
    <w:rsid w:val="00203C61"/>
    <w:rsid w:val="00204871"/>
    <w:rsid w:val="00204B6E"/>
    <w:rsid w:val="00204C24"/>
    <w:rsid w:val="00204C6A"/>
    <w:rsid w:val="002057AA"/>
    <w:rsid w:val="00205B5A"/>
    <w:rsid w:val="00205C76"/>
    <w:rsid w:val="002067D3"/>
    <w:rsid w:val="002068C9"/>
    <w:rsid w:val="00206BBF"/>
    <w:rsid w:val="00206E6F"/>
    <w:rsid w:val="00207188"/>
    <w:rsid w:val="002073C2"/>
    <w:rsid w:val="0020766F"/>
    <w:rsid w:val="00207BC7"/>
    <w:rsid w:val="00207EF4"/>
    <w:rsid w:val="002102EE"/>
    <w:rsid w:val="00210529"/>
    <w:rsid w:val="0021061A"/>
    <w:rsid w:val="00210DD3"/>
    <w:rsid w:val="00211045"/>
    <w:rsid w:val="0021106E"/>
    <w:rsid w:val="002110AB"/>
    <w:rsid w:val="00211448"/>
    <w:rsid w:val="00211886"/>
    <w:rsid w:val="00211BB7"/>
    <w:rsid w:val="00211DD6"/>
    <w:rsid w:val="00211EC0"/>
    <w:rsid w:val="00211EF1"/>
    <w:rsid w:val="00212367"/>
    <w:rsid w:val="00212661"/>
    <w:rsid w:val="00212680"/>
    <w:rsid w:val="00212843"/>
    <w:rsid w:val="00212E55"/>
    <w:rsid w:val="0021357B"/>
    <w:rsid w:val="002142A5"/>
    <w:rsid w:val="0021442F"/>
    <w:rsid w:val="00214777"/>
    <w:rsid w:val="0021532E"/>
    <w:rsid w:val="00215554"/>
    <w:rsid w:val="00215733"/>
    <w:rsid w:val="0021595C"/>
    <w:rsid w:val="00215FC4"/>
    <w:rsid w:val="002161F6"/>
    <w:rsid w:val="002162AA"/>
    <w:rsid w:val="002164A9"/>
    <w:rsid w:val="002165F4"/>
    <w:rsid w:val="00216B91"/>
    <w:rsid w:val="0021710A"/>
    <w:rsid w:val="002171A4"/>
    <w:rsid w:val="00217739"/>
    <w:rsid w:val="00217777"/>
    <w:rsid w:val="00217AEE"/>
    <w:rsid w:val="00217C10"/>
    <w:rsid w:val="00217C8B"/>
    <w:rsid w:val="00217CFF"/>
    <w:rsid w:val="00217D70"/>
    <w:rsid w:val="00217F9A"/>
    <w:rsid w:val="002210D5"/>
    <w:rsid w:val="00221BAA"/>
    <w:rsid w:val="00221EF9"/>
    <w:rsid w:val="002222B9"/>
    <w:rsid w:val="002222D0"/>
    <w:rsid w:val="0022261E"/>
    <w:rsid w:val="002227FF"/>
    <w:rsid w:val="0022293C"/>
    <w:rsid w:val="00222B53"/>
    <w:rsid w:val="00223A96"/>
    <w:rsid w:val="00223EEC"/>
    <w:rsid w:val="00223F3A"/>
    <w:rsid w:val="002244F6"/>
    <w:rsid w:val="002244FD"/>
    <w:rsid w:val="0022476B"/>
    <w:rsid w:val="00224A5E"/>
    <w:rsid w:val="00224BE7"/>
    <w:rsid w:val="00224C9A"/>
    <w:rsid w:val="00224DAB"/>
    <w:rsid w:val="00224DC1"/>
    <w:rsid w:val="00224E8B"/>
    <w:rsid w:val="00225129"/>
    <w:rsid w:val="00225162"/>
    <w:rsid w:val="0022535F"/>
    <w:rsid w:val="00225A63"/>
    <w:rsid w:val="00225B5B"/>
    <w:rsid w:val="00226403"/>
    <w:rsid w:val="00226461"/>
    <w:rsid w:val="00226679"/>
    <w:rsid w:val="00226782"/>
    <w:rsid w:val="0022681D"/>
    <w:rsid w:val="00226932"/>
    <w:rsid w:val="002269AE"/>
    <w:rsid w:val="002272AB"/>
    <w:rsid w:val="002273A6"/>
    <w:rsid w:val="002273C1"/>
    <w:rsid w:val="002274CB"/>
    <w:rsid w:val="00227555"/>
    <w:rsid w:val="00227C0D"/>
    <w:rsid w:val="002300AE"/>
    <w:rsid w:val="00230515"/>
    <w:rsid w:val="00230ABF"/>
    <w:rsid w:val="00230D87"/>
    <w:rsid w:val="00230E55"/>
    <w:rsid w:val="002311C5"/>
    <w:rsid w:val="00231348"/>
    <w:rsid w:val="002316C6"/>
    <w:rsid w:val="00231891"/>
    <w:rsid w:val="00231899"/>
    <w:rsid w:val="00231D89"/>
    <w:rsid w:val="00231DBD"/>
    <w:rsid w:val="00231F09"/>
    <w:rsid w:val="002320ED"/>
    <w:rsid w:val="002328F7"/>
    <w:rsid w:val="00232989"/>
    <w:rsid w:val="00232A0F"/>
    <w:rsid w:val="00232A4E"/>
    <w:rsid w:val="00232B44"/>
    <w:rsid w:val="00232E01"/>
    <w:rsid w:val="002333FA"/>
    <w:rsid w:val="0023361F"/>
    <w:rsid w:val="00233786"/>
    <w:rsid w:val="002338C4"/>
    <w:rsid w:val="00233973"/>
    <w:rsid w:val="00233A50"/>
    <w:rsid w:val="00233B11"/>
    <w:rsid w:val="00233CB0"/>
    <w:rsid w:val="002344A7"/>
    <w:rsid w:val="002345A6"/>
    <w:rsid w:val="0023484E"/>
    <w:rsid w:val="00234B37"/>
    <w:rsid w:val="00234D9F"/>
    <w:rsid w:val="00234E78"/>
    <w:rsid w:val="00234E90"/>
    <w:rsid w:val="00234F0F"/>
    <w:rsid w:val="00235347"/>
    <w:rsid w:val="00235386"/>
    <w:rsid w:val="00235A66"/>
    <w:rsid w:val="00235E3D"/>
    <w:rsid w:val="00235EFE"/>
    <w:rsid w:val="0023612D"/>
    <w:rsid w:val="002361C6"/>
    <w:rsid w:val="0023622A"/>
    <w:rsid w:val="002363B1"/>
    <w:rsid w:val="00236C97"/>
    <w:rsid w:val="0023707F"/>
    <w:rsid w:val="00237263"/>
    <w:rsid w:val="0023747B"/>
    <w:rsid w:val="00237562"/>
    <w:rsid w:val="00237750"/>
    <w:rsid w:val="00237837"/>
    <w:rsid w:val="002378A6"/>
    <w:rsid w:val="00240822"/>
    <w:rsid w:val="00240C21"/>
    <w:rsid w:val="00240CFE"/>
    <w:rsid w:val="002417D6"/>
    <w:rsid w:val="002417F9"/>
    <w:rsid w:val="00241BE0"/>
    <w:rsid w:val="00242210"/>
    <w:rsid w:val="00242821"/>
    <w:rsid w:val="00242B28"/>
    <w:rsid w:val="00242CF9"/>
    <w:rsid w:val="00242DBF"/>
    <w:rsid w:val="00243133"/>
    <w:rsid w:val="00243660"/>
    <w:rsid w:val="00243845"/>
    <w:rsid w:val="00243A79"/>
    <w:rsid w:val="00243B1E"/>
    <w:rsid w:val="002440C5"/>
    <w:rsid w:val="00244133"/>
    <w:rsid w:val="002443A9"/>
    <w:rsid w:val="00244441"/>
    <w:rsid w:val="002447BE"/>
    <w:rsid w:val="0024490E"/>
    <w:rsid w:val="00244C69"/>
    <w:rsid w:val="002450DB"/>
    <w:rsid w:val="00245E94"/>
    <w:rsid w:val="00245ECC"/>
    <w:rsid w:val="002464F7"/>
    <w:rsid w:val="00246755"/>
    <w:rsid w:val="00246CF4"/>
    <w:rsid w:val="002471C5"/>
    <w:rsid w:val="002473BB"/>
    <w:rsid w:val="0024768D"/>
    <w:rsid w:val="00247972"/>
    <w:rsid w:val="00247D0F"/>
    <w:rsid w:val="002500FB"/>
    <w:rsid w:val="0025011B"/>
    <w:rsid w:val="00250697"/>
    <w:rsid w:val="00250829"/>
    <w:rsid w:val="00250956"/>
    <w:rsid w:val="00250E8C"/>
    <w:rsid w:val="0025170A"/>
    <w:rsid w:val="00251722"/>
    <w:rsid w:val="00251B16"/>
    <w:rsid w:val="00251C42"/>
    <w:rsid w:val="0025247C"/>
    <w:rsid w:val="0025254B"/>
    <w:rsid w:val="00252594"/>
    <w:rsid w:val="00252F1D"/>
    <w:rsid w:val="002534FD"/>
    <w:rsid w:val="002538CC"/>
    <w:rsid w:val="00253E7F"/>
    <w:rsid w:val="002544E4"/>
    <w:rsid w:val="002546FF"/>
    <w:rsid w:val="00254781"/>
    <w:rsid w:val="002548DD"/>
    <w:rsid w:val="002552A6"/>
    <w:rsid w:val="00255637"/>
    <w:rsid w:val="00255B2E"/>
    <w:rsid w:val="00255F2B"/>
    <w:rsid w:val="00256025"/>
    <w:rsid w:val="0025636A"/>
    <w:rsid w:val="00256443"/>
    <w:rsid w:val="002564F9"/>
    <w:rsid w:val="00256A69"/>
    <w:rsid w:val="00256B46"/>
    <w:rsid w:val="00256C8A"/>
    <w:rsid w:val="00256CE8"/>
    <w:rsid w:val="00256E1E"/>
    <w:rsid w:val="002575E0"/>
    <w:rsid w:val="002576EC"/>
    <w:rsid w:val="002576F9"/>
    <w:rsid w:val="0025771E"/>
    <w:rsid w:val="00257872"/>
    <w:rsid w:val="00257E93"/>
    <w:rsid w:val="00257EA6"/>
    <w:rsid w:val="00257F9D"/>
    <w:rsid w:val="0026018C"/>
    <w:rsid w:val="002603B8"/>
    <w:rsid w:val="00260508"/>
    <w:rsid w:val="00260A10"/>
    <w:rsid w:val="00260A19"/>
    <w:rsid w:val="00260B0F"/>
    <w:rsid w:val="00260C44"/>
    <w:rsid w:val="00261067"/>
    <w:rsid w:val="002610AB"/>
    <w:rsid w:val="002613A5"/>
    <w:rsid w:val="00261535"/>
    <w:rsid w:val="0026158D"/>
    <w:rsid w:val="00261836"/>
    <w:rsid w:val="00261967"/>
    <w:rsid w:val="0026196A"/>
    <w:rsid w:val="002619F6"/>
    <w:rsid w:val="00261BB8"/>
    <w:rsid w:val="002621B0"/>
    <w:rsid w:val="0026234A"/>
    <w:rsid w:val="0026240F"/>
    <w:rsid w:val="00262636"/>
    <w:rsid w:val="00262C3B"/>
    <w:rsid w:val="00262CF1"/>
    <w:rsid w:val="0026356A"/>
    <w:rsid w:val="0026394E"/>
    <w:rsid w:val="002639B6"/>
    <w:rsid w:val="00263B7D"/>
    <w:rsid w:val="00263B9E"/>
    <w:rsid w:val="00263FA7"/>
    <w:rsid w:val="0026417C"/>
    <w:rsid w:val="002641E5"/>
    <w:rsid w:val="002645E0"/>
    <w:rsid w:val="0026467D"/>
    <w:rsid w:val="002646BC"/>
    <w:rsid w:val="00264C37"/>
    <w:rsid w:val="00264C3C"/>
    <w:rsid w:val="00264D1C"/>
    <w:rsid w:val="00264E53"/>
    <w:rsid w:val="002651C4"/>
    <w:rsid w:val="002652E2"/>
    <w:rsid w:val="0026533A"/>
    <w:rsid w:val="00265594"/>
    <w:rsid w:val="002656E7"/>
    <w:rsid w:val="00265A7E"/>
    <w:rsid w:val="00265EA9"/>
    <w:rsid w:val="002660E7"/>
    <w:rsid w:val="00266427"/>
    <w:rsid w:val="0026698A"/>
    <w:rsid w:val="00266A37"/>
    <w:rsid w:val="00266A4E"/>
    <w:rsid w:val="00267403"/>
    <w:rsid w:val="0026788C"/>
    <w:rsid w:val="00267F05"/>
    <w:rsid w:val="00267F3A"/>
    <w:rsid w:val="002700CC"/>
    <w:rsid w:val="002703EE"/>
    <w:rsid w:val="00270486"/>
    <w:rsid w:val="002706CB"/>
    <w:rsid w:val="00270B1C"/>
    <w:rsid w:val="00270BA6"/>
    <w:rsid w:val="00270C84"/>
    <w:rsid w:val="00271495"/>
    <w:rsid w:val="00271BB0"/>
    <w:rsid w:val="00272239"/>
    <w:rsid w:val="0027254B"/>
    <w:rsid w:val="0027257D"/>
    <w:rsid w:val="0027272C"/>
    <w:rsid w:val="0027278D"/>
    <w:rsid w:val="002727F1"/>
    <w:rsid w:val="0027284A"/>
    <w:rsid w:val="002730D6"/>
    <w:rsid w:val="002733D4"/>
    <w:rsid w:val="00273455"/>
    <w:rsid w:val="0027349E"/>
    <w:rsid w:val="00273798"/>
    <w:rsid w:val="0027381D"/>
    <w:rsid w:val="0027386A"/>
    <w:rsid w:val="00273BEF"/>
    <w:rsid w:val="00273E63"/>
    <w:rsid w:val="002741FE"/>
    <w:rsid w:val="002743FA"/>
    <w:rsid w:val="0027447F"/>
    <w:rsid w:val="00274620"/>
    <w:rsid w:val="00274BBB"/>
    <w:rsid w:val="00274EB7"/>
    <w:rsid w:val="0027566E"/>
    <w:rsid w:val="00275A35"/>
    <w:rsid w:val="00275D3C"/>
    <w:rsid w:val="00275D68"/>
    <w:rsid w:val="00276171"/>
    <w:rsid w:val="0027636B"/>
    <w:rsid w:val="00276900"/>
    <w:rsid w:val="00276C62"/>
    <w:rsid w:val="0027710B"/>
    <w:rsid w:val="0027728D"/>
    <w:rsid w:val="00277339"/>
    <w:rsid w:val="0027752A"/>
    <w:rsid w:val="002776BD"/>
    <w:rsid w:val="00277C1C"/>
    <w:rsid w:val="00277D4A"/>
    <w:rsid w:val="00277E37"/>
    <w:rsid w:val="00277E82"/>
    <w:rsid w:val="00277F14"/>
    <w:rsid w:val="00280061"/>
    <w:rsid w:val="00280377"/>
    <w:rsid w:val="002804AC"/>
    <w:rsid w:val="002804DC"/>
    <w:rsid w:val="002804EB"/>
    <w:rsid w:val="00280777"/>
    <w:rsid w:val="00280956"/>
    <w:rsid w:val="00281059"/>
    <w:rsid w:val="00281554"/>
    <w:rsid w:val="00281A05"/>
    <w:rsid w:val="00281B16"/>
    <w:rsid w:val="00281C4A"/>
    <w:rsid w:val="00282045"/>
    <w:rsid w:val="00282236"/>
    <w:rsid w:val="002825F3"/>
    <w:rsid w:val="002828FD"/>
    <w:rsid w:val="00282B71"/>
    <w:rsid w:val="00283377"/>
    <w:rsid w:val="00283881"/>
    <w:rsid w:val="00283AE9"/>
    <w:rsid w:val="002840A3"/>
    <w:rsid w:val="00284AB7"/>
    <w:rsid w:val="00284D53"/>
    <w:rsid w:val="00284FBC"/>
    <w:rsid w:val="002850DB"/>
    <w:rsid w:val="00285848"/>
    <w:rsid w:val="00285BF0"/>
    <w:rsid w:val="00285D73"/>
    <w:rsid w:val="00285F5C"/>
    <w:rsid w:val="002862AB"/>
    <w:rsid w:val="002862DE"/>
    <w:rsid w:val="002864C7"/>
    <w:rsid w:val="002865EA"/>
    <w:rsid w:val="002869BD"/>
    <w:rsid w:val="00286A21"/>
    <w:rsid w:val="00286CAA"/>
    <w:rsid w:val="00286CFA"/>
    <w:rsid w:val="00287290"/>
    <w:rsid w:val="00287435"/>
    <w:rsid w:val="0028777D"/>
    <w:rsid w:val="002879FC"/>
    <w:rsid w:val="00287C9D"/>
    <w:rsid w:val="00290025"/>
    <w:rsid w:val="00290211"/>
    <w:rsid w:val="00290DD8"/>
    <w:rsid w:val="00291024"/>
    <w:rsid w:val="002916B9"/>
    <w:rsid w:val="00291C9A"/>
    <w:rsid w:val="00291DFA"/>
    <w:rsid w:val="0029200F"/>
    <w:rsid w:val="002925B2"/>
    <w:rsid w:val="00292686"/>
    <w:rsid w:val="00292729"/>
    <w:rsid w:val="00292E42"/>
    <w:rsid w:val="002930F0"/>
    <w:rsid w:val="0029317C"/>
    <w:rsid w:val="00293561"/>
    <w:rsid w:val="00293791"/>
    <w:rsid w:val="00293972"/>
    <w:rsid w:val="002939A1"/>
    <w:rsid w:val="00293E11"/>
    <w:rsid w:val="00293F69"/>
    <w:rsid w:val="00293FE1"/>
    <w:rsid w:val="00294271"/>
    <w:rsid w:val="0029428F"/>
    <w:rsid w:val="002943C8"/>
    <w:rsid w:val="002943D6"/>
    <w:rsid w:val="00294A67"/>
    <w:rsid w:val="00294CC4"/>
    <w:rsid w:val="00294DB4"/>
    <w:rsid w:val="00294E55"/>
    <w:rsid w:val="00294E58"/>
    <w:rsid w:val="00294EAB"/>
    <w:rsid w:val="002957D8"/>
    <w:rsid w:val="0029581D"/>
    <w:rsid w:val="00295CEA"/>
    <w:rsid w:val="0029661E"/>
    <w:rsid w:val="002967B4"/>
    <w:rsid w:val="00296AA9"/>
    <w:rsid w:val="00296BFD"/>
    <w:rsid w:val="00296CA0"/>
    <w:rsid w:val="00296DA2"/>
    <w:rsid w:val="00296E94"/>
    <w:rsid w:val="0029700A"/>
    <w:rsid w:val="00297699"/>
    <w:rsid w:val="00297761"/>
    <w:rsid w:val="00297796"/>
    <w:rsid w:val="002978BE"/>
    <w:rsid w:val="00297B9F"/>
    <w:rsid w:val="002A0242"/>
    <w:rsid w:val="002A0333"/>
    <w:rsid w:val="002A0347"/>
    <w:rsid w:val="002A05DD"/>
    <w:rsid w:val="002A0A1D"/>
    <w:rsid w:val="002A3035"/>
    <w:rsid w:val="002A373D"/>
    <w:rsid w:val="002A3B3A"/>
    <w:rsid w:val="002A3DE5"/>
    <w:rsid w:val="002A3E42"/>
    <w:rsid w:val="002A3E54"/>
    <w:rsid w:val="002A3E7C"/>
    <w:rsid w:val="002A3EE0"/>
    <w:rsid w:val="002A44A4"/>
    <w:rsid w:val="002A4657"/>
    <w:rsid w:val="002A484E"/>
    <w:rsid w:val="002A4A7F"/>
    <w:rsid w:val="002A5365"/>
    <w:rsid w:val="002A55BA"/>
    <w:rsid w:val="002A582E"/>
    <w:rsid w:val="002A5EB4"/>
    <w:rsid w:val="002A5EDB"/>
    <w:rsid w:val="002A629A"/>
    <w:rsid w:val="002A670F"/>
    <w:rsid w:val="002A6718"/>
    <w:rsid w:val="002A6EF8"/>
    <w:rsid w:val="002A73AA"/>
    <w:rsid w:val="002A7690"/>
    <w:rsid w:val="002A77F6"/>
    <w:rsid w:val="002A794C"/>
    <w:rsid w:val="002A7D91"/>
    <w:rsid w:val="002A7EC9"/>
    <w:rsid w:val="002B0249"/>
    <w:rsid w:val="002B03F7"/>
    <w:rsid w:val="002B042A"/>
    <w:rsid w:val="002B0804"/>
    <w:rsid w:val="002B0CB4"/>
    <w:rsid w:val="002B113A"/>
    <w:rsid w:val="002B1243"/>
    <w:rsid w:val="002B130B"/>
    <w:rsid w:val="002B1735"/>
    <w:rsid w:val="002B1812"/>
    <w:rsid w:val="002B189F"/>
    <w:rsid w:val="002B19E9"/>
    <w:rsid w:val="002B1B82"/>
    <w:rsid w:val="002B25FB"/>
    <w:rsid w:val="002B2BBB"/>
    <w:rsid w:val="002B2E17"/>
    <w:rsid w:val="002B2EEA"/>
    <w:rsid w:val="002B3064"/>
    <w:rsid w:val="002B323E"/>
    <w:rsid w:val="002B326E"/>
    <w:rsid w:val="002B3352"/>
    <w:rsid w:val="002B34FF"/>
    <w:rsid w:val="002B36A3"/>
    <w:rsid w:val="002B36D2"/>
    <w:rsid w:val="002B3890"/>
    <w:rsid w:val="002B3B93"/>
    <w:rsid w:val="002B3C30"/>
    <w:rsid w:val="002B3EB9"/>
    <w:rsid w:val="002B3F0F"/>
    <w:rsid w:val="002B4365"/>
    <w:rsid w:val="002B487A"/>
    <w:rsid w:val="002B4B55"/>
    <w:rsid w:val="002B4B86"/>
    <w:rsid w:val="002B4EA8"/>
    <w:rsid w:val="002B5075"/>
    <w:rsid w:val="002B5082"/>
    <w:rsid w:val="002B596F"/>
    <w:rsid w:val="002B5A11"/>
    <w:rsid w:val="002B5AE7"/>
    <w:rsid w:val="002B5B1A"/>
    <w:rsid w:val="002B5BCB"/>
    <w:rsid w:val="002B5D56"/>
    <w:rsid w:val="002B5EAA"/>
    <w:rsid w:val="002B645E"/>
    <w:rsid w:val="002B658D"/>
    <w:rsid w:val="002B67BE"/>
    <w:rsid w:val="002B67E5"/>
    <w:rsid w:val="002B6831"/>
    <w:rsid w:val="002B69BC"/>
    <w:rsid w:val="002B6F48"/>
    <w:rsid w:val="002B6F8C"/>
    <w:rsid w:val="002B706E"/>
    <w:rsid w:val="002B745C"/>
    <w:rsid w:val="002B7529"/>
    <w:rsid w:val="002B75CB"/>
    <w:rsid w:val="002B7983"/>
    <w:rsid w:val="002B7EBD"/>
    <w:rsid w:val="002C0029"/>
    <w:rsid w:val="002C0080"/>
    <w:rsid w:val="002C0219"/>
    <w:rsid w:val="002C03CE"/>
    <w:rsid w:val="002C0E2C"/>
    <w:rsid w:val="002C0ECE"/>
    <w:rsid w:val="002C112A"/>
    <w:rsid w:val="002C13AE"/>
    <w:rsid w:val="002C17A3"/>
    <w:rsid w:val="002C1BD4"/>
    <w:rsid w:val="002C1C92"/>
    <w:rsid w:val="002C1FF9"/>
    <w:rsid w:val="002C2097"/>
    <w:rsid w:val="002C2730"/>
    <w:rsid w:val="002C28CD"/>
    <w:rsid w:val="002C28FB"/>
    <w:rsid w:val="002C29DD"/>
    <w:rsid w:val="002C2A92"/>
    <w:rsid w:val="002C2BAC"/>
    <w:rsid w:val="002C2FD9"/>
    <w:rsid w:val="002C3122"/>
    <w:rsid w:val="002C362C"/>
    <w:rsid w:val="002C3714"/>
    <w:rsid w:val="002C384C"/>
    <w:rsid w:val="002C421F"/>
    <w:rsid w:val="002C44A8"/>
    <w:rsid w:val="002C4BCB"/>
    <w:rsid w:val="002C4F15"/>
    <w:rsid w:val="002C56AF"/>
    <w:rsid w:val="002C56CB"/>
    <w:rsid w:val="002C58F6"/>
    <w:rsid w:val="002C5BCB"/>
    <w:rsid w:val="002C5DBF"/>
    <w:rsid w:val="002C63C4"/>
    <w:rsid w:val="002C64C2"/>
    <w:rsid w:val="002C6A7C"/>
    <w:rsid w:val="002C6AB6"/>
    <w:rsid w:val="002C6C39"/>
    <w:rsid w:val="002C702C"/>
    <w:rsid w:val="002C71BF"/>
    <w:rsid w:val="002C77D8"/>
    <w:rsid w:val="002C7905"/>
    <w:rsid w:val="002C7A4F"/>
    <w:rsid w:val="002D0179"/>
    <w:rsid w:val="002D07EA"/>
    <w:rsid w:val="002D16D9"/>
    <w:rsid w:val="002D1ED1"/>
    <w:rsid w:val="002D210C"/>
    <w:rsid w:val="002D23BF"/>
    <w:rsid w:val="002D2743"/>
    <w:rsid w:val="002D293F"/>
    <w:rsid w:val="002D2978"/>
    <w:rsid w:val="002D2D74"/>
    <w:rsid w:val="002D3487"/>
    <w:rsid w:val="002D377F"/>
    <w:rsid w:val="002D37B7"/>
    <w:rsid w:val="002D3D34"/>
    <w:rsid w:val="002D4006"/>
    <w:rsid w:val="002D40B9"/>
    <w:rsid w:val="002D44D5"/>
    <w:rsid w:val="002D45C1"/>
    <w:rsid w:val="002D45DD"/>
    <w:rsid w:val="002D5472"/>
    <w:rsid w:val="002D6009"/>
    <w:rsid w:val="002D6341"/>
    <w:rsid w:val="002D639A"/>
    <w:rsid w:val="002D66F4"/>
    <w:rsid w:val="002D7C26"/>
    <w:rsid w:val="002E0461"/>
    <w:rsid w:val="002E0647"/>
    <w:rsid w:val="002E093F"/>
    <w:rsid w:val="002E09D6"/>
    <w:rsid w:val="002E0A08"/>
    <w:rsid w:val="002E0A17"/>
    <w:rsid w:val="002E0BFA"/>
    <w:rsid w:val="002E0E0F"/>
    <w:rsid w:val="002E167C"/>
    <w:rsid w:val="002E19CD"/>
    <w:rsid w:val="002E1E79"/>
    <w:rsid w:val="002E223A"/>
    <w:rsid w:val="002E225A"/>
    <w:rsid w:val="002E22F9"/>
    <w:rsid w:val="002E25EC"/>
    <w:rsid w:val="002E27E0"/>
    <w:rsid w:val="002E2DE9"/>
    <w:rsid w:val="002E31DA"/>
    <w:rsid w:val="002E35E0"/>
    <w:rsid w:val="002E39D2"/>
    <w:rsid w:val="002E3EB2"/>
    <w:rsid w:val="002E4450"/>
    <w:rsid w:val="002E478E"/>
    <w:rsid w:val="002E4DA4"/>
    <w:rsid w:val="002E525F"/>
    <w:rsid w:val="002E52A5"/>
    <w:rsid w:val="002E5442"/>
    <w:rsid w:val="002E54A7"/>
    <w:rsid w:val="002E5B42"/>
    <w:rsid w:val="002E5B75"/>
    <w:rsid w:val="002E5E0C"/>
    <w:rsid w:val="002E60B7"/>
    <w:rsid w:val="002E61C5"/>
    <w:rsid w:val="002E62E9"/>
    <w:rsid w:val="002E6345"/>
    <w:rsid w:val="002E6375"/>
    <w:rsid w:val="002E6590"/>
    <w:rsid w:val="002E663C"/>
    <w:rsid w:val="002E6B6F"/>
    <w:rsid w:val="002E7CF9"/>
    <w:rsid w:val="002F0113"/>
    <w:rsid w:val="002F03F0"/>
    <w:rsid w:val="002F0420"/>
    <w:rsid w:val="002F06CA"/>
    <w:rsid w:val="002F0D34"/>
    <w:rsid w:val="002F0F72"/>
    <w:rsid w:val="002F1260"/>
    <w:rsid w:val="002F15C9"/>
    <w:rsid w:val="002F1774"/>
    <w:rsid w:val="002F17CD"/>
    <w:rsid w:val="002F1A01"/>
    <w:rsid w:val="002F1DAD"/>
    <w:rsid w:val="002F1EC3"/>
    <w:rsid w:val="002F1F01"/>
    <w:rsid w:val="002F204E"/>
    <w:rsid w:val="002F2062"/>
    <w:rsid w:val="002F2157"/>
    <w:rsid w:val="002F2215"/>
    <w:rsid w:val="002F2678"/>
    <w:rsid w:val="002F2796"/>
    <w:rsid w:val="002F27B8"/>
    <w:rsid w:val="002F28B7"/>
    <w:rsid w:val="002F2916"/>
    <w:rsid w:val="002F29DF"/>
    <w:rsid w:val="002F2A75"/>
    <w:rsid w:val="002F2C72"/>
    <w:rsid w:val="002F2D20"/>
    <w:rsid w:val="002F2DB7"/>
    <w:rsid w:val="002F2F67"/>
    <w:rsid w:val="002F31DC"/>
    <w:rsid w:val="002F3222"/>
    <w:rsid w:val="002F33E3"/>
    <w:rsid w:val="002F37DE"/>
    <w:rsid w:val="002F3B21"/>
    <w:rsid w:val="002F3DA7"/>
    <w:rsid w:val="002F4141"/>
    <w:rsid w:val="002F498C"/>
    <w:rsid w:val="002F4B13"/>
    <w:rsid w:val="002F4CF8"/>
    <w:rsid w:val="002F53DF"/>
    <w:rsid w:val="002F5748"/>
    <w:rsid w:val="002F57F2"/>
    <w:rsid w:val="002F5CD6"/>
    <w:rsid w:val="002F5E1F"/>
    <w:rsid w:val="002F65D8"/>
    <w:rsid w:val="002F6827"/>
    <w:rsid w:val="002F68A4"/>
    <w:rsid w:val="002F7122"/>
    <w:rsid w:val="002F72FC"/>
    <w:rsid w:val="002F7538"/>
    <w:rsid w:val="002F7D08"/>
    <w:rsid w:val="002F7D8B"/>
    <w:rsid w:val="002F7ED7"/>
    <w:rsid w:val="0030043E"/>
    <w:rsid w:val="0030088A"/>
    <w:rsid w:val="0030190B"/>
    <w:rsid w:val="00301B1B"/>
    <w:rsid w:val="00301DD8"/>
    <w:rsid w:val="00301FF5"/>
    <w:rsid w:val="0030212F"/>
    <w:rsid w:val="0030234B"/>
    <w:rsid w:val="003026B2"/>
    <w:rsid w:val="00302A3F"/>
    <w:rsid w:val="00302FF0"/>
    <w:rsid w:val="0030302D"/>
    <w:rsid w:val="00303345"/>
    <w:rsid w:val="00303350"/>
    <w:rsid w:val="00303393"/>
    <w:rsid w:val="003033F3"/>
    <w:rsid w:val="003034EF"/>
    <w:rsid w:val="003037E8"/>
    <w:rsid w:val="003038BE"/>
    <w:rsid w:val="00303AD6"/>
    <w:rsid w:val="00303B74"/>
    <w:rsid w:val="003048AB"/>
    <w:rsid w:val="00304B86"/>
    <w:rsid w:val="00304E33"/>
    <w:rsid w:val="00304EC3"/>
    <w:rsid w:val="003051F6"/>
    <w:rsid w:val="0030522F"/>
    <w:rsid w:val="00305533"/>
    <w:rsid w:val="003055A0"/>
    <w:rsid w:val="003057A5"/>
    <w:rsid w:val="00305987"/>
    <w:rsid w:val="003059DE"/>
    <w:rsid w:val="00305B0B"/>
    <w:rsid w:val="00305F64"/>
    <w:rsid w:val="0030648A"/>
    <w:rsid w:val="003072BE"/>
    <w:rsid w:val="00307485"/>
    <w:rsid w:val="003075F3"/>
    <w:rsid w:val="00307B6D"/>
    <w:rsid w:val="00307D3C"/>
    <w:rsid w:val="00307EA9"/>
    <w:rsid w:val="00307F9B"/>
    <w:rsid w:val="00310271"/>
    <w:rsid w:val="00310829"/>
    <w:rsid w:val="0031082C"/>
    <w:rsid w:val="003108B0"/>
    <w:rsid w:val="0031090A"/>
    <w:rsid w:val="00310C18"/>
    <w:rsid w:val="00311741"/>
    <w:rsid w:val="00311FF1"/>
    <w:rsid w:val="003122C6"/>
    <w:rsid w:val="00312636"/>
    <w:rsid w:val="0031271D"/>
    <w:rsid w:val="003128E3"/>
    <w:rsid w:val="00312A54"/>
    <w:rsid w:val="00313604"/>
    <w:rsid w:val="00313660"/>
    <w:rsid w:val="003137B8"/>
    <w:rsid w:val="003138A5"/>
    <w:rsid w:val="00313A64"/>
    <w:rsid w:val="00313B75"/>
    <w:rsid w:val="00313E32"/>
    <w:rsid w:val="003140F0"/>
    <w:rsid w:val="003143E5"/>
    <w:rsid w:val="00314DE9"/>
    <w:rsid w:val="00314E9E"/>
    <w:rsid w:val="003154AB"/>
    <w:rsid w:val="003155AC"/>
    <w:rsid w:val="00315C41"/>
    <w:rsid w:val="00315EBD"/>
    <w:rsid w:val="00316068"/>
    <w:rsid w:val="00316E09"/>
    <w:rsid w:val="0031766A"/>
    <w:rsid w:val="003201D6"/>
    <w:rsid w:val="003202A8"/>
    <w:rsid w:val="003204A0"/>
    <w:rsid w:val="00320550"/>
    <w:rsid w:val="00320DF2"/>
    <w:rsid w:val="00320E3E"/>
    <w:rsid w:val="00320E8D"/>
    <w:rsid w:val="003213E1"/>
    <w:rsid w:val="00321E0F"/>
    <w:rsid w:val="00322154"/>
    <w:rsid w:val="003223E5"/>
    <w:rsid w:val="003227AE"/>
    <w:rsid w:val="003229E3"/>
    <w:rsid w:val="00322CF8"/>
    <w:rsid w:val="00322DFE"/>
    <w:rsid w:val="0032303F"/>
    <w:rsid w:val="003230EF"/>
    <w:rsid w:val="00323185"/>
    <w:rsid w:val="00323712"/>
    <w:rsid w:val="00323F4C"/>
    <w:rsid w:val="0032400C"/>
    <w:rsid w:val="00324153"/>
    <w:rsid w:val="003241B5"/>
    <w:rsid w:val="0032430C"/>
    <w:rsid w:val="00324B8F"/>
    <w:rsid w:val="00324BFC"/>
    <w:rsid w:val="00324E0A"/>
    <w:rsid w:val="003253C1"/>
    <w:rsid w:val="00325B73"/>
    <w:rsid w:val="00325E76"/>
    <w:rsid w:val="00326311"/>
    <w:rsid w:val="003266E3"/>
    <w:rsid w:val="003267AB"/>
    <w:rsid w:val="003267AE"/>
    <w:rsid w:val="00326ED5"/>
    <w:rsid w:val="00326F49"/>
    <w:rsid w:val="003273F1"/>
    <w:rsid w:val="003274D1"/>
    <w:rsid w:val="0032779B"/>
    <w:rsid w:val="003277C6"/>
    <w:rsid w:val="0032797F"/>
    <w:rsid w:val="003279B1"/>
    <w:rsid w:val="003300F5"/>
    <w:rsid w:val="0033036E"/>
    <w:rsid w:val="003309BE"/>
    <w:rsid w:val="00330CD1"/>
    <w:rsid w:val="00330F96"/>
    <w:rsid w:val="00331402"/>
    <w:rsid w:val="00331564"/>
    <w:rsid w:val="00331882"/>
    <w:rsid w:val="00331C83"/>
    <w:rsid w:val="00331F43"/>
    <w:rsid w:val="00332085"/>
    <w:rsid w:val="00332258"/>
    <w:rsid w:val="00332551"/>
    <w:rsid w:val="00332651"/>
    <w:rsid w:val="003328F0"/>
    <w:rsid w:val="00332AC0"/>
    <w:rsid w:val="00332C71"/>
    <w:rsid w:val="00332E1C"/>
    <w:rsid w:val="00332FE7"/>
    <w:rsid w:val="0033326F"/>
    <w:rsid w:val="00333759"/>
    <w:rsid w:val="00333A24"/>
    <w:rsid w:val="00334216"/>
    <w:rsid w:val="00334FEC"/>
    <w:rsid w:val="0033508B"/>
    <w:rsid w:val="00335234"/>
    <w:rsid w:val="00335389"/>
    <w:rsid w:val="003357A5"/>
    <w:rsid w:val="003358AC"/>
    <w:rsid w:val="00335917"/>
    <w:rsid w:val="00335A67"/>
    <w:rsid w:val="00335ACF"/>
    <w:rsid w:val="00335DFC"/>
    <w:rsid w:val="00335ED4"/>
    <w:rsid w:val="00336098"/>
    <w:rsid w:val="00336536"/>
    <w:rsid w:val="003369E9"/>
    <w:rsid w:val="00336AF8"/>
    <w:rsid w:val="00336D82"/>
    <w:rsid w:val="00336E00"/>
    <w:rsid w:val="00336FCE"/>
    <w:rsid w:val="003372D4"/>
    <w:rsid w:val="00337A10"/>
    <w:rsid w:val="00340316"/>
    <w:rsid w:val="00340943"/>
    <w:rsid w:val="00340D6C"/>
    <w:rsid w:val="00341201"/>
    <w:rsid w:val="00341342"/>
    <w:rsid w:val="0034151E"/>
    <w:rsid w:val="00341652"/>
    <w:rsid w:val="003417A1"/>
    <w:rsid w:val="0034196B"/>
    <w:rsid w:val="00341D1E"/>
    <w:rsid w:val="00341EDA"/>
    <w:rsid w:val="00341F7B"/>
    <w:rsid w:val="0034221D"/>
    <w:rsid w:val="00342475"/>
    <w:rsid w:val="003428A8"/>
    <w:rsid w:val="00342971"/>
    <w:rsid w:val="00342CDD"/>
    <w:rsid w:val="003433E1"/>
    <w:rsid w:val="0034376C"/>
    <w:rsid w:val="0034376F"/>
    <w:rsid w:val="0034379A"/>
    <w:rsid w:val="00343BB5"/>
    <w:rsid w:val="00343C4C"/>
    <w:rsid w:val="00343CDF"/>
    <w:rsid w:val="00343FF2"/>
    <w:rsid w:val="003444EA"/>
    <w:rsid w:val="0034460A"/>
    <w:rsid w:val="00344820"/>
    <w:rsid w:val="00345420"/>
    <w:rsid w:val="003457E9"/>
    <w:rsid w:val="00345883"/>
    <w:rsid w:val="00345963"/>
    <w:rsid w:val="00345BFD"/>
    <w:rsid w:val="00345DA7"/>
    <w:rsid w:val="00345DEE"/>
    <w:rsid w:val="00345E28"/>
    <w:rsid w:val="00345F3F"/>
    <w:rsid w:val="003460E9"/>
    <w:rsid w:val="003466C2"/>
    <w:rsid w:val="00346AE9"/>
    <w:rsid w:val="00346CD9"/>
    <w:rsid w:val="0034718C"/>
    <w:rsid w:val="0034755D"/>
    <w:rsid w:val="0034781D"/>
    <w:rsid w:val="00347A7B"/>
    <w:rsid w:val="00347C78"/>
    <w:rsid w:val="00350215"/>
    <w:rsid w:val="0035032B"/>
    <w:rsid w:val="003506A3"/>
    <w:rsid w:val="0035073E"/>
    <w:rsid w:val="0035075B"/>
    <w:rsid w:val="003507BB"/>
    <w:rsid w:val="003508F5"/>
    <w:rsid w:val="00350968"/>
    <w:rsid w:val="00350ED6"/>
    <w:rsid w:val="00350F39"/>
    <w:rsid w:val="00351508"/>
    <w:rsid w:val="003516AB"/>
    <w:rsid w:val="003520F2"/>
    <w:rsid w:val="00352463"/>
    <w:rsid w:val="00352478"/>
    <w:rsid w:val="00352729"/>
    <w:rsid w:val="00352844"/>
    <w:rsid w:val="00352BB7"/>
    <w:rsid w:val="00352DD2"/>
    <w:rsid w:val="00352F42"/>
    <w:rsid w:val="00353066"/>
    <w:rsid w:val="003530D0"/>
    <w:rsid w:val="003534F2"/>
    <w:rsid w:val="00353A33"/>
    <w:rsid w:val="00353E53"/>
    <w:rsid w:val="00354081"/>
    <w:rsid w:val="00354271"/>
    <w:rsid w:val="00354282"/>
    <w:rsid w:val="00354501"/>
    <w:rsid w:val="003546D7"/>
    <w:rsid w:val="00355001"/>
    <w:rsid w:val="003552DE"/>
    <w:rsid w:val="003552EC"/>
    <w:rsid w:val="00355346"/>
    <w:rsid w:val="0035570E"/>
    <w:rsid w:val="0035597C"/>
    <w:rsid w:val="00355DE1"/>
    <w:rsid w:val="0035650F"/>
    <w:rsid w:val="00356BE2"/>
    <w:rsid w:val="0035733C"/>
    <w:rsid w:val="00357450"/>
    <w:rsid w:val="00357726"/>
    <w:rsid w:val="00357DB0"/>
    <w:rsid w:val="0036024D"/>
    <w:rsid w:val="003602E7"/>
    <w:rsid w:val="00360878"/>
    <w:rsid w:val="00360B72"/>
    <w:rsid w:val="0036109F"/>
    <w:rsid w:val="00361487"/>
    <w:rsid w:val="0036170C"/>
    <w:rsid w:val="00361797"/>
    <w:rsid w:val="003617E9"/>
    <w:rsid w:val="00361AD2"/>
    <w:rsid w:val="00361D18"/>
    <w:rsid w:val="00362655"/>
    <w:rsid w:val="00362B31"/>
    <w:rsid w:val="00362FBF"/>
    <w:rsid w:val="003631FB"/>
    <w:rsid w:val="00363320"/>
    <w:rsid w:val="00363362"/>
    <w:rsid w:val="0036364D"/>
    <w:rsid w:val="00363738"/>
    <w:rsid w:val="00363751"/>
    <w:rsid w:val="00363892"/>
    <w:rsid w:val="00363BA9"/>
    <w:rsid w:val="0036407B"/>
    <w:rsid w:val="003645AF"/>
    <w:rsid w:val="003646B0"/>
    <w:rsid w:val="003648BE"/>
    <w:rsid w:val="00364B65"/>
    <w:rsid w:val="00364C67"/>
    <w:rsid w:val="003652E0"/>
    <w:rsid w:val="003656F1"/>
    <w:rsid w:val="00365B4D"/>
    <w:rsid w:val="00366024"/>
    <w:rsid w:val="0036628F"/>
    <w:rsid w:val="003662D4"/>
    <w:rsid w:val="0036650E"/>
    <w:rsid w:val="0036682B"/>
    <w:rsid w:val="0036699E"/>
    <w:rsid w:val="00366B93"/>
    <w:rsid w:val="00366D2A"/>
    <w:rsid w:val="00366D35"/>
    <w:rsid w:val="003672B7"/>
    <w:rsid w:val="00367842"/>
    <w:rsid w:val="00367D65"/>
    <w:rsid w:val="00370778"/>
    <w:rsid w:val="00370950"/>
    <w:rsid w:val="00370DCA"/>
    <w:rsid w:val="00371107"/>
    <w:rsid w:val="003712E7"/>
    <w:rsid w:val="003714D1"/>
    <w:rsid w:val="003715A2"/>
    <w:rsid w:val="00371754"/>
    <w:rsid w:val="00372319"/>
    <w:rsid w:val="00372368"/>
    <w:rsid w:val="003724B5"/>
    <w:rsid w:val="00373112"/>
    <w:rsid w:val="0037390A"/>
    <w:rsid w:val="003739FC"/>
    <w:rsid w:val="00373ED7"/>
    <w:rsid w:val="00374193"/>
    <w:rsid w:val="003741F1"/>
    <w:rsid w:val="003742E8"/>
    <w:rsid w:val="00374454"/>
    <w:rsid w:val="003748F2"/>
    <w:rsid w:val="003749B0"/>
    <w:rsid w:val="00374C56"/>
    <w:rsid w:val="00374CBB"/>
    <w:rsid w:val="00375811"/>
    <w:rsid w:val="0037587C"/>
    <w:rsid w:val="0037600D"/>
    <w:rsid w:val="003760B4"/>
    <w:rsid w:val="0037618B"/>
    <w:rsid w:val="00376661"/>
    <w:rsid w:val="0037686F"/>
    <w:rsid w:val="00376C06"/>
    <w:rsid w:val="00377031"/>
    <w:rsid w:val="003771AD"/>
    <w:rsid w:val="00377691"/>
    <w:rsid w:val="003779B7"/>
    <w:rsid w:val="00377A9C"/>
    <w:rsid w:val="00377ACB"/>
    <w:rsid w:val="00377BBF"/>
    <w:rsid w:val="00377D23"/>
    <w:rsid w:val="00377EB4"/>
    <w:rsid w:val="0038003F"/>
    <w:rsid w:val="00380240"/>
    <w:rsid w:val="003802CD"/>
    <w:rsid w:val="00380621"/>
    <w:rsid w:val="00380684"/>
    <w:rsid w:val="00380D75"/>
    <w:rsid w:val="003812C2"/>
    <w:rsid w:val="0038131C"/>
    <w:rsid w:val="00381419"/>
    <w:rsid w:val="00381429"/>
    <w:rsid w:val="00381751"/>
    <w:rsid w:val="003817BC"/>
    <w:rsid w:val="00381FDD"/>
    <w:rsid w:val="003821AE"/>
    <w:rsid w:val="003825B1"/>
    <w:rsid w:val="00382C4F"/>
    <w:rsid w:val="00382C67"/>
    <w:rsid w:val="00382DFD"/>
    <w:rsid w:val="0038303E"/>
    <w:rsid w:val="003830F2"/>
    <w:rsid w:val="003831BB"/>
    <w:rsid w:val="00383416"/>
    <w:rsid w:val="0038342A"/>
    <w:rsid w:val="003837C5"/>
    <w:rsid w:val="0038386C"/>
    <w:rsid w:val="00383A84"/>
    <w:rsid w:val="00383AEB"/>
    <w:rsid w:val="00383F44"/>
    <w:rsid w:val="003847D3"/>
    <w:rsid w:val="003847DB"/>
    <w:rsid w:val="003847F8"/>
    <w:rsid w:val="00384DCF"/>
    <w:rsid w:val="003852D5"/>
    <w:rsid w:val="0038543F"/>
    <w:rsid w:val="003856D2"/>
    <w:rsid w:val="0038587C"/>
    <w:rsid w:val="003858E3"/>
    <w:rsid w:val="00385B90"/>
    <w:rsid w:val="00385D38"/>
    <w:rsid w:val="00385DB5"/>
    <w:rsid w:val="00385F43"/>
    <w:rsid w:val="0038614D"/>
    <w:rsid w:val="00386C51"/>
    <w:rsid w:val="00386DEB"/>
    <w:rsid w:val="003870C7"/>
    <w:rsid w:val="00387279"/>
    <w:rsid w:val="003873EC"/>
    <w:rsid w:val="0038758C"/>
    <w:rsid w:val="003877FA"/>
    <w:rsid w:val="00387B14"/>
    <w:rsid w:val="00387B38"/>
    <w:rsid w:val="0039039B"/>
    <w:rsid w:val="0039050A"/>
    <w:rsid w:val="003909AF"/>
    <w:rsid w:val="00390BBB"/>
    <w:rsid w:val="00391051"/>
    <w:rsid w:val="003914FC"/>
    <w:rsid w:val="00391621"/>
    <w:rsid w:val="0039165B"/>
    <w:rsid w:val="00391722"/>
    <w:rsid w:val="003918C2"/>
    <w:rsid w:val="00391A52"/>
    <w:rsid w:val="00391F8F"/>
    <w:rsid w:val="003920AA"/>
    <w:rsid w:val="003923C9"/>
    <w:rsid w:val="003927A0"/>
    <w:rsid w:val="003929B9"/>
    <w:rsid w:val="0039302C"/>
    <w:rsid w:val="003930E4"/>
    <w:rsid w:val="003937B2"/>
    <w:rsid w:val="00393B51"/>
    <w:rsid w:val="00393D4D"/>
    <w:rsid w:val="0039486E"/>
    <w:rsid w:val="00394C5B"/>
    <w:rsid w:val="00395087"/>
    <w:rsid w:val="00395136"/>
    <w:rsid w:val="0039583B"/>
    <w:rsid w:val="00395A04"/>
    <w:rsid w:val="00395A35"/>
    <w:rsid w:val="00395D05"/>
    <w:rsid w:val="00395D07"/>
    <w:rsid w:val="003960B2"/>
    <w:rsid w:val="0039625A"/>
    <w:rsid w:val="00396492"/>
    <w:rsid w:val="00396637"/>
    <w:rsid w:val="00396DE8"/>
    <w:rsid w:val="00396E03"/>
    <w:rsid w:val="003970A3"/>
    <w:rsid w:val="00397213"/>
    <w:rsid w:val="003973EE"/>
    <w:rsid w:val="003974F3"/>
    <w:rsid w:val="003977A3"/>
    <w:rsid w:val="00397B3F"/>
    <w:rsid w:val="00397E52"/>
    <w:rsid w:val="00397E5D"/>
    <w:rsid w:val="003A03CC"/>
    <w:rsid w:val="003A050D"/>
    <w:rsid w:val="003A05D5"/>
    <w:rsid w:val="003A08B3"/>
    <w:rsid w:val="003A08DB"/>
    <w:rsid w:val="003A08E2"/>
    <w:rsid w:val="003A093F"/>
    <w:rsid w:val="003A0C00"/>
    <w:rsid w:val="003A0E36"/>
    <w:rsid w:val="003A1006"/>
    <w:rsid w:val="003A117A"/>
    <w:rsid w:val="003A117C"/>
    <w:rsid w:val="003A13A2"/>
    <w:rsid w:val="003A1870"/>
    <w:rsid w:val="003A1A60"/>
    <w:rsid w:val="003A2214"/>
    <w:rsid w:val="003A2282"/>
    <w:rsid w:val="003A2290"/>
    <w:rsid w:val="003A2350"/>
    <w:rsid w:val="003A265D"/>
    <w:rsid w:val="003A26C0"/>
    <w:rsid w:val="003A36FC"/>
    <w:rsid w:val="003A3841"/>
    <w:rsid w:val="003A3CB1"/>
    <w:rsid w:val="003A3D7E"/>
    <w:rsid w:val="003A3DF1"/>
    <w:rsid w:val="003A3F86"/>
    <w:rsid w:val="003A3FE5"/>
    <w:rsid w:val="003A407B"/>
    <w:rsid w:val="003A4575"/>
    <w:rsid w:val="003A47AD"/>
    <w:rsid w:val="003A518A"/>
    <w:rsid w:val="003A53BA"/>
    <w:rsid w:val="003A577F"/>
    <w:rsid w:val="003A5977"/>
    <w:rsid w:val="003A5A80"/>
    <w:rsid w:val="003A5E76"/>
    <w:rsid w:val="003A61A8"/>
    <w:rsid w:val="003A67B9"/>
    <w:rsid w:val="003A6985"/>
    <w:rsid w:val="003A6B57"/>
    <w:rsid w:val="003A6CD3"/>
    <w:rsid w:val="003A6EC4"/>
    <w:rsid w:val="003A71CF"/>
    <w:rsid w:val="003A7231"/>
    <w:rsid w:val="003A77DF"/>
    <w:rsid w:val="003A7A42"/>
    <w:rsid w:val="003A7FE6"/>
    <w:rsid w:val="003B030F"/>
    <w:rsid w:val="003B0761"/>
    <w:rsid w:val="003B076F"/>
    <w:rsid w:val="003B0A22"/>
    <w:rsid w:val="003B0AB5"/>
    <w:rsid w:val="003B0C3B"/>
    <w:rsid w:val="003B0D51"/>
    <w:rsid w:val="003B0E7D"/>
    <w:rsid w:val="003B12E7"/>
    <w:rsid w:val="003B1525"/>
    <w:rsid w:val="003B15A9"/>
    <w:rsid w:val="003B176D"/>
    <w:rsid w:val="003B1CD3"/>
    <w:rsid w:val="003B1D7D"/>
    <w:rsid w:val="003B1EF7"/>
    <w:rsid w:val="003B220C"/>
    <w:rsid w:val="003B2492"/>
    <w:rsid w:val="003B2805"/>
    <w:rsid w:val="003B2C01"/>
    <w:rsid w:val="003B2C2C"/>
    <w:rsid w:val="003B2F20"/>
    <w:rsid w:val="003B2F26"/>
    <w:rsid w:val="003B36CB"/>
    <w:rsid w:val="003B384A"/>
    <w:rsid w:val="003B40B4"/>
    <w:rsid w:val="003B4338"/>
    <w:rsid w:val="003B44C9"/>
    <w:rsid w:val="003B4529"/>
    <w:rsid w:val="003B4643"/>
    <w:rsid w:val="003B4C8E"/>
    <w:rsid w:val="003B53D3"/>
    <w:rsid w:val="003B552D"/>
    <w:rsid w:val="003B570C"/>
    <w:rsid w:val="003B573B"/>
    <w:rsid w:val="003B574D"/>
    <w:rsid w:val="003B57EB"/>
    <w:rsid w:val="003B5B18"/>
    <w:rsid w:val="003B5E91"/>
    <w:rsid w:val="003B5ED9"/>
    <w:rsid w:val="003B6009"/>
    <w:rsid w:val="003B635A"/>
    <w:rsid w:val="003B654A"/>
    <w:rsid w:val="003B6752"/>
    <w:rsid w:val="003B6BED"/>
    <w:rsid w:val="003B6C70"/>
    <w:rsid w:val="003B6E58"/>
    <w:rsid w:val="003B6EA9"/>
    <w:rsid w:val="003B7026"/>
    <w:rsid w:val="003B7336"/>
    <w:rsid w:val="003B779A"/>
    <w:rsid w:val="003B7C67"/>
    <w:rsid w:val="003B7D50"/>
    <w:rsid w:val="003B7E52"/>
    <w:rsid w:val="003C017E"/>
    <w:rsid w:val="003C06C4"/>
    <w:rsid w:val="003C07E0"/>
    <w:rsid w:val="003C07F4"/>
    <w:rsid w:val="003C0D14"/>
    <w:rsid w:val="003C1208"/>
    <w:rsid w:val="003C1441"/>
    <w:rsid w:val="003C14F9"/>
    <w:rsid w:val="003C1B9D"/>
    <w:rsid w:val="003C1BBD"/>
    <w:rsid w:val="003C256B"/>
    <w:rsid w:val="003C25CD"/>
    <w:rsid w:val="003C292B"/>
    <w:rsid w:val="003C293E"/>
    <w:rsid w:val="003C2B39"/>
    <w:rsid w:val="003C34A7"/>
    <w:rsid w:val="003C3836"/>
    <w:rsid w:val="003C39CA"/>
    <w:rsid w:val="003C3B3F"/>
    <w:rsid w:val="003C3ED5"/>
    <w:rsid w:val="003C44CC"/>
    <w:rsid w:val="003C47CE"/>
    <w:rsid w:val="003C48A9"/>
    <w:rsid w:val="003C48AB"/>
    <w:rsid w:val="003C4BDA"/>
    <w:rsid w:val="003C4DED"/>
    <w:rsid w:val="003C4EEE"/>
    <w:rsid w:val="003C56AF"/>
    <w:rsid w:val="003C5803"/>
    <w:rsid w:val="003C5BDF"/>
    <w:rsid w:val="003C5CB4"/>
    <w:rsid w:val="003C626A"/>
    <w:rsid w:val="003C64E5"/>
    <w:rsid w:val="003C663B"/>
    <w:rsid w:val="003C6B1B"/>
    <w:rsid w:val="003C6D66"/>
    <w:rsid w:val="003C74CD"/>
    <w:rsid w:val="003C7D1B"/>
    <w:rsid w:val="003D0A4D"/>
    <w:rsid w:val="003D0B1B"/>
    <w:rsid w:val="003D17D8"/>
    <w:rsid w:val="003D1848"/>
    <w:rsid w:val="003D1C2B"/>
    <w:rsid w:val="003D21BE"/>
    <w:rsid w:val="003D25ED"/>
    <w:rsid w:val="003D2CD5"/>
    <w:rsid w:val="003D2D9F"/>
    <w:rsid w:val="003D30AC"/>
    <w:rsid w:val="003D32C7"/>
    <w:rsid w:val="003D33F5"/>
    <w:rsid w:val="003D39EC"/>
    <w:rsid w:val="003D3F6E"/>
    <w:rsid w:val="003D4770"/>
    <w:rsid w:val="003D4BC9"/>
    <w:rsid w:val="003D50E2"/>
    <w:rsid w:val="003D5279"/>
    <w:rsid w:val="003D52BE"/>
    <w:rsid w:val="003D560D"/>
    <w:rsid w:val="003D5928"/>
    <w:rsid w:val="003D5CA0"/>
    <w:rsid w:val="003D5DF2"/>
    <w:rsid w:val="003D615C"/>
    <w:rsid w:val="003D6228"/>
    <w:rsid w:val="003D64AC"/>
    <w:rsid w:val="003D6539"/>
    <w:rsid w:val="003D6F1B"/>
    <w:rsid w:val="003D71EC"/>
    <w:rsid w:val="003D7233"/>
    <w:rsid w:val="003D7783"/>
    <w:rsid w:val="003D77A5"/>
    <w:rsid w:val="003D78BB"/>
    <w:rsid w:val="003E05F3"/>
    <w:rsid w:val="003E065F"/>
    <w:rsid w:val="003E06FC"/>
    <w:rsid w:val="003E0B75"/>
    <w:rsid w:val="003E0E49"/>
    <w:rsid w:val="003E134F"/>
    <w:rsid w:val="003E14E7"/>
    <w:rsid w:val="003E1542"/>
    <w:rsid w:val="003E16C4"/>
    <w:rsid w:val="003E17C2"/>
    <w:rsid w:val="003E18FD"/>
    <w:rsid w:val="003E2081"/>
    <w:rsid w:val="003E2087"/>
    <w:rsid w:val="003E22BD"/>
    <w:rsid w:val="003E257A"/>
    <w:rsid w:val="003E281F"/>
    <w:rsid w:val="003E2B95"/>
    <w:rsid w:val="003E2BD1"/>
    <w:rsid w:val="003E2C52"/>
    <w:rsid w:val="003E3178"/>
    <w:rsid w:val="003E3633"/>
    <w:rsid w:val="003E399B"/>
    <w:rsid w:val="003E3B7C"/>
    <w:rsid w:val="003E3B8B"/>
    <w:rsid w:val="003E3BA4"/>
    <w:rsid w:val="003E42DF"/>
    <w:rsid w:val="003E457C"/>
    <w:rsid w:val="003E477B"/>
    <w:rsid w:val="003E50B6"/>
    <w:rsid w:val="003E5238"/>
    <w:rsid w:val="003E544D"/>
    <w:rsid w:val="003E54CF"/>
    <w:rsid w:val="003E5560"/>
    <w:rsid w:val="003E5676"/>
    <w:rsid w:val="003E5695"/>
    <w:rsid w:val="003E584F"/>
    <w:rsid w:val="003E5B51"/>
    <w:rsid w:val="003E5D2A"/>
    <w:rsid w:val="003E5D92"/>
    <w:rsid w:val="003E5E29"/>
    <w:rsid w:val="003E6417"/>
    <w:rsid w:val="003E6717"/>
    <w:rsid w:val="003E6E80"/>
    <w:rsid w:val="003E7764"/>
    <w:rsid w:val="003E7B25"/>
    <w:rsid w:val="003E7D1C"/>
    <w:rsid w:val="003E7F5A"/>
    <w:rsid w:val="003F061C"/>
    <w:rsid w:val="003F0B3C"/>
    <w:rsid w:val="003F0C5A"/>
    <w:rsid w:val="003F0EB3"/>
    <w:rsid w:val="003F14CC"/>
    <w:rsid w:val="003F1B38"/>
    <w:rsid w:val="003F1DD9"/>
    <w:rsid w:val="003F213C"/>
    <w:rsid w:val="003F223B"/>
    <w:rsid w:val="003F22A7"/>
    <w:rsid w:val="003F285E"/>
    <w:rsid w:val="003F2A98"/>
    <w:rsid w:val="003F32C9"/>
    <w:rsid w:val="003F3557"/>
    <w:rsid w:val="003F361C"/>
    <w:rsid w:val="003F3C58"/>
    <w:rsid w:val="003F3CEC"/>
    <w:rsid w:val="003F3D11"/>
    <w:rsid w:val="003F3D79"/>
    <w:rsid w:val="003F3F99"/>
    <w:rsid w:val="003F4132"/>
    <w:rsid w:val="003F4863"/>
    <w:rsid w:val="003F4893"/>
    <w:rsid w:val="003F494F"/>
    <w:rsid w:val="003F49EB"/>
    <w:rsid w:val="003F4E7B"/>
    <w:rsid w:val="003F5022"/>
    <w:rsid w:val="003F528B"/>
    <w:rsid w:val="003F5639"/>
    <w:rsid w:val="003F56A8"/>
    <w:rsid w:val="003F5831"/>
    <w:rsid w:val="003F5E6C"/>
    <w:rsid w:val="003F60D5"/>
    <w:rsid w:val="003F614A"/>
    <w:rsid w:val="003F6511"/>
    <w:rsid w:val="003F6BDC"/>
    <w:rsid w:val="003F6CD8"/>
    <w:rsid w:val="003F6D10"/>
    <w:rsid w:val="003F734A"/>
    <w:rsid w:val="003F7809"/>
    <w:rsid w:val="003F7C84"/>
    <w:rsid w:val="00400D4D"/>
    <w:rsid w:val="00400F9C"/>
    <w:rsid w:val="004013BB"/>
    <w:rsid w:val="00401933"/>
    <w:rsid w:val="00401A73"/>
    <w:rsid w:val="00401D27"/>
    <w:rsid w:val="00401ED6"/>
    <w:rsid w:val="00402141"/>
    <w:rsid w:val="00402420"/>
    <w:rsid w:val="004025BF"/>
    <w:rsid w:val="004027F3"/>
    <w:rsid w:val="00402B31"/>
    <w:rsid w:val="00402C58"/>
    <w:rsid w:val="00402F66"/>
    <w:rsid w:val="0040359C"/>
    <w:rsid w:val="00403783"/>
    <w:rsid w:val="004039D9"/>
    <w:rsid w:val="00404B2C"/>
    <w:rsid w:val="00404BA0"/>
    <w:rsid w:val="004050D2"/>
    <w:rsid w:val="0040523B"/>
    <w:rsid w:val="004057A2"/>
    <w:rsid w:val="00405905"/>
    <w:rsid w:val="00405963"/>
    <w:rsid w:val="004059A9"/>
    <w:rsid w:val="00405A4B"/>
    <w:rsid w:val="00405D4C"/>
    <w:rsid w:val="00405F99"/>
    <w:rsid w:val="004065D7"/>
    <w:rsid w:val="0040672B"/>
    <w:rsid w:val="00406E02"/>
    <w:rsid w:val="00406F3C"/>
    <w:rsid w:val="004070CC"/>
    <w:rsid w:val="004077BD"/>
    <w:rsid w:val="004077F8"/>
    <w:rsid w:val="00407978"/>
    <w:rsid w:val="00407A14"/>
    <w:rsid w:val="00407AB9"/>
    <w:rsid w:val="00407BC3"/>
    <w:rsid w:val="00407D29"/>
    <w:rsid w:val="004106AC"/>
    <w:rsid w:val="004106ED"/>
    <w:rsid w:val="00410977"/>
    <w:rsid w:val="00410B07"/>
    <w:rsid w:val="00410BEC"/>
    <w:rsid w:val="0041103D"/>
    <w:rsid w:val="00411142"/>
    <w:rsid w:val="00411276"/>
    <w:rsid w:val="0041201D"/>
    <w:rsid w:val="004120EB"/>
    <w:rsid w:val="0041241F"/>
    <w:rsid w:val="00412449"/>
    <w:rsid w:val="004124B7"/>
    <w:rsid w:val="00412A73"/>
    <w:rsid w:val="004130AF"/>
    <w:rsid w:val="00413355"/>
    <w:rsid w:val="004135B3"/>
    <w:rsid w:val="00413EF7"/>
    <w:rsid w:val="00413F0B"/>
    <w:rsid w:val="00414329"/>
    <w:rsid w:val="00415555"/>
    <w:rsid w:val="004156FA"/>
    <w:rsid w:val="004158A8"/>
    <w:rsid w:val="00415C52"/>
    <w:rsid w:val="00415DE2"/>
    <w:rsid w:val="0041602E"/>
    <w:rsid w:val="0041679A"/>
    <w:rsid w:val="00416911"/>
    <w:rsid w:val="004169B9"/>
    <w:rsid w:val="00416A32"/>
    <w:rsid w:val="004175B6"/>
    <w:rsid w:val="00417714"/>
    <w:rsid w:val="00417BB4"/>
    <w:rsid w:val="00417C33"/>
    <w:rsid w:val="00417D16"/>
    <w:rsid w:val="00417E1D"/>
    <w:rsid w:val="00417ECD"/>
    <w:rsid w:val="00417F0D"/>
    <w:rsid w:val="0042005D"/>
    <w:rsid w:val="0042015C"/>
    <w:rsid w:val="00420545"/>
    <w:rsid w:val="00420620"/>
    <w:rsid w:val="00420AA9"/>
    <w:rsid w:val="00420CB5"/>
    <w:rsid w:val="00420F56"/>
    <w:rsid w:val="00421675"/>
    <w:rsid w:val="004218D7"/>
    <w:rsid w:val="00421A7F"/>
    <w:rsid w:val="00421ED1"/>
    <w:rsid w:val="00422146"/>
    <w:rsid w:val="0042229E"/>
    <w:rsid w:val="00422C8D"/>
    <w:rsid w:val="00422ED6"/>
    <w:rsid w:val="00423422"/>
    <w:rsid w:val="004239FF"/>
    <w:rsid w:val="00423A39"/>
    <w:rsid w:val="00423BE2"/>
    <w:rsid w:val="00423C08"/>
    <w:rsid w:val="00424358"/>
    <w:rsid w:val="004243F9"/>
    <w:rsid w:val="004244D4"/>
    <w:rsid w:val="00424647"/>
    <w:rsid w:val="00424662"/>
    <w:rsid w:val="00425437"/>
    <w:rsid w:val="004254E5"/>
    <w:rsid w:val="00425724"/>
    <w:rsid w:val="00425AC0"/>
    <w:rsid w:val="00425AED"/>
    <w:rsid w:val="00425DA0"/>
    <w:rsid w:val="00425DD9"/>
    <w:rsid w:val="00425E97"/>
    <w:rsid w:val="00425FC1"/>
    <w:rsid w:val="0042609B"/>
    <w:rsid w:val="00426210"/>
    <w:rsid w:val="00426B1C"/>
    <w:rsid w:val="00426B82"/>
    <w:rsid w:val="00426F10"/>
    <w:rsid w:val="0042704B"/>
    <w:rsid w:val="00427156"/>
    <w:rsid w:val="004279EA"/>
    <w:rsid w:val="00427ED8"/>
    <w:rsid w:val="00427FF2"/>
    <w:rsid w:val="00430489"/>
    <w:rsid w:val="004305F6"/>
    <w:rsid w:val="004309C8"/>
    <w:rsid w:val="00430B6C"/>
    <w:rsid w:val="00430B7F"/>
    <w:rsid w:val="00430EA4"/>
    <w:rsid w:val="00430F36"/>
    <w:rsid w:val="00431975"/>
    <w:rsid w:val="004319AD"/>
    <w:rsid w:val="00431E54"/>
    <w:rsid w:val="004323D0"/>
    <w:rsid w:val="00432932"/>
    <w:rsid w:val="00432A85"/>
    <w:rsid w:val="00432A8E"/>
    <w:rsid w:val="00432AC2"/>
    <w:rsid w:val="00432B6E"/>
    <w:rsid w:val="00432CDF"/>
    <w:rsid w:val="00432E67"/>
    <w:rsid w:val="00432E68"/>
    <w:rsid w:val="0043330A"/>
    <w:rsid w:val="00433404"/>
    <w:rsid w:val="0043349D"/>
    <w:rsid w:val="00433B94"/>
    <w:rsid w:val="00434015"/>
    <w:rsid w:val="00434325"/>
    <w:rsid w:val="0043456C"/>
    <w:rsid w:val="0043457D"/>
    <w:rsid w:val="00434932"/>
    <w:rsid w:val="004349F7"/>
    <w:rsid w:val="00434D0D"/>
    <w:rsid w:val="004350BA"/>
    <w:rsid w:val="00435705"/>
    <w:rsid w:val="00435802"/>
    <w:rsid w:val="004358FA"/>
    <w:rsid w:val="00435A1B"/>
    <w:rsid w:val="00435D51"/>
    <w:rsid w:val="00436314"/>
    <w:rsid w:val="004363B1"/>
    <w:rsid w:val="00436758"/>
    <w:rsid w:val="00436860"/>
    <w:rsid w:val="00436B4E"/>
    <w:rsid w:val="00436BBA"/>
    <w:rsid w:val="00436D25"/>
    <w:rsid w:val="00436D74"/>
    <w:rsid w:val="00436E83"/>
    <w:rsid w:val="00437253"/>
    <w:rsid w:val="0043726A"/>
    <w:rsid w:val="0043732F"/>
    <w:rsid w:val="004375A1"/>
    <w:rsid w:val="004404A2"/>
    <w:rsid w:val="0044068C"/>
    <w:rsid w:val="00440EC4"/>
    <w:rsid w:val="00440F41"/>
    <w:rsid w:val="00440F98"/>
    <w:rsid w:val="00441155"/>
    <w:rsid w:val="004416A0"/>
    <w:rsid w:val="00441AF8"/>
    <w:rsid w:val="00441B06"/>
    <w:rsid w:val="004421DA"/>
    <w:rsid w:val="004423DE"/>
    <w:rsid w:val="004427E7"/>
    <w:rsid w:val="004429A2"/>
    <w:rsid w:val="00442A1A"/>
    <w:rsid w:val="00442C1F"/>
    <w:rsid w:val="00442DCC"/>
    <w:rsid w:val="004431AE"/>
    <w:rsid w:val="0044340E"/>
    <w:rsid w:val="00443741"/>
    <w:rsid w:val="004437E0"/>
    <w:rsid w:val="00443AEA"/>
    <w:rsid w:val="00443E37"/>
    <w:rsid w:val="0044408A"/>
    <w:rsid w:val="00444495"/>
    <w:rsid w:val="00444508"/>
    <w:rsid w:val="00444509"/>
    <w:rsid w:val="00445025"/>
    <w:rsid w:val="00445096"/>
    <w:rsid w:val="004450F2"/>
    <w:rsid w:val="0044536C"/>
    <w:rsid w:val="00445512"/>
    <w:rsid w:val="00445DEB"/>
    <w:rsid w:val="00445F0A"/>
    <w:rsid w:val="00445F9C"/>
    <w:rsid w:val="00445FBF"/>
    <w:rsid w:val="0044611E"/>
    <w:rsid w:val="004461DD"/>
    <w:rsid w:val="0044646B"/>
    <w:rsid w:val="00446589"/>
    <w:rsid w:val="0044666B"/>
    <w:rsid w:val="0044694C"/>
    <w:rsid w:val="00446A13"/>
    <w:rsid w:val="00446AD8"/>
    <w:rsid w:val="00447038"/>
    <w:rsid w:val="00447239"/>
    <w:rsid w:val="004474D4"/>
    <w:rsid w:val="00447576"/>
    <w:rsid w:val="00447A29"/>
    <w:rsid w:val="00447CA4"/>
    <w:rsid w:val="00447EA3"/>
    <w:rsid w:val="00450DD9"/>
    <w:rsid w:val="00450FD5"/>
    <w:rsid w:val="00451137"/>
    <w:rsid w:val="0045113B"/>
    <w:rsid w:val="00451459"/>
    <w:rsid w:val="004514A2"/>
    <w:rsid w:val="004517DA"/>
    <w:rsid w:val="00451FAA"/>
    <w:rsid w:val="00452566"/>
    <w:rsid w:val="00452A24"/>
    <w:rsid w:val="00452F7A"/>
    <w:rsid w:val="004535F3"/>
    <w:rsid w:val="0045388F"/>
    <w:rsid w:val="00453AA8"/>
    <w:rsid w:val="004541FD"/>
    <w:rsid w:val="00454479"/>
    <w:rsid w:val="00454869"/>
    <w:rsid w:val="0045489F"/>
    <w:rsid w:val="004549A2"/>
    <w:rsid w:val="00454AF8"/>
    <w:rsid w:val="00454B49"/>
    <w:rsid w:val="00454BC1"/>
    <w:rsid w:val="00454D1F"/>
    <w:rsid w:val="00454DC9"/>
    <w:rsid w:val="00455204"/>
    <w:rsid w:val="0045558E"/>
    <w:rsid w:val="0045580C"/>
    <w:rsid w:val="00455831"/>
    <w:rsid w:val="004559EF"/>
    <w:rsid w:val="00455B62"/>
    <w:rsid w:val="00455BA5"/>
    <w:rsid w:val="00455E44"/>
    <w:rsid w:val="0045674E"/>
    <w:rsid w:val="00456788"/>
    <w:rsid w:val="004567AC"/>
    <w:rsid w:val="00457730"/>
    <w:rsid w:val="00457ACC"/>
    <w:rsid w:val="00457E9A"/>
    <w:rsid w:val="00457F5D"/>
    <w:rsid w:val="004600F6"/>
    <w:rsid w:val="0046035F"/>
    <w:rsid w:val="00460457"/>
    <w:rsid w:val="004604C4"/>
    <w:rsid w:val="004604E1"/>
    <w:rsid w:val="004606BA"/>
    <w:rsid w:val="00460734"/>
    <w:rsid w:val="00460B08"/>
    <w:rsid w:val="00460D19"/>
    <w:rsid w:val="00460F21"/>
    <w:rsid w:val="004611D8"/>
    <w:rsid w:val="00461349"/>
    <w:rsid w:val="00461421"/>
    <w:rsid w:val="0046176E"/>
    <w:rsid w:val="004617BA"/>
    <w:rsid w:val="00461E39"/>
    <w:rsid w:val="0046299E"/>
    <w:rsid w:val="00462C08"/>
    <w:rsid w:val="004639FB"/>
    <w:rsid w:val="00463A4F"/>
    <w:rsid w:val="00463B08"/>
    <w:rsid w:val="00464124"/>
    <w:rsid w:val="004643BC"/>
    <w:rsid w:val="0046482D"/>
    <w:rsid w:val="00464D45"/>
    <w:rsid w:val="00464EF5"/>
    <w:rsid w:val="00464F2E"/>
    <w:rsid w:val="00464F80"/>
    <w:rsid w:val="00464FF5"/>
    <w:rsid w:val="00464FFD"/>
    <w:rsid w:val="00465047"/>
    <w:rsid w:val="00465164"/>
    <w:rsid w:val="004651F3"/>
    <w:rsid w:val="0046544F"/>
    <w:rsid w:val="004655CA"/>
    <w:rsid w:val="004656C0"/>
    <w:rsid w:val="00465A88"/>
    <w:rsid w:val="00465E50"/>
    <w:rsid w:val="00465FB8"/>
    <w:rsid w:val="00465FDA"/>
    <w:rsid w:val="00466BAA"/>
    <w:rsid w:val="00466BDF"/>
    <w:rsid w:val="00467309"/>
    <w:rsid w:val="0046747E"/>
    <w:rsid w:val="004676F6"/>
    <w:rsid w:val="00467A80"/>
    <w:rsid w:val="00467C99"/>
    <w:rsid w:val="0047004B"/>
    <w:rsid w:val="0047006B"/>
    <w:rsid w:val="004701C7"/>
    <w:rsid w:val="0047052B"/>
    <w:rsid w:val="0047078F"/>
    <w:rsid w:val="004707E2"/>
    <w:rsid w:val="00470865"/>
    <w:rsid w:val="00470A44"/>
    <w:rsid w:val="00470C4D"/>
    <w:rsid w:val="00470E31"/>
    <w:rsid w:val="00470EB6"/>
    <w:rsid w:val="0047136E"/>
    <w:rsid w:val="004713E7"/>
    <w:rsid w:val="004714B4"/>
    <w:rsid w:val="00471561"/>
    <w:rsid w:val="00471613"/>
    <w:rsid w:val="004718B5"/>
    <w:rsid w:val="00471A4D"/>
    <w:rsid w:val="00471AB2"/>
    <w:rsid w:val="00471E45"/>
    <w:rsid w:val="00471E6F"/>
    <w:rsid w:val="00472254"/>
    <w:rsid w:val="004723FC"/>
    <w:rsid w:val="004725FB"/>
    <w:rsid w:val="00472862"/>
    <w:rsid w:val="004730F6"/>
    <w:rsid w:val="004732E0"/>
    <w:rsid w:val="00473874"/>
    <w:rsid w:val="00474027"/>
    <w:rsid w:val="004740CE"/>
    <w:rsid w:val="004742D9"/>
    <w:rsid w:val="00474822"/>
    <w:rsid w:val="004748AB"/>
    <w:rsid w:val="00474E36"/>
    <w:rsid w:val="004756C6"/>
    <w:rsid w:val="00475753"/>
    <w:rsid w:val="00475B31"/>
    <w:rsid w:val="00475B88"/>
    <w:rsid w:val="00476048"/>
    <w:rsid w:val="0047614F"/>
    <w:rsid w:val="00476711"/>
    <w:rsid w:val="004769E4"/>
    <w:rsid w:val="00476A79"/>
    <w:rsid w:val="00477A5B"/>
    <w:rsid w:val="0048020F"/>
    <w:rsid w:val="0048052F"/>
    <w:rsid w:val="00480A69"/>
    <w:rsid w:val="00480FF9"/>
    <w:rsid w:val="004810CF"/>
    <w:rsid w:val="00481340"/>
    <w:rsid w:val="004814B3"/>
    <w:rsid w:val="00481504"/>
    <w:rsid w:val="004818A1"/>
    <w:rsid w:val="004818D5"/>
    <w:rsid w:val="00482062"/>
    <w:rsid w:val="004820AD"/>
    <w:rsid w:val="00482465"/>
    <w:rsid w:val="004826CF"/>
    <w:rsid w:val="004828B2"/>
    <w:rsid w:val="00482BFF"/>
    <w:rsid w:val="00482C3D"/>
    <w:rsid w:val="00482DD6"/>
    <w:rsid w:val="00482DFE"/>
    <w:rsid w:val="00482F85"/>
    <w:rsid w:val="00482FFB"/>
    <w:rsid w:val="004830AA"/>
    <w:rsid w:val="004830BC"/>
    <w:rsid w:val="004834D9"/>
    <w:rsid w:val="004835A5"/>
    <w:rsid w:val="00483858"/>
    <w:rsid w:val="0048397C"/>
    <w:rsid w:val="00483993"/>
    <w:rsid w:val="00483AF3"/>
    <w:rsid w:val="00483B99"/>
    <w:rsid w:val="00483E9E"/>
    <w:rsid w:val="00484066"/>
    <w:rsid w:val="004842D3"/>
    <w:rsid w:val="00484532"/>
    <w:rsid w:val="00484724"/>
    <w:rsid w:val="00484A4E"/>
    <w:rsid w:val="00484ABB"/>
    <w:rsid w:val="00484ED5"/>
    <w:rsid w:val="00484F00"/>
    <w:rsid w:val="00485453"/>
    <w:rsid w:val="0048546D"/>
    <w:rsid w:val="00485A12"/>
    <w:rsid w:val="00485CF8"/>
    <w:rsid w:val="00486090"/>
    <w:rsid w:val="0048614A"/>
    <w:rsid w:val="00486649"/>
    <w:rsid w:val="0048683B"/>
    <w:rsid w:val="00486D0A"/>
    <w:rsid w:val="00486D0F"/>
    <w:rsid w:val="00486F36"/>
    <w:rsid w:val="004871D6"/>
    <w:rsid w:val="00490106"/>
    <w:rsid w:val="004903B1"/>
    <w:rsid w:val="00490905"/>
    <w:rsid w:val="00490A4A"/>
    <w:rsid w:val="00490BD2"/>
    <w:rsid w:val="00491691"/>
    <w:rsid w:val="0049192C"/>
    <w:rsid w:val="00491B55"/>
    <w:rsid w:val="00491BE4"/>
    <w:rsid w:val="00491D4B"/>
    <w:rsid w:val="00491E6F"/>
    <w:rsid w:val="00491F82"/>
    <w:rsid w:val="0049220C"/>
    <w:rsid w:val="00492783"/>
    <w:rsid w:val="0049283C"/>
    <w:rsid w:val="004931D7"/>
    <w:rsid w:val="0049327D"/>
    <w:rsid w:val="00493428"/>
    <w:rsid w:val="0049357D"/>
    <w:rsid w:val="0049365E"/>
    <w:rsid w:val="00493983"/>
    <w:rsid w:val="00493C5A"/>
    <w:rsid w:val="00493FBF"/>
    <w:rsid w:val="00494203"/>
    <w:rsid w:val="004942B5"/>
    <w:rsid w:val="00494CA1"/>
    <w:rsid w:val="00494DAD"/>
    <w:rsid w:val="0049572C"/>
    <w:rsid w:val="00495923"/>
    <w:rsid w:val="00495942"/>
    <w:rsid w:val="004959DC"/>
    <w:rsid w:val="00495A78"/>
    <w:rsid w:val="00495FFC"/>
    <w:rsid w:val="0049623F"/>
    <w:rsid w:val="00496353"/>
    <w:rsid w:val="004964F6"/>
    <w:rsid w:val="0049652D"/>
    <w:rsid w:val="004967C5"/>
    <w:rsid w:val="004973CB"/>
    <w:rsid w:val="004975D3"/>
    <w:rsid w:val="004977A1"/>
    <w:rsid w:val="00497E5B"/>
    <w:rsid w:val="00497FC7"/>
    <w:rsid w:val="004A05E7"/>
    <w:rsid w:val="004A1234"/>
    <w:rsid w:val="004A130F"/>
    <w:rsid w:val="004A13A5"/>
    <w:rsid w:val="004A2072"/>
    <w:rsid w:val="004A211E"/>
    <w:rsid w:val="004A294B"/>
    <w:rsid w:val="004A2E90"/>
    <w:rsid w:val="004A3338"/>
    <w:rsid w:val="004A3801"/>
    <w:rsid w:val="004A39B1"/>
    <w:rsid w:val="004A3B43"/>
    <w:rsid w:val="004A3C2D"/>
    <w:rsid w:val="004A3E4C"/>
    <w:rsid w:val="004A414E"/>
    <w:rsid w:val="004A4195"/>
    <w:rsid w:val="004A41C3"/>
    <w:rsid w:val="004A41FB"/>
    <w:rsid w:val="004A4236"/>
    <w:rsid w:val="004A446A"/>
    <w:rsid w:val="004A4489"/>
    <w:rsid w:val="004A44D3"/>
    <w:rsid w:val="004A5261"/>
    <w:rsid w:val="004A52D6"/>
    <w:rsid w:val="004A5434"/>
    <w:rsid w:val="004A5525"/>
    <w:rsid w:val="004A55E8"/>
    <w:rsid w:val="004A5940"/>
    <w:rsid w:val="004A627E"/>
    <w:rsid w:val="004A6374"/>
    <w:rsid w:val="004A64A5"/>
    <w:rsid w:val="004A6591"/>
    <w:rsid w:val="004A6626"/>
    <w:rsid w:val="004A6663"/>
    <w:rsid w:val="004A66C1"/>
    <w:rsid w:val="004A6853"/>
    <w:rsid w:val="004A68A5"/>
    <w:rsid w:val="004A6D0F"/>
    <w:rsid w:val="004A6FC8"/>
    <w:rsid w:val="004A72BE"/>
    <w:rsid w:val="004A764F"/>
    <w:rsid w:val="004A7722"/>
    <w:rsid w:val="004A7AF5"/>
    <w:rsid w:val="004A7B47"/>
    <w:rsid w:val="004A7B4D"/>
    <w:rsid w:val="004A7B8D"/>
    <w:rsid w:val="004B022E"/>
    <w:rsid w:val="004B062D"/>
    <w:rsid w:val="004B07E8"/>
    <w:rsid w:val="004B0AEF"/>
    <w:rsid w:val="004B0CFF"/>
    <w:rsid w:val="004B0EA3"/>
    <w:rsid w:val="004B111F"/>
    <w:rsid w:val="004B1994"/>
    <w:rsid w:val="004B1FFD"/>
    <w:rsid w:val="004B29C7"/>
    <w:rsid w:val="004B2A77"/>
    <w:rsid w:val="004B2CA3"/>
    <w:rsid w:val="004B2CC2"/>
    <w:rsid w:val="004B301A"/>
    <w:rsid w:val="004B35E9"/>
    <w:rsid w:val="004B36DA"/>
    <w:rsid w:val="004B3A98"/>
    <w:rsid w:val="004B3BF8"/>
    <w:rsid w:val="004B4164"/>
    <w:rsid w:val="004B4635"/>
    <w:rsid w:val="004B49EC"/>
    <w:rsid w:val="004B4B75"/>
    <w:rsid w:val="004B4E64"/>
    <w:rsid w:val="004B5039"/>
    <w:rsid w:val="004B561B"/>
    <w:rsid w:val="004B5A8F"/>
    <w:rsid w:val="004B5B9E"/>
    <w:rsid w:val="004B60B9"/>
    <w:rsid w:val="004B6C0F"/>
    <w:rsid w:val="004B6FB0"/>
    <w:rsid w:val="004B726D"/>
    <w:rsid w:val="004B72C1"/>
    <w:rsid w:val="004B7769"/>
    <w:rsid w:val="004C0362"/>
    <w:rsid w:val="004C05F7"/>
    <w:rsid w:val="004C0BCE"/>
    <w:rsid w:val="004C0C01"/>
    <w:rsid w:val="004C0C66"/>
    <w:rsid w:val="004C0D32"/>
    <w:rsid w:val="004C0F9B"/>
    <w:rsid w:val="004C120F"/>
    <w:rsid w:val="004C1282"/>
    <w:rsid w:val="004C14FB"/>
    <w:rsid w:val="004C1AC5"/>
    <w:rsid w:val="004C1E26"/>
    <w:rsid w:val="004C2078"/>
    <w:rsid w:val="004C213D"/>
    <w:rsid w:val="004C23A0"/>
    <w:rsid w:val="004C2741"/>
    <w:rsid w:val="004C28FA"/>
    <w:rsid w:val="004C2B69"/>
    <w:rsid w:val="004C2C90"/>
    <w:rsid w:val="004C30CB"/>
    <w:rsid w:val="004C3488"/>
    <w:rsid w:val="004C36A8"/>
    <w:rsid w:val="004C3D63"/>
    <w:rsid w:val="004C3F49"/>
    <w:rsid w:val="004C401B"/>
    <w:rsid w:val="004C4060"/>
    <w:rsid w:val="004C412C"/>
    <w:rsid w:val="004C4A53"/>
    <w:rsid w:val="004C4B14"/>
    <w:rsid w:val="004C4C21"/>
    <w:rsid w:val="004C5179"/>
    <w:rsid w:val="004C525C"/>
    <w:rsid w:val="004C5631"/>
    <w:rsid w:val="004C5984"/>
    <w:rsid w:val="004C5AC9"/>
    <w:rsid w:val="004C5B5A"/>
    <w:rsid w:val="004C5D96"/>
    <w:rsid w:val="004C6122"/>
    <w:rsid w:val="004C615E"/>
    <w:rsid w:val="004C61A1"/>
    <w:rsid w:val="004C6290"/>
    <w:rsid w:val="004C66C7"/>
    <w:rsid w:val="004C66D2"/>
    <w:rsid w:val="004C6F2C"/>
    <w:rsid w:val="004C6FD6"/>
    <w:rsid w:val="004C6FF4"/>
    <w:rsid w:val="004C75F5"/>
    <w:rsid w:val="004C77EE"/>
    <w:rsid w:val="004C7803"/>
    <w:rsid w:val="004D029B"/>
    <w:rsid w:val="004D07FA"/>
    <w:rsid w:val="004D0A7F"/>
    <w:rsid w:val="004D11BC"/>
    <w:rsid w:val="004D12EA"/>
    <w:rsid w:val="004D184D"/>
    <w:rsid w:val="004D1ED3"/>
    <w:rsid w:val="004D1F46"/>
    <w:rsid w:val="004D1FA3"/>
    <w:rsid w:val="004D25BE"/>
    <w:rsid w:val="004D2648"/>
    <w:rsid w:val="004D273F"/>
    <w:rsid w:val="004D291C"/>
    <w:rsid w:val="004D323D"/>
    <w:rsid w:val="004D34CA"/>
    <w:rsid w:val="004D3724"/>
    <w:rsid w:val="004D3F3F"/>
    <w:rsid w:val="004D4106"/>
    <w:rsid w:val="004D41E8"/>
    <w:rsid w:val="004D43DB"/>
    <w:rsid w:val="004D4529"/>
    <w:rsid w:val="004D45A5"/>
    <w:rsid w:val="004D487E"/>
    <w:rsid w:val="004D4ACB"/>
    <w:rsid w:val="004D4B3D"/>
    <w:rsid w:val="004D4EA1"/>
    <w:rsid w:val="004D55F2"/>
    <w:rsid w:val="004D5867"/>
    <w:rsid w:val="004D587F"/>
    <w:rsid w:val="004D5A07"/>
    <w:rsid w:val="004D5BB2"/>
    <w:rsid w:val="004D5D1A"/>
    <w:rsid w:val="004D5D79"/>
    <w:rsid w:val="004D600D"/>
    <w:rsid w:val="004D6180"/>
    <w:rsid w:val="004D644A"/>
    <w:rsid w:val="004D6464"/>
    <w:rsid w:val="004D6A6F"/>
    <w:rsid w:val="004D6AEA"/>
    <w:rsid w:val="004D74F1"/>
    <w:rsid w:val="004D79B1"/>
    <w:rsid w:val="004D7A03"/>
    <w:rsid w:val="004D7C80"/>
    <w:rsid w:val="004D7D67"/>
    <w:rsid w:val="004E0357"/>
    <w:rsid w:val="004E0770"/>
    <w:rsid w:val="004E0951"/>
    <w:rsid w:val="004E0A8C"/>
    <w:rsid w:val="004E0C07"/>
    <w:rsid w:val="004E0DDB"/>
    <w:rsid w:val="004E0EA4"/>
    <w:rsid w:val="004E0F34"/>
    <w:rsid w:val="004E111C"/>
    <w:rsid w:val="004E18AB"/>
    <w:rsid w:val="004E276C"/>
    <w:rsid w:val="004E27A6"/>
    <w:rsid w:val="004E2B07"/>
    <w:rsid w:val="004E2C40"/>
    <w:rsid w:val="004E2CE1"/>
    <w:rsid w:val="004E2E3F"/>
    <w:rsid w:val="004E338F"/>
    <w:rsid w:val="004E3690"/>
    <w:rsid w:val="004E427E"/>
    <w:rsid w:val="004E4301"/>
    <w:rsid w:val="004E4484"/>
    <w:rsid w:val="004E4626"/>
    <w:rsid w:val="004E46F6"/>
    <w:rsid w:val="004E4733"/>
    <w:rsid w:val="004E4787"/>
    <w:rsid w:val="004E4797"/>
    <w:rsid w:val="004E49C7"/>
    <w:rsid w:val="004E4AC6"/>
    <w:rsid w:val="004E4BCF"/>
    <w:rsid w:val="004E50E3"/>
    <w:rsid w:val="004E5438"/>
    <w:rsid w:val="004E5B05"/>
    <w:rsid w:val="004E5BE2"/>
    <w:rsid w:val="004E5CB5"/>
    <w:rsid w:val="004E5D97"/>
    <w:rsid w:val="004E6686"/>
    <w:rsid w:val="004E6C70"/>
    <w:rsid w:val="004E71BF"/>
    <w:rsid w:val="004E7DDD"/>
    <w:rsid w:val="004E7E80"/>
    <w:rsid w:val="004F0402"/>
    <w:rsid w:val="004F0475"/>
    <w:rsid w:val="004F05DD"/>
    <w:rsid w:val="004F0885"/>
    <w:rsid w:val="004F0EA3"/>
    <w:rsid w:val="004F0ED1"/>
    <w:rsid w:val="004F0F5F"/>
    <w:rsid w:val="004F1036"/>
    <w:rsid w:val="004F130D"/>
    <w:rsid w:val="004F1410"/>
    <w:rsid w:val="004F159A"/>
    <w:rsid w:val="004F1721"/>
    <w:rsid w:val="004F1952"/>
    <w:rsid w:val="004F1B8E"/>
    <w:rsid w:val="004F2160"/>
    <w:rsid w:val="004F236E"/>
    <w:rsid w:val="004F26C9"/>
    <w:rsid w:val="004F275E"/>
    <w:rsid w:val="004F2EEE"/>
    <w:rsid w:val="004F3F4E"/>
    <w:rsid w:val="004F44F5"/>
    <w:rsid w:val="004F4635"/>
    <w:rsid w:val="004F466B"/>
    <w:rsid w:val="004F47B9"/>
    <w:rsid w:val="004F48D3"/>
    <w:rsid w:val="004F4C5B"/>
    <w:rsid w:val="004F4C8A"/>
    <w:rsid w:val="004F5239"/>
    <w:rsid w:val="004F52EC"/>
    <w:rsid w:val="004F5506"/>
    <w:rsid w:val="004F5AE9"/>
    <w:rsid w:val="004F5B9D"/>
    <w:rsid w:val="004F5F3C"/>
    <w:rsid w:val="004F61B7"/>
    <w:rsid w:val="004F6307"/>
    <w:rsid w:val="004F6D60"/>
    <w:rsid w:val="004F6FE6"/>
    <w:rsid w:val="004F7054"/>
    <w:rsid w:val="004F7698"/>
    <w:rsid w:val="004F7981"/>
    <w:rsid w:val="004F7AF8"/>
    <w:rsid w:val="00500993"/>
    <w:rsid w:val="005009E7"/>
    <w:rsid w:val="00500A9D"/>
    <w:rsid w:val="00500AED"/>
    <w:rsid w:val="00500BCA"/>
    <w:rsid w:val="00500C0D"/>
    <w:rsid w:val="00500FC2"/>
    <w:rsid w:val="005019C1"/>
    <w:rsid w:val="00501A5B"/>
    <w:rsid w:val="00501C42"/>
    <w:rsid w:val="00501FAE"/>
    <w:rsid w:val="005024AE"/>
    <w:rsid w:val="00502667"/>
    <w:rsid w:val="005029EA"/>
    <w:rsid w:val="00502B83"/>
    <w:rsid w:val="00502C39"/>
    <w:rsid w:val="0050352B"/>
    <w:rsid w:val="005036A5"/>
    <w:rsid w:val="00503FE9"/>
    <w:rsid w:val="00504639"/>
    <w:rsid w:val="00504854"/>
    <w:rsid w:val="00504CBF"/>
    <w:rsid w:val="005052E6"/>
    <w:rsid w:val="005054CE"/>
    <w:rsid w:val="00505513"/>
    <w:rsid w:val="005055AD"/>
    <w:rsid w:val="00505A02"/>
    <w:rsid w:val="00505A25"/>
    <w:rsid w:val="00505B5F"/>
    <w:rsid w:val="00505C93"/>
    <w:rsid w:val="00506BD7"/>
    <w:rsid w:val="00506C0D"/>
    <w:rsid w:val="00506E28"/>
    <w:rsid w:val="005071B5"/>
    <w:rsid w:val="005078A9"/>
    <w:rsid w:val="005079CF"/>
    <w:rsid w:val="00507D67"/>
    <w:rsid w:val="005100B9"/>
    <w:rsid w:val="005101AC"/>
    <w:rsid w:val="00510444"/>
    <w:rsid w:val="005104E5"/>
    <w:rsid w:val="005106FD"/>
    <w:rsid w:val="00510E9E"/>
    <w:rsid w:val="005113A2"/>
    <w:rsid w:val="00511695"/>
    <w:rsid w:val="00511D35"/>
    <w:rsid w:val="00511D69"/>
    <w:rsid w:val="00512064"/>
    <w:rsid w:val="0051213E"/>
    <w:rsid w:val="00512229"/>
    <w:rsid w:val="005123EF"/>
    <w:rsid w:val="00512731"/>
    <w:rsid w:val="00512C7E"/>
    <w:rsid w:val="00513258"/>
    <w:rsid w:val="00513571"/>
    <w:rsid w:val="005136EB"/>
    <w:rsid w:val="00513C3E"/>
    <w:rsid w:val="005144CB"/>
    <w:rsid w:val="005147EC"/>
    <w:rsid w:val="00514C4C"/>
    <w:rsid w:val="00514DE6"/>
    <w:rsid w:val="00515AA5"/>
    <w:rsid w:val="00515AFD"/>
    <w:rsid w:val="00516615"/>
    <w:rsid w:val="00516959"/>
    <w:rsid w:val="005169FE"/>
    <w:rsid w:val="00516A4D"/>
    <w:rsid w:val="00517372"/>
    <w:rsid w:val="0051748D"/>
    <w:rsid w:val="005177D9"/>
    <w:rsid w:val="005203BD"/>
    <w:rsid w:val="00520B0C"/>
    <w:rsid w:val="00520D81"/>
    <w:rsid w:val="00520EA3"/>
    <w:rsid w:val="00521000"/>
    <w:rsid w:val="00521384"/>
    <w:rsid w:val="00521472"/>
    <w:rsid w:val="00521864"/>
    <w:rsid w:val="00521AA6"/>
    <w:rsid w:val="00521B23"/>
    <w:rsid w:val="0052214D"/>
    <w:rsid w:val="005226FB"/>
    <w:rsid w:val="00522C59"/>
    <w:rsid w:val="00522E13"/>
    <w:rsid w:val="00522E3D"/>
    <w:rsid w:val="00523409"/>
    <w:rsid w:val="0052427A"/>
    <w:rsid w:val="00524318"/>
    <w:rsid w:val="0052432C"/>
    <w:rsid w:val="005243CA"/>
    <w:rsid w:val="00524881"/>
    <w:rsid w:val="00524EF6"/>
    <w:rsid w:val="00525BE0"/>
    <w:rsid w:val="00525D43"/>
    <w:rsid w:val="00525D80"/>
    <w:rsid w:val="005260C5"/>
    <w:rsid w:val="00526407"/>
    <w:rsid w:val="0052642A"/>
    <w:rsid w:val="005264A6"/>
    <w:rsid w:val="005266AC"/>
    <w:rsid w:val="00526ACD"/>
    <w:rsid w:val="00526B8E"/>
    <w:rsid w:val="00526DCA"/>
    <w:rsid w:val="00526FE8"/>
    <w:rsid w:val="005270C0"/>
    <w:rsid w:val="005271E8"/>
    <w:rsid w:val="00527594"/>
    <w:rsid w:val="0052763D"/>
    <w:rsid w:val="005276C1"/>
    <w:rsid w:val="00527ADA"/>
    <w:rsid w:val="0053046D"/>
    <w:rsid w:val="0053075E"/>
    <w:rsid w:val="0053081F"/>
    <w:rsid w:val="00530E63"/>
    <w:rsid w:val="005316C2"/>
    <w:rsid w:val="00531B2A"/>
    <w:rsid w:val="00531E8E"/>
    <w:rsid w:val="00531F40"/>
    <w:rsid w:val="0053221F"/>
    <w:rsid w:val="0053256F"/>
    <w:rsid w:val="0053297B"/>
    <w:rsid w:val="00532C0D"/>
    <w:rsid w:val="0053342A"/>
    <w:rsid w:val="005335A3"/>
    <w:rsid w:val="00533712"/>
    <w:rsid w:val="005337BB"/>
    <w:rsid w:val="005339F1"/>
    <w:rsid w:val="00533FC9"/>
    <w:rsid w:val="00534187"/>
    <w:rsid w:val="00534409"/>
    <w:rsid w:val="005346DF"/>
    <w:rsid w:val="0053473B"/>
    <w:rsid w:val="005347D1"/>
    <w:rsid w:val="00534DA0"/>
    <w:rsid w:val="0053524F"/>
    <w:rsid w:val="005359C9"/>
    <w:rsid w:val="00535AE0"/>
    <w:rsid w:val="00535FA5"/>
    <w:rsid w:val="00536101"/>
    <w:rsid w:val="00536135"/>
    <w:rsid w:val="005362EC"/>
    <w:rsid w:val="00536389"/>
    <w:rsid w:val="00536602"/>
    <w:rsid w:val="00536978"/>
    <w:rsid w:val="00536D6E"/>
    <w:rsid w:val="00536E95"/>
    <w:rsid w:val="005370CE"/>
    <w:rsid w:val="0053731C"/>
    <w:rsid w:val="0053731D"/>
    <w:rsid w:val="00537340"/>
    <w:rsid w:val="00537574"/>
    <w:rsid w:val="00537588"/>
    <w:rsid w:val="00537916"/>
    <w:rsid w:val="00537A57"/>
    <w:rsid w:val="00537AAE"/>
    <w:rsid w:val="005402C9"/>
    <w:rsid w:val="00540326"/>
    <w:rsid w:val="0054037E"/>
    <w:rsid w:val="00540397"/>
    <w:rsid w:val="00540572"/>
    <w:rsid w:val="00541120"/>
    <w:rsid w:val="005419AA"/>
    <w:rsid w:val="00541C8C"/>
    <w:rsid w:val="00541EE6"/>
    <w:rsid w:val="00542884"/>
    <w:rsid w:val="00542923"/>
    <w:rsid w:val="00542C96"/>
    <w:rsid w:val="00542D7D"/>
    <w:rsid w:val="005431CE"/>
    <w:rsid w:val="00543451"/>
    <w:rsid w:val="00543587"/>
    <w:rsid w:val="00543600"/>
    <w:rsid w:val="005436DD"/>
    <w:rsid w:val="00543732"/>
    <w:rsid w:val="00543A24"/>
    <w:rsid w:val="00543A6E"/>
    <w:rsid w:val="005445B1"/>
    <w:rsid w:val="005445FE"/>
    <w:rsid w:val="0054464D"/>
    <w:rsid w:val="00544853"/>
    <w:rsid w:val="00544B49"/>
    <w:rsid w:val="00544C51"/>
    <w:rsid w:val="005453D3"/>
    <w:rsid w:val="005455AE"/>
    <w:rsid w:val="00545DA7"/>
    <w:rsid w:val="00545DC1"/>
    <w:rsid w:val="00545FB1"/>
    <w:rsid w:val="005460F4"/>
    <w:rsid w:val="005462CD"/>
    <w:rsid w:val="00546304"/>
    <w:rsid w:val="005466E7"/>
    <w:rsid w:val="005468A8"/>
    <w:rsid w:val="00546C96"/>
    <w:rsid w:val="00546D8B"/>
    <w:rsid w:val="00546DDA"/>
    <w:rsid w:val="00547374"/>
    <w:rsid w:val="00547531"/>
    <w:rsid w:val="0054762D"/>
    <w:rsid w:val="00547BE3"/>
    <w:rsid w:val="00547CA8"/>
    <w:rsid w:val="00547CC6"/>
    <w:rsid w:val="00550236"/>
    <w:rsid w:val="0055059F"/>
    <w:rsid w:val="00550D42"/>
    <w:rsid w:val="00550DD9"/>
    <w:rsid w:val="005514CC"/>
    <w:rsid w:val="005518A0"/>
    <w:rsid w:val="00551954"/>
    <w:rsid w:val="00551AAC"/>
    <w:rsid w:val="00551B57"/>
    <w:rsid w:val="00551FD3"/>
    <w:rsid w:val="0055204B"/>
    <w:rsid w:val="00552340"/>
    <w:rsid w:val="005523DC"/>
    <w:rsid w:val="0055270E"/>
    <w:rsid w:val="0055272B"/>
    <w:rsid w:val="00552FB7"/>
    <w:rsid w:val="005531E1"/>
    <w:rsid w:val="00553603"/>
    <w:rsid w:val="005537B5"/>
    <w:rsid w:val="005539F0"/>
    <w:rsid w:val="00553A08"/>
    <w:rsid w:val="00553C86"/>
    <w:rsid w:val="00553DE8"/>
    <w:rsid w:val="00553F99"/>
    <w:rsid w:val="00554C9E"/>
    <w:rsid w:val="00555021"/>
    <w:rsid w:val="00555635"/>
    <w:rsid w:val="005556C6"/>
    <w:rsid w:val="00555712"/>
    <w:rsid w:val="00555EF9"/>
    <w:rsid w:val="005561B1"/>
    <w:rsid w:val="00556490"/>
    <w:rsid w:val="00556AF0"/>
    <w:rsid w:val="00556E69"/>
    <w:rsid w:val="00557121"/>
    <w:rsid w:val="0055714A"/>
    <w:rsid w:val="0055730B"/>
    <w:rsid w:val="00557469"/>
    <w:rsid w:val="005574A0"/>
    <w:rsid w:val="00557931"/>
    <w:rsid w:val="00557C08"/>
    <w:rsid w:val="00557C0C"/>
    <w:rsid w:val="00557CC0"/>
    <w:rsid w:val="00557CC8"/>
    <w:rsid w:val="005601CC"/>
    <w:rsid w:val="00560CE7"/>
    <w:rsid w:val="00561085"/>
    <w:rsid w:val="005614DB"/>
    <w:rsid w:val="00561B0C"/>
    <w:rsid w:val="00561B37"/>
    <w:rsid w:val="00561D46"/>
    <w:rsid w:val="00562072"/>
    <w:rsid w:val="005629BD"/>
    <w:rsid w:val="00562AFE"/>
    <w:rsid w:val="00563272"/>
    <w:rsid w:val="00563469"/>
    <w:rsid w:val="005637CE"/>
    <w:rsid w:val="005639EE"/>
    <w:rsid w:val="00563A79"/>
    <w:rsid w:val="00563C1C"/>
    <w:rsid w:val="00563D5A"/>
    <w:rsid w:val="00563D88"/>
    <w:rsid w:val="005643E8"/>
    <w:rsid w:val="0056464C"/>
    <w:rsid w:val="00564E6B"/>
    <w:rsid w:val="005654C9"/>
    <w:rsid w:val="0056555F"/>
    <w:rsid w:val="0056574F"/>
    <w:rsid w:val="00565EE7"/>
    <w:rsid w:val="005661E3"/>
    <w:rsid w:val="0056632A"/>
    <w:rsid w:val="0056649D"/>
    <w:rsid w:val="00566DFE"/>
    <w:rsid w:val="005675A6"/>
    <w:rsid w:val="005675C6"/>
    <w:rsid w:val="0056782D"/>
    <w:rsid w:val="00567890"/>
    <w:rsid w:val="005679BA"/>
    <w:rsid w:val="00567A28"/>
    <w:rsid w:val="00567B68"/>
    <w:rsid w:val="00567BCC"/>
    <w:rsid w:val="00567D56"/>
    <w:rsid w:val="00567F2B"/>
    <w:rsid w:val="00567FA3"/>
    <w:rsid w:val="00570020"/>
    <w:rsid w:val="005701C2"/>
    <w:rsid w:val="005704F0"/>
    <w:rsid w:val="00570C7E"/>
    <w:rsid w:val="00571242"/>
    <w:rsid w:val="0057162B"/>
    <w:rsid w:val="005716D4"/>
    <w:rsid w:val="00572550"/>
    <w:rsid w:val="0057292F"/>
    <w:rsid w:val="00572A47"/>
    <w:rsid w:val="00572D62"/>
    <w:rsid w:val="00572E69"/>
    <w:rsid w:val="00572EA3"/>
    <w:rsid w:val="00573016"/>
    <w:rsid w:val="00573051"/>
    <w:rsid w:val="00573544"/>
    <w:rsid w:val="00573880"/>
    <w:rsid w:val="00573BAC"/>
    <w:rsid w:val="00573CF3"/>
    <w:rsid w:val="00573E5F"/>
    <w:rsid w:val="00573F4E"/>
    <w:rsid w:val="00573F76"/>
    <w:rsid w:val="00573FDD"/>
    <w:rsid w:val="0057408A"/>
    <w:rsid w:val="00574441"/>
    <w:rsid w:val="0057454F"/>
    <w:rsid w:val="00574AB0"/>
    <w:rsid w:val="00574C3C"/>
    <w:rsid w:val="00575175"/>
    <w:rsid w:val="005758F8"/>
    <w:rsid w:val="00575956"/>
    <w:rsid w:val="0057595D"/>
    <w:rsid w:val="00575A62"/>
    <w:rsid w:val="00575DA1"/>
    <w:rsid w:val="0057609A"/>
    <w:rsid w:val="00576149"/>
    <w:rsid w:val="00576354"/>
    <w:rsid w:val="005767EB"/>
    <w:rsid w:val="00576826"/>
    <w:rsid w:val="00576895"/>
    <w:rsid w:val="005771E7"/>
    <w:rsid w:val="005779B1"/>
    <w:rsid w:val="005800AF"/>
    <w:rsid w:val="005801FE"/>
    <w:rsid w:val="005805D9"/>
    <w:rsid w:val="00581337"/>
    <w:rsid w:val="005816BC"/>
    <w:rsid w:val="00581858"/>
    <w:rsid w:val="0058195D"/>
    <w:rsid w:val="00581AF0"/>
    <w:rsid w:val="00581CB6"/>
    <w:rsid w:val="00581DB5"/>
    <w:rsid w:val="00581EF3"/>
    <w:rsid w:val="00581F34"/>
    <w:rsid w:val="0058213A"/>
    <w:rsid w:val="00582346"/>
    <w:rsid w:val="00582646"/>
    <w:rsid w:val="00582805"/>
    <w:rsid w:val="005830D0"/>
    <w:rsid w:val="00583169"/>
    <w:rsid w:val="00583190"/>
    <w:rsid w:val="005838F8"/>
    <w:rsid w:val="00583C20"/>
    <w:rsid w:val="00583C68"/>
    <w:rsid w:val="00583DA9"/>
    <w:rsid w:val="00583EED"/>
    <w:rsid w:val="00584391"/>
    <w:rsid w:val="00584585"/>
    <w:rsid w:val="00584ABF"/>
    <w:rsid w:val="0058509F"/>
    <w:rsid w:val="005852A7"/>
    <w:rsid w:val="005853DA"/>
    <w:rsid w:val="0058559D"/>
    <w:rsid w:val="005856FB"/>
    <w:rsid w:val="00585B3C"/>
    <w:rsid w:val="00585FB4"/>
    <w:rsid w:val="00586C8D"/>
    <w:rsid w:val="0058705F"/>
    <w:rsid w:val="00587264"/>
    <w:rsid w:val="005878DA"/>
    <w:rsid w:val="00587A4F"/>
    <w:rsid w:val="00587BB0"/>
    <w:rsid w:val="00587CCF"/>
    <w:rsid w:val="00587FAD"/>
    <w:rsid w:val="005902E8"/>
    <w:rsid w:val="0059033A"/>
    <w:rsid w:val="005905D1"/>
    <w:rsid w:val="005905E0"/>
    <w:rsid w:val="005908D7"/>
    <w:rsid w:val="005908DD"/>
    <w:rsid w:val="00591818"/>
    <w:rsid w:val="00591F9B"/>
    <w:rsid w:val="00592224"/>
    <w:rsid w:val="005923EC"/>
    <w:rsid w:val="00592801"/>
    <w:rsid w:val="005931BF"/>
    <w:rsid w:val="005933C1"/>
    <w:rsid w:val="00593712"/>
    <w:rsid w:val="00593E8F"/>
    <w:rsid w:val="00593F10"/>
    <w:rsid w:val="00594036"/>
    <w:rsid w:val="005941BE"/>
    <w:rsid w:val="005942FC"/>
    <w:rsid w:val="0059435E"/>
    <w:rsid w:val="00594888"/>
    <w:rsid w:val="00594AA5"/>
    <w:rsid w:val="00594B0B"/>
    <w:rsid w:val="005950A0"/>
    <w:rsid w:val="00595312"/>
    <w:rsid w:val="00595A23"/>
    <w:rsid w:val="00595DEF"/>
    <w:rsid w:val="00596DC8"/>
    <w:rsid w:val="00596E06"/>
    <w:rsid w:val="005977EB"/>
    <w:rsid w:val="00597F7B"/>
    <w:rsid w:val="005A023F"/>
    <w:rsid w:val="005A0649"/>
    <w:rsid w:val="005A0677"/>
    <w:rsid w:val="005A08EA"/>
    <w:rsid w:val="005A0F92"/>
    <w:rsid w:val="005A1099"/>
    <w:rsid w:val="005A11ED"/>
    <w:rsid w:val="005A1483"/>
    <w:rsid w:val="005A1A86"/>
    <w:rsid w:val="005A1C99"/>
    <w:rsid w:val="005A1DFE"/>
    <w:rsid w:val="005A2C49"/>
    <w:rsid w:val="005A2CBF"/>
    <w:rsid w:val="005A2E12"/>
    <w:rsid w:val="005A3011"/>
    <w:rsid w:val="005A3318"/>
    <w:rsid w:val="005A3340"/>
    <w:rsid w:val="005A36A9"/>
    <w:rsid w:val="005A3C94"/>
    <w:rsid w:val="005A4044"/>
    <w:rsid w:val="005A4647"/>
    <w:rsid w:val="005A4D17"/>
    <w:rsid w:val="005A4EF0"/>
    <w:rsid w:val="005A536C"/>
    <w:rsid w:val="005A5553"/>
    <w:rsid w:val="005A5759"/>
    <w:rsid w:val="005A5B7F"/>
    <w:rsid w:val="005A5ECA"/>
    <w:rsid w:val="005A6164"/>
    <w:rsid w:val="005A6943"/>
    <w:rsid w:val="005A6A4A"/>
    <w:rsid w:val="005A6CB7"/>
    <w:rsid w:val="005A6F96"/>
    <w:rsid w:val="005A73AC"/>
    <w:rsid w:val="005A7610"/>
    <w:rsid w:val="005A766C"/>
    <w:rsid w:val="005A7678"/>
    <w:rsid w:val="005A77E4"/>
    <w:rsid w:val="005A7BFA"/>
    <w:rsid w:val="005A7FD1"/>
    <w:rsid w:val="005B02DC"/>
    <w:rsid w:val="005B0566"/>
    <w:rsid w:val="005B057D"/>
    <w:rsid w:val="005B09DA"/>
    <w:rsid w:val="005B0BCD"/>
    <w:rsid w:val="005B0E0C"/>
    <w:rsid w:val="005B0E13"/>
    <w:rsid w:val="005B1016"/>
    <w:rsid w:val="005B1EEB"/>
    <w:rsid w:val="005B25A9"/>
    <w:rsid w:val="005B26D6"/>
    <w:rsid w:val="005B2D55"/>
    <w:rsid w:val="005B2DE4"/>
    <w:rsid w:val="005B3189"/>
    <w:rsid w:val="005B31E3"/>
    <w:rsid w:val="005B372B"/>
    <w:rsid w:val="005B3C52"/>
    <w:rsid w:val="005B4515"/>
    <w:rsid w:val="005B49D0"/>
    <w:rsid w:val="005B4B35"/>
    <w:rsid w:val="005B4EE2"/>
    <w:rsid w:val="005B5222"/>
    <w:rsid w:val="005B5375"/>
    <w:rsid w:val="005B548A"/>
    <w:rsid w:val="005B561D"/>
    <w:rsid w:val="005B5731"/>
    <w:rsid w:val="005B5A68"/>
    <w:rsid w:val="005B5E13"/>
    <w:rsid w:val="005B5E4E"/>
    <w:rsid w:val="005B62D5"/>
    <w:rsid w:val="005B7489"/>
    <w:rsid w:val="005B7646"/>
    <w:rsid w:val="005B79E3"/>
    <w:rsid w:val="005B7DBB"/>
    <w:rsid w:val="005C032D"/>
    <w:rsid w:val="005C0587"/>
    <w:rsid w:val="005C07A8"/>
    <w:rsid w:val="005C0B25"/>
    <w:rsid w:val="005C0E01"/>
    <w:rsid w:val="005C11E4"/>
    <w:rsid w:val="005C136F"/>
    <w:rsid w:val="005C17BA"/>
    <w:rsid w:val="005C18BD"/>
    <w:rsid w:val="005C193F"/>
    <w:rsid w:val="005C1C27"/>
    <w:rsid w:val="005C1FB8"/>
    <w:rsid w:val="005C2014"/>
    <w:rsid w:val="005C2955"/>
    <w:rsid w:val="005C2A35"/>
    <w:rsid w:val="005C2CC3"/>
    <w:rsid w:val="005C2FDB"/>
    <w:rsid w:val="005C3863"/>
    <w:rsid w:val="005C396B"/>
    <w:rsid w:val="005C3C14"/>
    <w:rsid w:val="005C3FDB"/>
    <w:rsid w:val="005C4688"/>
    <w:rsid w:val="005C46FB"/>
    <w:rsid w:val="005C4993"/>
    <w:rsid w:val="005C4BE6"/>
    <w:rsid w:val="005C4C4A"/>
    <w:rsid w:val="005C4E67"/>
    <w:rsid w:val="005C5018"/>
    <w:rsid w:val="005C506B"/>
    <w:rsid w:val="005C53BC"/>
    <w:rsid w:val="005C54E7"/>
    <w:rsid w:val="005C55C4"/>
    <w:rsid w:val="005C5751"/>
    <w:rsid w:val="005C5C12"/>
    <w:rsid w:val="005C60B1"/>
    <w:rsid w:val="005C656B"/>
    <w:rsid w:val="005C6675"/>
    <w:rsid w:val="005C68D8"/>
    <w:rsid w:val="005C6DAD"/>
    <w:rsid w:val="005C71BC"/>
    <w:rsid w:val="005C72B4"/>
    <w:rsid w:val="005C75E1"/>
    <w:rsid w:val="005C7C1A"/>
    <w:rsid w:val="005D06C7"/>
    <w:rsid w:val="005D0970"/>
    <w:rsid w:val="005D1014"/>
    <w:rsid w:val="005D1077"/>
    <w:rsid w:val="005D1145"/>
    <w:rsid w:val="005D1252"/>
    <w:rsid w:val="005D1316"/>
    <w:rsid w:val="005D132E"/>
    <w:rsid w:val="005D1A79"/>
    <w:rsid w:val="005D1A98"/>
    <w:rsid w:val="005D1ACB"/>
    <w:rsid w:val="005D1B7A"/>
    <w:rsid w:val="005D1BFC"/>
    <w:rsid w:val="005D1FC3"/>
    <w:rsid w:val="005D2232"/>
    <w:rsid w:val="005D2496"/>
    <w:rsid w:val="005D2525"/>
    <w:rsid w:val="005D26B6"/>
    <w:rsid w:val="005D270B"/>
    <w:rsid w:val="005D2790"/>
    <w:rsid w:val="005D27EB"/>
    <w:rsid w:val="005D2A4D"/>
    <w:rsid w:val="005D2CC3"/>
    <w:rsid w:val="005D2F78"/>
    <w:rsid w:val="005D30AD"/>
    <w:rsid w:val="005D3301"/>
    <w:rsid w:val="005D38B3"/>
    <w:rsid w:val="005D3FD1"/>
    <w:rsid w:val="005D4422"/>
    <w:rsid w:val="005D4478"/>
    <w:rsid w:val="005D4893"/>
    <w:rsid w:val="005D48D7"/>
    <w:rsid w:val="005D4DDA"/>
    <w:rsid w:val="005D4F94"/>
    <w:rsid w:val="005D57C0"/>
    <w:rsid w:val="005D5828"/>
    <w:rsid w:val="005D5957"/>
    <w:rsid w:val="005D5B3C"/>
    <w:rsid w:val="005D5BCF"/>
    <w:rsid w:val="005D5D9F"/>
    <w:rsid w:val="005D6054"/>
    <w:rsid w:val="005D64E1"/>
    <w:rsid w:val="005D64F4"/>
    <w:rsid w:val="005D6BBA"/>
    <w:rsid w:val="005D6BCA"/>
    <w:rsid w:val="005D6DDF"/>
    <w:rsid w:val="005D712C"/>
    <w:rsid w:val="005D7168"/>
    <w:rsid w:val="005D73B5"/>
    <w:rsid w:val="005D7644"/>
    <w:rsid w:val="005D7699"/>
    <w:rsid w:val="005D786C"/>
    <w:rsid w:val="005D7BC9"/>
    <w:rsid w:val="005D7C11"/>
    <w:rsid w:val="005D7DB8"/>
    <w:rsid w:val="005E0134"/>
    <w:rsid w:val="005E0350"/>
    <w:rsid w:val="005E04C3"/>
    <w:rsid w:val="005E0574"/>
    <w:rsid w:val="005E06D1"/>
    <w:rsid w:val="005E089B"/>
    <w:rsid w:val="005E09DC"/>
    <w:rsid w:val="005E0A3D"/>
    <w:rsid w:val="005E0B00"/>
    <w:rsid w:val="005E0E15"/>
    <w:rsid w:val="005E15F6"/>
    <w:rsid w:val="005E16DE"/>
    <w:rsid w:val="005E19AF"/>
    <w:rsid w:val="005E1A63"/>
    <w:rsid w:val="005E1D39"/>
    <w:rsid w:val="005E1F66"/>
    <w:rsid w:val="005E2863"/>
    <w:rsid w:val="005E2D34"/>
    <w:rsid w:val="005E2DD5"/>
    <w:rsid w:val="005E30AB"/>
    <w:rsid w:val="005E30F0"/>
    <w:rsid w:val="005E32A4"/>
    <w:rsid w:val="005E346E"/>
    <w:rsid w:val="005E3537"/>
    <w:rsid w:val="005E36E1"/>
    <w:rsid w:val="005E3787"/>
    <w:rsid w:val="005E3AE0"/>
    <w:rsid w:val="005E3B29"/>
    <w:rsid w:val="005E44EF"/>
    <w:rsid w:val="005E45FC"/>
    <w:rsid w:val="005E46BE"/>
    <w:rsid w:val="005E4811"/>
    <w:rsid w:val="005E493E"/>
    <w:rsid w:val="005E4A8B"/>
    <w:rsid w:val="005E4E03"/>
    <w:rsid w:val="005E51E7"/>
    <w:rsid w:val="005E5BC9"/>
    <w:rsid w:val="005E5E5D"/>
    <w:rsid w:val="005E601A"/>
    <w:rsid w:val="005E624B"/>
    <w:rsid w:val="005E634E"/>
    <w:rsid w:val="005E64A1"/>
    <w:rsid w:val="005E6699"/>
    <w:rsid w:val="005E675A"/>
    <w:rsid w:val="005E6A09"/>
    <w:rsid w:val="005E6BDE"/>
    <w:rsid w:val="005E7060"/>
    <w:rsid w:val="005E792E"/>
    <w:rsid w:val="005E7A42"/>
    <w:rsid w:val="005E7CFC"/>
    <w:rsid w:val="005E7DD7"/>
    <w:rsid w:val="005E7FC8"/>
    <w:rsid w:val="005F027E"/>
    <w:rsid w:val="005F053C"/>
    <w:rsid w:val="005F095B"/>
    <w:rsid w:val="005F0A50"/>
    <w:rsid w:val="005F0AB8"/>
    <w:rsid w:val="005F0B25"/>
    <w:rsid w:val="005F106A"/>
    <w:rsid w:val="005F1784"/>
    <w:rsid w:val="005F1862"/>
    <w:rsid w:val="005F191C"/>
    <w:rsid w:val="005F1A18"/>
    <w:rsid w:val="005F1D56"/>
    <w:rsid w:val="005F1FB2"/>
    <w:rsid w:val="005F24DF"/>
    <w:rsid w:val="005F29EE"/>
    <w:rsid w:val="005F2E4B"/>
    <w:rsid w:val="005F3044"/>
    <w:rsid w:val="005F3590"/>
    <w:rsid w:val="005F35D0"/>
    <w:rsid w:val="005F4065"/>
    <w:rsid w:val="005F4487"/>
    <w:rsid w:val="005F44D0"/>
    <w:rsid w:val="005F4825"/>
    <w:rsid w:val="005F4C1D"/>
    <w:rsid w:val="005F4E3A"/>
    <w:rsid w:val="005F51CE"/>
    <w:rsid w:val="005F5450"/>
    <w:rsid w:val="005F5562"/>
    <w:rsid w:val="005F56CD"/>
    <w:rsid w:val="005F5915"/>
    <w:rsid w:val="005F595B"/>
    <w:rsid w:val="005F59C3"/>
    <w:rsid w:val="005F5D0B"/>
    <w:rsid w:val="005F5E88"/>
    <w:rsid w:val="005F5EA8"/>
    <w:rsid w:val="005F6205"/>
    <w:rsid w:val="005F62C8"/>
    <w:rsid w:val="005F690F"/>
    <w:rsid w:val="005F6B06"/>
    <w:rsid w:val="005F6DC4"/>
    <w:rsid w:val="005F6F0F"/>
    <w:rsid w:val="005F7279"/>
    <w:rsid w:val="005F76B7"/>
    <w:rsid w:val="005F7A00"/>
    <w:rsid w:val="005F7C4B"/>
    <w:rsid w:val="005F7CCD"/>
    <w:rsid w:val="0060014F"/>
    <w:rsid w:val="00600636"/>
    <w:rsid w:val="00600686"/>
    <w:rsid w:val="006006FE"/>
    <w:rsid w:val="00600895"/>
    <w:rsid w:val="00600913"/>
    <w:rsid w:val="00600CDA"/>
    <w:rsid w:val="00600D05"/>
    <w:rsid w:val="00601018"/>
    <w:rsid w:val="006014B9"/>
    <w:rsid w:val="006018AD"/>
    <w:rsid w:val="00601C56"/>
    <w:rsid w:val="00601E0F"/>
    <w:rsid w:val="00602564"/>
    <w:rsid w:val="0060265A"/>
    <w:rsid w:val="00602A02"/>
    <w:rsid w:val="00602BAC"/>
    <w:rsid w:val="00603078"/>
    <w:rsid w:val="006033D1"/>
    <w:rsid w:val="0060350B"/>
    <w:rsid w:val="00603622"/>
    <w:rsid w:val="0060363A"/>
    <w:rsid w:val="00603728"/>
    <w:rsid w:val="00603884"/>
    <w:rsid w:val="00603C58"/>
    <w:rsid w:val="00603CEC"/>
    <w:rsid w:val="00604016"/>
    <w:rsid w:val="0060451E"/>
    <w:rsid w:val="0060458B"/>
    <w:rsid w:val="0060485B"/>
    <w:rsid w:val="00604A07"/>
    <w:rsid w:val="00604AE2"/>
    <w:rsid w:val="00604B1B"/>
    <w:rsid w:val="00604B99"/>
    <w:rsid w:val="00604C2B"/>
    <w:rsid w:val="00605056"/>
    <w:rsid w:val="00606892"/>
    <w:rsid w:val="00606CC0"/>
    <w:rsid w:val="006073F2"/>
    <w:rsid w:val="0060788F"/>
    <w:rsid w:val="00607A72"/>
    <w:rsid w:val="00607B4B"/>
    <w:rsid w:val="00607B86"/>
    <w:rsid w:val="00607EFD"/>
    <w:rsid w:val="00607FE3"/>
    <w:rsid w:val="0061043C"/>
    <w:rsid w:val="006108F3"/>
    <w:rsid w:val="00610C0E"/>
    <w:rsid w:val="00610D3C"/>
    <w:rsid w:val="00611920"/>
    <w:rsid w:val="00611E03"/>
    <w:rsid w:val="00611FCD"/>
    <w:rsid w:val="00612255"/>
    <w:rsid w:val="006124DF"/>
    <w:rsid w:val="00612BC0"/>
    <w:rsid w:val="00612C49"/>
    <w:rsid w:val="00612C6B"/>
    <w:rsid w:val="006131C7"/>
    <w:rsid w:val="00613228"/>
    <w:rsid w:val="006132CD"/>
    <w:rsid w:val="006137C7"/>
    <w:rsid w:val="00613926"/>
    <w:rsid w:val="00613B11"/>
    <w:rsid w:val="00613E8C"/>
    <w:rsid w:val="00613E8F"/>
    <w:rsid w:val="00614479"/>
    <w:rsid w:val="00614ABE"/>
    <w:rsid w:val="00614BDC"/>
    <w:rsid w:val="00614E13"/>
    <w:rsid w:val="00614E85"/>
    <w:rsid w:val="0061551E"/>
    <w:rsid w:val="0061640F"/>
    <w:rsid w:val="006166D3"/>
    <w:rsid w:val="006169B4"/>
    <w:rsid w:val="00616AEA"/>
    <w:rsid w:val="00616DB2"/>
    <w:rsid w:val="00617013"/>
    <w:rsid w:val="00617183"/>
    <w:rsid w:val="00617196"/>
    <w:rsid w:val="006174DB"/>
    <w:rsid w:val="00617671"/>
    <w:rsid w:val="006176BE"/>
    <w:rsid w:val="00617726"/>
    <w:rsid w:val="00617CE5"/>
    <w:rsid w:val="00617EFF"/>
    <w:rsid w:val="00620233"/>
    <w:rsid w:val="006202EF"/>
    <w:rsid w:val="006202FD"/>
    <w:rsid w:val="006203BA"/>
    <w:rsid w:val="00620BE8"/>
    <w:rsid w:val="00620E26"/>
    <w:rsid w:val="00620E54"/>
    <w:rsid w:val="00620EE5"/>
    <w:rsid w:val="00621257"/>
    <w:rsid w:val="0062130B"/>
    <w:rsid w:val="006217A7"/>
    <w:rsid w:val="00621A93"/>
    <w:rsid w:val="00621C3A"/>
    <w:rsid w:val="006222B6"/>
    <w:rsid w:val="00622700"/>
    <w:rsid w:val="00622D1B"/>
    <w:rsid w:val="0062300F"/>
    <w:rsid w:val="00623165"/>
    <w:rsid w:val="006235A3"/>
    <w:rsid w:val="00623676"/>
    <w:rsid w:val="00623A05"/>
    <w:rsid w:val="00623B19"/>
    <w:rsid w:val="00623E20"/>
    <w:rsid w:val="006242DD"/>
    <w:rsid w:val="00624394"/>
    <w:rsid w:val="0062452E"/>
    <w:rsid w:val="00624B0B"/>
    <w:rsid w:val="00624B3D"/>
    <w:rsid w:val="00625608"/>
    <w:rsid w:val="00625693"/>
    <w:rsid w:val="0062588E"/>
    <w:rsid w:val="00626B95"/>
    <w:rsid w:val="006272BF"/>
    <w:rsid w:val="00627403"/>
    <w:rsid w:val="00627936"/>
    <w:rsid w:val="006279A8"/>
    <w:rsid w:val="00627DCC"/>
    <w:rsid w:val="00630042"/>
    <w:rsid w:val="00630122"/>
    <w:rsid w:val="00630242"/>
    <w:rsid w:val="00630400"/>
    <w:rsid w:val="00630ABA"/>
    <w:rsid w:val="00631022"/>
    <w:rsid w:val="006312AC"/>
    <w:rsid w:val="00631521"/>
    <w:rsid w:val="006318DC"/>
    <w:rsid w:val="006321A3"/>
    <w:rsid w:val="00632261"/>
    <w:rsid w:val="006322DB"/>
    <w:rsid w:val="006325F8"/>
    <w:rsid w:val="00632785"/>
    <w:rsid w:val="00632A22"/>
    <w:rsid w:val="0063331B"/>
    <w:rsid w:val="00633463"/>
    <w:rsid w:val="0063391D"/>
    <w:rsid w:val="00633C81"/>
    <w:rsid w:val="0063418E"/>
    <w:rsid w:val="006344FA"/>
    <w:rsid w:val="00634D42"/>
    <w:rsid w:val="006356D6"/>
    <w:rsid w:val="00635ACA"/>
    <w:rsid w:val="00635B21"/>
    <w:rsid w:val="00635BC3"/>
    <w:rsid w:val="00635C6A"/>
    <w:rsid w:val="00635CD8"/>
    <w:rsid w:val="00635FC8"/>
    <w:rsid w:val="0063691E"/>
    <w:rsid w:val="00636B8B"/>
    <w:rsid w:val="00637264"/>
    <w:rsid w:val="0063730B"/>
    <w:rsid w:val="006377B6"/>
    <w:rsid w:val="00637997"/>
    <w:rsid w:val="006379AD"/>
    <w:rsid w:val="00637CAA"/>
    <w:rsid w:val="00637D45"/>
    <w:rsid w:val="00637F1F"/>
    <w:rsid w:val="00637FAC"/>
    <w:rsid w:val="006400ED"/>
    <w:rsid w:val="00640DAB"/>
    <w:rsid w:val="00640E8D"/>
    <w:rsid w:val="00640F9C"/>
    <w:rsid w:val="006417B1"/>
    <w:rsid w:val="00641817"/>
    <w:rsid w:val="00641CF4"/>
    <w:rsid w:val="00641FBB"/>
    <w:rsid w:val="00642219"/>
    <w:rsid w:val="00642256"/>
    <w:rsid w:val="006423FD"/>
    <w:rsid w:val="00642721"/>
    <w:rsid w:val="00642D0C"/>
    <w:rsid w:val="006430A2"/>
    <w:rsid w:val="00643132"/>
    <w:rsid w:val="00643520"/>
    <w:rsid w:val="0064357F"/>
    <w:rsid w:val="0064382E"/>
    <w:rsid w:val="00643A67"/>
    <w:rsid w:val="0064437D"/>
    <w:rsid w:val="006446F6"/>
    <w:rsid w:val="006448B6"/>
    <w:rsid w:val="00644A1B"/>
    <w:rsid w:val="00644B3D"/>
    <w:rsid w:val="00644CE0"/>
    <w:rsid w:val="00644E81"/>
    <w:rsid w:val="00644ECB"/>
    <w:rsid w:val="0064579C"/>
    <w:rsid w:val="00645811"/>
    <w:rsid w:val="00645C43"/>
    <w:rsid w:val="00646836"/>
    <w:rsid w:val="00646B03"/>
    <w:rsid w:val="00646FBB"/>
    <w:rsid w:val="00647448"/>
    <w:rsid w:val="00647497"/>
    <w:rsid w:val="00647558"/>
    <w:rsid w:val="0064782C"/>
    <w:rsid w:val="00647938"/>
    <w:rsid w:val="00647E17"/>
    <w:rsid w:val="00647ED2"/>
    <w:rsid w:val="0065006D"/>
    <w:rsid w:val="0065041A"/>
    <w:rsid w:val="0065090C"/>
    <w:rsid w:val="00650A10"/>
    <w:rsid w:val="00650AE3"/>
    <w:rsid w:val="00650C53"/>
    <w:rsid w:val="00650CB5"/>
    <w:rsid w:val="00650CC1"/>
    <w:rsid w:val="0065107D"/>
    <w:rsid w:val="00651564"/>
    <w:rsid w:val="0065175B"/>
    <w:rsid w:val="00651773"/>
    <w:rsid w:val="00651D79"/>
    <w:rsid w:val="00652056"/>
    <w:rsid w:val="00652520"/>
    <w:rsid w:val="00652B21"/>
    <w:rsid w:val="00652BCF"/>
    <w:rsid w:val="00652C6C"/>
    <w:rsid w:val="00653158"/>
    <w:rsid w:val="00653BA1"/>
    <w:rsid w:val="00653F80"/>
    <w:rsid w:val="00653FA3"/>
    <w:rsid w:val="00654083"/>
    <w:rsid w:val="00654534"/>
    <w:rsid w:val="0065490D"/>
    <w:rsid w:val="00654AA3"/>
    <w:rsid w:val="00654B25"/>
    <w:rsid w:val="00654BC4"/>
    <w:rsid w:val="00654E13"/>
    <w:rsid w:val="00654EE1"/>
    <w:rsid w:val="006556B5"/>
    <w:rsid w:val="00655C54"/>
    <w:rsid w:val="00655CE8"/>
    <w:rsid w:val="00655DE7"/>
    <w:rsid w:val="00655E22"/>
    <w:rsid w:val="00655F70"/>
    <w:rsid w:val="006563EC"/>
    <w:rsid w:val="00656714"/>
    <w:rsid w:val="006569B7"/>
    <w:rsid w:val="00656D5C"/>
    <w:rsid w:val="00657861"/>
    <w:rsid w:val="0065794F"/>
    <w:rsid w:val="00657E14"/>
    <w:rsid w:val="00660477"/>
    <w:rsid w:val="00660522"/>
    <w:rsid w:val="0066069D"/>
    <w:rsid w:val="0066087F"/>
    <w:rsid w:val="00661005"/>
    <w:rsid w:val="006612EB"/>
    <w:rsid w:val="0066164E"/>
    <w:rsid w:val="0066198F"/>
    <w:rsid w:val="006619D1"/>
    <w:rsid w:val="00661DEF"/>
    <w:rsid w:val="00661FBD"/>
    <w:rsid w:val="00662F6C"/>
    <w:rsid w:val="006630CF"/>
    <w:rsid w:val="0066317D"/>
    <w:rsid w:val="0066317F"/>
    <w:rsid w:val="006634A5"/>
    <w:rsid w:val="00663612"/>
    <w:rsid w:val="00663655"/>
    <w:rsid w:val="00663AA4"/>
    <w:rsid w:val="00663B59"/>
    <w:rsid w:val="00663C65"/>
    <w:rsid w:val="00663F13"/>
    <w:rsid w:val="00663FB4"/>
    <w:rsid w:val="00664035"/>
    <w:rsid w:val="00664229"/>
    <w:rsid w:val="00664396"/>
    <w:rsid w:val="00664A6E"/>
    <w:rsid w:val="00664D05"/>
    <w:rsid w:val="00664F1A"/>
    <w:rsid w:val="006655F5"/>
    <w:rsid w:val="00665662"/>
    <w:rsid w:val="0066570F"/>
    <w:rsid w:val="00665995"/>
    <w:rsid w:val="00665A05"/>
    <w:rsid w:val="00665BAB"/>
    <w:rsid w:val="00665FBF"/>
    <w:rsid w:val="00666175"/>
    <w:rsid w:val="00666177"/>
    <w:rsid w:val="0066647E"/>
    <w:rsid w:val="00666490"/>
    <w:rsid w:val="00666771"/>
    <w:rsid w:val="0066677D"/>
    <w:rsid w:val="00666D8F"/>
    <w:rsid w:val="00666DAA"/>
    <w:rsid w:val="00666F0F"/>
    <w:rsid w:val="006670F1"/>
    <w:rsid w:val="006671D9"/>
    <w:rsid w:val="006675E5"/>
    <w:rsid w:val="00667837"/>
    <w:rsid w:val="00667B96"/>
    <w:rsid w:val="00667CC3"/>
    <w:rsid w:val="00667F15"/>
    <w:rsid w:val="00670787"/>
    <w:rsid w:val="0067093C"/>
    <w:rsid w:val="00670B97"/>
    <w:rsid w:val="00670CFF"/>
    <w:rsid w:val="00670D18"/>
    <w:rsid w:val="006710B7"/>
    <w:rsid w:val="00671281"/>
    <w:rsid w:val="00671A8E"/>
    <w:rsid w:val="00671CF1"/>
    <w:rsid w:val="0067254B"/>
    <w:rsid w:val="00672B02"/>
    <w:rsid w:val="00672B8F"/>
    <w:rsid w:val="00672C08"/>
    <w:rsid w:val="00672F76"/>
    <w:rsid w:val="00673203"/>
    <w:rsid w:val="00673AA4"/>
    <w:rsid w:val="00673C33"/>
    <w:rsid w:val="00673E27"/>
    <w:rsid w:val="00673E2D"/>
    <w:rsid w:val="00674272"/>
    <w:rsid w:val="006744F2"/>
    <w:rsid w:val="006748BB"/>
    <w:rsid w:val="00674AFD"/>
    <w:rsid w:val="00674C33"/>
    <w:rsid w:val="00674E3E"/>
    <w:rsid w:val="006751D8"/>
    <w:rsid w:val="00675570"/>
    <w:rsid w:val="006756C6"/>
    <w:rsid w:val="006757A0"/>
    <w:rsid w:val="006764DF"/>
    <w:rsid w:val="00676A30"/>
    <w:rsid w:val="00676ACF"/>
    <w:rsid w:val="00676B5B"/>
    <w:rsid w:val="00676B77"/>
    <w:rsid w:val="00676C1D"/>
    <w:rsid w:val="00676E00"/>
    <w:rsid w:val="00676F19"/>
    <w:rsid w:val="006770AC"/>
    <w:rsid w:val="00677116"/>
    <w:rsid w:val="006771E2"/>
    <w:rsid w:val="00677365"/>
    <w:rsid w:val="00677797"/>
    <w:rsid w:val="0067785A"/>
    <w:rsid w:val="00677E63"/>
    <w:rsid w:val="00677F4F"/>
    <w:rsid w:val="00680393"/>
    <w:rsid w:val="006805EB"/>
    <w:rsid w:val="00680770"/>
    <w:rsid w:val="006809DF"/>
    <w:rsid w:val="0068127E"/>
    <w:rsid w:val="006817BA"/>
    <w:rsid w:val="00681971"/>
    <w:rsid w:val="00681CD5"/>
    <w:rsid w:val="00681D05"/>
    <w:rsid w:val="00681EF8"/>
    <w:rsid w:val="00681F10"/>
    <w:rsid w:val="00681F3F"/>
    <w:rsid w:val="00682035"/>
    <w:rsid w:val="006822F1"/>
    <w:rsid w:val="00682BC6"/>
    <w:rsid w:val="00683452"/>
    <w:rsid w:val="00683482"/>
    <w:rsid w:val="00683837"/>
    <w:rsid w:val="006838BE"/>
    <w:rsid w:val="0068400B"/>
    <w:rsid w:val="0068411F"/>
    <w:rsid w:val="006842A8"/>
    <w:rsid w:val="006849BB"/>
    <w:rsid w:val="006851DD"/>
    <w:rsid w:val="00685288"/>
    <w:rsid w:val="00685305"/>
    <w:rsid w:val="00685677"/>
    <w:rsid w:val="00685950"/>
    <w:rsid w:val="0068599E"/>
    <w:rsid w:val="00685BF8"/>
    <w:rsid w:val="00685CC7"/>
    <w:rsid w:val="0068616E"/>
    <w:rsid w:val="006862A6"/>
    <w:rsid w:val="006865D3"/>
    <w:rsid w:val="00686A19"/>
    <w:rsid w:val="006871B1"/>
    <w:rsid w:val="0068724A"/>
    <w:rsid w:val="0068740C"/>
    <w:rsid w:val="006879C4"/>
    <w:rsid w:val="00690365"/>
    <w:rsid w:val="006903F1"/>
    <w:rsid w:val="00690755"/>
    <w:rsid w:val="00690829"/>
    <w:rsid w:val="00690DF3"/>
    <w:rsid w:val="00690F8F"/>
    <w:rsid w:val="00691126"/>
    <w:rsid w:val="006913AB"/>
    <w:rsid w:val="006914D2"/>
    <w:rsid w:val="00691523"/>
    <w:rsid w:val="00691973"/>
    <w:rsid w:val="00691A16"/>
    <w:rsid w:val="00691B02"/>
    <w:rsid w:val="00691D58"/>
    <w:rsid w:val="00691D7A"/>
    <w:rsid w:val="006920D7"/>
    <w:rsid w:val="00692183"/>
    <w:rsid w:val="00692286"/>
    <w:rsid w:val="00693405"/>
    <w:rsid w:val="006939EC"/>
    <w:rsid w:val="00694EC6"/>
    <w:rsid w:val="00694F75"/>
    <w:rsid w:val="00694F8F"/>
    <w:rsid w:val="00695937"/>
    <w:rsid w:val="0069597C"/>
    <w:rsid w:val="006959CD"/>
    <w:rsid w:val="00695D95"/>
    <w:rsid w:val="00695F86"/>
    <w:rsid w:val="006960B9"/>
    <w:rsid w:val="00696258"/>
    <w:rsid w:val="00696326"/>
    <w:rsid w:val="00696736"/>
    <w:rsid w:val="00696A71"/>
    <w:rsid w:val="00696EED"/>
    <w:rsid w:val="006970D5"/>
    <w:rsid w:val="00697118"/>
    <w:rsid w:val="0069739D"/>
    <w:rsid w:val="0069758F"/>
    <w:rsid w:val="00697CDE"/>
    <w:rsid w:val="00697D27"/>
    <w:rsid w:val="006A00E2"/>
    <w:rsid w:val="006A0293"/>
    <w:rsid w:val="006A03F4"/>
    <w:rsid w:val="006A08C1"/>
    <w:rsid w:val="006A0A02"/>
    <w:rsid w:val="006A0BE2"/>
    <w:rsid w:val="006A0D51"/>
    <w:rsid w:val="006A0DCB"/>
    <w:rsid w:val="006A1186"/>
    <w:rsid w:val="006A1AE6"/>
    <w:rsid w:val="006A1E83"/>
    <w:rsid w:val="006A1EE1"/>
    <w:rsid w:val="006A1F2C"/>
    <w:rsid w:val="006A2159"/>
    <w:rsid w:val="006A2215"/>
    <w:rsid w:val="006A249B"/>
    <w:rsid w:val="006A2D96"/>
    <w:rsid w:val="006A3897"/>
    <w:rsid w:val="006A38F6"/>
    <w:rsid w:val="006A3B24"/>
    <w:rsid w:val="006A4030"/>
    <w:rsid w:val="006A4211"/>
    <w:rsid w:val="006A4610"/>
    <w:rsid w:val="006A4AE2"/>
    <w:rsid w:val="006A4D8A"/>
    <w:rsid w:val="006A4F99"/>
    <w:rsid w:val="006A50C8"/>
    <w:rsid w:val="006A5EE5"/>
    <w:rsid w:val="006A625E"/>
    <w:rsid w:val="006A64A9"/>
    <w:rsid w:val="006A661F"/>
    <w:rsid w:val="006A6AF9"/>
    <w:rsid w:val="006A6B52"/>
    <w:rsid w:val="006A6C9A"/>
    <w:rsid w:val="006A6DA2"/>
    <w:rsid w:val="006A6E86"/>
    <w:rsid w:val="006A7AD0"/>
    <w:rsid w:val="006A7D66"/>
    <w:rsid w:val="006A7DC2"/>
    <w:rsid w:val="006A7DFF"/>
    <w:rsid w:val="006A7F4C"/>
    <w:rsid w:val="006B0469"/>
    <w:rsid w:val="006B0925"/>
    <w:rsid w:val="006B09FE"/>
    <w:rsid w:val="006B0B16"/>
    <w:rsid w:val="006B10FC"/>
    <w:rsid w:val="006B14AA"/>
    <w:rsid w:val="006B18CB"/>
    <w:rsid w:val="006B1C87"/>
    <w:rsid w:val="006B207B"/>
    <w:rsid w:val="006B21EE"/>
    <w:rsid w:val="006B24E1"/>
    <w:rsid w:val="006B2656"/>
    <w:rsid w:val="006B277A"/>
    <w:rsid w:val="006B2C28"/>
    <w:rsid w:val="006B2D7E"/>
    <w:rsid w:val="006B2E12"/>
    <w:rsid w:val="006B311C"/>
    <w:rsid w:val="006B38A8"/>
    <w:rsid w:val="006B3937"/>
    <w:rsid w:val="006B3ACD"/>
    <w:rsid w:val="006B3B09"/>
    <w:rsid w:val="006B3F25"/>
    <w:rsid w:val="006B46FA"/>
    <w:rsid w:val="006B46FF"/>
    <w:rsid w:val="006B4785"/>
    <w:rsid w:val="006B4949"/>
    <w:rsid w:val="006B4B70"/>
    <w:rsid w:val="006B4C57"/>
    <w:rsid w:val="006B52D9"/>
    <w:rsid w:val="006B556C"/>
    <w:rsid w:val="006B56EC"/>
    <w:rsid w:val="006B5A06"/>
    <w:rsid w:val="006B5ADB"/>
    <w:rsid w:val="006B5AE7"/>
    <w:rsid w:val="006B6065"/>
    <w:rsid w:val="006B61B8"/>
    <w:rsid w:val="006B682B"/>
    <w:rsid w:val="006B69D2"/>
    <w:rsid w:val="006B6B5B"/>
    <w:rsid w:val="006B6CB4"/>
    <w:rsid w:val="006B73B9"/>
    <w:rsid w:val="006B741B"/>
    <w:rsid w:val="006B7642"/>
    <w:rsid w:val="006B7EFE"/>
    <w:rsid w:val="006C0522"/>
    <w:rsid w:val="006C06D7"/>
    <w:rsid w:val="006C0CF3"/>
    <w:rsid w:val="006C0DBD"/>
    <w:rsid w:val="006C0FFA"/>
    <w:rsid w:val="006C1021"/>
    <w:rsid w:val="006C13CB"/>
    <w:rsid w:val="006C145B"/>
    <w:rsid w:val="006C1469"/>
    <w:rsid w:val="006C1A1F"/>
    <w:rsid w:val="006C1A54"/>
    <w:rsid w:val="006C1E48"/>
    <w:rsid w:val="006C1F90"/>
    <w:rsid w:val="006C2201"/>
    <w:rsid w:val="006C25F1"/>
    <w:rsid w:val="006C2626"/>
    <w:rsid w:val="006C2816"/>
    <w:rsid w:val="006C2966"/>
    <w:rsid w:val="006C2C29"/>
    <w:rsid w:val="006C2EF3"/>
    <w:rsid w:val="006C355C"/>
    <w:rsid w:val="006C3793"/>
    <w:rsid w:val="006C3B16"/>
    <w:rsid w:val="006C3C44"/>
    <w:rsid w:val="006C3E91"/>
    <w:rsid w:val="006C44CD"/>
    <w:rsid w:val="006C4B21"/>
    <w:rsid w:val="006C4FD2"/>
    <w:rsid w:val="006C5448"/>
    <w:rsid w:val="006C567D"/>
    <w:rsid w:val="006C56B8"/>
    <w:rsid w:val="006C5B52"/>
    <w:rsid w:val="006C5BC9"/>
    <w:rsid w:val="006C6743"/>
    <w:rsid w:val="006C6DB8"/>
    <w:rsid w:val="006C6FE4"/>
    <w:rsid w:val="006C746C"/>
    <w:rsid w:val="006C758D"/>
    <w:rsid w:val="006C7693"/>
    <w:rsid w:val="006C7B47"/>
    <w:rsid w:val="006C7F0E"/>
    <w:rsid w:val="006D0380"/>
    <w:rsid w:val="006D0B59"/>
    <w:rsid w:val="006D103A"/>
    <w:rsid w:val="006D191C"/>
    <w:rsid w:val="006D1DE1"/>
    <w:rsid w:val="006D1F80"/>
    <w:rsid w:val="006D2317"/>
    <w:rsid w:val="006D23B8"/>
    <w:rsid w:val="006D266D"/>
    <w:rsid w:val="006D2A60"/>
    <w:rsid w:val="006D2C7E"/>
    <w:rsid w:val="006D2D62"/>
    <w:rsid w:val="006D2F68"/>
    <w:rsid w:val="006D31EC"/>
    <w:rsid w:val="006D32CD"/>
    <w:rsid w:val="006D3749"/>
    <w:rsid w:val="006D37B0"/>
    <w:rsid w:val="006D39BA"/>
    <w:rsid w:val="006D3A92"/>
    <w:rsid w:val="006D4472"/>
    <w:rsid w:val="006D489D"/>
    <w:rsid w:val="006D4D7F"/>
    <w:rsid w:val="006D4FD3"/>
    <w:rsid w:val="006D51B1"/>
    <w:rsid w:val="006D5A15"/>
    <w:rsid w:val="006D5BCB"/>
    <w:rsid w:val="006D5D7E"/>
    <w:rsid w:val="006D5FF2"/>
    <w:rsid w:val="006D6048"/>
    <w:rsid w:val="006D65CA"/>
    <w:rsid w:val="006D68D9"/>
    <w:rsid w:val="006D69BE"/>
    <w:rsid w:val="006D6C3A"/>
    <w:rsid w:val="006D6DFD"/>
    <w:rsid w:val="006D6F55"/>
    <w:rsid w:val="006D6F58"/>
    <w:rsid w:val="006D73BB"/>
    <w:rsid w:val="006D7691"/>
    <w:rsid w:val="006D76B9"/>
    <w:rsid w:val="006D7A36"/>
    <w:rsid w:val="006D7FD1"/>
    <w:rsid w:val="006E0097"/>
    <w:rsid w:val="006E0448"/>
    <w:rsid w:val="006E08E5"/>
    <w:rsid w:val="006E09DE"/>
    <w:rsid w:val="006E0E9C"/>
    <w:rsid w:val="006E1377"/>
    <w:rsid w:val="006E143C"/>
    <w:rsid w:val="006E1582"/>
    <w:rsid w:val="006E165D"/>
    <w:rsid w:val="006E1938"/>
    <w:rsid w:val="006E1970"/>
    <w:rsid w:val="006E1DDE"/>
    <w:rsid w:val="006E2136"/>
    <w:rsid w:val="006E2191"/>
    <w:rsid w:val="006E2329"/>
    <w:rsid w:val="006E24B2"/>
    <w:rsid w:val="006E2816"/>
    <w:rsid w:val="006E2AF2"/>
    <w:rsid w:val="006E2F74"/>
    <w:rsid w:val="006E3280"/>
    <w:rsid w:val="006E372E"/>
    <w:rsid w:val="006E3890"/>
    <w:rsid w:val="006E3E25"/>
    <w:rsid w:val="006E44D9"/>
    <w:rsid w:val="006E44DB"/>
    <w:rsid w:val="006E47C7"/>
    <w:rsid w:val="006E4DA5"/>
    <w:rsid w:val="006E4F7C"/>
    <w:rsid w:val="006E500E"/>
    <w:rsid w:val="006E50A3"/>
    <w:rsid w:val="006E53B4"/>
    <w:rsid w:val="006E579C"/>
    <w:rsid w:val="006E5ACA"/>
    <w:rsid w:val="006E5E48"/>
    <w:rsid w:val="006E6220"/>
    <w:rsid w:val="006E62EB"/>
    <w:rsid w:val="006E64C8"/>
    <w:rsid w:val="006E6607"/>
    <w:rsid w:val="006E6AFD"/>
    <w:rsid w:val="006E6CFE"/>
    <w:rsid w:val="006E6E11"/>
    <w:rsid w:val="006E718C"/>
    <w:rsid w:val="006E71C1"/>
    <w:rsid w:val="006E71E7"/>
    <w:rsid w:val="006E71F3"/>
    <w:rsid w:val="006E7410"/>
    <w:rsid w:val="006E7595"/>
    <w:rsid w:val="006E778C"/>
    <w:rsid w:val="006E783D"/>
    <w:rsid w:val="006E7AC2"/>
    <w:rsid w:val="006F00F9"/>
    <w:rsid w:val="006F00FD"/>
    <w:rsid w:val="006F039A"/>
    <w:rsid w:val="006F0677"/>
    <w:rsid w:val="006F0854"/>
    <w:rsid w:val="006F0C20"/>
    <w:rsid w:val="006F13A7"/>
    <w:rsid w:val="006F144F"/>
    <w:rsid w:val="006F155C"/>
    <w:rsid w:val="006F1A01"/>
    <w:rsid w:val="006F20BA"/>
    <w:rsid w:val="006F2800"/>
    <w:rsid w:val="006F28B2"/>
    <w:rsid w:val="006F2EB6"/>
    <w:rsid w:val="006F2EF8"/>
    <w:rsid w:val="006F3306"/>
    <w:rsid w:val="006F386D"/>
    <w:rsid w:val="006F3B3B"/>
    <w:rsid w:val="006F3DA0"/>
    <w:rsid w:val="006F4079"/>
    <w:rsid w:val="006F43CD"/>
    <w:rsid w:val="006F4523"/>
    <w:rsid w:val="006F46D2"/>
    <w:rsid w:val="006F513C"/>
    <w:rsid w:val="006F5191"/>
    <w:rsid w:val="006F5A28"/>
    <w:rsid w:val="006F5E2D"/>
    <w:rsid w:val="006F5E70"/>
    <w:rsid w:val="006F61F8"/>
    <w:rsid w:val="006F6789"/>
    <w:rsid w:val="006F68F6"/>
    <w:rsid w:val="006F70DB"/>
    <w:rsid w:val="006F74EA"/>
    <w:rsid w:val="006F77E7"/>
    <w:rsid w:val="006F7BA6"/>
    <w:rsid w:val="006F7D2B"/>
    <w:rsid w:val="006F7F80"/>
    <w:rsid w:val="00700017"/>
    <w:rsid w:val="007004C2"/>
    <w:rsid w:val="0070063D"/>
    <w:rsid w:val="007007E6"/>
    <w:rsid w:val="00700A01"/>
    <w:rsid w:val="00701027"/>
    <w:rsid w:val="007012C0"/>
    <w:rsid w:val="007016AF"/>
    <w:rsid w:val="00701A74"/>
    <w:rsid w:val="00701DB6"/>
    <w:rsid w:val="00702106"/>
    <w:rsid w:val="00702236"/>
    <w:rsid w:val="00702372"/>
    <w:rsid w:val="007023B6"/>
    <w:rsid w:val="0070283F"/>
    <w:rsid w:val="00702922"/>
    <w:rsid w:val="00702E7F"/>
    <w:rsid w:val="0070303C"/>
    <w:rsid w:val="00703056"/>
    <w:rsid w:val="00703459"/>
    <w:rsid w:val="00703BB5"/>
    <w:rsid w:val="00703C0D"/>
    <w:rsid w:val="00703E31"/>
    <w:rsid w:val="00704676"/>
    <w:rsid w:val="007047E3"/>
    <w:rsid w:val="00704935"/>
    <w:rsid w:val="007049C3"/>
    <w:rsid w:val="00704CB9"/>
    <w:rsid w:val="00704CBD"/>
    <w:rsid w:val="00705194"/>
    <w:rsid w:val="00705322"/>
    <w:rsid w:val="00705485"/>
    <w:rsid w:val="0070570A"/>
    <w:rsid w:val="00705885"/>
    <w:rsid w:val="00706065"/>
    <w:rsid w:val="0070635D"/>
    <w:rsid w:val="00706390"/>
    <w:rsid w:val="00706544"/>
    <w:rsid w:val="007067A8"/>
    <w:rsid w:val="00706A36"/>
    <w:rsid w:val="00706E1D"/>
    <w:rsid w:val="00706E83"/>
    <w:rsid w:val="007070DF"/>
    <w:rsid w:val="00707489"/>
    <w:rsid w:val="007075CD"/>
    <w:rsid w:val="00707882"/>
    <w:rsid w:val="007078B4"/>
    <w:rsid w:val="007079E1"/>
    <w:rsid w:val="00707AAA"/>
    <w:rsid w:val="00707B1D"/>
    <w:rsid w:val="00707B2B"/>
    <w:rsid w:val="00707CC9"/>
    <w:rsid w:val="00707E7F"/>
    <w:rsid w:val="007102C3"/>
    <w:rsid w:val="007105D2"/>
    <w:rsid w:val="0071073E"/>
    <w:rsid w:val="00710855"/>
    <w:rsid w:val="00710CE2"/>
    <w:rsid w:val="00710FE8"/>
    <w:rsid w:val="007112C8"/>
    <w:rsid w:val="007113AF"/>
    <w:rsid w:val="00711462"/>
    <w:rsid w:val="00711875"/>
    <w:rsid w:val="00711AE5"/>
    <w:rsid w:val="00711CB6"/>
    <w:rsid w:val="00711D8D"/>
    <w:rsid w:val="00712148"/>
    <w:rsid w:val="00712C3D"/>
    <w:rsid w:val="00712D0F"/>
    <w:rsid w:val="00712DF9"/>
    <w:rsid w:val="00712FE6"/>
    <w:rsid w:val="00713110"/>
    <w:rsid w:val="00713176"/>
    <w:rsid w:val="007134AA"/>
    <w:rsid w:val="007134D5"/>
    <w:rsid w:val="007139D2"/>
    <w:rsid w:val="00713D54"/>
    <w:rsid w:val="00713EEF"/>
    <w:rsid w:val="0071402C"/>
    <w:rsid w:val="00714433"/>
    <w:rsid w:val="00714765"/>
    <w:rsid w:val="00714ABE"/>
    <w:rsid w:val="00714FEA"/>
    <w:rsid w:val="0071563F"/>
    <w:rsid w:val="00715B06"/>
    <w:rsid w:val="00715CED"/>
    <w:rsid w:val="00715DED"/>
    <w:rsid w:val="007165E0"/>
    <w:rsid w:val="00716789"/>
    <w:rsid w:val="0071687A"/>
    <w:rsid w:val="00716ADF"/>
    <w:rsid w:val="00716CE4"/>
    <w:rsid w:val="00716D12"/>
    <w:rsid w:val="00716E53"/>
    <w:rsid w:val="00717535"/>
    <w:rsid w:val="00717C7F"/>
    <w:rsid w:val="00720335"/>
    <w:rsid w:val="00720DE0"/>
    <w:rsid w:val="00720F78"/>
    <w:rsid w:val="00721627"/>
    <w:rsid w:val="00721BEA"/>
    <w:rsid w:val="00721C7C"/>
    <w:rsid w:val="007224D5"/>
    <w:rsid w:val="00722509"/>
    <w:rsid w:val="00722834"/>
    <w:rsid w:val="00722986"/>
    <w:rsid w:val="00722E20"/>
    <w:rsid w:val="00722E77"/>
    <w:rsid w:val="007232BF"/>
    <w:rsid w:val="007233ED"/>
    <w:rsid w:val="007234EF"/>
    <w:rsid w:val="007236C8"/>
    <w:rsid w:val="00723718"/>
    <w:rsid w:val="00723918"/>
    <w:rsid w:val="00723961"/>
    <w:rsid w:val="00723E17"/>
    <w:rsid w:val="0072437F"/>
    <w:rsid w:val="007243AF"/>
    <w:rsid w:val="00724530"/>
    <w:rsid w:val="007245EF"/>
    <w:rsid w:val="007247D2"/>
    <w:rsid w:val="00724D7E"/>
    <w:rsid w:val="00724F70"/>
    <w:rsid w:val="007251C7"/>
    <w:rsid w:val="007258F9"/>
    <w:rsid w:val="00725E74"/>
    <w:rsid w:val="00725F82"/>
    <w:rsid w:val="0072627D"/>
    <w:rsid w:val="007263BC"/>
    <w:rsid w:val="00726714"/>
    <w:rsid w:val="00726A8B"/>
    <w:rsid w:val="00726F5B"/>
    <w:rsid w:val="0073034F"/>
    <w:rsid w:val="0073050E"/>
    <w:rsid w:val="00730824"/>
    <w:rsid w:val="007309FE"/>
    <w:rsid w:val="00731040"/>
    <w:rsid w:val="007311F7"/>
    <w:rsid w:val="00731273"/>
    <w:rsid w:val="0073150E"/>
    <w:rsid w:val="007315C2"/>
    <w:rsid w:val="007315FD"/>
    <w:rsid w:val="007316EF"/>
    <w:rsid w:val="00731A34"/>
    <w:rsid w:val="00731CFE"/>
    <w:rsid w:val="00731E22"/>
    <w:rsid w:val="00731EE5"/>
    <w:rsid w:val="00732307"/>
    <w:rsid w:val="00732999"/>
    <w:rsid w:val="00732E97"/>
    <w:rsid w:val="007331D4"/>
    <w:rsid w:val="00733446"/>
    <w:rsid w:val="0073358D"/>
    <w:rsid w:val="0073369D"/>
    <w:rsid w:val="007343B2"/>
    <w:rsid w:val="0073441B"/>
    <w:rsid w:val="007346A0"/>
    <w:rsid w:val="007348EF"/>
    <w:rsid w:val="007349DB"/>
    <w:rsid w:val="00734F39"/>
    <w:rsid w:val="007350D1"/>
    <w:rsid w:val="00735462"/>
    <w:rsid w:val="007356E3"/>
    <w:rsid w:val="007358D2"/>
    <w:rsid w:val="00735CCB"/>
    <w:rsid w:val="00736794"/>
    <w:rsid w:val="007368F9"/>
    <w:rsid w:val="00736BF9"/>
    <w:rsid w:val="00736E5B"/>
    <w:rsid w:val="00736F63"/>
    <w:rsid w:val="007370A6"/>
    <w:rsid w:val="007371A5"/>
    <w:rsid w:val="0073728C"/>
    <w:rsid w:val="007372F4"/>
    <w:rsid w:val="00737562"/>
    <w:rsid w:val="00737A30"/>
    <w:rsid w:val="00737C75"/>
    <w:rsid w:val="00737E1B"/>
    <w:rsid w:val="0074018D"/>
    <w:rsid w:val="00740AA1"/>
    <w:rsid w:val="00740C77"/>
    <w:rsid w:val="00740E65"/>
    <w:rsid w:val="00741414"/>
    <w:rsid w:val="00741BCC"/>
    <w:rsid w:val="00742529"/>
    <w:rsid w:val="0074295A"/>
    <w:rsid w:val="00742B99"/>
    <w:rsid w:val="00742C38"/>
    <w:rsid w:val="00742D56"/>
    <w:rsid w:val="00742DA3"/>
    <w:rsid w:val="00742EE0"/>
    <w:rsid w:val="0074315D"/>
    <w:rsid w:val="007434B5"/>
    <w:rsid w:val="00743A39"/>
    <w:rsid w:val="007446D1"/>
    <w:rsid w:val="00744880"/>
    <w:rsid w:val="007448E2"/>
    <w:rsid w:val="00744F0A"/>
    <w:rsid w:val="0074504B"/>
    <w:rsid w:val="007451C7"/>
    <w:rsid w:val="0074537E"/>
    <w:rsid w:val="0074547C"/>
    <w:rsid w:val="00745967"/>
    <w:rsid w:val="00745F06"/>
    <w:rsid w:val="00746346"/>
    <w:rsid w:val="0074651B"/>
    <w:rsid w:val="007465C3"/>
    <w:rsid w:val="00746716"/>
    <w:rsid w:val="00746CD7"/>
    <w:rsid w:val="007470DF"/>
    <w:rsid w:val="00747700"/>
    <w:rsid w:val="0074771B"/>
    <w:rsid w:val="007478AF"/>
    <w:rsid w:val="007478CC"/>
    <w:rsid w:val="00747C06"/>
    <w:rsid w:val="00750605"/>
    <w:rsid w:val="00750744"/>
    <w:rsid w:val="0075092D"/>
    <w:rsid w:val="00750D54"/>
    <w:rsid w:val="00750DD0"/>
    <w:rsid w:val="007510E4"/>
    <w:rsid w:val="0075126E"/>
    <w:rsid w:val="00751707"/>
    <w:rsid w:val="00751752"/>
    <w:rsid w:val="007517EE"/>
    <w:rsid w:val="0075196F"/>
    <w:rsid w:val="0075201C"/>
    <w:rsid w:val="007520EF"/>
    <w:rsid w:val="007522C7"/>
    <w:rsid w:val="007522D4"/>
    <w:rsid w:val="00752D88"/>
    <w:rsid w:val="00753027"/>
    <w:rsid w:val="007531D9"/>
    <w:rsid w:val="00754993"/>
    <w:rsid w:val="00754D82"/>
    <w:rsid w:val="00754DE8"/>
    <w:rsid w:val="007552D5"/>
    <w:rsid w:val="00755432"/>
    <w:rsid w:val="007556FD"/>
    <w:rsid w:val="00755C06"/>
    <w:rsid w:val="00755DB0"/>
    <w:rsid w:val="00756547"/>
    <w:rsid w:val="007566D6"/>
    <w:rsid w:val="00756B09"/>
    <w:rsid w:val="00756F1A"/>
    <w:rsid w:val="00757048"/>
    <w:rsid w:val="007571EA"/>
    <w:rsid w:val="007571FF"/>
    <w:rsid w:val="00757678"/>
    <w:rsid w:val="0075772A"/>
    <w:rsid w:val="007600F8"/>
    <w:rsid w:val="0076010A"/>
    <w:rsid w:val="0076020B"/>
    <w:rsid w:val="00760634"/>
    <w:rsid w:val="00760B48"/>
    <w:rsid w:val="00760C7B"/>
    <w:rsid w:val="00760D92"/>
    <w:rsid w:val="00760F46"/>
    <w:rsid w:val="0076113B"/>
    <w:rsid w:val="007611B5"/>
    <w:rsid w:val="007613B7"/>
    <w:rsid w:val="00761613"/>
    <w:rsid w:val="00761810"/>
    <w:rsid w:val="007619D0"/>
    <w:rsid w:val="00761CD9"/>
    <w:rsid w:val="00761DD8"/>
    <w:rsid w:val="00761EDE"/>
    <w:rsid w:val="00762164"/>
    <w:rsid w:val="0076233F"/>
    <w:rsid w:val="0076237A"/>
    <w:rsid w:val="00762442"/>
    <w:rsid w:val="0076249D"/>
    <w:rsid w:val="00762BE7"/>
    <w:rsid w:val="00762D9F"/>
    <w:rsid w:val="00762FE0"/>
    <w:rsid w:val="007631AF"/>
    <w:rsid w:val="0076339A"/>
    <w:rsid w:val="00763873"/>
    <w:rsid w:val="007638B7"/>
    <w:rsid w:val="0076399F"/>
    <w:rsid w:val="00763EA4"/>
    <w:rsid w:val="0076405B"/>
    <w:rsid w:val="007641EE"/>
    <w:rsid w:val="00764391"/>
    <w:rsid w:val="00764AA1"/>
    <w:rsid w:val="00764E25"/>
    <w:rsid w:val="00764F23"/>
    <w:rsid w:val="007650DC"/>
    <w:rsid w:val="0076512F"/>
    <w:rsid w:val="0076545E"/>
    <w:rsid w:val="0076565B"/>
    <w:rsid w:val="00765BCF"/>
    <w:rsid w:val="0076609F"/>
    <w:rsid w:val="0076664B"/>
    <w:rsid w:val="00766AF8"/>
    <w:rsid w:val="00766E3E"/>
    <w:rsid w:val="00766FA4"/>
    <w:rsid w:val="00767202"/>
    <w:rsid w:val="00767B5F"/>
    <w:rsid w:val="00767D50"/>
    <w:rsid w:val="00770493"/>
    <w:rsid w:val="00770709"/>
    <w:rsid w:val="00770A1C"/>
    <w:rsid w:val="00771231"/>
    <w:rsid w:val="00771A7F"/>
    <w:rsid w:val="00771B1C"/>
    <w:rsid w:val="00771B52"/>
    <w:rsid w:val="00771C84"/>
    <w:rsid w:val="00771FFD"/>
    <w:rsid w:val="00772071"/>
    <w:rsid w:val="00772522"/>
    <w:rsid w:val="00772561"/>
    <w:rsid w:val="00772E18"/>
    <w:rsid w:val="00773314"/>
    <w:rsid w:val="00773CAD"/>
    <w:rsid w:val="00773DD3"/>
    <w:rsid w:val="007742B8"/>
    <w:rsid w:val="007746F3"/>
    <w:rsid w:val="00774DF7"/>
    <w:rsid w:val="00775433"/>
    <w:rsid w:val="0077553B"/>
    <w:rsid w:val="00775F17"/>
    <w:rsid w:val="007765CE"/>
    <w:rsid w:val="00776C8D"/>
    <w:rsid w:val="00777086"/>
    <w:rsid w:val="00777463"/>
    <w:rsid w:val="007775B3"/>
    <w:rsid w:val="007775D7"/>
    <w:rsid w:val="00777A63"/>
    <w:rsid w:val="00777D4F"/>
    <w:rsid w:val="007801AC"/>
    <w:rsid w:val="00780296"/>
    <w:rsid w:val="00780314"/>
    <w:rsid w:val="0078044D"/>
    <w:rsid w:val="007806A7"/>
    <w:rsid w:val="00780BA7"/>
    <w:rsid w:val="00780CA2"/>
    <w:rsid w:val="00781240"/>
    <w:rsid w:val="0078144F"/>
    <w:rsid w:val="0078170C"/>
    <w:rsid w:val="0078173E"/>
    <w:rsid w:val="0078173F"/>
    <w:rsid w:val="00781AC4"/>
    <w:rsid w:val="00781BE3"/>
    <w:rsid w:val="00781CFE"/>
    <w:rsid w:val="007821BD"/>
    <w:rsid w:val="007823F9"/>
    <w:rsid w:val="007824AA"/>
    <w:rsid w:val="007824C2"/>
    <w:rsid w:val="007825C1"/>
    <w:rsid w:val="007826EF"/>
    <w:rsid w:val="007827A0"/>
    <w:rsid w:val="00782875"/>
    <w:rsid w:val="00782A52"/>
    <w:rsid w:val="00782B0E"/>
    <w:rsid w:val="00783331"/>
    <w:rsid w:val="00783366"/>
    <w:rsid w:val="0078366B"/>
    <w:rsid w:val="007837CC"/>
    <w:rsid w:val="00783920"/>
    <w:rsid w:val="00783B64"/>
    <w:rsid w:val="00783D4D"/>
    <w:rsid w:val="0078468E"/>
    <w:rsid w:val="00784BB6"/>
    <w:rsid w:val="0078553D"/>
    <w:rsid w:val="00785543"/>
    <w:rsid w:val="007855CC"/>
    <w:rsid w:val="00785C47"/>
    <w:rsid w:val="00785CF7"/>
    <w:rsid w:val="007865A7"/>
    <w:rsid w:val="007865C5"/>
    <w:rsid w:val="007865E1"/>
    <w:rsid w:val="007866F5"/>
    <w:rsid w:val="0078689A"/>
    <w:rsid w:val="00786C39"/>
    <w:rsid w:val="00786CD3"/>
    <w:rsid w:val="00786E0E"/>
    <w:rsid w:val="00786E6B"/>
    <w:rsid w:val="0078725E"/>
    <w:rsid w:val="00787477"/>
    <w:rsid w:val="0078786C"/>
    <w:rsid w:val="00787950"/>
    <w:rsid w:val="00787978"/>
    <w:rsid w:val="00790436"/>
    <w:rsid w:val="00790754"/>
    <w:rsid w:val="00790CD1"/>
    <w:rsid w:val="00790E3B"/>
    <w:rsid w:val="00791223"/>
    <w:rsid w:val="00791294"/>
    <w:rsid w:val="007913B5"/>
    <w:rsid w:val="00791504"/>
    <w:rsid w:val="007915E7"/>
    <w:rsid w:val="007916EF"/>
    <w:rsid w:val="007916FD"/>
    <w:rsid w:val="00791923"/>
    <w:rsid w:val="00791C30"/>
    <w:rsid w:val="00791EA7"/>
    <w:rsid w:val="007928D6"/>
    <w:rsid w:val="00792E37"/>
    <w:rsid w:val="00793099"/>
    <w:rsid w:val="007932A5"/>
    <w:rsid w:val="00793877"/>
    <w:rsid w:val="00793D17"/>
    <w:rsid w:val="00793EB3"/>
    <w:rsid w:val="0079438F"/>
    <w:rsid w:val="00794A31"/>
    <w:rsid w:val="00794B7C"/>
    <w:rsid w:val="00794CDA"/>
    <w:rsid w:val="00794D8B"/>
    <w:rsid w:val="007951C7"/>
    <w:rsid w:val="007952A2"/>
    <w:rsid w:val="007954DA"/>
    <w:rsid w:val="00795726"/>
    <w:rsid w:val="00795DD7"/>
    <w:rsid w:val="00796150"/>
    <w:rsid w:val="00796678"/>
    <w:rsid w:val="0079690E"/>
    <w:rsid w:val="00796A2B"/>
    <w:rsid w:val="00796E22"/>
    <w:rsid w:val="00796E7F"/>
    <w:rsid w:val="00796F56"/>
    <w:rsid w:val="00797567"/>
    <w:rsid w:val="00797972"/>
    <w:rsid w:val="007979D6"/>
    <w:rsid w:val="00797C30"/>
    <w:rsid w:val="007A00ED"/>
    <w:rsid w:val="007A0179"/>
    <w:rsid w:val="007A05CB"/>
    <w:rsid w:val="007A06FB"/>
    <w:rsid w:val="007A0942"/>
    <w:rsid w:val="007A0999"/>
    <w:rsid w:val="007A0CBD"/>
    <w:rsid w:val="007A0CED"/>
    <w:rsid w:val="007A0E94"/>
    <w:rsid w:val="007A1246"/>
    <w:rsid w:val="007A181C"/>
    <w:rsid w:val="007A1ADA"/>
    <w:rsid w:val="007A1D64"/>
    <w:rsid w:val="007A1F9C"/>
    <w:rsid w:val="007A205C"/>
    <w:rsid w:val="007A2206"/>
    <w:rsid w:val="007A2384"/>
    <w:rsid w:val="007A2767"/>
    <w:rsid w:val="007A2876"/>
    <w:rsid w:val="007A2AA3"/>
    <w:rsid w:val="007A2CF4"/>
    <w:rsid w:val="007A3104"/>
    <w:rsid w:val="007A31C0"/>
    <w:rsid w:val="007A31F5"/>
    <w:rsid w:val="007A3796"/>
    <w:rsid w:val="007A379C"/>
    <w:rsid w:val="007A37FD"/>
    <w:rsid w:val="007A3D3B"/>
    <w:rsid w:val="007A4A95"/>
    <w:rsid w:val="007A4FD8"/>
    <w:rsid w:val="007A5281"/>
    <w:rsid w:val="007A55DB"/>
    <w:rsid w:val="007A5ADD"/>
    <w:rsid w:val="007A5D16"/>
    <w:rsid w:val="007A5FB1"/>
    <w:rsid w:val="007A62C1"/>
    <w:rsid w:val="007A6EEA"/>
    <w:rsid w:val="007A7172"/>
    <w:rsid w:val="007A71DC"/>
    <w:rsid w:val="007A738A"/>
    <w:rsid w:val="007A7626"/>
    <w:rsid w:val="007A7698"/>
    <w:rsid w:val="007A77DA"/>
    <w:rsid w:val="007A7CC0"/>
    <w:rsid w:val="007B064D"/>
    <w:rsid w:val="007B07D4"/>
    <w:rsid w:val="007B0934"/>
    <w:rsid w:val="007B0A8F"/>
    <w:rsid w:val="007B1355"/>
    <w:rsid w:val="007B136F"/>
    <w:rsid w:val="007B137E"/>
    <w:rsid w:val="007B1592"/>
    <w:rsid w:val="007B1813"/>
    <w:rsid w:val="007B1837"/>
    <w:rsid w:val="007B1D51"/>
    <w:rsid w:val="007B1F60"/>
    <w:rsid w:val="007B23C8"/>
    <w:rsid w:val="007B26CA"/>
    <w:rsid w:val="007B26FA"/>
    <w:rsid w:val="007B27AB"/>
    <w:rsid w:val="007B2BA9"/>
    <w:rsid w:val="007B2D58"/>
    <w:rsid w:val="007B30F3"/>
    <w:rsid w:val="007B33E6"/>
    <w:rsid w:val="007B3653"/>
    <w:rsid w:val="007B37B2"/>
    <w:rsid w:val="007B4161"/>
    <w:rsid w:val="007B4430"/>
    <w:rsid w:val="007B4507"/>
    <w:rsid w:val="007B471F"/>
    <w:rsid w:val="007B49F3"/>
    <w:rsid w:val="007B51CC"/>
    <w:rsid w:val="007B6470"/>
    <w:rsid w:val="007B666C"/>
    <w:rsid w:val="007B694A"/>
    <w:rsid w:val="007B6A7C"/>
    <w:rsid w:val="007B6A99"/>
    <w:rsid w:val="007B6CF6"/>
    <w:rsid w:val="007B7194"/>
    <w:rsid w:val="007B755C"/>
    <w:rsid w:val="007B75BF"/>
    <w:rsid w:val="007B7860"/>
    <w:rsid w:val="007B7940"/>
    <w:rsid w:val="007B7988"/>
    <w:rsid w:val="007B7C64"/>
    <w:rsid w:val="007B7D7F"/>
    <w:rsid w:val="007B7E57"/>
    <w:rsid w:val="007C0026"/>
    <w:rsid w:val="007C02BF"/>
    <w:rsid w:val="007C0366"/>
    <w:rsid w:val="007C0597"/>
    <w:rsid w:val="007C0730"/>
    <w:rsid w:val="007C096A"/>
    <w:rsid w:val="007C1038"/>
    <w:rsid w:val="007C1068"/>
    <w:rsid w:val="007C1905"/>
    <w:rsid w:val="007C1B9A"/>
    <w:rsid w:val="007C1C53"/>
    <w:rsid w:val="007C1E2B"/>
    <w:rsid w:val="007C23DA"/>
    <w:rsid w:val="007C2547"/>
    <w:rsid w:val="007C29C9"/>
    <w:rsid w:val="007C335F"/>
    <w:rsid w:val="007C3D9B"/>
    <w:rsid w:val="007C4751"/>
    <w:rsid w:val="007C4CD1"/>
    <w:rsid w:val="007C4FE8"/>
    <w:rsid w:val="007C51A5"/>
    <w:rsid w:val="007C5861"/>
    <w:rsid w:val="007C58A8"/>
    <w:rsid w:val="007C5CAB"/>
    <w:rsid w:val="007C5E69"/>
    <w:rsid w:val="007C6180"/>
    <w:rsid w:val="007C62BF"/>
    <w:rsid w:val="007C62DB"/>
    <w:rsid w:val="007C684B"/>
    <w:rsid w:val="007C751A"/>
    <w:rsid w:val="007C75ED"/>
    <w:rsid w:val="007C7E63"/>
    <w:rsid w:val="007D018F"/>
    <w:rsid w:val="007D01EE"/>
    <w:rsid w:val="007D0479"/>
    <w:rsid w:val="007D0C2E"/>
    <w:rsid w:val="007D0C5C"/>
    <w:rsid w:val="007D0D63"/>
    <w:rsid w:val="007D1164"/>
    <w:rsid w:val="007D13D5"/>
    <w:rsid w:val="007D174D"/>
    <w:rsid w:val="007D1A26"/>
    <w:rsid w:val="007D1B4F"/>
    <w:rsid w:val="007D1CF3"/>
    <w:rsid w:val="007D1E1D"/>
    <w:rsid w:val="007D210C"/>
    <w:rsid w:val="007D21FE"/>
    <w:rsid w:val="007D26A3"/>
    <w:rsid w:val="007D282C"/>
    <w:rsid w:val="007D2B58"/>
    <w:rsid w:val="007D2FC1"/>
    <w:rsid w:val="007D302F"/>
    <w:rsid w:val="007D330D"/>
    <w:rsid w:val="007D343B"/>
    <w:rsid w:val="007D34E9"/>
    <w:rsid w:val="007D358F"/>
    <w:rsid w:val="007D3D4C"/>
    <w:rsid w:val="007D3DFD"/>
    <w:rsid w:val="007D3E09"/>
    <w:rsid w:val="007D4338"/>
    <w:rsid w:val="007D451F"/>
    <w:rsid w:val="007D45D6"/>
    <w:rsid w:val="007D5291"/>
    <w:rsid w:val="007D53D5"/>
    <w:rsid w:val="007D56E5"/>
    <w:rsid w:val="007D575E"/>
    <w:rsid w:val="007D58AA"/>
    <w:rsid w:val="007D59B1"/>
    <w:rsid w:val="007D59D7"/>
    <w:rsid w:val="007D5B21"/>
    <w:rsid w:val="007D5C4E"/>
    <w:rsid w:val="007D5F07"/>
    <w:rsid w:val="007D67C3"/>
    <w:rsid w:val="007D68F6"/>
    <w:rsid w:val="007D6C37"/>
    <w:rsid w:val="007D70A1"/>
    <w:rsid w:val="007D7590"/>
    <w:rsid w:val="007D7ACA"/>
    <w:rsid w:val="007E0048"/>
    <w:rsid w:val="007E05D3"/>
    <w:rsid w:val="007E07EC"/>
    <w:rsid w:val="007E0E89"/>
    <w:rsid w:val="007E12F7"/>
    <w:rsid w:val="007E13E8"/>
    <w:rsid w:val="007E1A7F"/>
    <w:rsid w:val="007E1B21"/>
    <w:rsid w:val="007E1C09"/>
    <w:rsid w:val="007E2214"/>
    <w:rsid w:val="007E2AB7"/>
    <w:rsid w:val="007E2DFF"/>
    <w:rsid w:val="007E346C"/>
    <w:rsid w:val="007E34A0"/>
    <w:rsid w:val="007E3776"/>
    <w:rsid w:val="007E3896"/>
    <w:rsid w:val="007E395A"/>
    <w:rsid w:val="007E397A"/>
    <w:rsid w:val="007E3B5F"/>
    <w:rsid w:val="007E3CCB"/>
    <w:rsid w:val="007E3D1B"/>
    <w:rsid w:val="007E3FED"/>
    <w:rsid w:val="007E4402"/>
    <w:rsid w:val="007E45E1"/>
    <w:rsid w:val="007E4D23"/>
    <w:rsid w:val="007E5235"/>
    <w:rsid w:val="007E5326"/>
    <w:rsid w:val="007E53F4"/>
    <w:rsid w:val="007E55F6"/>
    <w:rsid w:val="007E57BC"/>
    <w:rsid w:val="007E5AA7"/>
    <w:rsid w:val="007E5CEA"/>
    <w:rsid w:val="007E5DFD"/>
    <w:rsid w:val="007E5E8D"/>
    <w:rsid w:val="007E63E4"/>
    <w:rsid w:val="007E6AEC"/>
    <w:rsid w:val="007E6C91"/>
    <w:rsid w:val="007E7329"/>
    <w:rsid w:val="007E751D"/>
    <w:rsid w:val="007E771A"/>
    <w:rsid w:val="007E7ABA"/>
    <w:rsid w:val="007E7EB1"/>
    <w:rsid w:val="007E7FBB"/>
    <w:rsid w:val="007F0071"/>
    <w:rsid w:val="007F0233"/>
    <w:rsid w:val="007F094F"/>
    <w:rsid w:val="007F09C3"/>
    <w:rsid w:val="007F0C5A"/>
    <w:rsid w:val="007F0E42"/>
    <w:rsid w:val="007F164C"/>
    <w:rsid w:val="007F1796"/>
    <w:rsid w:val="007F189B"/>
    <w:rsid w:val="007F1CD1"/>
    <w:rsid w:val="007F1E4A"/>
    <w:rsid w:val="007F24E3"/>
    <w:rsid w:val="007F28F6"/>
    <w:rsid w:val="007F2A61"/>
    <w:rsid w:val="007F2C5C"/>
    <w:rsid w:val="007F2CAD"/>
    <w:rsid w:val="007F33F3"/>
    <w:rsid w:val="007F34E6"/>
    <w:rsid w:val="007F3764"/>
    <w:rsid w:val="007F3BE7"/>
    <w:rsid w:val="007F3C35"/>
    <w:rsid w:val="007F3F5A"/>
    <w:rsid w:val="007F40F2"/>
    <w:rsid w:val="007F4590"/>
    <w:rsid w:val="007F5573"/>
    <w:rsid w:val="007F5B55"/>
    <w:rsid w:val="007F5B79"/>
    <w:rsid w:val="007F5B9A"/>
    <w:rsid w:val="007F6477"/>
    <w:rsid w:val="007F69E3"/>
    <w:rsid w:val="007F6AE1"/>
    <w:rsid w:val="007F6B31"/>
    <w:rsid w:val="007F6DCE"/>
    <w:rsid w:val="007F7083"/>
    <w:rsid w:val="007F723D"/>
    <w:rsid w:val="007F7644"/>
    <w:rsid w:val="007F76F8"/>
    <w:rsid w:val="007F7870"/>
    <w:rsid w:val="007F7B95"/>
    <w:rsid w:val="007F7CFF"/>
    <w:rsid w:val="007F7F94"/>
    <w:rsid w:val="0080016B"/>
    <w:rsid w:val="00800633"/>
    <w:rsid w:val="0080079C"/>
    <w:rsid w:val="008008E9"/>
    <w:rsid w:val="008008FC"/>
    <w:rsid w:val="008012B7"/>
    <w:rsid w:val="00801495"/>
    <w:rsid w:val="008014EA"/>
    <w:rsid w:val="008017A1"/>
    <w:rsid w:val="00801C8D"/>
    <w:rsid w:val="00801D98"/>
    <w:rsid w:val="008023CA"/>
    <w:rsid w:val="00802752"/>
    <w:rsid w:val="00802C86"/>
    <w:rsid w:val="00802D1B"/>
    <w:rsid w:val="00802E93"/>
    <w:rsid w:val="008030E7"/>
    <w:rsid w:val="0080328F"/>
    <w:rsid w:val="00803D71"/>
    <w:rsid w:val="00803DC4"/>
    <w:rsid w:val="00803E68"/>
    <w:rsid w:val="00803E8C"/>
    <w:rsid w:val="00804CAB"/>
    <w:rsid w:val="00804D87"/>
    <w:rsid w:val="008052DD"/>
    <w:rsid w:val="008053E2"/>
    <w:rsid w:val="008058A6"/>
    <w:rsid w:val="00805B7B"/>
    <w:rsid w:val="00806190"/>
    <w:rsid w:val="00806291"/>
    <w:rsid w:val="008062CA"/>
    <w:rsid w:val="008065C9"/>
    <w:rsid w:val="008065DF"/>
    <w:rsid w:val="008068C2"/>
    <w:rsid w:val="00807133"/>
    <w:rsid w:val="00807170"/>
    <w:rsid w:val="00807F2F"/>
    <w:rsid w:val="00810093"/>
    <w:rsid w:val="00810247"/>
    <w:rsid w:val="00810319"/>
    <w:rsid w:val="008103EF"/>
    <w:rsid w:val="0081054C"/>
    <w:rsid w:val="00810933"/>
    <w:rsid w:val="00810B84"/>
    <w:rsid w:val="00810C38"/>
    <w:rsid w:val="00810DD7"/>
    <w:rsid w:val="00811070"/>
    <w:rsid w:val="00811265"/>
    <w:rsid w:val="0081163A"/>
    <w:rsid w:val="00811935"/>
    <w:rsid w:val="00811BAF"/>
    <w:rsid w:val="0081202E"/>
    <w:rsid w:val="0081217E"/>
    <w:rsid w:val="008121FF"/>
    <w:rsid w:val="008126AB"/>
    <w:rsid w:val="00812766"/>
    <w:rsid w:val="00812D05"/>
    <w:rsid w:val="00813496"/>
    <w:rsid w:val="0081423A"/>
    <w:rsid w:val="00814313"/>
    <w:rsid w:val="008147A3"/>
    <w:rsid w:val="008147EC"/>
    <w:rsid w:val="00814C2B"/>
    <w:rsid w:val="00814D64"/>
    <w:rsid w:val="00814F63"/>
    <w:rsid w:val="00815270"/>
    <w:rsid w:val="008152AC"/>
    <w:rsid w:val="008154D4"/>
    <w:rsid w:val="008158DF"/>
    <w:rsid w:val="00815AD3"/>
    <w:rsid w:val="00815C9E"/>
    <w:rsid w:val="00816905"/>
    <w:rsid w:val="00816A8F"/>
    <w:rsid w:val="00816AB7"/>
    <w:rsid w:val="00816C39"/>
    <w:rsid w:val="00816CA6"/>
    <w:rsid w:val="00816D1E"/>
    <w:rsid w:val="00816D88"/>
    <w:rsid w:val="00816E10"/>
    <w:rsid w:val="00817414"/>
    <w:rsid w:val="00817744"/>
    <w:rsid w:val="00817867"/>
    <w:rsid w:val="00817B39"/>
    <w:rsid w:val="00817D4D"/>
    <w:rsid w:val="0082006A"/>
    <w:rsid w:val="0082014E"/>
    <w:rsid w:val="0082055E"/>
    <w:rsid w:val="008205EF"/>
    <w:rsid w:val="00820973"/>
    <w:rsid w:val="00820BAB"/>
    <w:rsid w:val="00820FFE"/>
    <w:rsid w:val="00821310"/>
    <w:rsid w:val="0082171F"/>
    <w:rsid w:val="00821972"/>
    <w:rsid w:val="008219C7"/>
    <w:rsid w:val="00821DC8"/>
    <w:rsid w:val="00821F62"/>
    <w:rsid w:val="00822071"/>
    <w:rsid w:val="008221F9"/>
    <w:rsid w:val="00822599"/>
    <w:rsid w:val="008226DD"/>
    <w:rsid w:val="00822833"/>
    <w:rsid w:val="00822A00"/>
    <w:rsid w:val="00822C71"/>
    <w:rsid w:val="0082339C"/>
    <w:rsid w:val="00823E9B"/>
    <w:rsid w:val="00823F27"/>
    <w:rsid w:val="008240F8"/>
    <w:rsid w:val="0082412B"/>
    <w:rsid w:val="0082424A"/>
    <w:rsid w:val="008242B6"/>
    <w:rsid w:val="008243F6"/>
    <w:rsid w:val="00824F90"/>
    <w:rsid w:val="0082568B"/>
    <w:rsid w:val="0082570B"/>
    <w:rsid w:val="008259B7"/>
    <w:rsid w:val="00825F59"/>
    <w:rsid w:val="00826056"/>
    <w:rsid w:val="00826A5F"/>
    <w:rsid w:val="00826AAA"/>
    <w:rsid w:val="00826B7A"/>
    <w:rsid w:val="00826BF3"/>
    <w:rsid w:val="00826C2D"/>
    <w:rsid w:val="00826F0F"/>
    <w:rsid w:val="00826F9A"/>
    <w:rsid w:val="00827005"/>
    <w:rsid w:val="00827D79"/>
    <w:rsid w:val="0083034E"/>
    <w:rsid w:val="00830526"/>
    <w:rsid w:val="008305F8"/>
    <w:rsid w:val="00830979"/>
    <w:rsid w:val="00830B95"/>
    <w:rsid w:val="00830CC9"/>
    <w:rsid w:val="00830D58"/>
    <w:rsid w:val="0083121B"/>
    <w:rsid w:val="0083155A"/>
    <w:rsid w:val="00831BD1"/>
    <w:rsid w:val="00831C72"/>
    <w:rsid w:val="00831CA5"/>
    <w:rsid w:val="00831CEC"/>
    <w:rsid w:val="00832366"/>
    <w:rsid w:val="008323FF"/>
    <w:rsid w:val="0083267F"/>
    <w:rsid w:val="00833962"/>
    <w:rsid w:val="008342F2"/>
    <w:rsid w:val="00834467"/>
    <w:rsid w:val="00834920"/>
    <w:rsid w:val="008349CC"/>
    <w:rsid w:val="00834D42"/>
    <w:rsid w:val="00834DFE"/>
    <w:rsid w:val="00834E24"/>
    <w:rsid w:val="0083511B"/>
    <w:rsid w:val="00836262"/>
    <w:rsid w:val="008364A3"/>
    <w:rsid w:val="0083676C"/>
    <w:rsid w:val="00836812"/>
    <w:rsid w:val="00836877"/>
    <w:rsid w:val="008368BB"/>
    <w:rsid w:val="00836B42"/>
    <w:rsid w:val="00837477"/>
    <w:rsid w:val="00837B10"/>
    <w:rsid w:val="00837CD0"/>
    <w:rsid w:val="0084004E"/>
    <w:rsid w:val="0084034D"/>
    <w:rsid w:val="00840674"/>
    <w:rsid w:val="008409FF"/>
    <w:rsid w:val="00840CAA"/>
    <w:rsid w:val="00840F84"/>
    <w:rsid w:val="00841349"/>
    <w:rsid w:val="008413E7"/>
    <w:rsid w:val="008415C9"/>
    <w:rsid w:val="008417A5"/>
    <w:rsid w:val="008418CD"/>
    <w:rsid w:val="00842390"/>
    <w:rsid w:val="00842413"/>
    <w:rsid w:val="0084295A"/>
    <w:rsid w:val="00842E88"/>
    <w:rsid w:val="00842F58"/>
    <w:rsid w:val="008438C8"/>
    <w:rsid w:val="00843B86"/>
    <w:rsid w:val="00843BEA"/>
    <w:rsid w:val="00844390"/>
    <w:rsid w:val="00844498"/>
    <w:rsid w:val="00844938"/>
    <w:rsid w:val="00844A96"/>
    <w:rsid w:val="00844AA4"/>
    <w:rsid w:val="00844DE4"/>
    <w:rsid w:val="00844F26"/>
    <w:rsid w:val="008459B4"/>
    <w:rsid w:val="008459DC"/>
    <w:rsid w:val="00845A4B"/>
    <w:rsid w:val="00845FE8"/>
    <w:rsid w:val="008461E0"/>
    <w:rsid w:val="00846346"/>
    <w:rsid w:val="008463DD"/>
    <w:rsid w:val="008464B2"/>
    <w:rsid w:val="008464CA"/>
    <w:rsid w:val="0084682F"/>
    <w:rsid w:val="00847A01"/>
    <w:rsid w:val="00847CA5"/>
    <w:rsid w:val="00847D1F"/>
    <w:rsid w:val="00847E69"/>
    <w:rsid w:val="00850148"/>
    <w:rsid w:val="008501F3"/>
    <w:rsid w:val="008502F6"/>
    <w:rsid w:val="00850458"/>
    <w:rsid w:val="00850839"/>
    <w:rsid w:val="0085090D"/>
    <w:rsid w:val="00850A76"/>
    <w:rsid w:val="00850BE4"/>
    <w:rsid w:val="00850C40"/>
    <w:rsid w:val="00850DC3"/>
    <w:rsid w:val="0085133B"/>
    <w:rsid w:val="008513DD"/>
    <w:rsid w:val="00851415"/>
    <w:rsid w:val="008516B7"/>
    <w:rsid w:val="00851891"/>
    <w:rsid w:val="0085190E"/>
    <w:rsid w:val="0085198C"/>
    <w:rsid w:val="008519B8"/>
    <w:rsid w:val="00851B2E"/>
    <w:rsid w:val="00851FA6"/>
    <w:rsid w:val="008520AC"/>
    <w:rsid w:val="00852214"/>
    <w:rsid w:val="00852344"/>
    <w:rsid w:val="0085281F"/>
    <w:rsid w:val="00852944"/>
    <w:rsid w:val="00852A31"/>
    <w:rsid w:val="00852B35"/>
    <w:rsid w:val="00852DD4"/>
    <w:rsid w:val="00853018"/>
    <w:rsid w:val="00853373"/>
    <w:rsid w:val="00853414"/>
    <w:rsid w:val="00853B35"/>
    <w:rsid w:val="00853C96"/>
    <w:rsid w:val="00853D65"/>
    <w:rsid w:val="00854584"/>
    <w:rsid w:val="008547B0"/>
    <w:rsid w:val="00854B57"/>
    <w:rsid w:val="00854BB8"/>
    <w:rsid w:val="00854DB2"/>
    <w:rsid w:val="00854E00"/>
    <w:rsid w:val="00855033"/>
    <w:rsid w:val="00855497"/>
    <w:rsid w:val="00855571"/>
    <w:rsid w:val="008557DA"/>
    <w:rsid w:val="00855E2E"/>
    <w:rsid w:val="00856167"/>
    <w:rsid w:val="008563A7"/>
    <w:rsid w:val="008563D4"/>
    <w:rsid w:val="0085692D"/>
    <w:rsid w:val="00856ED8"/>
    <w:rsid w:val="00857024"/>
    <w:rsid w:val="00857754"/>
    <w:rsid w:val="0085782F"/>
    <w:rsid w:val="00857995"/>
    <w:rsid w:val="0086011A"/>
    <w:rsid w:val="008607B6"/>
    <w:rsid w:val="00860A42"/>
    <w:rsid w:val="00860C5C"/>
    <w:rsid w:val="00861CAC"/>
    <w:rsid w:val="00861E55"/>
    <w:rsid w:val="0086266C"/>
    <w:rsid w:val="008629B6"/>
    <w:rsid w:val="00862F14"/>
    <w:rsid w:val="008631E7"/>
    <w:rsid w:val="00863293"/>
    <w:rsid w:val="00863499"/>
    <w:rsid w:val="008634C3"/>
    <w:rsid w:val="00863517"/>
    <w:rsid w:val="0086368E"/>
    <w:rsid w:val="008636BB"/>
    <w:rsid w:val="00863BA8"/>
    <w:rsid w:val="00863E9C"/>
    <w:rsid w:val="0086438E"/>
    <w:rsid w:val="008644AF"/>
    <w:rsid w:val="00864827"/>
    <w:rsid w:val="00864910"/>
    <w:rsid w:val="00865052"/>
    <w:rsid w:val="00865394"/>
    <w:rsid w:val="00865594"/>
    <w:rsid w:val="00865A4D"/>
    <w:rsid w:val="00865CF8"/>
    <w:rsid w:val="00865EBC"/>
    <w:rsid w:val="008665A3"/>
    <w:rsid w:val="00866BA1"/>
    <w:rsid w:val="00867360"/>
    <w:rsid w:val="00867419"/>
    <w:rsid w:val="00867467"/>
    <w:rsid w:val="0086747C"/>
    <w:rsid w:val="008675D9"/>
    <w:rsid w:val="008677C6"/>
    <w:rsid w:val="00867B5B"/>
    <w:rsid w:val="00867C72"/>
    <w:rsid w:val="00867DEE"/>
    <w:rsid w:val="0087081C"/>
    <w:rsid w:val="008709D4"/>
    <w:rsid w:val="00870D68"/>
    <w:rsid w:val="00870DEA"/>
    <w:rsid w:val="0087173D"/>
    <w:rsid w:val="00871C2E"/>
    <w:rsid w:val="008720CB"/>
    <w:rsid w:val="008723CD"/>
    <w:rsid w:val="008723F8"/>
    <w:rsid w:val="00872659"/>
    <w:rsid w:val="008726CC"/>
    <w:rsid w:val="008726FE"/>
    <w:rsid w:val="008727BC"/>
    <w:rsid w:val="008728BB"/>
    <w:rsid w:val="00872E84"/>
    <w:rsid w:val="00873478"/>
    <w:rsid w:val="008736F2"/>
    <w:rsid w:val="00873D60"/>
    <w:rsid w:val="00873EFF"/>
    <w:rsid w:val="0087431F"/>
    <w:rsid w:val="00874331"/>
    <w:rsid w:val="008744A9"/>
    <w:rsid w:val="00874BDC"/>
    <w:rsid w:val="00874C04"/>
    <w:rsid w:val="00874C7B"/>
    <w:rsid w:val="00874CB2"/>
    <w:rsid w:val="00874F6A"/>
    <w:rsid w:val="00875135"/>
    <w:rsid w:val="00875158"/>
    <w:rsid w:val="008752AD"/>
    <w:rsid w:val="008752D8"/>
    <w:rsid w:val="00875714"/>
    <w:rsid w:val="00875BC5"/>
    <w:rsid w:val="00875DBE"/>
    <w:rsid w:val="00875E74"/>
    <w:rsid w:val="00875F00"/>
    <w:rsid w:val="00876250"/>
    <w:rsid w:val="008762FE"/>
    <w:rsid w:val="008765BC"/>
    <w:rsid w:val="008771C1"/>
    <w:rsid w:val="00877261"/>
    <w:rsid w:val="008774DE"/>
    <w:rsid w:val="00877B1A"/>
    <w:rsid w:val="00877C51"/>
    <w:rsid w:val="00880262"/>
    <w:rsid w:val="008805CA"/>
    <w:rsid w:val="0088111D"/>
    <w:rsid w:val="008812C6"/>
    <w:rsid w:val="00881D47"/>
    <w:rsid w:val="00882007"/>
    <w:rsid w:val="00882260"/>
    <w:rsid w:val="008822D0"/>
    <w:rsid w:val="008822FA"/>
    <w:rsid w:val="00882905"/>
    <w:rsid w:val="008829BA"/>
    <w:rsid w:val="00882C15"/>
    <w:rsid w:val="00882CE2"/>
    <w:rsid w:val="0088307C"/>
    <w:rsid w:val="008830A2"/>
    <w:rsid w:val="008837BA"/>
    <w:rsid w:val="00883992"/>
    <w:rsid w:val="00883B6D"/>
    <w:rsid w:val="0088435E"/>
    <w:rsid w:val="008846F1"/>
    <w:rsid w:val="0088476B"/>
    <w:rsid w:val="0088482D"/>
    <w:rsid w:val="00884E33"/>
    <w:rsid w:val="00884E96"/>
    <w:rsid w:val="008851A5"/>
    <w:rsid w:val="00885284"/>
    <w:rsid w:val="0088537B"/>
    <w:rsid w:val="00885527"/>
    <w:rsid w:val="008859F7"/>
    <w:rsid w:val="00885BD8"/>
    <w:rsid w:val="00885DFE"/>
    <w:rsid w:val="00885E0A"/>
    <w:rsid w:val="00885F5E"/>
    <w:rsid w:val="00886073"/>
    <w:rsid w:val="00886081"/>
    <w:rsid w:val="008860B7"/>
    <w:rsid w:val="0088619E"/>
    <w:rsid w:val="00886A25"/>
    <w:rsid w:val="00887D2E"/>
    <w:rsid w:val="00891F05"/>
    <w:rsid w:val="00891FFD"/>
    <w:rsid w:val="00892450"/>
    <w:rsid w:val="0089253C"/>
    <w:rsid w:val="008926F9"/>
    <w:rsid w:val="00893144"/>
    <w:rsid w:val="0089335D"/>
    <w:rsid w:val="0089338C"/>
    <w:rsid w:val="00893814"/>
    <w:rsid w:val="0089438A"/>
    <w:rsid w:val="0089438F"/>
    <w:rsid w:val="00894398"/>
    <w:rsid w:val="0089453E"/>
    <w:rsid w:val="0089458C"/>
    <w:rsid w:val="008947B3"/>
    <w:rsid w:val="008947F0"/>
    <w:rsid w:val="008949EC"/>
    <w:rsid w:val="00894E81"/>
    <w:rsid w:val="008950FD"/>
    <w:rsid w:val="008956C6"/>
    <w:rsid w:val="008957F0"/>
    <w:rsid w:val="008957F8"/>
    <w:rsid w:val="00895E95"/>
    <w:rsid w:val="00895FEE"/>
    <w:rsid w:val="00896053"/>
    <w:rsid w:val="0089606E"/>
    <w:rsid w:val="0089616F"/>
    <w:rsid w:val="0089630A"/>
    <w:rsid w:val="00896424"/>
    <w:rsid w:val="008965D0"/>
    <w:rsid w:val="00896796"/>
    <w:rsid w:val="00896887"/>
    <w:rsid w:val="00896DFD"/>
    <w:rsid w:val="00896E4E"/>
    <w:rsid w:val="00896F82"/>
    <w:rsid w:val="00896FC8"/>
    <w:rsid w:val="00896FEC"/>
    <w:rsid w:val="00897252"/>
    <w:rsid w:val="00897276"/>
    <w:rsid w:val="008A0204"/>
    <w:rsid w:val="008A03E5"/>
    <w:rsid w:val="008A0AB9"/>
    <w:rsid w:val="008A0D70"/>
    <w:rsid w:val="008A11D8"/>
    <w:rsid w:val="008A11D9"/>
    <w:rsid w:val="008A1281"/>
    <w:rsid w:val="008A141D"/>
    <w:rsid w:val="008A1621"/>
    <w:rsid w:val="008A1666"/>
    <w:rsid w:val="008A17F3"/>
    <w:rsid w:val="008A1910"/>
    <w:rsid w:val="008A1B7E"/>
    <w:rsid w:val="008A1E46"/>
    <w:rsid w:val="008A2249"/>
    <w:rsid w:val="008A258A"/>
    <w:rsid w:val="008A25A5"/>
    <w:rsid w:val="008A25B9"/>
    <w:rsid w:val="008A2C3C"/>
    <w:rsid w:val="008A2FE5"/>
    <w:rsid w:val="008A324A"/>
    <w:rsid w:val="008A3444"/>
    <w:rsid w:val="008A3510"/>
    <w:rsid w:val="008A35BC"/>
    <w:rsid w:val="008A38C3"/>
    <w:rsid w:val="008A3998"/>
    <w:rsid w:val="008A3AA8"/>
    <w:rsid w:val="008A3B00"/>
    <w:rsid w:val="008A3B78"/>
    <w:rsid w:val="008A4523"/>
    <w:rsid w:val="008A49B4"/>
    <w:rsid w:val="008A4A19"/>
    <w:rsid w:val="008A4CCF"/>
    <w:rsid w:val="008A51AB"/>
    <w:rsid w:val="008A52D5"/>
    <w:rsid w:val="008A5968"/>
    <w:rsid w:val="008A5A07"/>
    <w:rsid w:val="008A5ABA"/>
    <w:rsid w:val="008A5C12"/>
    <w:rsid w:val="008A5F6F"/>
    <w:rsid w:val="008A5F89"/>
    <w:rsid w:val="008A6502"/>
    <w:rsid w:val="008A6AFA"/>
    <w:rsid w:val="008A6B74"/>
    <w:rsid w:val="008A6EB1"/>
    <w:rsid w:val="008A6EE2"/>
    <w:rsid w:val="008A7EB7"/>
    <w:rsid w:val="008B01D4"/>
    <w:rsid w:val="008B0292"/>
    <w:rsid w:val="008B03C8"/>
    <w:rsid w:val="008B0660"/>
    <w:rsid w:val="008B06E2"/>
    <w:rsid w:val="008B0FB9"/>
    <w:rsid w:val="008B1296"/>
    <w:rsid w:val="008B1311"/>
    <w:rsid w:val="008B1370"/>
    <w:rsid w:val="008B1D08"/>
    <w:rsid w:val="008B1E63"/>
    <w:rsid w:val="008B2183"/>
    <w:rsid w:val="008B2278"/>
    <w:rsid w:val="008B2298"/>
    <w:rsid w:val="008B2356"/>
    <w:rsid w:val="008B28CF"/>
    <w:rsid w:val="008B2903"/>
    <w:rsid w:val="008B2956"/>
    <w:rsid w:val="008B2A11"/>
    <w:rsid w:val="008B3374"/>
    <w:rsid w:val="008B3D2F"/>
    <w:rsid w:val="008B45BA"/>
    <w:rsid w:val="008B4AE6"/>
    <w:rsid w:val="008B514B"/>
    <w:rsid w:val="008B51C0"/>
    <w:rsid w:val="008B5382"/>
    <w:rsid w:val="008B561D"/>
    <w:rsid w:val="008B568F"/>
    <w:rsid w:val="008B574C"/>
    <w:rsid w:val="008B5CB7"/>
    <w:rsid w:val="008B5DD8"/>
    <w:rsid w:val="008B62A3"/>
    <w:rsid w:val="008B64E9"/>
    <w:rsid w:val="008B6663"/>
    <w:rsid w:val="008B6B43"/>
    <w:rsid w:val="008B6CE1"/>
    <w:rsid w:val="008B7185"/>
    <w:rsid w:val="008B71E0"/>
    <w:rsid w:val="008B7302"/>
    <w:rsid w:val="008B77CF"/>
    <w:rsid w:val="008B7A21"/>
    <w:rsid w:val="008B7D50"/>
    <w:rsid w:val="008C0182"/>
    <w:rsid w:val="008C020F"/>
    <w:rsid w:val="008C0CAE"/>
    <w:rsid w:val="008C127B"/>
    <w:rsid w:val="008C1567"/>
    <w:rsid w:val="008C15C2"/>
    <w:rsid w:val="008C1868"/>
    <w:rsid w:val="008C1BA2"/>
    <w:rsid w:val="008C258F"/>
    <w:rsid w:val="008C286E"/>
    <w:rsid w:val="008C29B2"/>
    <w:rsid w:val="008C2B30"/>
    <w:rsid w:val="008C2BEA"/>
    <w:rsid w:val="008C2DF8"/>
    <w:rsid w:val="008C2EE7"/>
    <w:rsid w:val="008C30D6"/>
    <w:rsid w:val="008C320F"/>
    <w:rsid w:val="008C32D1"/>
    <w:rsid w:val="008C3475"/>
    <w:rsid w:val="008C3652"/>
    <w:rsid w:val="008C3E19"/>
    <w:rsid w:val="008C4196"/>
    <w:rsid w:val="008C4380"/>
    <w:rsid w:val="008C48D4"/>
    <w:rsid w:val="008C4A7A"/>
    <w:rsid w:val="008C4B36"/>
    <w:rsid w:val="008C5131"/>
    <w:rsid w:val="008C554A"/>
    <w:rsid w:val="008C580D"/>
    <w:rsid w:val="008C5BC5"/>
    <w:rsid w:val="008C6067"/>
    <w:rsid w:val="008C60AC"/>
    <w:rsid w:val="008C6988"/>
    <w:rsid w:val="008C6CB4"/>
    <w:rsid w:val="008C6D14"/>
    <w:rsid w:val="008C6DDC"/>
    <w:rsid w:val="008C6EAA"/>
    <w:rsid w:val="008C6F35"/>
    <w:rsid w:val="008C7112"/>
    <w:rsid w:val="008C7126"/>
    <w:rsid w:val="008C7653"/>
    <w:rsid w:val="008C7822"/>
    <w:rsid w:val="008C7AAA"/>
    <w:rsid w:val="008C7DAA"/>
    <w:rsid w:val="008C7ECE"/>
    <w:rsid w:val="008D00AB"/>
    <w:rsid w:val="008D017A"/>
    <w:rsid w:val="008D0501"/>
    <w:rsid w:val="008D07A0"/>
    <w:rsid w:val="008D0B43"/>
    <w:rsid w:val="008D1628"/>
    <w:rsid w:val="008D1CBE"/>
    <w:rsid w:val="008D1DFE"/>
    <w:rsid w:val="008D1EDF"/>
    <w:rsid w:val="008D264B"/>
    <w:rsid w:val="008D2832"/>
    <w:rsid w:val="008D28F0"/>
    <w:rsid w:val="008D2C5B"/>
    <w:rsid w:val="008D3504"/>
    <w:rsid w:val="008D3893"/>
    <w:rsid w:val="008D413B"/>
    <w:rsid w:val="008D47A3"/>
    <w:rsid w:val="008D4B6E"/>
    <w:rsid w:val="008D4CB2"/>
    <w:rsid w:val="008D4EE3"/>
    <w:rsid w:val="008D5047"/>
    <w:rsid w:val="008D51C7"/>
    <w:rsid w:val="008D548C"/>
    <w:rsid w:val="008D579A"/>
    <w:rsid w:val="008D669E"/>
    <w:rsid w:val="008D6CAC"/>
    <w:rsid w:val="008D7103"/>
    <w:rsid w:val="008D713E"/>
    <w:rsid w:val="008D73BF"/>
    <w:rsid w:val="008D7436"/>
    <w:rsid w:val="008D75C5"/>
    <w:rsid w:val="008D76F4"/>
    <w:rsid w:val="008D7899"/>
    <w:rsid w:val="008D7C94"/>
    <w:rsid w:val="008E03A0"/>
    <w:rsid w:val="008E0925"/>
    <w:rsid w:val="008E0E12"/>
    <w:rsid w:val="008E1301"/>
    <w:rsid w:val="008E1387"/>
    <w:rsid w:val="008E1894"/>
    <w:rsid w:val="008E1A18"/>
    <w:rsid w:val="008E1B3C"/>
    <w:rsid w:val="008E1C4C"/>
    <w:rsid w:val="008E1CFF"/>
    <w:rsid w:val="008E1D3D"/>
    <w:rsid w:val="008E1FB3"/>
    <w:rsid w:val="008E1FFA"/>
    <w:rsid w:val="008E21CA"/>
    <w:rsid w:val="008E28F8"/>
    <w:rsid w:val="008E29E4"/>
    <w:rsid w:val="008E2CF9"/>
    <w:rsid w:val="008E2D4E"/>
    <w:rsid w:val="008E30EF"/>
    <w:rsid w:val="008E34F8"/>
    <w:rsid w:val="008E367C"/>
    <w:rsid w:val="008E380B"/>
    <w:rsid w:val="008E3971"/>
    <w:rsid w:val="008E3A6A"/>
    <w:rsid w:val="008E3BE8"/>
    <w:rsid w:val="008E3CE4"/>
    <w:rsid w:val="008E3F40"/>
    <w:rsid w:val="008E4928"/>
    <w:rsid w:val="008E4D8C"/>
    <w:rsid w:val="008E4F22"/>
    <w:rsid w:val="008E5012"/>
    <w:rsid w:val="008E527F"/>
    <w:rsid w:val="008E52FD"/>
    <w:rsid w:val="008E5B64"/>
    <w:rsid w:val="008E5D03"/>
    <w:rsid w:val="008E5E59"/>
    <w:rsid w:val="008E5F71"/>
    <w:rsid w:val="008E61E5"/>
    <w:rsid w:val="008E6525"/>
    <w:rsid w:val="008E6A9A"/>
    <w:rsid w:val="008E6D97"/>
    <w:rsid w:val="008E72B6"/>
    <w:rsid w:val="008E7668"/>
    <w:rsid w:val="008E7E70"/>
    <w:rsid w:val="008F000C"/>
    <w:rsid w:val="008F05E2"/>
    <w:rsid w:val="008F07F5"/>
    <w:rsid w:val="008F085C"/>
    <w:rsid w:val="008F12D8"/>
    <w:rsid w:val="008F13F1"/>
    <w:rsid w:val="008F25C2"/>
    <w:rsid w:val="008F26C8"/>
    <w:rsid w:val="008F28CF"/>
    <w:rsid w:val="008F3187"/>
    <w:rsid w:val="008F3653"/>
    <w:rsid w:val="008F3841"/>
    <w:rsid w:val="008F3999"/>
    <w:rsid w:val="008F3B69"/>
    <w:rsid w:val="008F406D"/>
    <w:rsid w:val="008F41F7"/>
    <w:rsid w:val="008F453A"/>
    <w:rsid w:val="008F486D"/>
    <w:rsid w:val="008F48FC"/>
    <w:rsid w:val="008F4F60"/>
    <w:rsid w:val="008F51EF"/>
    <w:rsid w:val="008F53E4"/>
    <w:rsid w:val="008F5901"/>
    <w:rsid w:val="008F5C8A"/>
    <w:rsid w:val="008F68B2"/>
    <w:rsid w:val="008F6B68"/>
    <w:rsid w:val="008F744C"/>
    <w:rsid w:val="008F7625"/>
    <w:rsid w:val="00900042"/>
    <w:rsid w:val="009001DF"/>
    <w:rsid w:val="0090024F"/>
    <w:rsid w:val="009002D2"/>
    <w:rsid w:val="00900FCF"/>
    <w:rsid w:val="00901902"/>
    <w:rsid w:val="009019AA"/>
    <w:rsid w:val="00901AC2"/>
    <w:rsid w:val="00901D3C"/>
    <w:rsid w:val="00901E44"/>
    <w:rsid w:val="009020B9"/>
    <w:rsid w:val="009020F5"/>
    <w:rsid w:val="009022D0"/>
    <w:rsid w:val="00902833"/>
    <w:rsid w:val="00903121"/>
    <w:rsid w:val="009032A2"/>
    <w:rsid w:val="009039FA"/>
    <w:rsid w:val="00903F54"/>
    <w:rsid w:val="00904556"/>
    <w:rsid w:val="00904564"/>
    <w:rsid w:val="00904885"/>
    <w:rsid w:val="00904A60"/>
    <w:rsid w:val="00904B9A"/>
    <w:rsid w:val="009050CE"/>
    <w:rsid w:val="00905A07"/>
    <w:rsid w:val="00905A7E"/>
    <w:rsid w:val="00905EBD"/>
    <w:rsid w:val="0090609A"/>
    <w:rsid w:val="00906113"/>
    <w:rsid w:val="00906749"/>
    <w:rsid w:val="00906C67"/>
    <w:rsid w:val="009070A6"/>
    <w:rsid w:val="009077E5"/>
    <w:rsid w:val="0090791C"/>
    <w:rsid w:val="00907AD1"/>
    <w:rsid w:val="009100CD"/>
    <w:rsid w:val="0091036A"/>
    <w:rsid w:val="00910498"/>
    <w:rsid w:val="009107B0"/>
    <w:rsid w:val="0091081B"/>
    <w:rsid w:val="00910860"/>
    <w:rsid w:val="00910C10"/>
    <w:rsid w:val="00910F0A"/>
    <w:rsid w:val="00911523"/>
    <w:rsid w:val="00911ADD"/>
    <w:rsid w:val="00911D27"/>
    <w:rsid w:val="00911E8C"/>
    <w:rsid w:val="0091218A"/>
    <w:rsid w:val="009126C8"/>
    <w:rsid w:val="00912701"/>
    <w:rsid w:val="00912B74"/>
    <w:rsid w:val="00912B86"/>
    <w:rsid w:val="00912B90"/>
    <w:rsid w:val="00912C9E"/>
    <w:rsid w:val="00913081"/>
    <w:rsid w:val="009133E4"/>
    <w:rsid w:val="00913C13"/>
    <w:rsid w:val="00913DF4"/>
    <w:rsid w:val="00914197"/>
    <w:rsid w:val="0091452D"/>
    <w:rsid w:val="00914866"/>
    <w:rsid w:val="00914B20"/>
    <w:rsid w:val="00914DC5"/>
    <w:rsid w:val="00914E29"/>
    <w:rsid w:val="00914FC1"/>
    <w:rsid w:val="00915408"/>
    <w:rsid w:val="009154B0"/>
    <w:rsid w:val="00915B30"/>
    <w:rsid w:val="00915E0E"/>
    <w:rsid w:val="00915F88"/>
    <w:rsid w:val="0091634E"/>
    <w:rsid w:val="00916886"/>
    <w:rsid w:val="00916B03"/>
    <w:rsid w:val="00916C30"/>
    <w:rsid w:val="00916F2E"/>
    <w:rsid w:val="009170CE"/>
    <w:rsid w:val="0091712F"/>
    <w:rsid w:val="00917437"/>
    <w:rsid w:val="00917AA5"/>
    <w:rsid w:val="00917DB1"/>
    <w:rsid w:val="00920004"/>
    <w:rsid w:val="0092014C"/>
    <w:rsid w:val="00920AF7"/>
    <w:rsid w:val="00920EC3"/>
    <w:rsid w:val="00921094"/>
    <w:rsid w:val="00921982"/>
    <w:rsid w:val="00921AF7"/>
    <w:rsid w:val="00922030"/>
    <w:rsid w:val="00922364"/>
    <w:rsid w:val="00922DE9"/>
    <w:rsid w:val="00922F37"/>
    <w:rsid w:val="00922FEA"/>
    <w:rsid w:val="00922FF2"/>
    <w:rsid w:val="00923090"/>
    <w:rsid w:val="0092319A"/>
    <w:rsid w:val="009237B8"/>
    <w:rsid w:val="00923CC1"/>
    <w:rsid w:val="00923D78"/>
    <w:rsid w:val="00923D8D"/>
    <w:rsid w:val="00923DE9"/>
    <w:rsid w:val="00923EEE"/>
    <w:rsid w:val="009243CE"/>
    <w:rsid w:val="009247AD"/>
    <w:rsid w:val="009248AD"/>
    <w:rsid w:val="00924907"/>
    <w:rsid w:val="009249CE"/>
    <w:rsid w:val="00924AB4"/>
    <w:rsid w:val="00924B9C"/>
    <w:rsid w:val="00924EA8"/>
    <w:rsid w:val="009250C0"/>
    <w:rsid w:val="0092511E"/>
    <w:rsid w:val="00925521"/>
    <w:rsid w:val="0092556E"/>
    <w:rsid w:val="009257CF"/>
    <w:rsid w:val="00925979"/>
    <w:rsid w:val="00925EDA"/>
    <w:rsid w:val="00925F87"/>
    <w:rsid w:val="00926139"/>
    <w:rsid w:val="00926213"/>
    <w:rsid w:val="00926521"/>
    <w:rsid w:val="00926AAC"/>
    <w:rsid w:val="00926B7F"/>
    <w:rsid w:val="00927595"/>
    <w:rsid w:val="00927695"/>
    <w:rsid w:val="00927B80"/>
    <w:rsid w:val="00927E16"/>
    <w:rsid w:val="00927F2F"/>
    <w:rsid w:val="0093029A"/>
    <w:rsid w:val="00930310"/>
    <w:rsid w:val="009303FB"/>
    <w:rsid w:val="00930419"/>
    <w:rsid w:val="009304C8"/>
    <w:rsid w:val="009308D6"/>
    <w:rsid w:val="00930B32"/>
    <w:rsid w:val="00930B57"/>
    <w:rsid w:val="00930BC0"/>
    <w:rsid w:val="00930F75"/>
    <w:rsid w:val="00931A1F"/>
    <w:rsid w:val="00931F77"/>
    <w:rsid w:val="00932205"/>
    <w:rsid w:val="00932883"/>
    <w:rsid w:val="00932B09"/>
    <w:rsid w:val="00932C9C"/>
    <w:rsid w:val="00932E44"/>
    <w:rsid w:val="00932FE7"/>
    <w:rsid w:val="0093356A"/>
    <w:rsid w:val="00933616"/>
    <w:rsid w:val="00933A7C"/>
    <w:rsid w:val="00933DD8"/>
    <w:rsid w:val="00934192"/>
    <w:rsid w:val="00934DE6"/>
    <w:rsid w:val="0093507A"/>
    <w:rsid w:val="009351A1"/>
    <w:rsid w:val="009355D6"/>
    <w:rsid w:val="009359E3"/>
    <w:rsid w:val="00935AA9"/>
    <w:rsid w:val="00936382"/>
    <w:rsid w:val="009363A2"/>
    <w:rsid w:val="0093662A"/>
    <w:rsid w:val="009368F2"/>
    <w:rsid w:val="00936A09"/>
    <w:rsid w:val="00936DAE"/>
    <w:rsid w:val="00937002"/>
    <w:rsid w:val="0093743D"/>
    <w:rsid w:val="00937B84"/>
    <w:rsid w:val="00937D55"/>
    <w:rsid w:val="00937EE0"/>
    <w:rsid w:val="00940833"/>
    <w:rsid w:val="009408FE"/>
    <w:rsid w:val="00940F01"/>
    <w:rsid w:val="0094102B"/>
    <w:rsid w:val="009415E8"/>
    <w:rsid w:val="00941639"/>
    <w:rsid w:val="00941690"/>
    <w:rsid w:val="0094246A"/>
    <w:rsid w:val="00942B1B"/>
    <w:rsid w:val="00942EAA"/>
    <w:rsid w:val="009435B0"/>
    <w:rsid w:val="009437FC"/>
    <w:rsid w:val="009439D9"/>
    <w:rsid w:val="00943E55"/>
    <w:rsid w:val="0094486D"/>
    <w:rsid w:val="00944DCC"/>
    <w:rsid w:val="00944F23"/>
    <w:rsid w:val="009450FE"/>
    <w:rsid w:val="00945157"/>
    <w:rsid w:val="00945485"/>
    <w:rsid w:val="00945C32"/>
    <w:rsid w:val="00945C8F"/>
    <w:rsid w:val="00946201"/>
    <w:rsid w:val="009466D3"/>
    <w:rsid w:val="00946990"/>
    <w:rsid w:val="00946D13"/>
    <w:rsid w:val="00946FAD"/>
    <w:rsid w:val="009477F5"/>
    <w:rsid w:val="0094787F"/>
    <w:rsid w:val="009506E2"/>
    <w:rsid w:val="00950821"/>
    <w:rsid w:val="00950860"/>
    <w:rsid w:val="009508AD"/>
    <w:rsid w:val="00950B2E"/>
    <w:rsid w:val="00950BBD"/>
    <w:rsid w:val="00951080"/>
    <w:rsid w:val="009511CE"/>
    <w:rsid w:val="00951270"/>
    <w:rsid w:val="009512B8"/>
    <w:rsid w:val="009516F6"/>
    <w:rsid w:val="00951AC0"/>
    <w:rsid w:val="00951D23"/>
    <w:rsid w:val="0095215B"/>
    <w:rsid w:val="00952429"/>
    <w:rsid w:val="00952536"/>
    <w:rsid w:val="00952B14"/>
    <w:rsid w:val="00952EAD"/>
    <w:rsid w:val="009530E5"/>
    <w:rsid w:val="009531B5"/>
    <w:rsid w:val="0095328E"/>
    <w:rsid w:val="009536FC"/>
    <w:rsid w:val="00953825"/>
    <w:rsid w:val="00953A10"/>
    <w:rsid w:val="00953D0F"/>
    <w:rsid w:val="0095426A"/>
    <w:rsid w:val="00954ABC"/>
    <w:rsid w:val="00954BD6"/>
    <w:rsid w:val="00954CEC"/>
    <w:rsid w:val="00954D87"/>
    <w:rsid w:val="00955CBA"/>
    <w:rsid w:val="00955D65"/>
    <w:rsid w:val="00956430"/>
    <w:rsid w:val="00956490"/>
    <w:rsid w:val="009564C9"/>
    <w:rsid w:val="00956787"/>
    <w:rsid w:val="00956FFE"/>
    <w:rsid w:val="0095773C"/>
    <w:rsid w:val="00957C1B"/>
    <w:rsid w:val="00957DE1"/>
    <w:rsid w:val="00957E8B"/>
    <w:rsid w:val="00957EBF"/>
    <w:rsid w:val="009604C4"/>
    <w:rsid w:val="009606D0"/>
    <w:rsid w:val="00960B00"/>
    <w:rsid w:val="00960F53"/>
    <w:rsid w:val="00960F91"/>
    <w:rsid w:val="009613A2"/>
    <w:rsid w:val="0096141C"/>
    <w:rsid w:val="00961662"/>
    <w:rsid w:val="00961B04"/>
    <w:rsid w:val="00961DE1"/>
    <w:rsid w:val="009621A2"/>
    <w:rsid w:val="009622E6"/>
    <w:rsid w:val="00962644"/>
    <w:rsid w:val="0096284E"/>
    <w:rsid w:val="00962B76"/>
    <w:rsid w:val="00962E14"/>
    <w:rsid w:val="00962EC1"/>
    <w:rsid w:val="00963569"/>
    <w:rsid w:val="00963D9E"/>
    <w:rsid w:val="00964089"/>
    <w:rsid w:val="0096410E"/>
    <w:rsid w:val="009645AC"/>
    <w:rsid w:val="00964835"/>
    <w:rsid w:val="00964A1F"/>
    <w:rsid w:val="00964A2C"/>
    <w:rsid w:val="00964ABF"/>
    <w:rsid w:val="00964AD7"/>
    <w:rsid w:val="00965485"/>
    <w:rsid w:val="0096567C"/>
    <w:rsid w:val="00965719"/>
    <w:rsid w:val="00965B0F"/>
    <w:rsid w:val="00965B4F"/>
    <w:rsid w:val="00965BEA"/>
    <w:rsid w:val="0096602B"/>
    <w:rsid w:val="0096632F"/>
    <w:rsid w:val="00966805"/>
    <w:rsid w:val="00966829"/>
    <w:rsid w:val="00966CDD"/>
    <w:rsid w:val="00966D0D"/>
    <w:rsid w:val="00966D2A"/>
    <w:rsid w:val="00966E54"/>
    <w:rsid w:val="00966F4D"/>
    <w:rsid w:val="009670AF"/>
    <w:rsid w:val="00967A79"/>
    <w:rsid w:val="00967B9C"/>
    <w:rsid w:val="009700BA"/>
    <w:rsid w:val="009700C9"/>
    <w:rsid w:val="00970775"/>
    <w:rsid w:val="00970BD9"/>
    <w:rsid w:val="00970E26"/>
    <w:rsid w:val="00970EA4"/>
    <w:rsid w:val="00970FBB"/>
    <w:rsid w:val="00971764"/>
    <w:rsid w:val="00971977"/>
    <w:rsid w:val="00971B9B"/>
    <w:rsid w:val="00971DF9"/>
    <w:rsid w:val="009720BD"/>
    <w:rsid w:val="009720E3"/>
    <w:rsid w:val="009725F7"/>
    <w:rsid w:val="009727DC"/>
    <w:rsid w:val="00972CB8"/>
    <w:rsid w:val="009737F5"/>
    <w:rsid w:val="00973F66"/>
    <w:rsid w:val="009741D8"/>
    <w:rsid w:val="009742F3"/>
    <w:rsid w:val="0097466B"/>
    <w:rsid w:val="00975838"/>
    <w:rsid w:val="00975A3C"/>
    <w:rsid w:val="00975F13"/>
    <w:rsid w:val="00975F49"/>
    <w:rsid w:val="0097696C"/>
    <w:rsid w:val="00977014"/>
    <w:rsid w:val="009772C8"/>
    <w:rsid w:val="009775F3"/>
    <w:rsid w:val="00977789"/>
    <w:rsid w:val="00977993"/>
    <w:rsid w:val="00977FA5"/>
    <w:rsid w:val="00980138"/>
    <w:rsid w:val="00980351"/>
    <w:rsid w:val="009805A7"/>
    <w:rsid w:val="009806CA"/>
    <w:rsid w:val="00980C81"/>
    <w:rsid w:val="00980F0D"/>
    <w:rsid w:val="009811F6"/>
    <w:rsid w:val="0098158D"/>
    <w:rsid w:val="00981619"/>
    <w:rsid w:val="009819D9"/>
    <w:rsid w:val="00981CAE"/>
    <w:rsid w:val="00981FA8"/>
    <w:rsid w:val="00982088"/>
    <w:rsid w:val="009820A4"/>
    <w:rsid w:val="00982125"/>
    <w:rsid w:val="00982362"/>
    <w:rsid w:val="0098240E"/>
    <w:rsid w:val="00982880"/>
    <w:rsid w:val="00982B97"/>
    <w:rsid w:val="00983235"/>
    <w:rsid w:val="0098355D"/>
    <w:rsid w:val="00983AB5"/>
    <w:rsid w:val="00983DCF"/>
    <w:rsid w:val="00984069"/>
    <w:rsid w:val="00984453"/>
    <w:rsid w:val="009845C8"/>
    <w:rsid w:val="00984682"/>
    <w:rsid w:val="009847AA"/>
    <w:rsid w:val="00984A6C"/>
    <w:rsid w:val="00984D4C"/>
    <w:rsid w:val="009850A0"/>
    <w:rsid w:val="009852F3"/>
    <w:rsid w:val="00985496"/>
    <w:rsid w:val="009857EF"/>
    <w:rsid w:val="00985AC6"/>
    <w:rsid w:val="00985D98"/>
    <w:rsid w:val="00985F60"/>
    <w:rsid w:val="00985FC0"/>
    <w:rsid w:val="00986069"/>
    <w:rsid w:val="0098611D"/>
    <w:rsid w:val="0098615B"/>
    <w:rsid w:val="009862FF"/>
    <w:rsid w:val="009864AE"/>
    <w:rsid w:val="00987365"/>
    <w:rsid w:val="0098749D"/>
    <w:rsid w:val="0098758E"/>
    <w:rsid w:val="0098777E"/>
    <w:rsid w:val="00987A14"/>
    <w:rsid w:val="009908F4"/>
    <w:rsid w:val="00990BB5"/>
    <w:rsid w:val="00990DDE"/>
    <w:rsid w:val="00991222"/>
    <w:rsid w:val="0099158E"/>
    <w:rsid w:val="009915C7"/>
    <w:rsid w:val="00991B1A"/>
    <w:rsid w:val="00991D22"/>
    <w:rsid w:val="00991F38"/>
    <w:rsid w:val="00992041"/>
    <w:rsid w:val="00992179"/>
    <w:rsid w:val="009921CA"/>
    <w:rsid w:val="00992802"/>
    <w:rsid w:val="009928C6"/>
    <w:rsid w:val="0099298A"/>
    <w:rsid w:val="00992EE8"/>
    <w:rsid w:val="00992F93"/>
    <w:rsid w:val="0099308D"/>
    <w:rsid w:val="00993363"/>
    <w:rsid w:val="0099374D"/>
    <w:rsid w:val="00993765"/>
    <w:rsid w:val="00993B80"/>
    <w:rsid w:val="00993BD5"/>
    <w:rsid w:val="00993C25"/>
    <w:rsid w:val="00993EEA"/>
    <w:rsid w:val="00993FBA"/>
    <w:rsid w:val="0099409E"/>
    <w:rsid w:val="00994274"/>
    <w:rsid w:val="00994305"/>
    <w:rsid w:val="00994790"/>
    <w:rsid w:val="0099479A"/>
    <w:rsid w:val="009948F1"/>
    <w:rsid w:val="00994F80"/>
    <w:rsid w:val="009954E6"/>
    <w:rsid w:val="0099575D"/>
    <w:rsid w:val="00995A25"/>
    <w:rsid w:val="00995F1F"/>
    <w:rsid w:val="00996190"/>
    <w:rsid w:val="00996250"/>
    <w:rsid w:val="00996749"/>
    <w:rsid w:val="00996B53"/>
    <w:rsid w:val="00996C47"/>
    <w:rsid w:val="009973D3"/>
    <w:rsid w:val="00997417"/>
    <w:rsid w:val="009975F5"/>
    <w:rsid w:val="00997FC7"/>
    <w:rsid w:val="009A06B1"/>
    <w:rsid w:val="009A0B64"/>
    <w:rsid w:val="009A0B85"/>
    <w:rsid w:val="009A0BDC"/>
    <w:rsid w:val="009A0C14"/>
    <w:rsid w:val="009A0C67"/>
    <w:rsid w:val="009A12DA"/>
    <w:rsid w:val="009A1563"/>
    <w:rsid w:val="009A15AC"/>
    <w:rsid w:val="009A1775"/>
    <w:rsid w:val="009A1E4F"/>
    <w:rsid w:val="009A1FD3"/>
    <w:rsid w:val="009A21E2"/>
    <w:rsid w:val="009A21E3"/>
    <w:rsid w:val="009A268F"/>
    <w:rsid w:val="009A2D03"/>
    <w:rsid w:val="009A34E1"/>
    <w:rsid w:val="009A374F"/>
    <w:rsid w:val="009A3790"/>
    <w:rsid w:val="009A39DC"/>
    <w:rsid w:val="009A3F27"/>
    <w:rsid w:val="009A3F62"/>
    <w:rsid w:val="009A3FC9"/>
    <w:rsid w:val="009A43FC"/>
    <w:rsid w:val="009A4EE2"/>
    <w:rsid w:val="009A52B5"/>
    <w:rsid w:val="009A531C"/>
    <w:rsid w:val="009A5753"/>
    <w:rsid w:val="009A57EB"/>
    <w:rsid w:val="009A5F0F"/>
    <w:rsid w:val="009A6437"/>
    <w:rsid w:val="009A6465"/>
    <w:rsid w:val="009A65B0"/>
    <w:rsid w:val="009A6612"/>
    <w:rsid w:val="009A67A3"/>
    <w:rsid w:val="009A68C8"/>
    <w:rsid w:val="009A699B"/>
    <w:rsid w:val="009A6CA4"/>
    <w:rsid w:val="009A7168"/>
    <w:rsid w:val="009A71BC"/>
    <w:rsid w:val="009A72A3"/>
    <w:rsid w:val="009A76C6"/>
    <w:rsid w:val="009A7704"/>
    <w:rsid w:val="009A7BA5"/>
    <w:rsid w:val="009B0C1C"/>
    <w:rsid w:val="009B0F09"/>
    <w:rsid w:val="009B103D"/>
    <w:rsid w:val="009B1313"/>
    <w:rsid w:val="009B180C"/>
    <w:rsid w:val="009B1FED"/>
    <w:rsid w:val="009B2036"/>
    <w:rsid w:val="009B2616"/>
    <w:rsid w:val="009B278D"/>
    <w:rsid w:val="009B28FA"/>
    <w:rsid w:val="009B310B"/>
    <w:rsid w:val="009B3170"/>
    <w:rsid w:val="009B3624"/>
    <w:rsid w:val="009B367A"/>
    <w:rsid w:val="009B3960"/>
    <w:rsid w:val="009B3B43"/>
    <w:rsid w:val="009B3C41"/>
    <w:rsid w:val="009B3EBA"/>
    <w:rsid w:val="009B3EFA"/>
    <w:rsid w:val="009B3FD0"/>
    <w:rsid w:val="009B419F"/>
    <w:rsid w:val="009B42F4"/>
    <w:rsid w:val="009B43A5"/>
    <w:rsid w:val="009B4666"/>
    <w:rsid w:val="009B49EE"/>
    <w:rsid w:val="009B4A9B"/>
    <w:rsid w:val="009B585F"/>
    <w:rsid w:val="009B5881"/>
    <w:rsid w:val="009B5CA2"/>
    <w:rsid w:val="009B636B"/>
    <w:rsid w:val="009B650E"/>
    <w:rsid w:val="009B68B2"/>
    <w:rsid w:val="009B6DDA"/>
    <w:rsid w:val="009B6EBC"/>
    <w:rsid w:val="009B6ED2"/>
    <w:rsid w:val="009B710E"/>
    <w:rsid w:val="009B76F7"/>
    <w:rsid w:val="009B7A84"/>
    <w:rsid w:val="009B7A96"/>
    <w:rsid w:val="009B7C85"/>
    <w:rsid w:val="009B7E02"/>
    <w:rsid w:val="009B7E22"/>
    <w:rsid w:val="009B7F22"/>
    <w:rsid w:val="009B7FD9"/>
    <w:rsid w:val="009C04E9"/>
    <w:rsid w:val="009C063C"/>
    <w:rsid w:val="009C08B7"/>
    <w:rsid w:val="009C08FF"/>
    <w:rsid w:val="009C098E"/>
    <w:rsid w:val="009C09B8"/>
    <w:rsid w:val="009C0B9A"/>
    <w:rsid w:val="009C0D95"/>
    <w:rsid w:val="009C17C5"/>
    <w:rsid w:val="009C17E2"/>
    <w:rsid w:val="009C181F"/>
    <w:rsid w:val="009C1861"/>
    <w:rsid w:val="009C19E3"/>
    <w:rsid w:val="009C1AD6"/>
    <w:rsid w:val="009C2111"/>
    <w:rsid w:val="009C215A"/>
    <w:rsid w:val="009C2214"/>
    <w:rsid w:val="009C239A"/>
    <w:rsid w:val="009C26C1"/>
    <w:rsid w:val="009C29F9"/>
    <w:rsid w:val="009C2B61"/>
    <w:rsid w:val="009C2B9D"/>
    <w:rsid w:val="009C3130"/>
    <w:rsid w:val="009C33D3"/>
    <w:rsid w:val="009C34BB"/>
    <w:rsid w:val="009C359B"/>
    <w:rsid w:val="009C3668"/>
    <w:rsid w:val="009C36AB"/>
    <w:rsid w:val="009C387F"/>
    <w:rsid w:val="009C39E6"/>
    <w:rsid w:val="009C404D"/>
    <w:rsid w:val="009C42D6"/>
    <w:rsid w:val="009C4A1B"/>
    <w:rsid w:val="009C4AE7"/>
    <w:rsid w:val="009C4CDB"/>
    <w:rsid w:val="009C4DC8"/>
    <w:rsid w:val="009C4ECF"/>
    <w:rsid w:val="009C5063"/>
    <w:rsid w:val="009C533A"/>
    <w:rsid w:val="009C535C"/>
    <w:rsid w:val="009C53E7"/>
    <w:rsid w:val="009C56D0"/>
    <w:rsid w:val="009C610F"/>
    <w:rsid w:val="009C659F"/>
    <w:rsid w:val="009C65A2"/>
    <w:rsid w:val="009C674A"/>
    <w:rsid w:val="009C68A6"/>
    <w:rsid w:val="009C6DB8"/>
    <w:rsid w:val="009C6EA2"/>
    <w:rsid w:val="009C7217"/>
    <w:rsid w:val="009C77BF"/>
    <w:rsid w:val="009C7C37"/>
    <w:rsid w:val="009C7D36"/>
    <w:rsid w:val="009D0196"/>
    <w:rsid w:val="009D0533"/>
    <w:rsid w:val="009D07E1"/>
    <w:rsid w:val="009D0DB2"/>
    <w:rsid w:val="009D0FD1"/>
    <w:rsid w:val="009D1077"/>
    <w:rsid w:val="009D11E4"/>
    <w:rsid w:val="009D1954"/>
    <w:rsid w:val="009D1A36"/>
    <w:rsid w:val="009D1AA9"/>
    <w:rsid w:val="009D1F49"/>
    <w:rsid w:val="009D2210"/>
    <w:rsid w:val="009D23A2"/>
    <w:rsid w:val="009D262A"/>
    <w:rsid w:val="009D29B6"/>
    <w:rsid w:val="009D2B03"/>
    <w:rsid w:val="009D2C84"/>
    <w:rsid w:val="009D2F81"/>
    <w:rsid w:val="009D3FAA"/>
    <w:rsid w:val="009D4309"/>
    <w:rsid w:val="009D458B"/>
    <w:rsid w:val="009D4C9F"/>
    <w:rsid w:val="009D4D90"/>
    <w:rsid w:val="009D4F93"/>
    <w:rsid w:val="009D5081"/>
    <w:rsid w:val="009D511F"/>
    <w:rsid w:val="009D53F2"/>
    <w:rsid w:val="009D542A"/>
    <w:rsid w:val="009D5747"/>
    <w:rsid w:val="009D5F65"/>
    <w:rsid w:val="009D6576"/>
    <w:rsid w:val="009D65A0"/>
    <w:rsid w:val="009D65C9"/>
    <w:rsid w:val="009D6A08"/>
    <w:rsid w:val="009D6AC0"/>
    <w:rsid w:val="009D6C7C"/>
    <w:rsid w:val="009D6D69"/>
    <w:rsid w:val="009D7226"/>
    <w:rsid w:val="009D73E3"/>
    <w:rsid w:val="009D79CE"/>
    <w:rsid w:val="009D7A5B"/>
    <w:rsid w:val="009D7C94"/>
    <w:rsid w:val="009D7DCA"/>
    <w:rsid w:val="009D7E2C"/>
    <w:rsid w:val="009E00F5"/>
    <w:rsid w:val="009E05A1"/>
    <w:rsid w:val="009E0E64"/>
    <w:rsid w:val="009E10F8"/>
    <w:rsid w:val="009E1113"/>
    <w:rsid w:val="009E1251"/>
    <w:rsid w:val="009E13C4"/>
    <w:rsid w:val="009E15BA"/>
    <w:rsid w:val="009E17D9"/>
    <w:rsid w:val="009E1A69"/>
    <w:rsid w:val="009E1B6C"/>
    <w:rsid w:val="009E25D4"/>
    <w:rsid w:val="009E2BD5"/>
    <w:rsid w:val="009E3284"/>
    <w:rsid w:val="009E3321"/>
    <w:rsid w:val="009E33BA"/>
    <w:rsid w:val="009E33D7"/>
    <w:rsid w:val="009E3CEB"/>
    <w:rsid w:val="009E425A"/>
    <w:rsid w:val="009E4631"/>
    <w:rsid w:val="009E47FF"/>
    <w:rsid w:val="009E4E20"/>
    <w:rsid w:val="009E505F"/>
    <w:rsid w:val="009E58B3"/>
    <w:rsid w:val="009E5E77"/>
    <w:rsid w:val="009E5F03"/>
    <w:rsid w:val="009E5F12"/>
    <w:rsid w:val="009E6094"/>
    <w:rsid w:val="009E610F"/>
    <w:rsid w:val="009E6154"/>
    <w:rsid w:val="009E61EB"/>
    <w:rsid w:val="009E63D7"/>
    <w:rsid w:val="009E6753"/>
    <w:rsid w:val="009E688A"/>
    <w:rsid w:val="009E692D"/>
    <w:rsid w:val="009E69A7"/>
    <w:rsid w:val="009E69BE"/>
    <w:rsid w:val="009E6CBA"/>
    <w:rsid w:val="009E6DDC"/>
    <w:rsid w:val="009E6EA8"/>
    <w:rsid w:val="009E6F5F"/>
    <w:rsid w:val="009E72CB"/>
    <w:rsid w:val="009E73F1"/>
    <w:rsid w:val="009E73F9"/>
    <w:rsid w:val="009E7B4D"/>
    <w:rsid w:val="009F09D7"/>
    <w:rsid w:val="009F0C2B"/>
    <w:rsid w:val="009F12F9"/>
    <w:rsid w:val="009F13CA"/>
    <w:rsid w:val="009F1C7E"/>
    <w:rsid w:val="009F2029"/>
    <w:rsid w:val="009F22CF"/>
    <w:rsid w:val="009F28F9"/>
    <w:rsid w:val="009F3212"/>
    <w:rsid w:val="009F3357"/>
    <w:rsid w:val="009F3547"/>
    <w:rsid w:val="009F357E"/>
    <w:rsid w:val="009F359E"/>
    <w:rsid w:val="009F364B"/>
    <w:rsid w:val="009F384E"/>
    <w:rsid w:val="009F3959"/>
    <w:rsid w:val="009F39FC"/>
    <w:rsid w:val="009F456B"/>
    <w:rsid w:val="009F4965"/>
    <w:rsid w:val="009F4F9B"/>
    <w:rsid w:val="009F5237"/>
    <w:rsid w:val="009F56AB"/>
    <w:rsid w:val="009F57AF"/>
    <w:rsid w:val="009F58DF"/>
    <w:rsid w:val="009F5D02"/>
    <w:rsid w:val="009F5D5D"/>
    <w:rsid w:val="009F5FCC"/>
    <w:rsid w:val="009F6117"/>
    <w:rsid w:val="009F620F"/>
    <w:rsid w:val="009F6229"/>
    <w:rsid w:val="009F622D"/>
    <w:rsid w:val="009F6536"/>
    <w:rsid w:val="009F65D3"/>
    <w:rsid w:val="009F66E8"/>
    <w:rsid w:val="009F682D"/>
    <w:rsid w:val="009F68F0"/>
    <w:rsid w:val="009F6A1B"/>
    <w:rsid w:val="009F6B91"/>
    <w:rsid w:val="009F6E86"/>
    <w:rsid w:val="009F7293"/>
    <w:rsid w:val="009F73C1"/>
    <w:rsid w:val="009F7437"/>
    <w:rsid w:val="009F7463"/>
    <w:rsid w:val="009F7512"/>
    <w:rsid w:val="009F7857"/>
    <w:rsid w:val="009F7873"/>
    <w:rsid w:val="009F7C55"/>
    <w:rsid w:val="009F7CEB"/>
    <w:rsid w:val="00A007EF"/>
    <w:rsid w:val="00A008B2"/>
    <w:rsid w:val="00A00E9C"/>
    <w:rsid w:val="00A00FFC"/>
    <w:rsid w:val="00A01009"/>
    <w:rsid w:val="00A0182E"/>
    <w:rsid w:val="00A018E6"/>
    <w:rsid w:val="00A01900"/>
    <w:rsid w:val="00A0199B"/>
    <w:rsid w:val="00A01AE7"/>
    <w:rsid w:val="00A02024"/>
    <w:rsid w:val="00A0222B"/>
    <w:rsid w:val="00A02293"/>
    <w:rsid w:val="00A0309B"/>
    <w:rsid w:val="00A0328E"/>
    <w:rsid w:val="00A0391E"/>
    <w:rsid w:val="00A03B18"/>
    <w:rsid w:val="00A03B4E"/>
    <w:rsid w:val="00A03B7C"/>
    <w:rsid w:val="00A03C6B"/>
    <w:rsid w:val="00A03C71"/>
    <w:rsid w:val="00A03DFB"/>
    <w:rsid w:val="00A04005"/>
    <w:rsid w:val="00A04ADC"/>
    <w:rsid w:val="00A04C02"/>
    <w:rsid w:val="00A04F2A"/>
    <w:rsid w:val="00A05612"/>
    <w:rsid w:val="00A05D6B"/>
    <w:rsid w:val="00A05DBE"/>
    <w:rsid w:val="00A062EA"/>
    <w:rsid w:val="00A063E7"/>
    <w:rsid w:val="00A06ABB"/>
    <w:rsid w:val="00A06AD0"/>
    <w:rsid w:val="00A06C25"/>
    <w:rsid w:val="00A07088"/>
    <w:rsid w:val="00A0751F"/>
    <w:rsid w:val="00A075DE"/>
    <w:rsid w:val="00A076CB"/>
    <w:rsid w:val="00A077BA"/>
    <w:rsid w:val="00A07AF7"/>
    <w:rsid w:val="00A07B61"/>
    <w:rsid w:val="00A10225"/>
    <w:rsid w:val="00A10FDB"/>
    <w:rsid w:val="00A11199"/>
    <w:rsid w:val="00A1156A"/>
    <w:rsid w:val="00A11AD2"/>
    <w:rsid w:val="00A11F58"/>
    <w:rsid w:val="00A12016"/>
    <w:rsid w:val="00A122AA"/>
    <w:rsid w:val="00A1242F"/>
    <w:rsid w:val="00A12C70"/>
    <w:rsid w:val="00A12CE4"/>
    <w:rsid w:val="00A130B5"/>
    <w:rsid w:val="00A1328C"/>
    <w:rsid w:val="00A13377"/>
    <w:rsid w:val="00A135B0"/>
    <w:rsid w:val="00A13671"/>
    <w:rsid w:val="00A137D9"/>
    <w:rsid w:val="00A13B68"/>
    <w:rsid w:val="00A13B9A"/>
    <w:rsid w:val="00A13D96"/>
    <w:rsid w:val="00A1400A"/>
    <w:rsid w:val="00A141FA"/>
    <w:rsid w:val="00A14401"/>
    <w:rsid w:val="00A146D1"/>
    <w:rsid w:val="00A14E04"/>
    <w:rsid w:val="00A15012"/>
    <w:rsid w:val="00A1506E"/>
    <w:rsid w:val="00A150E9"/>
    <w:rsid w:val="00A1514F"/>
    <w:rsid w:val="00A152D9"/>
    <w:rsid w:val="00A15539"/>
    <w:rsid w:val="00A15544"/>
    <w:rsid w:val="00A1556E"/>
    <w:rsid w:val="00A15D96"/>
    <w:rsid w:val="00A15F63"/>
    <w:rsid w:val="00A162F2"/>
    <w:rsid w:val="00A16D1B"/>
    <w:rsid w:val="00A17182"/>
    <w:rsid w:val="00A17435"/>
    <w:rsid w:val="00A17883"/>
    <w:rsid w:val="00A179E2"/>
    <w:rsid w:val="00A17F0F"/>
    <w:rsid w:val="00A200E6"/>
    <w:rsid w:val="00A20330"/>
    <w:rsid w:val="00A203D2"/>
    <w:rsid w:val="00A205F5"/>
    <w:rsid w:val="00A20838"/>
    <w:rsid w:val="00A20857"/>
    <w:rsid w:val="00A20F23"/>
    <w:rsid w:val="00A215A1"/>
    <w:rsid w:val="00A217AB"/>
    <w:rsid w:val="00A21B72"/>
    <w:rsid w:val="00A21B97"/>
    <w:rsid w:val="00A21BAC"/>
    <w:rsid w:val="00A21BDF"/>
    <w:rsid w:val="00A221B4"/>
    <w:rsid w:val="00A22297"/>
    <w:rsid w:val="00A2235E"/>
    <w:rsid w:val="00A2275D"/>
    <w:rsid w:val="00A228E9"/>
    <w:rsid w:val="00A22A09"/>
    <w:rsid w:val="00A22EC6"/>
    <w:rsid w:val="00A23559"/>
    <w:rsid w:val="00A23B9D"/>
    <w:rsid w:val="00A23C96"/>
    <w:rsid w:val="00A23E9B"/>
    <w:rsid w:val="00A24133"/>
    <w:rsid w:val="00A245F3"/>
    <w:rsid w:val="00A24784"/>
    <w:rsid w:val="00A24F53"/>
    <w:rsid w:val="00A24F6F"/>
    <w:rsid w:val="00A2514B"/>
    <w:rsid w:val="00A25189"/>
    <w:rsid w:val="00A255A1"/>
    <w:rsid w:val="00A25694"/>
    <w:rsid w:val="00A25ABE"/>
    <w:rsid w:val="00A25D55"/>
    <w:rsid w:val="00A25E34"/>
    <w:rsid w:val="00A2611F"/>
    <w:rsid w:val="00A261D2"/>
    <w:rsid w:val="00A26346"/>
    <w:rsid w:val="00A26418"/>
    <w:rsid w:val="00A2645A"/>
    <w:rsid w:val="00A26C72"/>
    <w:rsid w:val="00A26CA1"/>
    <w:rsid w:val="00A26CE0"/>
    <w:rsid w:val="00A26D57"/>
    <w:rsid w:val="00A26E88"/>
    <w:rsid w:val="00A270F9"/>
    <w:rsid w:val="00A2716C"/>
    <w:rsid w:val="00A27384"/>
    <w:rsid w:val="00A274B1"/>
    <w:rsid w:val="00A274F4"/>
    <w:rsid w:val="00A275FF"/>
    <w:rsid w:val="00A27656"/>
    <w:rsid w:val="00A27876"/>
    <w:rsid w:val="00A278C2"/>
    <w:rsid w:val="00A278ED"/>
    <w:rsid w:val="00A30214"/>
    <w:rsid w:val="00A306A3"/>
    <w:rsid w:val="00A308F7"/>
    <w:rsid w:val="00A30A4C"/>
    <w:rsid w:val="00A30B15"/>
    <w:rsid w:val="00A30CDE"/>
    <w:rsid w:val="00A30F44"/>
    <w:rsid w:val="00A31230"/>
    <w:rsid w:val="00A313C7"/>
    <w:rsid w:val="00A3147D"/>
    <w:rsid w:val="00A316C7"/>
    <w:rsid w:val="00A31722"/>
    <w:rsid w:val="00A318CD"/>
    <w:rsid w:val="00A31C08"/>
    <w:rsid w:val="00A323F8"/>
    <w:rsid w:val="00A324E6"/>
    <w:rsid w:val="00A3250C"/>
    <w:rsid w:val="00A32620"/>
    <w:rsid w:val="00A32800"/>
    <w:rsid w:val="00A32976"/>
    <w:rsid w:val="00A32C43"/>
    <w:rsid w:val="00A32F3F"/>
    <w:rsid w:val="00A33153"/>
    <w:rsid w:val="00A333F1"/>
    <w:rsid w:val="00A334DE"/>
    <w:rsid w:val="00A33C06"/>
    <w:rsid w:val="00A33E38"/>
    <w:rsid w:val="00A3497D"/>
    <w:rsid w:val="00A349A6"/>
    <w:rsid w:val="00A34A09"/>
    <w:rsid w:val="00A352D2"/>
    <w:rsid w:val="00A35408"/>
    <w:rsid w:val="00A3555C"/>
    <w:rsid w:val="00A356D0"/>
    <w:rsid w:val="00A359D7"/>
    <w:rsid w:val="00A36550"/>
    <w:rsid w:val="00A367F4"/>
    <w:rsid w:val="00A36A27"/>
    <w:rsid w:val="00A36E14"/>
    <w:rsid w:val="00A36EFB"/>
    <w:rsid w:val="00A36F86"/>
    <w:rsid w:val="00A37150"/>
    <w:rsid w:val="00A37205"/>
    <w:rsid w:val="00A37321"/>
    <w:rsid w:val="00A37EB8"/>
    <w:rsid w:val="00A40BC2"/>
    <w:rsid w:val="00A40BC5"/>
    <w:rsid w:val="00A40BEE"/>
    <w:rsid w:val="00A40CE5"/>
    <w:rsid w:val="00A4108A"/>
    <w:rsid w:val="00A410F6"/>
    <w:rsid w:val="00A41628"/>
    <w:rsid w:val="00A41808"/>
    <w:rsid w:val="00A41944"/>
    <w:rsid w:val="00A423D0"/>
    <w:rsid w:val="00A43532"/>
    <w:rsid w:val="00A43911"/>
    <w:rsid w:val="00A43C72"/>
    <w:rsid w:val="00A43D37"/>
    <w:rsid w:val="00A44220"/>
    <w:rsid w:val="00A44785"/>
    <w:rsid w:val="00A4486E"/>
    <w:rsid w:val="00A448FB"/>
    <w:rsid w:val="00A44AE3"/>
    <w:rsid w:val="00A44C61"/>
    <w:rsid w:val="00A44F3C"/>
    <w:rsid w:val="00A4541B"/>
    <w:rsid w:val="00A457FA"/>
    <w:rsid w:val="00A45E22"/>
    <w:rsid w:val="00A45E9B"/>
    <w:rsid w:val="00A462AA"/>
    <w:rsid w:val="00A466B4"/>
    <w:rsid w:val="00A470DE"/>
    <w:rsid w:val="00A47336"/>
    <w:rsid w:val="00A47B80"/>
    <w:rsid w:val="00A47EDC"/>
    <w:rsid w:val="00A47FD4"/>
    <w:rsid w:val="00A5023D"/>
    <w:rsid w:val="00A502FB"/>
    <w:rsid w:val="00A505E6"/>
    <w:rsid w:val="00A509A8"/>
    <w:rsid w:val="00A50B16"/>
    <w:rsid w:val="00A5107F"/>
    <w:rsid w:val="00A5122B"/>
    <w:rsid w:val="00A51251"/>
    <w:rsid w:val="00A5134B"/>
    <w:rsid w:val="00A513D2"/>
    <w:rsid w:val="00A514C5"/>
    <w:rsid w:val="00A515E5"/>
    <w:rsid w:val="00A51731"/>
    <w:rsid w:val="00A518D4"/>
    <w:rsid w:val="00A519AB"/>
    <w:rsid w:val="00A51CEB"/>
    <w:rsid w:val="00A521C4"/>
    <w:rsid w:val="00A5278C"/>
    <w:rsid w:val="00A52AC5"/>
    <w:rsid w:val="00A532F7"/>
    <w:rsid w:val="00A536A6"/>
    <w:rsid w:val="00A537C8"/>
    <w:rsid w:val="00A53A2A"/>
    <w:rsid w:val="00A53D09"/>
    <w:rsid w:val="00A5424A"/>
    <w:rsid w:val="00A542AC"/>
    <w:rsid w:val="00A54584"/>
    <w:rsid w:val="00A54745"/>
    <w:rsid w:val="00A547A7"/>
    <w:rsid w:val="00A549B1"/>
    <w:rsid w:val="00A54B98"/>
    <w:rsid w:val="00A55359"/>
    <w:rsid w:val="00A553B6"/>
    <w:rsid w:val="00A55655"/>
    <w:rsid w:val="00A556D4"/>
    <w:rsid w:val="00A5585F"/>
    <w:rsid w:val="00A5689F"/>
    <w:rsid w:val="00A5690B"/>
    <w:rsid w:val="00A56CE6"/>
    <w:rsid w:val="00A56DBB"/>
    <w:rsid w:val="00A56F9E"/>
    <w:rsid w:val="00A57043"/>
    <w:rsid w:val="00A571D0"/>
    <w:rsid w:val="00A57A51"/>
    <w:rsid w:val="00A57D8F"/>
    <w:rsid w:val="00A60085"/>
    <w:rsid w:val="00A60334"/>
    <w:rsid w:val="00A603D4"/>
    <w:rsid w:val="00A6047E"/>
    <w:rsid w:val="00A607E6"/>
    <w:rsid w:val="00A60BF3"/>
    <w:rsid w:val="00A60CD8"/>
    <w:rsid w:val="00A60D0E"/>
    <w:rsid w:val="00A60DCE"/>
    <w:rsid w:val="00A60E7A"/>
    <w:rsid w:val="00A60E81"/>
    <w:rsid w:val="00A612E0"/>
    <w:rsid w:val="00A61301"/>
    <w:rsid w:val="00A615DC"/>
    <w:rsid w:val="00A61C57"/>
    <w:rsid w:val="00A61D3A"/>
    <w:rsid w:val="00A61D3B"/>
    <w:rsid w:val="00A61F6B"/>
    <w:rsid w:val="00A6225C"/>
    <w:rsid w:val="00A623B3"/>
    <w:rsid w:val="00A6240E"/>
    <w:rsid w:val="00A62509"/>
    <w:rsid w:val="00A625DA"/>
    <w:rsid w:val="00A627D3"/>
    <w:rsid w:val="00A628F0"/>
    <w:rsid w:val="00A62E44"/>
    <w:rsid w:val="00A630C5"/>
    <w:rsid w:val="00A63157"/>
    <w:rsid w:val="00A63323"/>
    <w:rsid w:val="00A635D0"/>
    <w:rsid w:val="00A63748"/>
    <w:rsid w:val="00A63F11"/>
    <w:rsid w:val="00A63F61"/>
    <w:rsid w:val="00A646A5"/>
    <w:rsid w:val="00A646C5"/>
    <w:rsid w:val="00A6477A"/>
    <w:rsid w:val="00A64AC4"/>
    <w:rsid w:val="00A651E1"/>
    <w:rsid w:val="00A651F6"/>
    <w:rsid w:val="00A65514"/>
    <w:rsid w:val="00A6602B"/>
    <w:rsid w:val="00A6637E"/>
    <w:rsid w:val="00A663CF"/>
    <w:rsid w:val="00A6675F"/>
    <w:rsid w:val="00A66866"/>
    <w:rsid w:val="00A669A3"/>
    <w:rsid w:val="00A66E3F"/>
    <w:rsid w:val="00A66EF9"/>
    <w:rsid w:val="00A6710E"/>
    <w:rsid w:val="00A67147"/>
    <w:rsid w:val="00A6761C"/>
    <w:rsid w:val="00A67BD4"/>
    <w:rsid w:val="00A67F45"/>
    <w:rsid w:val="00A701AC"/>
    <w:rsid w:val="00A703E7"/>
    <w:rsid w:val="00A70689"/>
    <w:rsid w:val="00A70CA3"/>
    <w:rsid w:val="00A71362"/>
    <w:rsid w:val="00A7145C"/>
    <w:rsid w:val="00A717D3"/>
    <w:rsid w:val="00A71AED"/>
    <w:rsid w:val="00A721D9"/>
    <w:rsid w:val="00A722BF"/>
    <w:rsid w:val="00A7244B"/>
    <w:rsid w:val="00A72479"/>
    <w:rsid w:val="00A727FB"/>
    <w:rsid w:val="00A7289E"/>
    <w:rsid w:val="00A72FF7"/>
    <w:rsid w:val="00A73121"/>
    <w:rsid w:val="00A73245"/>
    <w:rsid w:val="00A734C6"/>
    <w:rsid w:val="00A73AAD"/>
    <w:rsid w:val="00A73CAB"/>
    <w:rsid w:val="00A73EBE"/>
    <w:rsid w:val="00A7403D"/>
    <w:rsid w:val="00A74528"/>
    <w:rsid w:val="00A74873"/>
    <w:rsid w:val="00A74A5B"/>
    <w:rsid w:val="00A74F51"/>
    <w:rsid w:val="00A75133"/>
    <w:rsid w:val="00A752D3"/>
    <w:rsid w:val="00A75482"/>
    <w:rsid w:val="00A7565B"/>
    <w:rsid w:val="00A758CC"/>
    <w:rsid w:val="00A75AFD"/>
    <w:rsid w:val="00A75E6B"/>
    <w:rsid w:val="00A761EB"/>
    <w:rsid w:val="00A76359"/>
    <w:rsid w:val="00A76806"/>
    <w:rsid w:val="00A769AA"/>
    <w:rsid w:val="00A769D2"/>
    <w:rsid w:val="00A76FAD"/>
    <w:rsid w:val="00A7737D"/>
    <w:rsid w:val="00A77677"/>
    <w:rsid w:val="00A77789"/>
    <w:rsid w:val="00A777D8"/>
    <w:rsid w:val="00A778CE"/>
    <w:rsid w:val="00A77B09"/>
    <w:rsid w:val="00A77C7A"/>
    <w:rsid w:val="00A77E7F"/>
    <w:rsid w:val="00A80298"/>
    <w:rsid w:val="00A802C4"/>
    <w:rsid w:val="00A80459"/>
    <w:rsid w:val="00A805CE"/>
    <w:rsid w:val="00A8075A"/>
    <w:rsid w:val="00A80A52"/>
    <w:rsid w:val="00A80AF5"/>
    <w:rsid w:val="00A80BE4"/>
    <w:rsid w:val="00A80CCA"/>
    <w:rsid w:val="00A81399"/>
    <w:rsid w:val="00A81507"/>
    <w:rsid w:val="00A815B4"/>
    <w:rsid w:val="00A8165A"/>
    <w:rsid w:val="00A81A0C"/>
    <w:rsid w:val="00A81A2F"/>
    <w:rsid w:val="00A81B09"/>
    <w:rsid w:val="00A81BEB"/>
    <w:rsid w:val="00A821BF"/>
    <w:rsid w:val="00A82605"/>
    <w:rsid w:val="00A8284D"/>
    <w:rsid w:val="00A82C1B"/>
    <w:rsid w:val="00A82D1E"/>
    <w:rsid w:val="00A82E27"/>
    <w:rsid w:val="00A83547"/>
    <w:rsid w:val="00A83786"/>
    <w:rsid w:val="00A83C08"/>
    <w:rsid w:val="00A83EC4"/>
    <w:rsid w:val="00A84301"/>
    <w:rsid w:val="00A84396"/>
    <w:rsid w:val="00A84988"/>
    <w:rsid w:val="00A84B75"/>
    <w:rsid w:val="00A84EFB"/>
    <w:rsid w:val="00A85298"/>
    <w:rsid w:val="00A85CBD"/>
    <w:rsid w:val="00A867A3"/>
    <w:rsid w:val="00A86B25"/>
    <w:rsid w:val="00A86CA0"/>
    <w:rsid w:val="00A86EAA"/>
    <w:rsid w:val="00A8715A"/>
    <w:rsid w:val="00A87382"/>
    <w:rsid w:val="00A876B1"/>
    <w:rsid w:val="00A87763"/>
    <w:rsid w:val="00A87B6B"/>
    <w:rsid w:val="00A87B70"/>
    <w:rsid w:val="00A87EC7"/>
    <w:rsid w:val="00A9040C"/>
    <w:rsid w:val="00A9047E"/>
    <w:rsid w:val="00A90635"/>
    <w:rsid w:val="00A907A8"/>
    <w:rsid w:val="00A90A01"/>
    <w:rsid w:val="00A90DCC"/>
    <w:rsid w:val="00A90F5C"/>
    <w:rsid w:val="00A917CE"/>
    <w:rsid w:val="00A9188E"/>
    <w:rsid w:val="00A91B55"/>
    <w:rsid w:val="00A91EB9"/>
    <w:rsid w:val="00A92387"/>
    <w:rsid w:val="00A92480"/>
    <w:rsid w:val="00A928E9"/>
    <w:rsid w:val="00A92969"/>
    <w:rsid w:val="00A92C4A"/>
    <w:rsid w:val="00A92CCA"/>
    <w:rsid w:val="00A9308F"/>
    <w:rsid w:val="00A932DC"/>
    <w:rsid w:val="00A93F0E"/>
    <w:rsid w:val="00A94149"/>
    <w:rsid w:val="00A943B4"/>
    <w:rsid w:val="00A94912"/>
    <w:rsid w:val="00A956CD"/>
    <w:rsid w:val="00A9585B"/>
    <w:rsid w:val="00A95944"/>
    <w:rsid w:val="00A959E1"/>
    <w:rsid w:val="00A95BC4"/>
    <w:rsid w:val="00A95CCA"/>
    <w:rsid w:val="00A960CE"/>
    <w:rsid w:val="00A96165"/>
    <w:rsid w:val="00A96212"/>
    <w:rsid w:val="00A9629E"/>
    <w:rsid w:val="00A9635E"/>
    <w:rsid w:val="00A96402"/>
    <w:rsid w:val="00A965A5"/>
    <w:rsid w:val="00A96A6F"/>
    <w:rsid w:val="00A96E5F"/>
    <w:rsid w:val="00A96F23"/>
    <w:rsid w:val="00A9704E"/>
    <w:rsid w:val="00A973F7"/>
    <w:rsid w:val="00A974CF"/>
    <w:rsid w:val="00A97E7A"/>
    <w:rsid w:val="00AA0264"/>
    <w:rsid w:val="00AA02ED"/>
    <w:rsid w:val="00AA039C"/>
    <w:rsid w:val="00AA0833"/>
    <w:rsid w:val="00AA0BB9"/>
    <w:rsid w:val="00AA0CB5"/>
    <w:rsid w:val="00AA111F"/>
    <w:rsid w:val="00AA1445"/>
    <w:rsid w:val="00AA16C8"/>
    <w:rsid w:val="00AA197F"/>
    <w:rsid w:val="00AA1BBE"/>
    <w:rsid w:val="00AA1C48"/>
    <w:rsid w:val="00AA1E9D"/>
    <w:rsid w:val="00AA27CC"/>
    <w:rsid w:val="00AA30EC"/>
    <w:rsid w:val="00AA313B"/>
    <w:rsid w:val="00AA3350"/>
    <w:rsid w:val="00AA34B2"/>
    <w:rsid w:val="00AA35FE"/>
    <w:rsid w:val="00AA36F3"/>
    <w:rsid w:val="00AA3734"/>
    <w:rsid w:val="00AA3BD4"/>
    <w:rsid w:val="00AA3E2F"/>
    <w:rsid w:val="00AA3EAF"/>
    <w:rsid w:val="00AA3EE1"/>
    <w:rsid w:val="00AA4119"/>
    <w:rsid w:val="00AA414C"/>
    <w:rsid w:val="00AA41C6"/>
    <w:rsid w:val="00AA47C9"/>
    <w:rsid w:val="00AA5249"/>
    <w:rsid w:val="00AA533F"/>
    <w:rsid w:val="00AA5426"/>
    <w:rsid w:val="00AA5510"/>
    <w:rsid w:val="00AA558B"/>
    <w:rsid w:val="00AA5BAB"/>
    <w:rsid w:val="00AA5C1A"/>
    <w:rsid w:val="00AA5FD2"/>
    <w:rsid w:val="00AA6196"/>
    <w:rsid w:val="00AA6234"/>
    <w:rsid w:val="00AA638C"/>
    <w:rsid w:val="00AA7131"/>
    <w:rsid w:val="00AA719D"/>
    <w:rsid w:val="00AA71CF"/>
    <w:rsid w:val="00AA747B"/>
    <w:rsid w:val="00AA750F"/>
    <w:rsid w:val="00AA798E"/>
    <w:rsid w:val="00AA79A6"/>
    <w:rsid w:val="00AA79AD"/>
    <w:rsid w:val="00AA7C9B"/>
    <w:rsid w:val="00AB09A0"/>
    <w:rsid w:val="00AB130D"/>
    <w:rsid w:val="00AB13B9"/>
    <w:rsid w:val="00AB1401"/>
    <w:rsid w:val="00AB1D65"/>
    <w:rsid w:val="00AB264F"/>
    <w:rsid w:val="00AB28C8"/>
    <w:rsid w:val="00AB2A37"/>
    <w:rsid w:val="00AB2C2B"/>
    <w:rsid w:val="00AB2FA6"/>
    <w:rsid w:val="00AB3359"/>
    <w:rsid w:val="00AB3381"/>
    <w:rsid w:val="00AB3549"/>
    <w:rsid w:val="00AB35DD"/>
    <w:rsid w:val="00AB38F0"/>
    <w:rsid w:val="00AB392B"/>
    <w:rsid w:val="00AB3BAC"/>
    <w:rsid w:val="00AB49AA"/>
    <w:rsid w:val="00AB4EEF"/>
    <w:rsid w:val="00AB4F4F"/>
    <w:rsid w:val="00AB5485"/>
    <w:rsid w:val="00AB5569"/>
    <w:rsid w:val="00AB5682"/>
    <w:rsid w:val="00AB5B48"/>
    <w:rsid w:val="00AB6B51"/>
    <w:rsid w:val="00AB6F06"/>
    <w:rsid w:val="00AB71B1"/>
    <w:rsid w:val="00AB74C1"/>
    <w:rsid w:val="00AB7534"/>
    <w:rsid w:val="00AC0229"/>
    <w:rsid w:val="00AC056A"/>
    <w:rsid w:val="00AC057E"/>
    <w:rsid w:val="00AC0C2B"/>
    <w:rsid w:val="00AC0ECE"/>
    <w:rsid w:val="00AC11C0"/>
    <w:rsid w:val="00AC1381"/>
    <w:rsid w:val="00AC13F8"/>
    <w:rsid w:val="00AC1DE1"/>
    <w:rsid w:val="00AC2739"/>
    <w:rsid w:val="00AC2BB7"/>
    <w:rsid w:val="00AC33F6"/>
    <w:rsid w:val="00AC35C9"/>
    <w:rsid w:val="00AC36A4"/>
    <w:rsid w:val="00AC37F6"/>
    <w:rsid w:val="00AC39C2"/>
    <w:rsid w:val="00AC46E1"/>
    <w:rsid w:val="00AC491D"/>
    <w:rsid w:val="00AC497B"/>
    <w:rsid w:val="00AC4B96"/>
    <w:rsid w:val="00AC4D32"/>
    <w:rsid w:val="00AC4E64"/>
    <w:rsid w:val="00AC5399"/>
    <w:rsid w:val="00AC56B6"/>
    <w:rsid w:val="00AC5700"/>
    <w:rsid w:val="00AC573D"/>
    <w:rsid w:val="00AC5B06"/>
    <w:rsid w:val="00AC603D"/>
    <w:rsid w:val="00AC638C"/>
    <w:rsid w:val="00AC673A"/>
    <w:rsid w:val="00AC680F"/>
    <w:rsid w:val="00AC68A7"/>
    <w:rsid w:val="00AC71A9"/>
    <w:rsid w:val="00AC77B9"/>
    <w:rsid w:val="00AC7AAF"/>
    <w:rsid w:val="00AC7BC9"/>
    <w:rsid w:val="00AC7CAC"/>
    <w:rsid w:val="00AC7D29"/>
    <w:rsid w:val="00AC7E98"/>
    <w:rsid w:val="00AD006B"/>
    <w:rsid w:val="00AD04AE"/>
    <w:rsid w:val="00AD055F"/>
    <w:rsid w:val="00AD0A5E"/>
    <w:rsid w:val="00AD0E35"/>
    <w:rsid w:val="00AD109E"/>
    <w:rsid w:val="00AD186D"/>
    <w:rsid w:val="00AD190A"/>
    <w:rsid w:val="00AD2000"/>
    <w:rsid w:val="00AD20B2"/>
    <w:rsid w:val="00AD20E2"/>
    <w:rsid w:val="00AD2773"/>
    <w:rsid w:val="00AD2C53"/>
    <w:rsid w:val="00AD2FB7"/>
    <w:rsid w:val="00AD37E1"/>
    <w:rsid w:val="00AD3C4F"/>
    <w:rsid w:val="00AD436F"/>
    <w:rsid w:val="00AD4426"/>
    <w:rsid w:val="00AD44DD"/>
    <w:rsid w:val="00AD4825"/>
    <w:rsid w:val="00AD4A97"/>
    <w:rsid w:val="00AD4D20"/>
    <w:rsid w:val="00AD4EFB"/>
    <w:rsid w:val="00AD565B"/>
    <w:rsid w:val="00AD5740"/>
    <w:rsid w:val="00AD5B7B"/>
    <w:rsid w:val="00AD5EEC"/>
    <w:rsid w:val="00AD6328"/>
    <w:rsid w:val="00AD66E3"/>
    <w:rsid w:val="00AD681A"/>
    <w:rsid w:val="00AD6DBF"/>
    <w:rsid w:val="00AD6EB4"/>
    <w:rsid w:val="00AD6ECE"/>
    <w:rsid w:val="00AD6F53"/>
    <w:rsid w:val="00AD73BB"/>
    <w:rsid w:val="00AD74E4"/>
    <w:rsid w:val="00AD7789"/>
    <w:rsid w:val="00AD78D4"/>
    <w:rsid w:val="00AD7A41"/>
    <w:rsid w:val="00AD7C05"/>
    <w:rsid w:val="00AD7EB6"/>
    <w:rsid w:val="00AD7FE8"/>
    <w:rsid w:val="00AE011A"/>
    <w:rsid w:val="00AE03A3"/>
    <w:rsid w:val="00AE0549"/>
    <w:rsid w:val="00AE0640"/>
    <w:rsid w:val="00AE0B82"/>
    <w:rsid w:val="00AE0BFA"/>
    <w:rsid w:val="00AE0DCF"/>
    <w:rsid w:val="00AE0F15"/>
    <w:rsid w:val="00AE14BB"/>
    <w:rsid w:val="00AE1DD7"/>
    <w:rsid w:val="00AE1ECB"/>
    <w:rsid w:val="00AE28D8"/>
    <w:rsid w:val="00AE2953"/>
    <w:rsid w:val="00AE2D20"/>
    <w:rsid w:val="00AE2F23"/>
    <w:rsid w:val="00AE2F46"/>
    <w:rsid w:val="00AE342D"/>
    <w:rsid w:val="00AE356F"/>
    <w:rsid w:val="00AE3683"/>
    <w:rsid w:val="00AE3696"/>
    <w:rsid w:val="00AE3908"/>
    <w:rsid w:val="00AE391E"/>
    <w:rsid w:val="00AE3999"/>
    <w:rsid w:val="00AE39E1"/>
    <w:rsid w:val="00AE3FBA"/>
    <w:rsid w:val="00AE4002"/>
    <w:rsid w:val="00AE43FE"/>
    <w:rsid w:val="00AE45B9"/>
    <w:rsid w:val="00AE53BB"/>
    <w:rsid w:val="00AE5C79"/>
    <w:rsid w:val="00AE6C95"/>
    <w:rsid w:val="00AE6D4B"/>
    <w:rsid w:val="00AE6F16"/>
    <w:rsid w:val="00AE75F9"/>
    <w:rsid w:val="00AE7666"/>
    <w:rsid w:val="00AE7C98"/>
    <w:rsid w:val="00AE7E21"/>
    <w:rsid w:val="00AE7F5C"/>
    <w:rsid w:val="00AF02B8"/>
    <w:rsid w:val="00AF06E4"/>
    <w:rsid w:val="00AF0868"/>
    <w:rsid w:val="00AF0AD2"/>
    <w:rsid w:val="00AF0B33"/>
    <w:rsid w:val="00AF12EA"/>
    <w:rsid w:val="00AF157D"/>
    <w:rsid w:val="00AF208D"/>
    <w:rsid w:val="00AF2311"/>
    <w:rsid w:val="00AF2F58"/>
    <w:rsid w:val="00AF3468"/>
    <w:rsid w:val="00AF34B7"/>
    <w:rsid w:val="00AF3799"/>
    <w:rsid w:val="00AF3AEF"/>
    <w:rsid w:val="00AF3BD5"/>
    <w:rsid w:val="00AF3C81"/>
    <w:rsid w:val="00AF3CC6"/>
    <w:rsid w:val="00AF3EA0"/>
    <w:rsid w:val="00AF466B"/>
    <w:rsid w:val="00AF46D5"/>
    <w:rsid w:val="00AF4972"/>
    <w:rsid w:val="00AF4CB8"/>
    <w:rsid w:val="00AF4DA5"/>
    <w:rsid w:val="00AF5711"/>
    <w:rsid w:val="00AF5833"/>
    <w:rsid w:val="00AF59B1"/>
    <w:rsid w:val="00AF5AA8"/>
    <w:rsid w:val="00AF5B27"/>
    <w:rsid w:val="00AF5C54"/>
    <w:rsid w:val="00AF5C5B"/>
    <w:rsid w:val="00AF5D43"/>
    <w:rsid w:val="00AF654C"/>
    <w:rsid w:val="00AF658C"/>
    <w:rsid w:val="00AF67B0"/>
    <w:rsid w:val="00AF6832"/>
    <w:rsid w:val="00AF6888"/>
    <w:rsid w:val="00AF6908"/>
    <w:rsid w:val="00AF6A67"/>
    <w:rsid w:val="00AF6CA5"/>
    <w:rsid w:val="00AF6D0C"/>
    <w:rsid w:val="00AF6E9D"/>
    <w:rsid w:val="00AF717F"/>
    <w:rsid w:val="00AF7301"/>
    <w:rsid w:val="00AF7321"/>
    <w:rsid w:val="00AF75DA"/>
    <w:rsid w:val="00AF79C6"/>
    <w:rsid w:val="00B0058B"/>
    <w:rsid w:val="00B008AC"/>
    <w:rsid w:val="00B0092E"/>
    <w:rsid w:val="00B012F5"/>
    <w:rsid w:val="00B013A5"/>
    <w:rsid w:val="00B014E5"/>
    <w:rsid w:val="00B0154C"/>
    <w:rsid w:val="00B018CA"/>
    <w:rsid w:val="00B019F2"/>
    <w:rsid w:val="00B01C58"/>
    <w:rsid w:val="00B01CE9"/>
    <w:rsid w:val="00B027ED"/>
    <w:rsid w:val="00B02A25"/>
    <w:rsid w:val="00B02EAF"/>
    <w:rsid w:val="00B032A5"/>
    <w:rsid w:val="00B032AF"/>
    <w:rsid w:val="00B03321"/>
    <w:rsid w:val="00B039F8"/>
    <w:rsid w:val="00B045D8"/>
    <w:rsid w:val="00B047A4"/>
    <w:rsid w:val="00B05014"/>
    <w:rsid w:val="00B059EC"/>
    <w:rsid w:val="00B05DBF"/>
    <w:rsid w:val="00B05DDB"/>
    <w:rsid w:val="00B05FC4"/>
    <w:rsid w:val="00B06420"/>
    <w:rsid w:val="00B066BD"/>
    <w:rsid w:val="00B06ABF"/>
    <w:rsid w:val="00B07069"/>
    <w:rsid w:val="00B07401"/>
    <w:rsid w:val="00B074F9"/>
    <w:rsid w:val="00B100BE"/>
    <w:rsid w:val="00B10340"/>
    <w:rsid w:val="00B10570"/>
    <w:rsid w:val="00B10AAB"/>
    <w:rsid w:val="00B10AD2"/>
    <w:rsid w:val="00B10B33"/>
    <w:rsid w:val="00B10BC9"/>
    <w:rsid w:val="00B10E33"/>
    <w:rsid w:val="00B110CD"/>
    <w:rsid w:val="00B1118F"/>
    <w:rsid w:val="00B118F0"/>
    <w:rsid w:val="00B11939"/>
    <w:rsid w:val="00B11949"/>
    <w:rsid w:val="00B11D8B"/>
    <w:rsid w:val="00B11F7D"/>
    <w:rsid w:val="00B121A2"/>
    <w:rsid w:val="00B12AC4"/>
    <w:rsid w:val="00B12E27"/>
    <w:rsid w:val="00B1324C"/>
    <w:rsid w:val="00B13AC6"/>
    <w:rsid w:val="00B13F30"/>
    <w:rsid w:val="00B1512E"/>
    <w:rsid w:val="00B152C2"/>
    <w:rsid w:val="00B15421"/>
    <w:rsid w:val="00B1558E"/>
    <w:rsid w:val="00B155C5"/>
    <w:rsid w:val="00B15747"/>
    <w:rsid w:val="00B15759"/>
    <w:rsid w:val="00B159CC"/>
    <w:rsid w:val="00B15CC5"/>
    <w:rsid w:val="00B15E8B"/>
    <w:rsid w:val="00B16023"/>
    <w:rsid w:val="00B16557"/>
    <w:rsid w:val="00B166EE"/>
    <w:rsid w:val="00B16838"/>
    <w:rsid w:val="00B16924"/>
    <w:rsid w:val="00B16AA9"/>
    <w:rsid w:val="00B17019"/>
    <w:rsid w:val="00B17169"/>
    <w:rsid w:val="00B20664"/>
    <w:rsid w:val="00B2077B"/>
    <w:rsid w:val="00B20DF1"/>
    <w:rsid w:val="00B21160"/>
    <w:rsid w:val="00B211AB"/>
    <w:rsid w:val="00B2147B"/>
    <w:rsid w:val="00B214D8"/>
    <w:rsid w:val="00B2150D"/>
    <w:rsid w:val="00B216C5"/>
    <w:rsid w:val="00B21A5C"/>
    <w:rsid w:val="00B21D68"/>
    <w:rsid w:val="00B21FC8"/>
    <w:rsid w:val="00B225D8"/>
    <w:rsid w:val="00B22AA4"/>
    <w:rsid w:val="00B22DBD"/>
    <w:rsid w:val="00B22F8A"/>
    <w:rsid w:val="00B23026"/>
    <w:rsid w:val="00B23291"/>
    <w:rsid w:val="00B23292"/>
    <w:rsid w:val="00B234BD"/>
    <w:rsid w:val="00B238C6"/>
    <w:rsid w:val="00B238EB"/>
    <w:rsid w:val="00B23A5A"/>
    <w:rsid w:val="00B23CD9"/>
    <w:rsid w:val="00B23FB0"/>
    <w:rsid w:val="00B24812"/>
    <w:rsid w:val="00B249D0"/>
    <w:rsid w:val="00B24AD9"/>
    <w:rsid w:val="00B25002"/>
    <w:rsid w:val="00B25029"/>
    <w:rsid w:val="00B250AF"/>
    <w:rsid w:val="00B2510D"/>
    <w:rsid w:val="00B251F0"/>
    <w:rsid w:val="00B25B8C"/>
    <w:rsid w:val="00B25F41"/>
    <w:rsid w:val="00B260F8"/>
    <w:rsid w:val="00B268BD"/>
    <w:rsid w:val="00B26CE3"/>
    <w:rsid w:val="00B26D34"/>
    <w:rsid w:val="00B273A9"/>
    <w:rsid w:val="00B274B2"/>
    <w:rsid w:val="00B27543"/>
    <w:rsid w:val="00B27A0A"/>
    <w:rsid w:val="00B27A3D"/>
    <w:rsid w:val="00B27CED"/>
    <w:rsid w:val="00B27CF5"/>
    <w:rsid w:val="00B27DDF"/>
    <w:rsid w:val="00B30216"/>
    <w:rsid w:val="00B30234"/>
    <w:rsid w:val="00B30CAF"/>
    <w:rsid w:val="00B3121A"/>
    <w:rsid w:val="00B312BA"/>
    <w:rsid w:val="00B3149B"/>
    <w:rsid w:val="00B31D29"/>
    <w:rsid w:val="00B31D5F"/>
    <w:rsid w:val="00B31DED"/>
    <w:rsid w:val="00B3206C"/>
    <w:rsid w:val="00B32120"/>
    <w:rsid w:val="00B32347"/>
    <w:rsid w:val="00B3248E"/>
    <w:rsid w:val="00B32992"/>
    <w:rsid w:val="00B32CDA"/>
    <w:rsid w:val="00B32D95"/>
    <w:rsid w:val="00B3334D"/>
    <w:rsid w:val="00B3353D"/>
    <w:rsid w:val="00B3355B"/>
    <w:rsid w:val="00B33705"/>
    <w:rsid w:val="00B33948"/>
    <w:rsid w:val="00B33A27"/>
    <w:rsid w:val="00B33E52"/>
    <w:rsid w:val="00B341BB"/>
    <w:rsid w:val="00B34308"/>
    <w:rsid w:val="00B3450E"/>
    <w:rsid w:val="00B34614"/>
    <w:rsid w:val="00B3463A"/>
    <w:rsid w:val="00B34A6F"/>
    <w:rsid w:val="00B34A89"/>
    <w:rsid w:val="00B34D8B"/>
    <w:rsid w:val="00B351D5"/>
    <w:rsid w:val="00B35218"/>
    <w:rsid w:val="00B35406"/>
    <w:rsid w:val="00B35835"/>
    <w:rsid w:val="00B35DD7"/>
    <w:rsid w:val="00B3619B"/>
    <w:rsid w:val="00B36426"/>
    <w:rsid w:val="00B3652C"/>
    <w:rsid w:val="00B3673D"/>
    <w:rsid w:val="00B36BDB"/>
    <w:rsid w:val="00B3722D"/>
    <w:rsid w:val="00B3757A"/>
    <w:rsid w:val="00B37652"/>
    <w:rsid w:val="00B377D9"/>
    <w:rsid w:val="00B37950"/>
    <w:rsid w:val="00B37AA7"/>
    <w:rsid w:val="00B37B39"/>
    <w:rsid w:val="00B37EDE"/>
    <w:rsid w:val="00B37F40"/>
    <w:rsid w:val="00B40037"/>
    <w:rsid w:val="00B4016E"/>
    <w:rsid w:val="00B4026F"/>
    <w:rsid w:val="00B402D2"/>
    <w:rsid w:val="00B409E8"/>
    <w:rsid w:val="00B40B0D"/>
    <w:rsid w:val="00B40D88"/>
    <w:rsid w:val="00B41019"/>
    <w:rsid w:val="00B41643"/>
    <w:rsid w:val="00B41EBD"/>
    <w:rsid w:val="00B41F7E"/>
    <w:rsid w:val="00B41FC8"/>
    <w:rsid w:val="00B42359"/>
    <w:rsid w:val="00B4236A"/>
    <w:rsid w:val="00B42393"/>
    <w:rsid w:val="00B4255B"/>
    <w:rsid w:val="00B426B6"/>
    <w:rsid w:val="00B42C5A"/>
    <w:rsid w:val="00B43275"/>
    <w:rsid w:val="00B435B7"/>
    <w:rsid w:val="00B43678"/>
    <w:rsid w:val="00B436AE"/>
    <w:rsid w:val="00B43A21"/>
    <w:rsid w:val="00B44595"/>
    <w:rsid w:val="00B4473B"/>
    <w:rsid w:val="00B448A0"/>
    <w:rsid w:val="00B448EC"/>
    <w:rsid w:val="00B44D64"/>
    <w:rsid w:val="00B45C6D"/>
    <w:rsid w:val="00B45F0F"/>
    <w:rsid w:val="00B46272"/>
    <w:rsid w:val="00B462C6"/>
    <w:rsid w:val="00B4636E"/>
    <w:rsid w:val="00B46811"/>
    <w:rsid w:val="00B46859"/>
    <w:rsid w:val="00B4693E"/>
    <w:rsid w:val="00B46983"/>
    <w:rsid w:val="00B46A86"/>
    <w:rsid w:val="00B46D59"/>
    <w:rsid w:val="00B46FD9"/>
    <w:rsid w:val="00B47B6A"/>
    <w:rsid w:val="00B47E7F"/>
    <w:rsid w:val="00B47E94"/>
    <w:rsid w:val="00B504B9"/>
    <w:rsid w:val="00B506C0"/>
    <w:rsid w:val="00B5078E"/>
    <w:rsid w:val="00B5081C"/>
    <w:rsid w:val="00B50E11"/>
    <w:rsid w:val="00B50EBB"/>
    <w:rsid w:val="00B512CA"/>
    <w:rsid w:val="00B51303"/>
    <w:rsid w:val="00B51403"/>
    <w:rsid w:val="00B515B9"/>
    <w:rsid w:val="00B5187B"/>
    <w:rsid w:val="00B51EAC"/>
    <w:rsid w:val="00B51F49"/>
    <w:rsid w:val="00B52003"/>
    <w:rsid w:val="00B52337"/>
    <w:rsid w:val="00B5245A"/>
    <w:rsid w:val="00B52465"/>
    <w:rsid w:val="00B524FD"/>
    <w:rsid w:val="00B52859"/>
    <w:rsid w:val="00B530A8"/>
    <w:rsid w:val="00B53813"/>
    <w:rsid w:val="00B5396E"/>
    <w:rsid w:val="00B53A5A"/>
    <w:rsid w:val="00B53E79"/>
    <w:rsid w:val="00B53FA4"/>
    <w:rsid w:val="00B54092"/>
    <w:rsid w:val="00B540D9"/>
    <w:rsid w:val="00B544DA"/>
    <w:rsid w:val="00B54741"/>
    <w:rsid w:val="00B54AFB"/>
    <w:rsid w:val="00B54C97"/>
    <w:rsid w:val="00B54DBC"/>
    <w:rsid w:val="00B54E35"/>
    <w:rsid w:val="00B55245"/>
    <w:rsid w:val="00B554BA"/>
    <w:rsid w:val="00B55A00"/>
    <w:rsid w:val="00B56584"/>
    <w:rsid w:val="00B567FE"/>
    <w:rsid w:val="00B56D7F"/>
    <w:rsid w:val="00B570A8"/>
    <w:rsid w:val="00B5720A"/>
    <w:rsid w:val="00B5774B"/>
    <w:rsid w:val="00B577D3"/>
    <w:rsid w:val="00B57AF8"/>
    <w:rsid w:val="00B57BA8"/>
    <w:rsid w:val="00B57BB5"/>
    <w:rsid w:val="00B57C45"/>
    <w:rsid w:val="00B57D08"/>
    <w:rsid w:val="00B57D10"/>
    <w:rsid w:val="00B57F11"/>
    <w:rsid w:val="00B60628"/>
    <w:rsid w:val="00B60633"/>
    <w:rsid w:val="00B6066E"/>
    <w:rsid w:val="00B60A7A"/>
    <w:rsid w:val="00B614FF"/>
    <w:rsid w:val="00B61D60"/>
    <w:rsid w:val="00B621ED"/>
    <w:rsid w:val="00B622FC"/>
    <w:rsid w:val="00B6237B"/>
    <w:rsid w:val="00B626F3"/>
    <w:rsid w:val="00B628A0"/>
    <w:rsid w:val="00B629C8"/>
    <w:rsid w:val="00B62A5C"/>
    <w:rsid w:val="00B62BC2"/>
    <w:rsid w:val="00B62C50"/>
    <w:rsid w:val="00B62DF9"/>
    <w:rsid w:val="00B632E9"/>
    <w:rsid w:val="00B6399A"/>
    <w:rsid w:val="00B63AB2"/>
    <w:rsid w:val="00B63BA0"/>
    <w:rsid w:val="00B63E65"/>
    <w:rsid w:val="00B63FB4"/>
    <w:rsid w:val="00B64458"/>
    <w:rsid w:val="00B645FA"/>
    <w:rsid w:val="00B646F0"/>
    <w:rsid w:val="00B64ED5"/>
    <w:rsid w:val="00B651A2"/>
    <w:rsid w:val="00B651B4"/>
    <w:rsid w:val="00B65609"/>
    <w:rsid w:val="00B65828"/>
    <w:rsid w:val="00B6585E"/>
    <w:rsid w:val="00B65F42"/>
    <w:rsid w:val="00B6649C"/>
    <w:rsid w:val="00B66550"/>
    <w:rsid w:val="00B669FC"/>
    <w:rsid w:val="00B673C0"/>
    <w:rsid w:val="00B67441"/>
    <w:rsid w:val="00B6751A"/>
    <w:rsid w:val="00B676D6"/>
    <w:rsid w:val="00B679D2"/>
    <w:rsid w:val="00B67DC2"/>
    <w:rsid w:val="00B70082"/>
    <w:rsid w:val="00B70164"/>
    <w:rsid w:val="00B704A5"/>
    <w:rsid w:val="00B7065C"/>
    <w:rsid w:val="00B70FB3"/>
    <w:rsid w:val="00B712A3"/>
    <w:rsid w:val="00B712B9"/>
    <w:rsid w:val="00B715EA"/>
    <w:rsid w:val="00B718C1"/>
    <w:rsid w:val="00B71ABE"/>
    <w:rsid w:val="00B724A6"/>
    <w:rsid w:val="00B7334C"/>
    <w:rsid w:val="00B735C8"/>
    <w:rsid w:val="00B73A3D"/>
    <w:rsid w:val="00B73A55"/>
    <w:rsid w:val="00B740F5"/>
    <w:rsid w:val="00B74169"/>
    <w:rsid w:val="00B7431C"/>
    <w:rsid w:val="00B744C5"/>
    <w:rsid w:val="00B749A7"/>
    <w:rsid w:val="00B749AB"/>
    <w:rsid w:val="00B74BD5"/>
    <w:rsid w:val="00B74D4A"/>
    <w:rsid w:val="00B74DE2"/>
    <w:rsid w:val="00B74F01"/>
    <w:rsid w:val="00B74FC4"/>
    <w:rsid w:val="00B75161"/>
    <w:rsid w:val="00B751ED"/>
    <w:rsid w:val="00B753D1"/>
    <w:rsid w:val="00B7563F"/>
    <w:rsid w:val="00B756E4"/>
    <w:rsid w:val="00B757AA"/>
    <w:rsid w:val="00B75C65"/>
    <w:rsid w:val="00B763F0"/>
    <w:rsid w:val="00B76481"/>
    <w:rsid w:val="00B76712"/>
    <w:rsid w:val="00B7686B"/>
    <w:rsid w:val="00B768E6"/>
    <w:rsid w:val="00B76A33"/>
    <w:rsid w:val="00B76D86"/>
    <w:rsid w:val="00B76F4E"/>
    <w:rsid w:val="00B772B0"/>
    <w:rsid w:val="00B77315"/>
    <w:rsid w:val="00B7740A"/>
    <w:rsid w:val="00B77592"/>
    <w:rsid w:val="00B775C7"/>
    <w:rsid w:val="00B77A36"/>
    <w:rsid w:val="00B80109"/>
    <w:rsid w:val="00B80460"/>
    <w:rsid w:val="00B807AF"/>
    <w:rsid w:val="00B80AF9"/>
    <w:rsid w:val="00B80D38"/>
    <w:rsid w:val="00B81060"/>
    <w:rsid w:val="00B810B8"/>
    <w:rsid w:val="00B818C7"/>
    <w:rsid w:val="00B81E47"/>
    <w:rsid w:val="00B8222B"/>
    <w:rsid w:val="00B82264"/>
    <w:rsid w:val="00B82268"/>
    <w:rsid w:val="00B829D9"/>
    <w:rsid w:val="00B82C93"/>
    <w:rsid w:val="00B82D53"/>
    <w:rsid w:val="00B82E48"/>
    <w:rsid w:val="00B83B41"/>
    <w:rsid w:val="00B83F4B"/>
    <w:rsid w:val="00B84E07"/>
    <w:rsid w:val="00B8511E"/>
    <w:rsid w:val="00B8515B"/>
    <w:rsid w:val="00B85217"/>
    <w:rsid w:val="00B8534A"/>
    <w:rsid w:val="00B8574E"/>
    <w:rsid w:val="00B85BEC"/>
    <w:rsid w:val="00B85DE1"/>
    <w:rsid w:val="00B85FE2"/>
    <w:rsid w:val="00B86045"/>
    <w:rsid w:val="00B86468"/>
    <w:rsid w:val="00B86573"/>
    <w:rsid w:val="00B865B2"/>
    <w:rsid w:val="00B86732"/>
    <w:rsid w:val="00B86B70"/>
    <w:rsid w:val="00B86BB6"/>
    <w:rsid w:val="00B86C85"/>
    <w:rsid w:val="00B875A4"/>
    <w:rsid w:val="00B87746"/>
    <w:rsid w:val="00B877F4"/>
    <w:rsid w:val="00B8797F"/>
    <w:rsid w:val="00B90E19"/>
    <w:rsid w:val="00B91025"/>
    <w:rsid w:val="00B91766"/>
    <w:rsid w:val="00B9207A"/>
    <w:rsid w:val="00B92123"/>
    <w:rsid w:val="00B921A5"/>
    <w:rsid w:val="00B929EC"/>
    <w:rsid w:val="00B92C64"/>
    <w:rsid w:val="00B9316C"/>
    <w:rsid w:val="00B9362B"/>
    <w:rsid w:val="00B939BA"/>
    <w:rsid w:val="00B93D00"/>
    <w:rsid w:val="00B9405C"/>
    <w:rsid w:val="00B940DF"/>
    <w:rsid w:val="00B940E7"/>
    <w:rsid w:val="00B9454B"/>
    <w:rsid w:val="00B949CE"/>
    <w:rsid w:val="00B94DBF"/>
    <w:rsid w:val="00B9523A"/>
    <w:rsid w:val="00B95411"/>
    <w:rsid w:val="00B958DE"/>
    <w:rsid w:val="00B961BC"/>
    <w:rsid w:val="00B9632E"/>
    <w:rsid w:val="00B9633D"/>
    <w:rsid w:val="00B96EAE"/>
    <w:rsid w:val="00B97465"/>
    <w:rsid w:val="00B97521"/>
    <w:rsid w:val="00B9787D"/>
    <w:rsid w:val="00BA004D"/>
    <w:rsid w:val="00BA02FE"/>
    <w:rsid w:val="00BA058B"/>
    <w:rsid w:val="00BA0C4C"/>
    <w:rsid w:val="00BA1074"/>
    <w:rsid w:val="00BA1139"/>
    <w:rsid w:val="00BA138D"/>
    <w:rsid w:val="00BA18B0"/>
    <w:rsid w:val="00BA1976"/>
    <w:rsid w:val="00BA1BDA"/>
    <w:rsid w:val="00BA1C9F"/>
    <w:rsid w:val="00BA1EAC"/>
    <w:rsid w:val="00BA2082"/>
    <w:rsid w:val="00BA22CB"/>
    <w:rsid w:val="00BA2532"/>
    <w:rsid w:val="00BA28B4"/>
    <w:rsid w:val="00BA2C11"/>
    <w:rsid w:val="00BA31A4"/>
    <w:rsid w:val="00BA3404"/>
    <w:rsid w:val="00BA39F7"/>
    <w:rsid w:val="00BA3E85"/>
    <w:rsid w:val="00BA3F59"/>
    <w:rsid w:val="00BA4029"/>
    <w:rsid w:val="00BA43F7"/>
    <w:rsid w:val="00BA459C"/>
    <w:rsid w:val="00BA4797"/>
    <w:rsid w:val="00BA4DA8"/>
    <w:rsid w:val="00BA4E72"/>
    <w:rsid w:val="00BA5629"/>
    <w:rsid w:val="00BA57B2"/>
    <w:rsid w:val="00BA5A5C"/>
    <w:rsid w:val="00BA5D78"/>
    <w:rsid w:val="00BA5D9C"/>
    <w:rsid w:val="00BA5FCB"/>
    <w:rsid w:val="00BA5FF0"/>
    <w:rsid w:val="00BA60AD"/>
    <w:rsid w:val="00BA634E"/>
    <w:rsid w:val="00BA67F1"/>
    <w:rsid w:val="00BA68E1"/>
    <w:rsid w:val="00BA69C4"/>
    <w:rsid w:val="00BA6E60"/>
    <w:rsid w:val="00BA76A9"/>
    <w:rsid w:val="00BA7842"/>
    <w:rsid w:val="00BA7CBF"/>
    <w:rsid w:val="00BA7EAB"/>
    <w:rsid w:val="00BA7F96"/>
    <w:rsid w:val="00BB061C"/>
    <w:rsid w:val="00BB1900"/>
    <w:rsid w:val="00BB1A63"/>
    <w:rsid w:val="00BB1E50"/>
    <w:rsid w:val="00BB2218"/>
    <w:rsid w:val="00BB22F7"/>
    <w:rsid w:val="00BB2993"/>
    <w:rsid w:val="00BB3187"/>
    <w:rsid w:val="00BB36D8"/>
    <w:rsid w:val="00BB3D8E"/>
    <w:rsid w:val="00BB48EF"/>
    <w:rsid w:val="00BB4A08"/>
    <w:rsid w:val="00BB4EBD"/>
    <w:rsid w:val="00BB5399"/>
    <w:rsid w:val="00BB54D9"/>
    <w:rsid w:val="00BB5C41"/>
    <w:rsid w:val="00BB61CE"/>
    <w:rsid w:val="00BB6703"/>
    <w:rsid w:val="00BB6868"/>
    <w:rsid w:val="00BB6948"/>
    <w:rsid w:val="00BB69C2"/>
    <w:rsid w:val="00BB69EA"/>
    <w:rsid w:val="00BB6AE9"/>
    <w:rsid w:val="00BB6C0A"/>
    <w:rsid w:val="00BB6C8A"/>
    <w:rsid w:val="00BB7703"/>
    <w:rsid w:val="00BB7727"/>
    <w:rsid w:val="00BB7AEC"/>
    <w:rsid w:val="00BC0438"/>
    <w:rsid w:val="00BC0463"/>
    <w:rsid w:val="00BC0703"/>
    <w:rsid w:val="00BC0835"/>
    <w:rsid w:val="00BC0AAF"/>
    <w:rsid w:val="00BC0F63"/>
    <w:rsid w:val="00BC0FCA"/>
    <w:rsid w:val="00BC14BE"/>
    <w:rsid w:val="00BC1873"/>
    <w:rsid w:val="00BC1B8F"/>
    <w:rsid w:val="00BC1DBF"/>
    <w:rsid w:val="00BC1EE9"/>
    <w:rsid w:val="00BC1F19"/>
    <w:rsid w:val="00BC1FC8"/>
    <w:rsid w:val="00BC2052"/>
    <w:rsid w:val="00BC2283"/>
    <w:rsid w:val="00BC2680"/>
    <w:rsid w:val="00BC2704"/>
    <w:rsid w:val="00BC286E"/>
    <w:rsid w:val="00BC29B8"/>
    <w:rsid w:val="00BC2A71"/>
    <w:rsid w:val="00BC2D6D"/>
    <w:rsid w:val="00BC2F1E"/>
    <w:rsid w:val="00BC322F"/>
    <w:rsid w:val="00BC35AC"/>
    <w:rsid w:val="00BC3791"/>
    <w:rsid w:val="00BC3B34"/>
    <w:rsid w:val="00BC3BBE"/>
    <w:rsid w:val="00BC3DB8"/>
    <w:rsid w:val="00BC3F17"/>
    <w:rsid w:val="00BC3F78"/>
    <w:rsid w:val="00BC3FFD"/>
    <w:rsid w:val="00BC4568"/>
    <w:rsid w:val="00BC45EC"/>
    <w:rsid w:val="00BC48AB"/>
    <w:rsid w:val="00BC48C6"/>
    <w:rsid w:val="00BC4B3A"/>
    <w:rsid w:val="00BC4B3E"/>
    <w:rsid w:val="00BC4CD2"/>
    <w:rsid w:val="00BC4DD4"/>
    <w:rsid w:val="00BC4E91"/>
    <w:rsid w:val="00BC4E9A"/>
    <w:rsid w:val="00BC51BC"/>
    <w:rsid w:val="00BC5219"/>
    <w:rsid w:val="00BC5348"/>
    <w:rsid w:val="00BC567A"/>
    <w:rsid w:val="00BC5C3D"/>
    <w:rsid w:val="00BC5E11"/>
    <w:rsid w:val="00BC613A"/>
    <w:rsid w:val="00BC6378"/>
    <w:rsid w:val="00BC64BF"/>
    <w:rsid w:val="00BC6A08"/>
    <w:rsid w:val="00BC6AEB"/>
    <w:rsid w:val="00BC6E84"/>
    <w:rsid w:val="00BC6FA4"/>
    <w:rsid w:val="00BC701C"/>
    <w:rsid w:val="00BC757E"/>
    <w:rsid w:val="00BC7681"/>
    <w:rsid w:val="00BC768B"/>
    <w:rsid w:val="00BC772A"/>
    <w:rsid w:val="00BC7829"/>
    <w:rsid w:val="00BC788D"/>
    <w:rsid w:val="00BC7BAB"/>
    <w:rsid w:val="00BD0369"/>
    <w:rsid w:val="00BD03BA"/>
    <w:rsid w:val="00BD04A2"/>
    <w:rsid w:val="00BD088E"/>
    <w:rsid w:val="00BD0946"/>
    <w:rsid w:val="00BD0B76"/>
    <w:rsid w:val="00BD0E65"/>
    <w:rsid w:val="00BD0FE9"/>
    <w:rsid w:val="00BD1526"/>
    <w:rsid w:val="00BD16A3"/>
    <w:rsid w:val="00BD1818"/>
    <w:rsid w:val="00BD18A7"/>
    <w:rsid w:val="00BD1907"/>
    <w:rsid w:val="00BD1C2D"/>
    <w:rsid w:val="00BD209D"/>
    <w:rsid w:val="00BD2180"/>
    <w:rsid w:val="00BD2400"/>
    <w:rsid w:val="00BD2493"/>
    <w:rsid w:val="00BD2972"/>
    <w:rsid w:val="00BD2980"/>
    <w:rsid w:val="00BD2C18"/>
    <w:rsid w:val="00BD2E0F"/>
    <w:rsid w:val="00BD383D"/>
    <w:rsid w:val="00BD4556"/>
    <w:rsid w:val="00BD4710"/>
    <w:rsid w:val="00BD490C"/>
    <w:rsid w:val="00BD5627"/>
    <w:rsid w:val="00BD579A"/>
    <w:rsid w:val="00BD5E88"/>
    <w:rsid w:val="00BD6143"/>
    <w:rsid w:val="00BD61C4"/>
    <w:rsid w:val="00BD672C"/>
    <w:rsid w:val="00BD677D"/>
    <w:rsid w:val="00BD68E8"/>
    <w:rsid w:val="00BD71D2"/>
    <w:rsid w:val="00BD7657"/>
    <w:rsid w:val="00BD766F"/>
    <w:rsid w:val="00BD7731"/>
    <w:rsid w:val="00BD7CA0"/>
    <w:rsid w:val="00BD7CDF"/>
    <w:rsid w:val="00BD7E9E"/>
    <w:rsid w:val="00BE0272"/>
    <w:rsid w:val="00BE0408"/>
    <w:rsid w:val="00BE0A0D"/>
    <w:rsid w:val="00BE0CBB"/>
    <w:rsid w:val="00BE0D14"/>
    <w:rsid w:val="00BE1164"/>
    <w:rsid w:val="00BE1215"/>
    <w:rsid w:val="00BE1470"/>
    <w:rsid w:val="00BE1855"/>
    <w:rsid w:val="00BE1AE5"/>
    <w:rsid w:val="00BE1EA8"/>
    <w:rsid w:val="00BE203D"/>
    <w:rsid w:val="00BE29EB"/>
    <w:rsid w:val="00BE3328"/>
    <w:rsid w:val="00BE39AF"/>
    <w:rsid w:val="00BE3ACC"/>
    <w:rsid w:val="00BE3D21"/>
    <w:rsid w:val="00BE3EA4"/>
    <w:rsid w:val="00BE41BD"/>
    <w:rsid w:val="00BE46BD"/>
    <w:rsid w:val="00BE4A44"/>
    <w:rsid w:val="00BE4E1D"/>
    <w:rsid w:val="00BE52D0"/>
    <w:rsid w:val="00BE5542"/>
    <w:rsid w:val="00BE5C3F"/>
    <w:rsid w:val="00BE5FB1"/>
    <w:rsid w:val="00BE6206"/>
    <w:rsid w:val="00BE63A0"/>
    <w:rsid w:val="00BE646E"/>
    <w:rsid w:val="00BE6503"/>
    <w:rsid w:val="00BE6579"/>
    <w:rsid w:val="00BE6AF5"/>
    <w:rsid w:val="00BE6C2A"/>
    <w:rsid w:val="00BE6F7E"/>
    <w:rsid w:val="00BE7008"/>
    <w:rsid w:val="00BE7364"/>
    <w:rsid w:val="00BE7503"/>
    <w:rsid w:val="00BE7C3A"/>
    <w:rsid w:val="00BE7ED9"/>
    <w:rsid w:val="00BF08EE"/>
    <w:rsid w:val="00BF0BD8"/>
    <w:rsid w:val="00BF158D"/>
    <w:rsid w:val="00BF1771"/>
    <w:rsid w:val="00BF1986"/>
    <w:rsid w:val="00BF1AF5"/>
    <w:rsid w:val="00BF1BBE"/>
    <w:rsid w:val="00BF1CB1"/>
    <w:rsid w:val="00BF1D2B"/>
    <w:rsid w:val="00BF1DE9"/>
    <w:rsid w:val="00BF2002"/>
    <w:rsid w:val="00BF2122"/>
    <w:rsid w:val="00BF2354"/>
    <w:rsid w:val="00BF2556"/>
    <w:rsid w:val="00BF2F0E"/>
    <w:rsid w:val="00BF2F5F"/>
    <w:rsid w:val="00BF362A"/>
    <w:rsid w:val="00BF3957"/>
    <w:rsid w:val="00BF3E3B"/>
    <w:rsid w:val="00BF4015"/>
    <w:rsid w:val="00BF4078"/>
    <w:rsid w:val="00BF46B0"/>
    <w:rsid w:val="00BF479A"/>
    <w:rsid w:val="00BF4C57"/>
    <w:rsid w:val="00BF4CA2"/>
    <w:rsid w:val="00BF4F01"/>
    <w:rsid w:val="00BF4F81"/>
    <w:rsid w:val="00BF5368"/>
    <w:rsid w:val="00BF55ED"/>
    <w:rsid w:val="00BF55FF"/>
    <w:rsid w:val="00BF56CC"/>
    <w:rsid w:val="00BF56D1"/>
    <w:rsid w:val="00BF5739"/>
    <w:rsid w:val="00BF594B"/>
    <w:rsid w:val="00BF594E"/>
    <w:rsid w:val="00BF59C7"/>
    <w:rsid w:val="00BF59CD"/>
    <w:rsid w:val="00BF61C8"/>
    <w:rsid w:val="00BF63DC"/>
    <w:rsid w:val="00BF6517"/>
    <w:rsid w:val="00BF68E0"/>
    <w:rsid w:val="00BF6BB4"/>
    <w:rsid w:val="00BF6E99"/>
    <w:rsid w:val="00BF6F3C"/>
    <w:rsid w:val="00BF701B"/>
    <w:rsid w:val="00BF747E"/>
    <w:rsid w:val="00BF7792"/>
    <w:rsid w:val="00BF77EB"/>
    <w:rsid w:val="00BF7A9B"/>
    <w:rsid w:val="00BF7ADE"/>
    <w:rsid w:val="00BF7BDB"/>
    <w:rsid w:val="00BF7E4E"/>
    <w:rsid w:val="00C009AF"/>
    <w:rsid w:val="00C00A57"/>
    <w:rsid w:val="00C00D29"/>
    <w:rsid w:val="00C00D54"/>
    <w:rsid w:val="00C0144E"/>
    <w:rsid w:val="00C01F5F"/>
    <w:rsid w:val="00C02024"/>
    <w:rsid w:val="00C02065"/>
    <w:rsid w:val="00C02416"/>
    <w:rsid w:val="00C02585"/>
    <w:rsid w:val="00C027DE"/>
    <w:rsid w:val="00C028A0"/>
    <w:rsid w:val="00C02D06"/>
    <w:rsid w:val="00C0317B"/>
    <w:rsid w:val="00C031D2"/>
    <w:rsid w:val="00C0320C"/>
    <w:rsid w:val="00C03372"/>
    <w:rsid w:val="00C034E3"/>
    <w:rsid w:val="00C0405F"/>
    <w:rsid w:val="00C04B8A"/>
    <w:rsid w:val="00C04F78"/>
    <w:rsid w:val="00C05430"/>
    <w:rsid w:val="00C05436"/>
    <w:rsid w:val="00C05483"/>
    <w:rsid w:val="00C055E0"/>
    <w:rsid w:val="00C0563C"/>
    <w:rsid w:val="00C05743"/>
    <w:rsid w:val="00C0581A"/>
    <w:rsid w:val="00C059FA"/>
    <w:rsid w:val="00C05FE2"/>
    <w:rsid w:val="00C062D4"/>
    <w:rsid w:val="00C06425"/>
    <w:rsid w:val="00C06472"/>
    <w:rsid w:val="00C066EF"/>
    <w:rsid w:val="00C0696C"/>
    <w:rsid w:val="00C06A42"/>
    <w:rsid w:val="00C06C17"/>
    <w:rsid w:val="00C06CA1"/>
    <w:rsid w:val="00C06EB0"/>
    <w:rsid w:val="00C0701B"/>
    <w:rsid w:val="00C073F4"/>
    <w:rsid w:val="00C07852"/>
    <w:rsid w:val="00C078D5"/>
    <w:rsid w:val="00C07B22"/>
    <w:rsid w:val="00C102FF"/>
    <w:rsid w:val="00C10567"/>
    <w:rsid w:val="00C1079E"/>
    <w:rsid w:val="00C108C2"/>
    <w:rsid w:val="00C10B31"/>
    <w:rsid w:val="00C10C25"/>
    <w:rsid w:val="00C10E14"/>
    <w:rsid w:val="00C11084"/>
    <w:rsid w:val="00C11B52"/>
    <w:rsid w:val="00C11BC4"/>
    <w:rsid w:val="00C11DC3"/>
    <w:rsid w:val="00C11ECD"/>
    <w:rsid w:val="00C121ED"/>
    <w:rsid w:val="00C122F7"/>
    <w:rsid w:val="00C12357"/>
    <w:rsid w:val="00C126A8"/>
    <w:rsid w:val="00C12901"/>
    <w:rsid w:val="00C12950"/>
    <w:rsid w:val="00C12B69"/>
    <w:rsid w:val="00C12C26"/>
    <w:rsid w:val="00C13108"/>
    <w:rsid w:val="00C133CF"/>
    <w:rsid w:val="00C1344F"/>
    <w:rsid w:val="00C13B71"/>
    <w:rsid w:val="00C13E94"/>
    <w:rsid w:val="00C14120"/>
    <w:rsid w:val="00C14183"/>
    <w:rsid w:val="00C14306"/>
    <w:rsid w:val="00C148E6"/>
    <w:rsid w:val="00C14917"/>
    <w:rsid w:val="00C14DA6"/>
    <w:rsid w:val="00C150BD"/>
    <w:rsid w:val="00C1513C"/>
    <w:rsid w:val="00C1595F"/>
    <w:rsid w:val="00C15CF5"/>
    <w:rsid w:val="00C16311"/>
    <w:rsid w:val="00C163CB"/>
    <w:rsid w:val="00C1644D"/>
    <w:rsid w:val="00C16602"/>
    <w:rsid w:val="00C167AF"/>
    <w:rsid w:val="00C16E9B"/>
    <w:rsid w:val="00C17131"/>
    <w:rsid w:val="00C1737A"/>
    <w:rsid w:val="00C17DFF"/>
    <w:rsid w:val="00C17F53"/>
    <w:rsid w:val="00C20E78"/>
    <w:rsid w:val="00C20E8A"/>
    <w:rsid w:val="00C20EDE"/>
    <w:rsid w:val="00C20F87"/>
    <w:rsid w:val="00C214A0"/>
    <w:rsid w:val="00C216DC"/>
    <w:rsid w:val="00C21DCE"/>
    <w:rsid w:val="00C21E07"/>
    <w:rsid w:val="00C21E26"/>
    <w:rsid w:val="00C21F99"/>
    <w:rsid w:val="00C2227E"/>
    <w:rsid w:val="00C226FA"/>
    <w:rsid w:val="00C22817"/>
    <w:rsid w:val="00C22B01"/>
    <w:rsid w:val="00C22DF9"/>
    <w:rsid w:val="00C237B9"/>
    <w:rsid w:val="00C2383E"/>
    <w:rsid w:val="00C23B81"/>
    <w:rsid w:val="00C24338"/>
    <w:rsid w:val="00C24594"/>
    <w:rsid w:val="00C2469F"/>
    <w:rsid w:val="00C25073"/>
    <w:rsid w:val="00C25329"/>
    <w:rsid w:val="00C2546A"/>
    <w:rsid w:val="00C25A29"/>
    <w:rsid w:val="00C25DCF"/>
    <w:rsid w:val="00C2635C"/>
    <w:rsid w:val="00C263FD"/>
    <w:rsid w:val="00C26B8B"/>
    <w:rsid w:val="00C26CC1"/>
    <w:rsid w:val="00C26D1C"/>
    <w:rsid w:val="00C26F5E"/>
    <w:rsid w:val="00C2703C"/>
    <w:rsid w:val="00C27118"/>
    <w:rsid w:val="00C2713C"/>
    <w:rsid w:val="00C272C4"/>
    <w:rsid w:val="00C2735D"/>
    <w:rsid w:val="00C27460"/>
    <w:rsid w:val="00C27A74"/>
    <w:rsid w:val="00C27A9F"/>
    <w:rsid w:val="00C27C99"/>
    <w:rsid w:val="00C27D5B"/>
    <w:rsid w:val="00C27E47"/>
    <w:rsid w:val="00C302D1"/>
    <w:rsid w:val="00C305BF"/>
    <w:rsid w:val="00C30BAB"/>
    <w:rsid w:val="00C3106A"/>
    <w:rsid w:val="00C31077"/>
    <w:rsid w:val="00C311C6"/>
    <w:rsid w:val="00C311CD"/>
    <w:rsid w:val="00C31224"/>
    <w:rsid w:val="00C3165F"/>
    <w:rsid w:val="00C31947"/>
    <w:rsid w:val="00C31AED"/>
    <w:rsid w:val="00C31BA3"/>
    <w:rsid w:val="00C31C37"/>
    <w:rsid w:val="00C31C40"/>
    <w:rsid w:val="00C31F96"/>
    <w:rsid w:val="00C3210A"/>
    <w:rsid w:val="00C32332"/>
    <w:rsid w:val="00C3253E"/>
    <w:rsid w:val="00C32C69"/>
    <w:rsid w:val="00C32D48"/>
    <w:rsid w:val="00C32E74"/>
    <w:rsid w:val="00C33175"/>
    <w:rsid w:val="00C332D7"/>
    <w:rsid w:val="00C33405"/>
    <w:rsid w:val="00C33557"/>
    <w:rsid w:val="00C336E0"/>
    <w:rsid w:val="00C336E1"/>
    <w:rsid w:val="00C337DF"/>
    <w:rsid w:val="00C3384D"/>
    <w:rsid w:val="00C339B4"/>
    <w:rsid w:val="00C33D23"/>
    <w:rsid w:val="00C33DE2"/>
    <w:rsid w:val="00C33E19"/>
    <w:rsid w:val="00C340DB"/>
    <w:rsid w:val="00C3462F"/>
    <w:rsid w:val="00C34C86"/>
    <w:rsid w:val="00C34EE1"/>
    <w:rsid w:val="00C35BC6"/>
    <w:rsid w:val="00C35C46"/>
    <w:rsid w:val="00C35D41"/>
    <w:rsid w:val="00C36471"/>
    <w:rsid w:val="00C3661F"/>
    <w:rsid w:val="00C366B6"/>
    <w:rsid w:val="00C36C95"/>
    <w:rsid w:val="00C36F36"/>
    <w:rsid w:val="00C36FD6"/>
    <w:rsid w:val="00C36FED"/>
    <w:rsid w:val="00C3769E"/>
    <w:rsid w:val="00C376BC"/>
    <w:rsid w:val="00C37942"/>
    <w:rsid w:val="00C37AB4"/>
    <w:rsid w:val="00C40920"/>
    <w:rsid w:val="00C40CF8"/>
    <w:rsid w:val="00C41204"/>
    <w:rsid w:val="00C41370"/>
    <w:rsid w:val="00C41693"/>
    <w:rsid w:val="00C419B0"/>
    <w:rsid w:val="00C41BDE"/>
    <w:rsid w:val="00C41E8C"/>
    <w:rsid w:val="00C41F5E"/>
    <w:rsid w:val="00C42360"/>
    <w:rsid w:val="00C423C7"/>
    <w:rsid w:val="00C42651"/>
    <w:rsid w:val="00C4279E"/>
    <w:rsid w:val="00C42A14"/>
    <w:rsid w:val="00C42E37"/>
    <w:rsid w:val="00C431DA"/>
    <w:rsid w:val="00C43422"/>
    <w:rsid w:val="00C4376C"/>
    <w:rsid w:val="00C43778"/>
    <w:rsid w:val="00C439F2"/>
    <w:rsid w:val="00C43B76"/>
    <w:rsid w:val="00C43BE4"/>
    <w:rsid w:val="00C43F30"/>
    <w:rsid w:val="00C43F9B"/>
    <w:rsid w:val="00C440C3"/>
    <w:rsid w:val="00C44247"/>
    <w:rsid w:val="00C44555"/>
    <w:rsid w:val="00C451C8"/>
    <w:rsid w:val="00C45237"/>
    <w:rsid w:val="00C4532B"/>
    <w:rsid w:val="00C453DB"/>
    <w:rsid w:val="00C45789"/>
    <w:rsid w:val="00C45A74"/>
    <w:rsid w:val="00C46350"/>
    <w:rsid w:val="00C463D0"/>
    <w:rsid w:val="00C469F5"/>
    <w:rsid w:val="00C46AD2"/>
    <w:rsid w:val="00C46C46"/>
    <w:rsid w:val="00C46ECD"/>
    <w:rsid w:val="00C473F0"/>
    <w:rsid w:val="00C474B1"/>
    <w:rsid w:val="00C474DC"/>
    <w:rsid w:val="00C47672"/>
    <w:rsid w:val="00C47A91"/>
    <w:rsid w:val="00C50152"/>
    <w:rsid w:val="00C50621"/>
    <w:rsid w:val="00C506C2"/>
    <w:rsid w:val="00C50733"/>
    <w:rsid w:val="00C5096E"/>
    <w:rsid w:val="00C50C2A"/>
    <w:rsid w:val="00C50D17"/>
    <w:rsid w:val="00C50D22"/>
    <w:rsid w:val="00C50D63"/>
    <w:rsid w:val="00C50E4E"/>
    <w:rsid w:val="00C51262"/>
    <w:rsid w:val="00C513AD"/>
    <w:rsid w:val="00C51708"/>
    <w:rsid w:val="00C51951"/>
    <w:rsid w:val="00C51978"/>
    <w:rsid w:val="00C51C76"/>
    <w:rsid w:val="00C52019"/>
    <w:rsid w:val="00C5205D"/>
    <w:rsid w:val="00C521C7"/>
    <w:rsid w:val="00C52486"/>
    <w:rsid w:val="00C52725"/>
    <w:rsid w:val="00C52810"/>
    <w:rsid w:val="00C52933"/>
    <w:rsid w:val="00C52B05"/>
    <w:rsid w:val="00C52BC6"/>
    <w:rsid w:val="00C53191"/>
    <w:rsid w:val="00C536B9"/>
    <w:rsid w:val="00C537E2"/>
    <w:rsid w:val="00C53ECF"/>
    <w:rsid w:val="00C542ED"/>
    <w:rsid w:val="00C54BB3"/>
    <w:rsid w:val="00C54CAB"/>
    <w:rsid w:val="00C550D6"/>
    <w:rsid w:val="00C5516C"/>
    <w:rsid w:val="00C55368"/>
    <w:rsid w:val="00C55998"/>
    <w:rsid w:val="00C55C05"/>
    <w:rsid w:val="00C55C65"/>
    <w:rsid w:val="00C55E31"/>
    <w:rsid w:val="00C55EBF"/>
    <w:rsid w:val="00C55FAD"/>
    <w:rsid w:val="00C565E6"/>
    <w:rsid w:val="00C567A2"/>
    <w:rsid w:val="00C567B7"/>
    <w:rsid w:val="00C56B58"/>
    <w:rsid w:val="00C56C71"/>
    <w:rsid w:val="00C56CC7"/>
    <w:rsid w:val="00C56D81"/>
    <w:rsid w:val="00C56F42"/>
    <w:rsid w:val="00C57009"/>
    <w:rsid w:val="00C57524"/>
    <w:rsid w:val="00C576DA"/>
    <w:rsid w:val="00C5786F"/>
    <w:rsid w:val="00C57A96"/>
    <w:rsid w:val="00C57D0B"/>
    <w:rsid w:val="00C57F91"/>
    <w:rsid w:val="00C57FFC"/>
    <w:rsid w:val="00C6043A"/>
    <w:rsid w:val="00C60446"/>
    <w:rsid w:val="00C6058A"/>
    <w:rsid w:val="00C60A0B"/>
    <w:rsid w:val="00C60E00"/>
    <w:rsid w:val="00C60F2E"/>
    <w:rsid w:val="00C60FB8"/>
    <w:rsid w:val="00C617BE"/>
    <w:rsid w:val="00C61E0A"/>
    <w:rsid w:val="00C62304"/>
    <w:rsid w:val="00C62397"/>
    <w:rsid w:val="00C62BC6"/>
    <w:rsid w:val="00C62EB0"/>
    <w:rsid w:val="00C62F59"/>
    <w:rsid w:val="00C6345F"/>
    <w:rsid w:val="00C63AE6"/>
    <w:rsid w:val="00C63B43"/>
    <w:rsid w:val="00C63ED4"/>
    <w:rsid w:val="00C642E2"/>
    <w:rsid w:val="00C644F1"/>
    <w:rsid w:val="00C64763"/>
    <w:rsid w:val="00C652EE"/>
    <w:rsid w:val="00C65370"/>
    <w:rsid w:val="00C65462"/>
    <w:rsid w:val="00C65466"/>
    <w:rsid w:val="00C65A3A"/>
    <w:rsid w:val="00C65CF2"/>
    <w:rsid w:val="00C65ED9"/>
    <w:rsid w:val="00C6610E"/>
    <w:rsid w:val="00C66338"/>
    <w:rsid w:val="00C664E7"/>
    <w:rsid w:val="00C6679B"/>
    <w:rsid w:val="00C668BD"/>
    <w:rsid w:val="00C66B33"/>
    <w:rsid w:val="00C66BA4"/>
    <w:rsid w:val="00C66BE0"/>
    <w:rsid w:val="00C66DF1"/>
    <w:rsid w:val="00C67260"/>
    <w:rsid w:val="00C67541"/>
    <w:rsid w:val="00C679D6"/>
    <w:rsid w:val="00C67F2C"/>
    <w:rsid w:val="00C70004"/>
    <w:rsid w:val="00C701A9"/>
    <w:rsid w:val="00C70770"/>
    <w:rsid w:val="00C70D2F"/>
    <w:rsid w:val="00C70DEA"/>
    <w:rsid w:val="00C710CF"/>
    <w:rsid w:val="00C711FD"/>
    <w:rsid w:val="00C714C5"/>
    <w:rsid w:val="00C714CD"/>
    <w:rsid w:val="00C71858"/>
    <w:rsid w:val="00C71980"/>
    <w:rsid w:val="00C71C7C"/>
    <w:rsid w:val="00C71D05"/>
    <w:rsid w:val="00C72020"/>
    <w:rsid w:val="00C72062"/>
    <w:rsid w:val="00C723F1"/>
    <w:rsid w:val="00C7241D"/>
    <w:rsid w:val="00C724DD"/>
    <w:rsid w:val="00C7262B"/>
    <w:rsid w:val="00C72637"/>
    <w:rsid w:val="00C726B6"/>
    <w:rsid w:val="00C72820"/>
    <w:rsid w:val="00C72CA8"/>
    <w:rsid w:val="00C72D73"/>
    <w:rsid w:val="00C73D1F"/>
    <w:rsid w:val="00C73D56"/>
    <w:rsid w:val="00C74983"/>
    <w:rsid w:val="00C749B3"/>
    <w:rsid w:val="00C74C6A"/>
    <w:rsid w:val="00C753A0"/>
    <w:rsid w:val="00C75DDA"/>
    <w:rsid w:val="00C75E03"/>
    <w:rsid w:val="00C75EDF"/>
    <w:rsid w:val="00C75F61"/>
    <w:rsid w:val="00C76004"/>
    <w:rsid w:val="00C7632F"/>
    <w:rsid w:val="00C76356"/>
    <w:rsid w:val="00C7651B"/>
    <w:rsid w:val="00C765BD"/>
    <w:rsid w:val="00C766FD"/>
    <w:rsid w:val="00C76734"/>
    <w:rsid w:val="00C768DC"/>
    <w:rsid w:val="00C76BC0"/>
    <w:rsid w:val="00C76BC8"/>
    <w:rsid w:val="00C7746E"/>
    <w:rsid w:val="00C77503"/>
    <w:rsid w:val="00C7790A"/>
    <w:rsid w:val="00C77BA6"/>
    <w:rsid w:val="00C77BE5"/>
    <w:rsid w:val="00C77E4C"/>
    <w:rsid w:val="00C80072"/>
    <w:rsid w:val="00C801C3"/>
    <w:rsid w:val="00C802B3"/>
    <w:rsid w:val="00C803F8"/>
    <w:rsid w:val="00C81106"/>
    <w:rsid w:val="00C81167"/>
    <w:rsid w:val="00C81180"/>
    <w:rsid w:val="00C816F1"/>
    <w:rsid w:val="00C81AC1"/>
    <w:rsid w:val="00C81B0B"/>
    <w:rsid w:val="00C81C4C"/>
    <w:rsid w:val="00C826EE"/>
    <w:rsid w:val="00C82885"/>
    <w:rsid w:val="00C82A90"/>
    <w:rsid w:val="00C82CCF"/>
    <w:rsid w:val="00C82DCA"/>
    <w:rsid w:val="00C82E03"/>
    <w:rsid w:val="00C82F60"/>
    <w:rsid w:val="00C83030"/>
    <w:rsid w:val="00C831DF"/>
    <w:rsid w:val="00C83861"/>
    <w:rsid w:val="00C8387F"/>
    <w:rsid w:val="00C83A0F"/>
    <w:rsid w:val="00C83D3B"/>
    <w:rsid w:val="00C84239"/>
    <w:rsid w:val="00C8423D"/>
    <w:rsid w:val="00C8447F"/>
    <w:rsid w:val="00C84606"/>
    <w:rsid w:val="00C84741"/>
    <w:rsid w:val="00C8496E"/>
    <w:rsid w:val="00C84AC5"/>
    <w:rsid w:val="00C84DA7"/>
    <w:rsid w:val="00C852A6"/>
    <w:rsid w:val="00C85490"/>
    <w:rsid w:val="00C859BA"/>
    <w:rsid w:val="00C85C22"/>
    <w:rsid w:val="00C85DA1"/>
    <w:rsid w:val="00C85E23"/>
    <w:rsid w:val="00C86003"/>
    <w:rsid w:val="00C860E0"/>
    <w:rsid w:val="00C860FF"/>
    <w:rsid w:val="00C86BC2"/>
    <w:rsid w:val="00C86D8A"/>
    <w:rsid w:val="00C86ED7"/>
    <w:rsid w:val="00C86FB9"/>
    <w:rsid w:val="00C86FF1"/>
    <w:rsid w:val="00C8747B"/>
    <w:rsid w:val="00C90103"/>
    <w:rsid w:val="00C9022C"/>
    <w:rsid w:val="00C90322"/>
    <w:rsid w:val="00C90B40"/>
    <w:rsid w:val="00C90BC3"/>
    <w:rsid w:val="00C912B8"/>
    <w:rsid w:val="00C91552"/>
    <w:rsid w:val="00C920AD"/>
    <w:rsid w:val="00C9235E"/>
    <w:rsid w:val="00C923B8"/>
    <w:rsid w:val="00C92578"/>
    <w:rsid w:val="00C92CC6"/>
    <w:rsid w:val="00C94152"/>
    <w:rsid w:val="00C9451D"/>
    <w:rsid w:val="00C948D6"/>
    <w:rsid w:val="00C949D7"/>
    <w:rsid w:val="00C94BFF"/>
    <w:rsid w:val="00C94D3C"/>
    <w:rsid w:val="00C94DB0"/>
    <w:rsid w:val="00C94EFE"/>
    <w:rsid w:val="00C94F1A"/>
    <w:rsid w:val="00C9568B"/>
    <w:rsid w:val="00C957D3"/>
    <w:rsid w:val="00C95CC2"/>
    <w:rsid w:val="00C95CF0"/>
    <w:rsid w:val="00C95E0F"/>
    <w:rsid w:val="00C9638C"/>
    <w:rsid w:val="00C969C6"/>
    <w:rsid w:val="00C96C40"/>
    <w:rsid w:val="00C96DB7"/>
    <w:rsid w:val="00C97539"/>
    <w:rsid w:val="00C9768C"/>
    <w:rsid w:val="00C979E8"/>
    <w:rsid w:val="00C97C4B"/>
    <w:rsid w:val="00C97DB0"/>
    <w:rsid w:val="00C97F38"/>
    <w:rsid w:val="00C97FB7"/>
    <w:rsid w:val="00CA0209"/>
    <w:rsid w:val="00CA0538"/>
    <w:rsid w:val="00CA05C1"/>
    <w:rsid w:val="00CA065D"/>
    <w:rsid w:val="00CA096B"/>
    <w:rsid w:val="00CA0AFC"/>
    <w:rsid w:val="00CA1188"/>
    <w:rsid w:val="00CA1361"/>
    <w:rsid w:val="00CA13D4"/>
    <w:rsid w:val="00CA1835"/>
    <w:rsid w:val="00CA18A1"/>
    <w:rsid w:val="00CA1C43"/>
    <w:rsid w:val="00CA211D"/>
    <w:rsid w:val="00CA22AF"/>
    <w:rsid w:val="00CA22DE"/>
    <w:rsid w:val="00CA259B"/>
    <w:rsid w:val="00CA26DE"/>
    <w:rsid w:val="00CA2996"/>
    <w:rsid w:val="00CA2CDF"/>
    <w:rsid w:val="00CA332E"/>
    <w:rsid w:val="00CA345A"/>
    <w:rsid w:val="00CA390C"/>
    <w:rsid w:val="00CA393D"/>
    <w:rsid w:val="00CA3D16"/>
    <w:rsid w:val="00CA4187"/>
    <w:rsid w:val="00CA47D3"/>
    <w:rsid w:val="00CA4A64"/>
    <w:rsid w:val="00CA4C5B"/>
    <w:rsid w:val="00CA4D01"/>
    <w:rsid w:val="00CA4DEE"/>
    <w:rsid w:val="00CA4E24"/>
    <w:rsid w:val="00CA50C9"/>
    <w:rsid w:val="00CA5214"/>
    <w:rsid w:val="00CA56C1"/>
    <w:rsid w:val="00CA60EC"/>
    <w:rsid w:val="00CA64D4"/>
    <w:rsid w:val="00CA658C"/>
    <w:rsid w:val="00CA66DB"/>
    <w:rsid w:val="00CA66DF"/>
    <w:rsid w:val="00CA6F13"/>
    <w:rsid w:val="00CA7608"/>
    <w:rsid w:val="00CB0363"/>
    <w:rsid w:val="00CB0665"/>
    <w:rsid w:val="00CB06CB"/>
    <w:rsid w:val="00CB08B0"/>
    <w:rsid w:val="00CB0E0F"/>
    <w:rsid w:val="00CB0E70"/>
    <w:rsid w:val="00CB1025"/>
    <w:rsid w:val="00CB105F"/>
    <w:rsid w:val="00CB111A"/>
    <w:rsid w:val="00CB1448"/>
    <w:rsid w:val="00CB144D"/>
    <w:rsid w:val="00CB146E"/>
    <w:rsid w:val="00CB17FB"/>
    <w:rsid w:val="00CB184C"/>
    <w:rsid w:val="00CB1F62"/>
    <w:rsid w:val="00CB220C"/>
    <w:rsid w:val="00CB2214"/>
    <w:rsid w:val="00CB23E4"/>
    <w:rsid w:val="00CB2964"/>
    <w:rsid w:val="00CB2BAB"/>
    <w:rsid w:val="00CB2FC2"/>
    <w:rsid w:val="00CB31E6"/>
    <w:rsid w:val="00CB325B"/>
    <w:rsid w:val="00CB3286"/>
    <w:rsid w:val="00CB3996"/>
    <w:rsid w:val="00CB3AA6"/>
    <w:rsid w:val="00CB3D51"/>
    <w:rsid w:val="00CB3DC2"/>
    <w:rsid w:val="00CB3F2E"/>
    <w:rsid w:val="00CB409F"/>
    <w:rsid w:val="00CB4F35"/>
    <w:rsid w:val="00CB53AF"/>
    <w:rsid w:val="00CB5563"/>
    <w:rsid w:val="00CB5731"/>
    <w:rsid w:val="00CB5803"/>
    <w:rsid w:val="00CB5C5E"/>
    <w:rsid w:val="00CB63DB"/>
    <w:rsid w:val="00CB667E"/>
    <w:rsid w:val="00CB6AE7"/>
    <w:rsid w:val="00CB6C79"/>
    <w:rsid w:val="00CB71DF"/>
    <w:rsid w:val="00CB78CD"/>
    <w:rsid w:val="00CC00BB"/>
    <w:rsid w:val="00CC0898"/>
    <w:rsid w:val="00CC0C43"/>
    <w:rsid w:val="00CC0D92"/>
    <w:rsid w:val="00CC128F"/>
    <w:rsid w:val="00CC148B"/>
    <w:rsid w:val="00CC14A5"/>
    <w:rsid w:val="00CC18DC"/>
    <w:rsid w:val="00CC1991"/>
    <w:rsid w:val="00CC1B1E"/>
    <w:rsid w:val="00CC1C4D"/>
    <w:rsid w:val="00CC1E7D"/>
    <w:rsid w:val="00CC1FB5"/>
    <w:rsid w:val="00CC24D2"/>
    <w:rsid w:val="00CC2576"/>
    <w:rsid w:val="00CC2D3E"/>
    <w:rsid w:val="00CC31AE"/>
    <w:rsid w:val="00CC3A23"/>
    <w:rsid w:val="00CC3AF9"/>
    <w:rsid w:val="00CC3B76"/>
    <w:rsid w:val="00CC48BD"/>
    <w:rsid w:val="00CC48FC"/>
    <w:rsid w:val="00CC4F94"/>
    <w:rsid w:val="00CC540A"/>
    <w:rsid w:val="00CC59C9"/>
    <w:rsid w:val="00CC609D"/>
    <w:rsid w:val="00CC60B2"/>
    <w:rsid w:val="00CC61D8"/>
    <w:rsid w:val="00CC6950"/>
    <w:rsid w:val="00CC6961"/>
    <w:rsid w:val="00CC696E"/>
    <w:rsid w:val="00CC6995"/>
    <w:rsid w:val="00CC70BD"/>
    <w:rsid w:val="00CC72E5"/>
    <w:rsid w:val="00CC7559"/>
    <w:rsid w:val="00CC79C3"/>
    <w:rsid w:val="00CC79D0"/>
    <w:rsid w:val="00CD0238"/>
    <w:rsid w:val="00CD06C5"/>
    <w:rsid w:val="00CD0866"/>
    <w:rsid w:val="00CD0A2E"/>
    <w:rsid w:val="00CD0BC6"/>
    <w:rsid w:val="00CD104B"/>
    <w:rsid w:val="00CD1128"/>
    <w:rsid w:val="00CD1408"/>
    <w:rsid w:val="00CD1632"/>
    <w:rsid w:val="00CD177C"/>
    <w:rsid w:val="00CD17F5"/>
    <w:rsid w:val="00CD18CC"/>
    <w:rsid w:val="00CD1964"/>
    <w:rsid w:val="00CD1E15"/>
    <w:rsid w:val="00CD2A44"/>
    <w:rsid w:val="00CD2B0E"/>
    <w:rsid w:val="00CD2C00"/>
    <w:rsid w:val="00CD2C52"/>
    <w:rsid w:val="00CD2C81"/>
    <w:rsid w:val="00CD2CDE"/>
    <w:rsid w:val="00CD2E0A"/>
    <w:rsid w:val="00CD3389"/>
    <w:rsid w:val="00CD35CC"/>
    <w:rsid w:val="00CD3D74"/>
    <w:rsid w:val="00CD3DBF"/>
    <w:rsid w:val="00CD3E08"/>
    <w:rsid w:val="00CD3E93"/>
    <w:rsid w:val="00CD447C"/>
    <w:rsid w:val="00CD4555"/>
    <w:rsid w:val="00CD496D"/>
    <w:rsid w:val="00CD4C92"/>
    <w:rsid w:val="00CD4CCD"/>
    <w:rsid w:val="00CD5022"/>
    <w:rsid w:val="00CD5365"/>
    <w:rsid w:val="00CD5409"/>
    <w:rsid w:val="00CD5853"/>
    <w:rsid w:val="00CD5FC3"/>
    <w:rsid w:val="00CD6427"/>
    <w:rsid w:val="00CD648F"/>
    <w:rsid w:val="00CD6C51"/>
    <w:rsid w:val="00CD6D15"/>
    <w:rsid w:val="00CD6E28"/>
    <w:rsid w:val="00CD6FD8"/>
    <w:rsid w:val="00CD736B"/>
    <w:rsid w:val="00CD7A0F"/>
    <w:rsid w:val="00CD7D27"/>
    <w:rsid w:val="00CE017D"/>
    <w:rsid w:val="00CE02C8"/>
    <w:rsid w:val="00CE036A"/>
    <w:rsid w:val="00CE03E7"/>
    <w:rsid w:val="00CE0404"/>
    <w:rsid w:val="00CE0466"/>
    <w:rsid w:val="00CE0608"/>
    <w:rsid w:val="00CE09D1"/>
    <w:rsid w:val="00CE0BAC"/>
    <w:rsid w:val="00CE0E5C"/>
    <w:rsid w:val="00CE0F4D"/>
    <w:rsid w:val="00CE100F"/>
    <w:rsid w:val="00CE1374"/>
    <w:rsid w:val="00CE16CB"/>
    <w:rsid w:val="00CE1966"/>
    <w:rsid w:val="00CE2117"/>
    <w:rsid w:val="00CE222F"/>
    <w:rsid w:val="00CE2278"/>
    <w:rsid w:val="00CE2502"/>
    <w:rsid w:val="00CE25A4"/>
    <w:rsid w:val="00CE2C5A"/>
    <w:rsid w:val="00CE3250"/>
    <w:rsid w:val="00CE3867"/>
    <w:rsid w:val="00CE3F54"/>
    <w:rsid w:val="00CE43D0"/>
    <w:rsid w:val="00CE4A72"/>
    <w:rsid w:val="00CE4C5A"/>
    <w:rsid w:val="00CE508D"/>
    <w:rsid w:val="00CE5401"/>
    <w:rsid w:val="00CE55E4"/>
    <w:rsid w:val="00CE573A"/>
    <w:rsid w:val="00CE5929"/>
    <w:rsid w:val="00CE5C37"/>
    <w:rsid w:val="00CE5D8B"/>
    <w:rsid w:val="00CE5DAE"/>
    <w:rsid w:val="00CE5E38"/>
    <w:rsid w:val="00CE6457"/>
    <w:rsid w:val="00CE64E4"/>
    <w:rsid w:val="00CE67D6"/>
    <w:rsid w:val="00CE6C45"/>
    <w:rsid w:val="00CE6E1B"/>
    <w:rsid w:val="00CE7092"/>
    <w:rsid w:val="00CE73C2"/>
    <w:rsid w:val="00CE744F"/>
    <w:rsid w:val="00CE74DB"/>
    <w:rsid w:val="00CE7807"/>
    <w:rsid w:val="00CE78CA"/>
    <w:rsid w:val="00CE7B50"/>
    <w:rsid w:val="00CF0233"/>
    <w:rsid w:val="00CF024F"/>
    <w:rsid w:val="00CF03DC"/>
    <w:rsid w:val="00CF0665"/>
    <w:rsid w:val="00CF06BA"/>
    <w:rsid w:val="00CF103C"/>
    <w:rsid w:val="00CF111E"/>
    <w:rsid w:val="00CF1251"/>
    <w:rsid w:val="00CF1379"/>
    <w:rsid w:val="00CF14DF"/>
    <w:rsid w:val="00CF1724"/>
    <w:rsid w:val="00CF1F3E"/>
    <w:rsid w:val="00CF1F6B"/>
    <w:rsid w:val="00CF2247"/>
    <w:rsid w:val="00CF2292"/>
    <w:rsid w:val="00CF2315"/>
    <w:rsid w:val="00CF2816"/>
    <w:rsid w:val="00CF2843"/>
    <w:rsid w:val="00CF2A64"/>
    <w:rsid w:val="00CF2D79"/>
    <w:rsid w:val="00CF2DC1"/>
    <w:rsid w:val="00CF31C1"/>
    <w:rsid w:val="00CF32DC"/>
    <w:rsid w:val="00CF335C"/>
    <w:rsid w:val="00CF3450"/>
    <w:rsid w:val="00CF346E"/>
    <w:rsid w:val="00CF38F9"/>
    <w:rsid w:val="00CF39AF"/>
    <w:rsid w:val="00CF3DE7"/>
    <w:rsid w:val="00CF42B8"/>
    <w:rsid w:val="00CF42C3"/>
    <w:rsid w:val="00CF456A"/>
    <w:rsid w:val="00CF47A7"/>
    <w:rsid w:val="00CF4B04"/>
    <w:rsid w:val="00CF4B56"/>
    <w:rsid w:val="00CF508A"/>
    <w:rsid w:val="00CF52C7"/>
    <w:rsid w:val="00CF5932"/>
    <w:rsid w:val="00CF61F0"/>
    <w:rsid w:val="00CF674A"/>
    <w:rsid w:val="00CF6756"/>
    <w:rsid w:val="00CF6BA5"/>
    <w:rsid w:val="00CF6E2E"/>
    <w:rsid w:val="00CF73FA"/>
    <w:rsid w:val="00CF74F1"/>
    <w:rsid w:val="00CF7655"/>
    <w:rsid w:val="00D002A3"/>
    <w:rsid w:val="00D004A7"/>
    <w:rsid w:val="00D005E7"/>
    <w:rsid w:val="00D006D5"/>
    <w:rsid w:val="00D00D86"/>
    <w:rsid w:val="00D01034"/>
    <w:rsid w:val="00D01C1B"/>
    <w:rsid w:val="00D01D45"/>
    <w:rsid w:val="00D02C7F"/>
    <w:rsid w:val="00D02DC7"/>
    <w:rsid w:val="00D02F1C"/>
    <w:rsid w:val="00D02F55"/>
    <w:rsid w:val="00D03926"/>
    <w:rsid w:val="00D048B1"/>
    <w:rsid w:val="00D04BE9"/>
    <w:rsid w:val="00D04D5E"/>
    <w:rsid w:val="00D04E71"/>
    <w:rsid w:val="00D054A7"/>
    <w:rsid w:val="00D05AAE"/>
    <w:rsid w:val="00D05C3A"/>
    <w:rsid w:val="00D069C9"/>
    <w:rsid w:val="00D06A4C"/>
    <w:rsid w:val="00D06C78"/>
    <w:rsid w:val="00D06F47"/>
    <w:rsid w:val="00D07440"/>
    <w:rsid w:val="00D07A96"/>
    <w:rsid w:val="00D07D71"/>
    <w:rsid w:val="00D103AE"/>
    <w:rsid w:val="00D1043D"/>
    <w:rsid w:val="00D10AE4"/>
    <w:rsid w:val="00D10C26"/>
    <w:rsid w:val="00D1155C"/>
    <w:rsid w:val="00D11594"/>
    <w:rsid w:val="00D11983"/>
    <w:rsid w:val="00D11AFB"/>
    <w:rsid w:val="00D1217E"/>
    <w:rsid w:val="00D12387"/>
    <w:rsid w:val="00D124EC"/>
    <w:rsid w:val="00D12A33"/>
    <w:rsid w:val="00D12E73"/>
    <w:rsid w:val="00D12F3D"/>
    <w:rsid w:val="00D13044"/>
    <w:rsid w:val="00D13169"/>
    <w:rsid w:val="00D132DF"/>
    <w:rsid w:val="00D133BD"/>
    <w:rsid w:val="00D13670"/>
    <w:rsid w:val="00D13B3F"/>
    <w:rsid w:val="00D13C6E"/>
    <w:rsid w:val="00D13DF4"/>
    <w:rsid w:val="00D140C6"/>
    <w:rsid w:val="00D1412D"/>
    <w:rsid w:val="00D141BC"/>
    <w:rsid w:val="00D14511"/>
    <w:rsid w:val="00D14538"/>
    <w:rsid w:val="00D14D42"/>
    <w:rsid w:val="00D14DA5"/>
    <w:rsid w:val="00D150B1"/>
    <w:rsid w:val="00D158D5"/>
    <w:rsid w:val="00D1595F"/>
    <w:rsid w:val="00D15BCB"/>
    <w:rsid w:val="00D16318"/>
    <w:rsid w:val="00D16589"/>
    <w:rsid w:val="00D167CE"/>
    <w:rsid w:val="00D16905"/>
    <w:rsid w:val="00D1727B"/>
    <w:rsid w:val="00D175F5"/>
    <w:rsid w:val="00D17742"/>
    <w:rsid w:val="00D178B7"/>
    <w:rsid w:val="00D17F4E"/>
    <w:rsid w:val="00D20109"/>
    <w:rsid w:val="00D208D4"/>
    <w:rsid w:val="00D20926"/>
    <w:rsid w:val="00D20B8E"/>
    <w:rsid w:val="00D20C73"/>
    <w:rsid w:val="00D20D6E"/>
    <w:rsid w:val="00D20E16"/>
    <w:rsid w:val="00D21862"/>
    <w:rsid w:val="00D21D6E"/>
    <w:rsid w:val="00D22520"/>
    <w:rsid w:val="00D228EE"/>
    <w:rsid w:val="00D22BC3"/>
    <w:rsid w:val="00D23260"/>
    <w:rsid w:val="00D2413E"/>
    <w:rsid w:val="00D24568"/>
    <w:rsid w:val="00D24B71"/>
    <w:rsid w:val="00D24F67"/>
    <w:rsid w:val="00D256AA"/>
    <w:rsid w:val="00D25AAD"/>
    <w:rsid w:val="00D25C54"/>
    <w:rsid w:val="00D26109"/>
    <w:rsid w:val="00D2655C"/>
    <w:rsid w:val="00D26A13"/>
    <w:rsid w:val="00D26D54"/>
    <w:rsid w:val="00D27218"/>
    <w:rsid w:val="00D275E5"/>
    <w:rsid w:val="00D275EF"/>
    <w:rsid w:val="00D27888"/>
    <w:rsid w:val="00D27A7F"/>
    <w:rsid w:val="00D27FA9"/>
    <w:rsid w:val="00D30080"/>
    <w:rsid w:val="00D305BC"/>
    <w:rsid w:val="00D306F6"/>
    <w:rsid w:val="00D307C1"/>
    <w:rsid w:val="00D3081F"/>
    <w:rsid w:val="00D3083E"/>
    <w:rsid w:val="00D30AF0"/>
    <w:rsid w:val="00D30CAC"/>
    <w:rsid w:val="00D30ED3"/>
    <w:rsid w:val="00D310E0"/>
    <w:rsid w:val="00D31500"/>
    <w:rsid w:val="00D31684"/>
    <w:rsid w:val="00D31814"/>
    <w:rsid w:val="00D31CA7"/>
    <w:rsid w:val="00D31DEE"/>
    <w:rsid w:val="00D3214F"/>
    <w:rsid w:val="00D322C8"/>
    <w:rsid w:val="00D32585"/>
    <w:rsid w:val="00D328B7"/>
    <w:rsid w:val="00D328C5"/>
    <w:rsid w:val="00D3293D"/>
    <w:rsid w:val="00D32C39"/>
    <w:rsid w:val="00D32D60"/>
    <w:rsid w:val="00D32D9A"/>
    <w:rsid w:val="00D32E91"/>
    <w:rsid w:val="00D333C1"/>
    <w:rsid w:val="00D33452"/>
    <w:rsid w:val="00D33620"/>
    <w:rsid w:val="00D342A2"/>
    <w:rsid w:val="00D34506"/>
    <w:rsid w:val="00D34A46"/>
    <w:rsid w:val="00D34B50"/>
    <w:rsid w:val="00D34BB3"/>
    <w:rsid w:val="00D34CCB"/>
    <w:rsid w:val="00D35326"/>
    <w:rsid w:val="00D3558A"/>
    <w:rsid w:val="00D35B63"/>
    <w:rsid w:val="00D35E02"/>
    <w:rsid w:val="00D35EC4"/>
    <w:rsid w:val="00D36373"/>
    <w:rsid w:val="00D36423"/>
    <w:rsid w:val="00D366EE"/>
    <w:rsid w:val="00D36A46"/>
    <w:rsid w:val="00D36A50"/>
    <w:rsid w:val="00D371B2"/>
    <w:rsid w:val="00D37258"/>
    <w:rsid w:val="00D3726B"/>
    <w:rsid w:val="00D374E9"/>
    <w:rsid w:val="00D37C80"/>
    <w:rsid w:val="00D37EC5"/>
    <w:rsid w:val="00D400CA"/>
    <w:rsid w:val="00D4028C"/>
    <w:rsid w:val="00D40383"/>
    <w:rsid w:val="00D406C1"/>
    <w:rsid w:val="00D40789"/>
    <w:rsid w:val="00D4083F"/>
    <w:rsid w:val="00D40BA9"/>
    <w:rsid w:val="00D40CC0"/>
    <w:rsid w:val="00D40ED7"/>
    <w:rsid w:val="00D4121D"/>
    <w:rsid w:val="00D41526"/>
    <w:rsid w:val="00D416AB"/>
    <w:rsid w:val="00D41A3B"/>
    <w:rsid w:val="00D41B7D"/>
    <w:rsid w:val="00D41BF8"/>
    <w:rsid w:val="00D41CDF"/>
    <w:rsid w:val="00D42381"/>
    <w:rsid w:val="00D426AA"/>
    <w:rsid w:val="00D426BF"/>
    <w:rsid w:val="00D42FCF"/>
    <w:rsid w:val="00D43081"/>
    <w:rsid w:val="00D43132"/>
    <w:rsid w:val="00D4345D"/>
    <w:rsid w:val="00D435C2"/>
    <w:rsid w:val="00D435EC"/>
    <w:rsid w:val="00D4363C"/>
    <w:rsid w:val="00D43806"/>
    <w:rsid w:val="00D43BF2"/>
    <w:rsid w:val="00D43C3D"/>
    <w:rsid w:val="00D43DA9"/>
    <w:rsid w:val="00D43EA2"/>
    <w:rsid w:val="00D43EEA"/>
    <w:rsid w:val="00D448EC"/>
    <w:rsid w:val="00D44B4E"/>
    <w:rsid w:val="00D44F80"/>
    <w:rsid w:val="00D44FCC"/>
    <w:rsid w:val="00D453D8"/>
    <w:rsid w:val="00D45778"/>
    <w:rsid w:val="00D45B67"/>
    <w:rsid w:val="00D46324"/>
    <w:rsid w:val="00D4660B"/>
    <w:rsid w:val="00D46B71"/>
    <w:rsid w:val="00D46FEA"/>
    <w:rsid w:val="00D47620"/>
    <w:rsid w:val="00D4765B"/>
    <w:rsid w:val="00D47820"/>
    <w:rsid w:val="00D47998"/>
    <w:rsid w:val="00D479D8"/>
    <w:rsid w:val="00D47D34"/>
    <w:rsid w:val="00D47E4A"/>
    <w:rsid w:val="00D502CD"/>
    <w:rsid w:val="00D50458"/>
    <w:rsid w:val="00D50615"/>
    <w:rsid w:val="00D508EC"/>
    <w:rsid w:val="00D50C09"/>
    <w:rsid w:val="00D5103F"/>
    <w:rsid w:val="00D515DF"/>
    <w:rsid w:val="00D516DB"/>
    <w:rsid w:val="00D51998"/>
    <w:rsid w:val="00D51B64"/>
    <w:rsid w:val="00D51D25"/>
    <w:rsid w:val="00D51E1A"/>
    <w:rsid w:val="00D51FB2"/>
    <w:rsid w:val="00D52053"/>
    <w:rsid w:val="00D5245B"/>
    <w:rsid w:val="00D526BF"/>
    <w:rsid w:val="00D52D2E"/>
    <w:rsid w:val="00D53053"/>
    <w:rsid w:val="00D530DA"/>
    <w:rsid w:val="00D53189"/>
    <w:rsid w:val="00D532A0"/>
    <w:rsid w:val="00D536B6"/>
    <w:rsid w:val="00D53779"/>
    <w:rsid w:val="00D54020"/>
    <w:rsid w:val="00D545AB"/>
    <w:rsid w:val="00D5462F"/>
    <w:rsid w:val="00D5470A"/>
    <w:rsid w:val="00D54C95"/>
    <w:rsid w:val="00D54CFA"/>
    <w:rsid w:val="00D5515E"/>
    <w:rsid w:val="00D554D0"/>
    <w:rsid w:val="00D55AFE"/>
    <w:rsid w:val="00D55E21"/>
    <w:rsid w:val="00D56163"/>
    <w:rsid w:val="00D5637E"/>
    <w:rsid w:val="00D563BF"/>
    <w:rsid w:val="00D56570"/>
    <w:rsid w:val="00D568BB"/>
    <w:rsid w:val="00D56B7E"/>
    <w:rsid w:val="00D56C39"/>
    <w:rsid w:val="00D56CDB"/>
    <w:rsid w:val="00D56D5D"/>
    <w:rsid w:val="00D57019"/>
    <w:rsid w:val="00D5729A"/>
    <w:rsid w:val="00D572C6"/>
    <w:rsid w:val="00D575D8"/>
    <w:rsid w:val="00D5790B"/>
    <w:rsid w:val="00D57A78"/>
    <w:rsid w:val="00D57B9B"/>
    <w:rsid w:val="00D57BD1"/>
    <w:rsid w:val="00D57D8C"/>
    <w:rsid w:val="00D57FC7"/>
    <w:rsid w:val="00D60254"/>
    <w:rsid w:val="00D60358"/>
    <w:rsid w:val="00D60411"/>
    <w:rsid w:val="00D605ED"/>
    <w:rsid w:val="00D60B62"/>
    <w:rsid w:val="00D60E1A"/>
    <w:rsid w:val="00D60F77"/>
    <w:rsid w:val="00D60FE3"/>
    <w:rsid w:val="00D61046"/>
    <w:rsid w:val="00D6119E"/>
    <w:rsid w:val="00D615E0"/>
    <w:rsid w:val="00D61676"/>
    <w:rsid w:val="00D62782"/>
    <w:rsid w:val="00D62903"/>
    <w:rsid w:val="00D62AAB"/>
    <w:rsid w:val="00D62B0F"/>
    <w:rsid w:val="00D62B93"/>
    <w:rsid w:val="00D62C06"/>
    <w:rsid w:val="00D62C9B"/>
    <w:rsid w:val="00D62FA3"/>
    <w:rsid w:val="00D6325B"/>
    <w:rsid w:val="00D633CC"/>
    <w:rsid w:val="00D63B87"/>
    <w:rsid w:val="00D63CBC"/>
    <w:rsid w:val="00D6406B"/>
    <w:rsid w:val="00D640ED"/>
    <w:rsid w:val="00D6456E"/>
    <w:rsid w:val="00D648CB"/>
    <w:rsid w:val="00D64BAD"/>
    <w:rsid w:val="00D65555"/>
    <w:rsid w:val="00D657D6"/>
    <w:rsid w:val="00D65FBA"/>
    <w:rsid w:val="00D667F6"/>
    <w:rsid w:val="00D669CB"/>
    <w:rsid w:val="00D66A87"/>
    <w:rsid w:val="00D66BAE"/>
    <w:rsid w:val="00D66EF2"/>
    <w:rsid w:val="00D67216"/>
    <w:rsid w:val="00D67371"/>
    <w:rsid w:val="00D67982"/>
    <w:rsid w:val="00D67A93"/>
    <w:rsid w:val="00D7039D"/>
    <w:rsid w:val="00D703E5"/>
    <w:rsid w:val="00D71000"/>
    <w:rsid w:val="00D71005"/>
    <w:rsid w:val="00D71148"/>
    <w:rsid w:val="00D711AA"/>
    <w:rsid w:val="00D7146F"/>
    <w:rsid w:val="00D715F9"/>
    <w:rsid w:val="00D71B6E"/>
    <w:rsid w:val="00D71C0E"/>
    <w:rsid w:val="00D71CA0"/>
    <w:rsid w:val="00D72F92"/>
    <w:rsid w:val="00D730F3"/>
    <w:rsid w:val="00D73231"/>
    <w:rsid w:val="00D73392"/>
    <w:rsid w:val="00D73723"/>
    <w:rsid w:val="00D73776"/>
    <w:rsid w:val="00D73892"/>
    <w:rsid w:val="00D73B16"/>
    <w:rsid w:val="00D73BCC"/>
    <w:rsid w:val="00D73F06"/>
    <w:rsid w:val="00D73F98"/>
    <w:rsid w:val="00D7406F"/>
    <w:rsid w:val="00D74165"/>
    <w:rsid w:val="00D7432A"/>
    <w:rsid w:val="00D74358"/>
    <w:rsid w:val="00D746AC"/>
    <w:rsid w:val="00D74BD3"/>
    <w:rsid w:val="00D74C55"/>
    <w:rsid w:val="00D75379"/>
    <w:rsid w:val="00D755FF"/>
    <w:rsid w:val="00D756BC"/>
    <w:rsid w:val="00D75793"/>
    <w:rsid w:val="00D757D9"/>
    <w:rsid w:val="00D7596C"/>
    <w:rsid w:val="00D7677B"/>
    <w:rsid w:val="00D769EE"/>
    <w:rsid w:val="00D76E26"/>
    <w:rsid w:val="00D76E36"/>
    <w:rsid w:val="00D76E8A"/>
    <w:rsid w:val="00D770F6"/>
    <w:rsid w:val="00D773AF"/>
    <w:rsid w:val="00D775D9"/>
    <w:rsid w:val="00D77950"/>
    <w:rsid w:val="00D8013C"/>
    <w:rsid w:val="00D802FE"/>
    <w:rsid w:val="00D80539"/>
    <w:rsid w:val="00D8053C"/>
    <w:rsid w:val="00D80623"/>
    <w:rsid w:val="00D80B96"/>
    <w:rsid w:val="00D80CBD"/>
    <w:rsid w:val="00D80D44"/>
    <w:rsid w:val="00D812E7"/>
    <w:rsid w:val="00D815E5"/>
    <w:rsid w:val="00D818E9"/>
    <w:rsid w:val="00D8191D"/>
    <w:rsid w:val="00D81F78"/>
    <w:rsid w:val="00D81F84"/>
    <w:rsid w:val="00D821A6"/>
    <w:rsid w:val="00D828CC"/>
    <w:rsid w:val="00D82A11"/>
    <w:rsid w:val="00D82AD1"/>
    <w:rsid w:val="00D82E33"/>
    <w:rsid w:val="00D83DDA"/>
    <w:rsid w:val="00D83E21"/>
    <w:rsid w:val="00D840BA"/>
    <w:rsid w:val="00D84487"/>
    <w:rsid w:val="00D844E5"/>
    <w:rsid w:val="00D848AE"/>
    <w:rsid w:val="00D848F9"/>
    <w:rsid w:val="00D84F9A"/>
    <w:rsid w:val="00D851C5"/>
    <w:rsid w:val="00D856E3"/>
    <w:rsid w:val="00D85FD0"/>
    <w:rsid w:val="00D86038"/>
    <w:rsid w:val="00D86180"/>
    <w:rsid w:val="00D865D0"/>
    <w:rsid w:val="00D86780"/>
    <w:rsid w:val="00D86B20"/>
    <w:rsid w:val="00D86C64"/>
    <w:rsid w:val="00D8700E"/>
    <w:rsid w:val="00D871DC"/>
    <w:rsid w:val="00D8747D"/>
    <w:rsid w:val="00D87500"/>
    <w:rsid w:val="00D875C2"/>
    <w:rsid w:val="00D87761"/>
    <w:rsid w:val="00D87A74"/>
    <w:rsid w:val="00D87A78"/>
    <w:rsid w:val="00D87DCC"/>
    <w:rsid w:val="00D90224"/>
    <w:rsid w:val="00D9051B"/>
    <w:rsid w:val="00D907E9"/>
    <w:rsid w:val="00D908C9"/>
    <w:rsid w:val="00D90DC6"/>
    <w:rsid w:val="00D9130F"/>
    <w:rsid w:val="00D917DD"/>
    <w:rsid w:val="00D91931"/>
    <w:rsid w:val="00D91B00"/>
    <w:rsid w:val="00D91DD0"/>
    <w:rsid w:val="00D92214"/>
    <w:rsid w:val="00D9230B"/>
    <w:rsid w:val="00D92A46"/>
    <w:rsid w:val="00D92E9B"/>
    <w:rsid w:val="00D935FF"/>
    <w:rsid w:val="00D94050"/>
    <w:rsid w:val="00D94139"/>
    <w:rsid w:val="00D94169"/>
    <w:rsid w:val="00D942F5"/>
    <w:rsid w:val="00D944B6"/>
    <w:rsid w:val="00D9492C"/>
    <w:rsid w:val="00D94D85"/>
    <w:rsid w:val="00D94FA1"/>
    <w:rsid w:val="00D9561F"/>
    <w:rsid w:val="00D957C4"/>
    <w:rsid w:val="00D958DF"/>
    <w:rsid w:val="00D95902"/>
    <w:rsid w:val="00D95AC3"/>
    <w:rsid w:val="00D95EE7"/>
    <w:rsid w:val="00D9600A"/>
    <w:rsid w:val="00D9635E"/>
    <w:rsid w:val="00D96474"/>
    <w:rsid w:val="00D96517"/>
    <w:rsid w:val="00D965A9"/>
    <w:rsid w:val="00D96818"/>
    <w:rsid w:val="00D968A3"/>
    <w:rsid w:val="00D96AA6"/>
    <w:rsid w:val="00D96AAC"/>
    <w:rsid w:val="00D96EDA"/>
    <w:rsid w:val="00D96EDC"/>
    <w:rsid w:val="00D97411"/>
    <w:rsid w:val="00D97858"/>
    <w:rsid w:val="00D978CE"/>
    <w:rsid w:val="00D979F4"/>
    <w:rsid w:val="00D97AA2"/>
    <w:rsid w:val="00DA02C2"/>
    <w:rsid w:val="00DA0445"/>
    <w:rsid w:val="00DA073A"/>
    <w:rsid w:val="00DA09E9"/>
    <w:rsid w:val="00DA0BBB"/>
    <w:rsid w:val="00DA0E70"/>
    <w:rsid w:val="00DA0EF9"/>
    <w:rsid w:val="00DA0F8C"/>
    <w:rsid w:val="00DA10FE"/>
    <w:rsid w:val="00DA1795"/>
    <w:rsid w:val="00DA1894"/>
    <w:rsid w:val="00DA20DA"/>
    <w:rsid w:val="00DA2272"/>
    <w:rsid w:val="00DA27F1"/>
    <w:rsid w:val="00DA27FB"/>
    <w:rsid w:val="00DA28B5"/>
    <w:rsid w:val="00DA2A87"/>
    <w:rsid w:val="00DA2E25"/>
    <w:rsid w:val="00DA3483"/>
    <w:rsid w:val="00DA37AC"/>
    <w:rsid w:val="00DA385A"/>
    <w:rsid w:val="00DA3878"/>
    <w:rsid w:val="00DA3B1B"/>
    <w:rsid w:val="00DA3C56"/>
    <w:rsid w:val="00DA3E37"/>
    <w:rsid w:val="00DA45A6"/>
    <w:rsid w:val="00DA45FD"/>
    <w:rsid w:val="00DA484A"/>
    <w:rsid w:val="00DA4880"/>
    <w:rsid w:val="00DA4BD4"/>
    <w:rsid w:val="00DA4C61"/>
    <w:rsid w:val="00DA5CB9"/>
    <w:rsid w:val="00DA5F28"/>
    <w:rsid w:val="00DA659B"/>
    <w:rsid w:val="00DA6AAF"/>
    <w:rsid w:val="00DA6B39"/>
    <w:rsid w:val="00DA6BAD"/>
    <w:rsid w:val="00DA6C9B"/>
    <w:rsid w:val="00DA73BB"/>
    <w:rsid w:val="00DA7492"/>
    <w:rsid w:val="00DA74A5"/>
    <w:rsid w:val="00DA7849"/>
    <w:rsid w:val="00DA7AF5"/>
    <w:rsid w:val="00DA7C64"/>
    <w:rsid w:val="00DA7D39"/>
    <w:rsid w:val="00DA7ECB"/>
    <w:rsid w:val="00DB03C6"/>
    <w:rsid w:val="00DB0502"/>
    <w:rsid w:val="00DB05C3"/>
    <w:rsid w:val="00DB0872"/>
    <w:rsid w:val="00DB0B8D"/>
    <w:rsid w:val="00DB153C"/>
    <w:rsid w:val="00DB15CA"/>
    <w:rsid w:val="00DB17CC"/>
    <w:rsid w:val="00DB1A3F"/>
    <w:rsid w:val="00DB2106"/>
    <w:rsid w:val="00DB2260"/>
    <w:rsid w:val="00DB2519"/>
    <w:rsid w:val="00DB28A7"/>
    <w:rsid w:val="00DB2B2F"/>
    <w:rsid w:val="00DB3122"/>
    <w:rsid w:val="00DB33B5"/>
    <w:rsid w:val="00DB3461"/>
    <w:rsid w:val="00DB3491"/>
    <w:rsid w:val="00DB35FB"/>
    <w:rsid w:val="00DB3F7E"/>
    <w:rsid w:val="00DB430E"/>
    <w:rsid w:val="00DB4443"/>
    <w:rsid w:val="00DB4649"/>
    <w:rsid w:val="00DB4656"/>
    <w:rsid w:val="00DB46F7"/>
    <w:rsid w:val="00DB48AB"/>
    <w:rsid w:val="00DB4B0B"/>
    <w:rsid w:val="00DB4B18"/>
    <w:rsid w:val="00DB4B2A"/>
    <w:rsid w:val="00DB56A2"/>
    <w:rsid w:val="00DB5739"/>
    <w:rsid w:val="00DB580D"/>
    <w:rsid w:val="00DB5DA0"/>
    <w:rsid w:val="00DB6000"/>
    <w:rsid w:val="00DB640B"/>
    <w:rsid w:val="00DB66F9"/>
    <w:rsid w:val="00DB676C"/>
    <w:rsid w:val="00DB6884"/>
    <w:rsid w:val="00DB6895"/>
    <w:rsid w:val="00DB6D2C"/>
    <w:rsid w:val="00DB6E79"/>
    <w:rsid w:val="00DB6EA6"/>
    <w:rsid w:val="00DB6F46"/>
    <w:rsid w:val="00DB7CC1"/>
    <w:rsid w:val="00DB7D85"/>
    <w:rsid w:val="00DC0B31"/>
    <w:rsid w:val="00DC0CF8"/>
    <w:rsid w:val="00DC1172"/>
    <w:rsid w:val="00DC1786"/>
    <w:rsid w:val="00DC1BA5"/>
    <w:rsid w:val="00DC2100"/>
    <w:rsid w:val="00DC237C"/>
    <w:rsid w:val="00DC2527"/>
    <w:rsid w:val="00DC284F"/>
    <w:rsid w:val="00DC2E81"/>
    <w:rsid w:val="00DC339F"/>
    <w:rsid w:val="00DC3603"/>
    <w:rsid w:val="00DC3823"/>
    <w:rsid w:val="00DC3A18"/>
    <w:rsid w:val="00DC3B15"/>
    <w:rsid w:val="00DC4F1E"/>
    <w:rsid w:val="00DC51A7"/>
    <w:rsid w:val="00DC5488"/>
    <w:rsid w:val="00DC5499"/>
    <w:rsid w:val="00DC58E9"/>
    <w:rsid w:val="00DC5995"/>
    <w:rsid w:val="00DC5BAF"/>
    <w:rsid w:val="00DC60A4"/>
    <w:rsid w:val="00DC62EA"/>
    <w:rsid w:val="00DC65EA"/>
    <w:rsid w:val="00DC664C"/>
    <w:rsid w:val="00DC6945"/>
    <w:rsid w:val="00DC6ACC"/>
    <w:rsid w:val="00DC6C2D"/>
    <w:rsid w:val="00DC6DCD"/>
    <w:rsid w:val="00DC6EE3"/>
    <w:rsid w:val="00DC740F"/>
    <w:rsid w:val="00DC760D"/>
    <w:rsid w:val="00DC7678"/>
    <w:rsid w:val="00DC7718"/>
    <w:rsid w:val="00DC799F"/>
    <w:rsid w:val="00DC7CA0"/>
    <w:rsid w:val="00DC7DC5"/>
    <w:rsid w:val="00DC7E8A"/>
    <w:rsid w:val="00DC7FC2"/>
    <w:rsid w:val="00DD0167"/>
    <w:rsid w:val="00DD023D"/>
    <w:rsid w:val="00DD0ADD"/>
    <w:rsid w:val="00DD0E40"/>
    <w:rsid w:val="00DD122C"/>
    <w:rsid w:val="00DD16EF"/>
    <w:rsid w:val="00DD1905"/>
    <w:rsid w:val="00DD194E"/>
    <w:rsid w:val="00DD1C93"/>
    <w:rsid w:val="00DD1E0F"/>
    <w:rsid w:val="00DD217C"/>
    <w:rsid w:val="00DD233B"/>
    <w:rsid w:val="00DD2370"/>
    <w:rsid w:val="00DD2404"/>
    <w:rsid w:val="00DD27A4"/>
    <w:rsid w:val="00DD28D2"/>
    <w:rsid w:val="00DD2C68"/>
    <w:rsid w:val="00DD2D71"/>
    <w:rsid w:val="00DD2F84"/>
    <w:rsid w:val="00DD3128"/>
    <w:rsid w:val="00DD352F"/>
    <w:rsid w:val="00DD3889"/>
    <w:rsid w:val="00DD3DB1"/>
    <w:rsid w:val="00DD410A"/>
    <w:rsid w:val="00DD41ED"/>
    <w:rsid w:val="00DD4378"/>
    <w:rsid w:val="00DD44FA"/>
    <w:rsid w:val="00DD45EC"/>
    <w:rsid w:val="00DD483A"/>
    <w:rsid w:val="00DD4C70"/>
    <w:rsid w:val="00DD4C71"/>
    <w:rsid w:val="00DD4EF9"/>
    <w:rsid w:val="00DD5538"/>
    <w:rsid w:val="00DD56C5"/>
    <w:rsid w:val="00DD58ED"/>
    <w:rsid w:val="00DD58F5"/>
    <w:rsid w:val="00DD59AB"/>
    <w:rsid w:val="00DD5C06"/>
    <w:rsid w:val="00DD5C4E"/>
    <w:rsid w:val="00DD5D4A"/>
    <w:rsid w:val="00DD6120"/>
    <w:rsid w:val="00DD6386"/>
    <w:rsid w:val="00DD63D5"/>
    <w:rsid w:val="00DD69D7"/>
    <w:rsid w:val="00DD7053"/>
    <w:rsid w:val="00DD74AD"/>
    <w:rsid w:val="00DD76F0"/>
    <w:rsid w:val="00DD7A63"/>
    <w:rsid w:val="00DD7D63"/>
    <w:rsid w:val="00DD7E92"/>
    <w:rsid w:val="00DE0049"/>
    <w:rsid w:val="00DE017D"/>
    <w:rsid w:val="00DE01CF"/>
    <w:rsid w:val="00DE0310"/>
    <w:rsid w:val="00DE033B"/>
    <w:rsid w:val="00DE0BA0"/>
    <w:rsid w:val="00DE0DE7"/>
    <w:rsid w:val="00DE0ED8"/>
    <w:rsid w:val="00DE0FFF"/>
    <w:rsid w:val="00DE1144"/>
    <w:rsid w:val="00DE169D"/>
    <w:rsid w:val="00DE1BEC"/>
    <w:rsid w:val="00DE1D7F"/>
    <w:rsid w:val="00DE1DBE"/>
    <w:rsid w:val="00DE1EA3"/>
    <w:rsid w:val="00DE1F43"/>
    <w:rsid w:val="00DE2227"/>
    <w:rsid w:val="00DE22D9"/>
    <w:rsid w:val="00DE265E"/>
    <w:rsid w:val="00DE287A"/>
    <w:rsid w:val="00DE2EDA"/>
    <w:rsid w:val="00DE2F4C"/>
    <w:rsid w:val="00DE354B"/>
    <w:rsid w:val="00DE39E4"/>
    <w:rsid w:val="00DE39F0"/>
    <w:rsid w:val="00DE3CEE"/>
    <w:rsid w:val="00DE3D00"/>
    <w:rsid w:val="00DE3F4C"/>
    <w:rsid w:val="00DE497B"/>
    <w:rsid w:val="00DE4A05"/>
    <w:rsid w:val="00DE4DED"/>
    <w:rsid w:val="00DE4E77"/>
    <w:rsid w:val="00DE4F03"/>
    <w:rsid w:val="00DE4FA9"/>
    <w:rsid w:val="00DE5550"/>
    <w:rsid w:val="00DE56EF"/>
    <w:rsid w:val="00DE579E"/>
    <w:rsid w:val="00DE5959"/>
    <w:rsid w:val="00DE601A"/>
    <w:rsid w:val="00DE6350"/>
    <w:rsid w:val="00DE684F"/>
    <w:rsid w:val="00DE6CD4"/>
    <w:rsid w:val="00DE6DCD"/>
    <w:rsid w:val="00DE6F16"/>
    <w:rsid w:val="00DE718A"/>
    <w:rsid w:val="00DE73D4"/>
    <w:rsid w:val="00DE7499"/>
    <w:rsid w:val="00DE7B7E"/>
    <w:rsid w:val="00DF0684"/>
    <w:rsid w:val="00DF0872"/>
    <w:rsid w:val="00DF0A22"/>
    <w:rsid w:val="00DF0BA0"/>
    <w:rsid w:val="00DF139D"/>
    <w:rsid w:val="00DF1560"/>
    <w:rsid w:val="00DF168B"/>
    <w:rsid w:val="00DF2214"/>
    <w:rsid w:val="00DF27EF"/>
    <w:rsid w:val="00DF27FE"/>
    <w:rsid w:val="00DF2D9C"/>
    <w:rsid w:val="00DF3655"/>
    <w:rsid w:val="00DF3C0C"/>
    <w:rsid w:val="00DF3FE8"/>
    <w:rsid w:val="00DF43B3"/>
    <w:rsid w:val="00DF44F3"/>
    <w:rsid w:val="00DF4840"/>
    <w:rsid w:val="00DF488E"/>
    <w:rsid w:val="00DF4E1A"/>
    <w:rsid w:val="00DF4E43"/>
    <w:rsid w:val="00DF53FE"/>
    <w:rsid w:val="00DF55B6"/>
    <w:rsid w:val="00DF560F"/>
    <w:rsid w:val="00DF5A99"/>
    <w:rsid w:val="00DF5BC0"/>
    <w:rsid w:val="00DF61D0"/>
    <w:rsid w:val="00DF62B1"/>
    <w:rsid w:val="00DF647E"/>
    <w:rsid w:val="00DF6778"/>
    <w:rsid w:val="00DF6862"/>
    <w:rsid w:val="00DF6BF6"/>
    <w:rsid w:val="00DF6CB1"/>
    <w:rsid w:val="00DF7674"/>
    <w:rsid w:val="00DF7924"/>
    <w:rsid w:val="00DF7A37"/>
    <w:rsid w:val="00DF7F92"/>
    <w:rsid w:val="00E003A7"/>
    <w:rsid w:val="00E004F7"/>
    <w:rsid w:val="00E00654"/>
    <w:rsid w:val="00E00688"/>
    <w:rsid w:val="00E0073B"/>
    <w:rsid w:val="00E0075F"/>
    <w:rsid w:val="00E00DAA"/>
    <w:rsid w:val="00E00DD2"/>
    <w:rsid w:val="00E00FC1"/>
    <w:rsid w:val="00E01037"/>
    <w:rsid w:val="00E010D6"/>
    <w:rsid w:val="00E01110"/>
    <w:rsid w:val="00E01B83"/>
    <w:rsid w:val="00E02715"/>
    <w:rsid w:val="00E0296F"/>
    <w:rsid w:val="00E02A26"/>
    <w:rsid w:val="00E02E83"/>
    <w:rsid w:val="00E0316C"/>
    <w:rsid w:val="00E031C8"/>
    <w:rsid w:val="00E033A5"/>
    <w:rsid w:val="00E03748"/>
    <w:rsid w:val="00E03780"/>
    <w:rsid w:val="00E0486F"/>
    <w:rsid w:val="00E048E2"/>
    <w:rsid w:val="00E04F60"/>
    <w:rsid w:val="00E05269"/>
    <w:rsid w:val="00E054D8"/>
    <w:rsid w:val="00E05529"/>
    <w:rsid w:val="00E05FB4"/>
    <w:rsid w:val="00E069BA"/>
    <w:rsid w:val="00E06E20"/>
    <w:rsid w:val="00E06E3C"/>
    <w:rsid w:val="00E06F9F"/>
    <w:rsid w:val="00E07062"/>
    <w:rsid w:val="00E07079"/>
    <w:rsid w:val="00E0725B"/>
    <w:rsid w:val="00E0778E"/>
    <w:rsid w:val="00E07BEB"/>
    <w:rsid w:val="00E07D5C"/>
    <w:rsid w:val="00E07F9C"/>
    <w:rsid w:val="00E100C0"/>
    <w:rsid w:val="00E1045A"/>
    <w:rsid w:val="00E1072D"/>
    <w:rsid w:val="00E108B0"/>
    <w:rsid w:val="00E109A1"/>
    <w:rsid w:val="00E10C0F"/>
    <w:rsid w:val="00E113B9"/>
    <w:rsid w:val="00E11418"/>
    <w:rsid w:val="00E1159D"/>
    <w:rsid w:val="00E11A65"/>
    <w:rsid w:val="00E11B3E"/>
    <w:rsid w:val="00E11E54"/>
    <w:rsid w:val="00E11FDB"/>
    <w:rsid w:val="00E12080"/>
    <w:rsid w:val="00E12237"/>
    <w:rsid w:val="00E12882"/>
    <w:rsid w:val="00E12B6B"/>
    <w:rsid w:val="00E12C7A"/>
    <w:rsid w:val="00E12EF5"/>
    <w:rsid w:val="00E13417"/>
    <w:rsid w:val="00E139FC"/>
    <w:rsid w:val="00E13A61"/>
    <w:rsid w:val="00E13C63"/>
    <w:rsid w:val="00E13C95"/>
    <w:rsid w:val="00E13EB2"/>
    <w:rsid w:val="00E1410C"/>
    <w:rsid w:val="00E142BD"/>
    <w:rsid w:val="00E15136"/>
    <w:rsid w:val="00E156F0"/>
    <w:rsid w:val="00E158A3"/>
    <w:rsid w:val="00E15BD9"/>
    <w:rsid w:val="00E162DD"/>
    <w:rsid w:val="00E16312"/>
    <w:rsid w:val="00E169CE"/>
    <w:rsid w:val="00E16DC5"/>
    <w:rsid w:val="00E17043"/>
    <w:rsid w:val="00E1722D"/>
    <w:rsid w:val="00E17692"/>
    <w:rsid w:val="00E179E0"/>
    <w:rsid w:val="00E20072"/>
    <w:rsid w:val="00E201C9"/>
    <w:rsid w:val="00E201F9"/>
    <w:rsid w:val="00E20474"/>
    <w:rsid w:val="00E205E5"/>
    <w:rsid w:val="00E206D1"/>
    <w:rsid w:val="00E2078F"/>
    <w:rsid w:val="00E21446"/>
    <w:rsid w:val="00E2150C"/>
    <w:rsid w:val="00E219AA"/>
    <w:rsid w:val="00E219F1"/>
    <w:rsid w:val="00E21AC1"/>
    <w:rsid w:val="00E21F48"/>
    <w:rsid w:val="00E228A4"/>
    <w:rsid w:val="00E23187"/>
    <w:rsid w:val="00E232A2"/>
    <w:rsid w:val="00E233F7"/>
    <w:rsid w:val="00E23909"/>
    <w:rsid w:val="00E239D0"/>
    <w:rsid w:val="00E239E0"/>
    <w:rsid w:val="00E23A28"/>
    <w:rsid w:val="00E23A4A"/>
    <w:rsid w:val="00E23B8B"/>
    <w:rsid w:val="00E23CF0"/>
    <w:rsid w:val="00E23D8E"/>
    <w:rsid w:val="00E2444C"/>
    <w:rsid w:val="00E244D1"/>
    <w:rsid w:val="00E2461B"/>
    <w:rsid w:val="00E24956"/>
    <w:rsid w:val="00E252B4"/>
    <w:rsid w:val="00E254A0"/>
    <w:rsid w:val="00E25509"/>
    <w:rsid w:val="00E25558"/>
    <w:rsid w:val="00E25B08"/>
    <w:rsid w:val="00E25CA6"/>
    <w:rsid w:val="00E25E1C"/>
    <w:rsid w:val="00E26477"/>
    <w:rsid w:val="00E264F0"/>
    <w:rsid w:val="00E265AC"/>
    <w:rsid w:val="00E26602"/>
    <w:rsid w:val="00E26651"/>
    <w:rsid w:val="00E26848"/>
    <w:rsid w:val="00E27017"/>
    <w:rsid w:val="00E27127"/>
    <w:rsid w:val="00E272B2"/>
    <w:rsid w:val="00E272CD"/>
    <w:rsid w:val="00E27609"/>
    <w:rsid w:val="00E27B22"/>
    <w:rsid w:val="00E27D03"/>
    <w:rsid w:val="00E27D82"/>
    <w:rsid w:val="00E30879"/>
    <w:rsid w:val="00E30DDD"/>
    <w:rsid w:val="00E30F38"/>
    <w:rsid w:val="00E3105C"/>
    <w:rsid w:val="00E31063"/>
    <w:rsid w:val="00E3139E"/>
    <w:rsid w:val="00E31852"/>
    <w:rsid w:val="00E31C73"/>
    <w:rsid w:val="00E31CBD"/>
    <w:rsid w:val="00E31F10"/>
    <w:rsid w:val="00E32477"/>
    <w:rsid w:val="00E327CB"/>
    <w:rsid w:val="00E32C2C"/>
    <w:rsid w:val="00E32C6C"/>
    <w:rsid w:val="00E32FFF"/>
    <w:rsid w:val="00E332AB"/>
    <w:rsid w:val="00E33682"/>
    <w:rsid w:val="00E34044"/>
    <w:rsid w:val="00E34C2F"/>
    <w:rsid w:val="00E35570"/>
    <w:rsid w:val="00E35A90"/>
    <w:rsid w:val="00E35B94"/>
    <w:rsid w:val="00E35C6B"/>
    <w:rsid w:val="00E36481"/>
    <w:rsid w:val="00E36648"/>
    <w:rsid w:val="00E36DC7"/>
    <w:rsid w:val="00E36F99"/>
    <w:rsid w:val="00E370E7"/>
    <w:rsid w:val="00E3733D"/>
    <w:rsid w:val="00E37938"/>
    <w:rsid w:val="00E37947"/>
    <w:rsid w:val="00E37C21"/>
    <w:rsid w:val="00E37C41"/>
    <w:rsid w:val="00E37C61"/>
    <w:rsid w:val="00E37C69"/>
    <w:rsid w:val="00E37EE1"/>
    <w:rsid w:val="00E401E9"/>
    <w:rsid w:val="00E40369"/>
    <w:rsid w:val="00E40545"/>
    <w:rsid w:val="00E40B3D"/>
    <w:rsid w:val="00E41192"/>
    <w:rsid w:val="00E41AD0"/>
    <w:rsid w:val="00E423D1"/>
    <w:rsid w:val="00E42630"/>
    <w:rsid w:val="00E426D7"/>
    <w:rsid w:val="00E427B8"/>
    <w:rsid w:val="00E428AB"/>
    <w:rsid w:val="00E428E0"/>
    <w:rsid w:val="00E42A95"/>
    <w:rsid w:val="00E42AC5"/>
    <w:rsid w:val="00E42C47"/>
    <w:rsid w:val="00E42E25"/>
    <w:rsid w:val="00E42F33"/>
    <w:rsid w:val="00E43736"/>
    <w:rsid w:val="00E43A2B"/>
    <w:rsid w:val="00E43AD5"/>
    <w:rsid w:val="00E43BA4"/>
    <w:rsid w:val="00E44075"/>
    <w:rsid w:val="00E444EF"/>
    <w:rsid w:val="00E444F2"/>
    <w:rsid w:val="00E4456F"/>
    <w:rsid w:val="00E4483A"/>
    <w:rsid w:val="00E44C7A"/>
    <w:rsid w:val="00E44C99"/>
    <w:rsid w:val="00E44C9D"/>
    <w:rsid w:val="00E44D64"/>
    <w:rsid w:val="00E452DF"/>
    <w:rsid w:val="00E4577B"/>
    <w:rsid w:val="00E45DCC"/>
    <w:rsid w:val="00E45F9A"/>
    <w:rsid w:val="00E4650F"/>
    <w:rsid w:val="00E46775"/>
    <w:rsid w:val="00E46926"/>
    <w:rsid w:val="00E46C32"/>
    <w:rsid w:val="00E46FA1"/>
    <w:rsid w:val="00E474A1"/>
    <w:rsid w:val="00E47505"/>
    <w:rsid w:val="00E47663"/>
    <w:rsid w:val="00E47D3F"/>
    <w:rsid w:val="00E50074"/>
    <w:rsid w:val="00E501E8"/>
    <w:rsid w:val="00E50311"/>
    <w:rsid w:val="00E50640"/>
    <w:rsid w:val="00E50A23"/>
    <w:rsid w:val="00E50CC3"/>
    <w:rsid w:val="00E512F0"/>
    <w:rsid w:val="00E51AA2"/>
    <w:rsid w:val="00E51AB0"/>
    <w:rsid w:val="00E51ABA"/>
    <w:rsid w:val="00E52308"/>
    <w:rsid w:val="00E52711"/>
    <w:rsid w:val="00E52805"/>
    <w:rsid w:val="00E52816"/>
    <w:rsid w:val="00E52B7F"/>
    <w:rsid w:val="00E52E77"/>
    <w:rsid w:val="00E534EF"/>
    <w:rsid w:val="00E53642"/>
    <w:rsid w:val="00E536DE"/>
    <w:rsid w:val="00E53976"/>
    <w:rsid w:val="00E53B8B"/>
    <w:rsid w:val="00E53D47"/>
    <w:rsid w:val="00E540FB"/>
    <w:rsid w:val="00E54253"/>
    <w:rsid w:val="00E54335"/>
    <w:rsid w:val="00E5455F"/>
    <w:rsid w:val="00E546BE"/>
    <w:rsid w:val="00E546D4"/>
    <w:rsid w:val="00E54A55"/>
    <w:rsid w:val="00E54D4D"/>
    <w:rsid w:val="00E54EBC"/>
    <w:rsid w:val="00E54EC8"/>
    <w:rsid w:val="00E55143"/>
    <w:rsid w:val="00E551BE"/>
    <w:rsid w:val="00E55284"/>
    <w:rsid w:val="00E553A8"/>
    <w:rsid w:val="00E55B71"/>
    <w:rsid w:val="00E55B96"/>
    <w:rsid w:val="00E55C9E"/>
    <w:rsid w:val="00E55D7C"/>
    <w:rsid w:val="00E55DA6"/>
    <w:rsid w:val="00E56042"/>
    <w:rsid w:val="00E56266"/>
    <w:rsid w:val="00E563A0"/>
    <w:rsid w:val="00E569A8"/>
    <w:rsid w:val="00E56B69"/>
    <w:rsid w:val="00E56B92"/>
    <w:rsid w:val="00E56CE1"/>
    <w:rsid w:val="00E56E42"/>
    <w:rsid w:val="00E5701E"/>
    <w:rsid w:val="00E5726C"/>
    <w:rsid w:val="00E57B8A"/>
    <w:rsid w:val="00E60258"/>
    <w:rsid w:val="00E6034B"/>
    <w:rsid w:val="00E60352"/>
    <w:rsid w:val="00E60476"/>
    <w:rsid w:val="00E60754"/>
    <w:rsid w:val="00E61070"/>
    <w:rsid w:val="00E61152"/>
    <w:rsid w:val="00E61211"/>
    <w:rsid w:val="00E6126A"/>
    <w:rsid w:val="00E615A0"/>
    <w:rsid w:val="00E61920"/>
    <w:rsid w:val="00E61C8D"/>
    <w:rsid w:val="00E61ECE"/>
    <w:rsid w:val="00E61F58"/>
    <w:rsid w:val="00E624EF"/>
    <w:rsid w:val="00E625ED"/>
    <w:rsid w:val="00E62CC7"/>
    <w:rsid w:val="00E631BE"/>
    <w:rsid w:val="00E63232"/>
    <w:rsid w:val="00E6345F"/>
    <w:rsid w:val="00E63509"/>
    <w:rsid w:val="00E6350C"/>
    <w:rsid w:val="00E6359F"/>
    <w:rsid w:val="00E637D7"/>
    <w:rsid w:val="00E638C6"/>
    <w:rsid w:val="00E63B4F"/>
    <w:rsid w:val="00E643B9"/>
    <w:rsid w:val="00E644F3"/>
    <w:rsid w:val="00E644F5"/>
    <w:rsid w:val="00E64727"/>
    <w:rsid w:val="00E647F1"/>
    <w:rsid w:val="00E6485A"/>
    <w:rsid w:val="00E6487D"/>
    <w:rsid w:val="00E6487E"/>
    <w:rsid w:val="00E649CB"/>
    <w:rsid w:val="00E64A8C"/>
    <w:rsid w:val="00E64E9E"/>
    <w:rsid w:val="00E65112"/>
    <w:rsid w:val="00E65141"/>
    <w:rsid w:val="00E65453"/>
    <w:rsid w:val="00E65BC3"/>
    <w:rsid w:val="00E65D4E"/>
    <w:rsid w:val="00E66087"/>
    <w:rsid w:val="00E66150"/>
    <w:rsid w:val="00E66BC8"/>
    <w:rsid w:val="00E66E95"/>
    <w:rsid w:val="00E677B9"/>
    <w:rsid w:val="00E67B8D"/>
    <w:rsid w:val="00E67D52"/>
    <w:rsid w:val="00E67F45"/>
    <w:rsid w:val="00E704FA"/>
    <w:rsid w:val="00E70800"/>
    <w:rsid w:val="00E7080A"/>
    <w:rsid w:val="00E708F8"/>
    <w:rsid w:val="00E709C2"/>
    <w:rsid w:val="00E70B65"/>
    <w:rsid w:val="00E70BB3"/>
    <w:rsid w:val="00E70FD3"/>
    <w:rsid w:val="00E71247"/>
    <w:rsid w:val="00E718AF"/>
    <w:rsid w:val="00E71CCA"/>
    <w:rsid w:val="00E71DEB"/>
    <w:rsid w:val="00E71E0D"/>
    <w:rsid w:val="00E71EE7"/>
    <w:rsid w:val="00E72109"/>
    <w:rsid w:val="00E7214D"/>
    <w:rsid w:val="00E722B2"/>
    <w:rsid w:val="00E7237D"/>
    <w:rsid w:val="00E72750"/>
    <w:rsid w:val="00E72905"/>
    <w:rsid w:val="00E72918"/>
    <w:rsid w:val="00E72949"/>
    <w:rsid w:val="00E72D9C"/>
    <w:rsid w:val="00E73632"/>
    <w:rsid w:val="00E73DDF"/>
    <w:rsid w:val="00E74A35"/>
    <w:rsid w:val="00E74DE8"/>
    <w:rsid w:val="00E758DE"/>
    <w:rsid w:val="00E75DCC"/>
    <w:rsid w:val="00E75F75"/>
    <w:rsid w:val="00E76915"/>
    <w:rsid w:val="00E76C05"/>
    <w:rsid w:val="00E76CE2"/>
    <w:rsid w:val="00E76D14"/>
    <w:rsid w:val="00E76E09"/>
    <w:rsid w:val="00E771A3"/>
    <w:rsid w:val="00E772D8"/>
    <w:rsid w:val="00E777A0"/>
    <w:rsid w:val="00E8024C"/>
    <w:rsid w:val="00E8033F"/>
    <w:rsid w:val="00E8039F"/>
    <w:rsid w:val="00E8042C"/>
    <w:rsid w:val="00E80666"/>
    <w:rsid w:val="00E80F5A"/>
    <w:rsid w:val="00E80FB8"/>
    <w:rsid w:val="00E81273"/>
    <w:rsid w:val="00E818E7"/>
    <w:rsid w:val="00E81955"/>
    <w:rsid w:val="00E81CEC"/>
    <w:rsid w:val="00E81F0B"/>
    <w:rsid w:val="00E826C4"/>
    <w:rsid w:val="00E82E2A"/>
    <w:rsid w:val="00E830AE"/>
    <w:rsid w:val="00E83747"/>
    <w:rsid w:val="00E83809"/>
    <w:rsid w:val="00E83943"/>
    <w:rsid w:val="00E83CF2"/>
    <w:rsid w:val="00E8442C"/>
    <w:rsid w:val="00E84758"/>
    <w:rsid w:val="00E848D1"/>
    <w:rsid w:val="00E84AC5"/>
    <w:rsid w:val="00E85183"/>
    <w:rsid w:val="00E8541B"/>
    <w:rsid w:val="00E8542C"/>
    <w:rsid w:val="00E856EB"/>
    <w:rsid w:val="00E85786"/>
    <w:rsid w:val="00E8582D"/>
    <w:rsid w:val="00E8589C"/>
    <w:rsid w:val="00E859E1"/>
    <w:rsid w:val="00E85DE1"/>
    <w:rsid w:val="00E85EAB"/>
    <w:rsid w:val="00E860AB"/>
    <w:rsid w:val="00E8621B"/>
    <w:rsid w:val="00E8628A"/>
    <w:rsid w:val="00E86B0F"/>
    <w:rsid w:val="00E86BEF"/>
    <w:rsid w:val="00E86D5B"/>
    <w:rsid w:val="00E86DB5"/>
    <w:rsid w:val="00E8704F"/>
    <w:rsid w:val="00E874C8"/>
    <w:rsid w:val="00E875DC"/>
    <w:rsid w:val="00E87927"/>
    <w:rsid w:val="00E87DCE"/>
    <w:rsid w:val="00E87EEE"/>
    <w:rsid w:val="00E87FCE"/>
    <w:rsid w:val="00E910EA"/>
    <w:rsid w:val="00E91459"/>
    <w:rsid w:val="00E91C6A"/>
    <w:rsid w:val="00E920D4"/>
    <w:rsid w:val="00E924AB"/>
    <w:rsid w:val="00E9256C"/>
    <w:rsid w:val="00E92809"/>
    <w:rsid w:val="00E92B04"/>
    <w:rsid w:val="00E93C4A"/>
    <w:rsid w:val="00E93DA2"/>
    <w:rsid w:val="00E943AB"/>
    <w:rsid w:val="00E94629"/>
    <w:rsid w:val="00E94CDB"/>
    <w:rsid w:val="00E9543D"/>
    <w:rsid w:val="00E9564F"/>
    <w:rsid w:val="00E9606A"/>
    <w:rsid w:val="00E960F9"/>
    <w:rsid w:val="00E96482"/>
    <w:rsid w:val="00E965A5"/>
    <w:rsid w:val="00E96892"/>
    <w:rsid w:val="00E9718C"/>
    <w:rsid w:val="00E9738A"/>
    <w:rsid w:val="00E974AA"/>
    <w:rsid w:val="00E97694"/>
    <w:rsid w:val="00E97A6A"/>
    <w:rsid w:val="00E97A6B"/>
    <w:rsid w:val="00E97CA9"/>
    <w:rsid w:val="00E97D3C"/>
    <w:rsid w:val="00EA036C"/>
    <w:rsid w:val="00EA03DD"/>
    <w:rsid w:val="00EA0885"/>
    <w:rsid w:val="00EA0A64"/>
    <w:rsid w:val="00EA0A8A"/>
    <w:rsid w:val="00EA116A"/>
    <w:rsid w:val="00EA116C"/>
    <w:rsid w:val="00EA1395"/>
    <w:rsid w:val="00EA1435"/>
    <w:rsid w:val="00EA1737"/>
    <w:rsid w:val="00EA1B2B"/>
    <w:rsid w:val="00EA1BE1"/>
    <w:rsid w:val="00EA1E72"/>
    <w:rsid w:val="00EA2113"/>
    <w:rsid w:val="00EA257D"/>
    <w:rsid w:val="00EA2586"/>
    <w:rsid w:val="00EA25BB"/>
    <w:rsid w:val="00EA26DD"/>
    <w:rsid w:val="00EA276C"/>
    <w:rsid w:val="00EA289D"/>
    <w:rsid w:val="00EA2CE3"/>
    <w:rsid w:val="00EA2EEA"/>
    <w:rsid w:val="00EA2F72"/>
    <w:rsid w:val="00EA30A4"/>
    <w:rsid w:val="00EA316C"/>
    <w:rsid w:val="00EA33D3"/>
    <w:rsid w:val="00EA33F2"/>
    <w:rsid w:val="00EA3708"/>
    <w:rsid w:val="00EA38AE"/>
    <w:rsid w:val="00EA3B6D"/>
    <w:rsid w:val="00EA3CB6"/>
    <w:rsid w:val="00EA3CB8"/>
    <w:rsid w:val="00EA3D28"/>
    <w:rsid w:val="00EA401A"/>
    <w:rsid w:val="00EA41AE"/>
    <w:rsid w:val="00EA4456"/>
    <w:rsid w:val="00EA4599"/>
    <w:rsid w:val="00EA4767"/>
    <w:rsid w:val="00EA479C"/>
    <w:rsid w:val="00EA4806"/>
    <w:rsid w:val="00EA4E81"/>
    <w:rsid w:val="00EA4FA0"/>
    <w:rsid w:val="00EA5383"/>
    <w:rsid w:val="00EA5515"/>
    <w:rsid w:val="00EA5E16"/>
    <w:rsid w:val="00EA6167"/>
    <w:rsid w:val="00EA6765"/>
    <w:rsid w:val="00EA67D5"/>
    <w:rsid w:val="00EA683C"/>
    <w:rsid w:val="00EA689A"/>
    <w:rsid w:val="00EA699E"/>
    <w:rsid w:val="00EA6D8A"/>
    <w:rsid w:val="00EA6ED9"/>
    <w:rsid w:val="00EA7589"/>
    <w:rsid w:val="00EA7738"/>
    <w:rsid w:val="00EA7886"/>
    <w:rsid w:val="00EA7CC0"/>
    <w:rsid w:val="00EB0573"/>
    <w:rsid w:val="00EB07B6"/>
    <w:rsid w:val="00EB1003"/>
    <w:rsid w:val="00EB1300"/>
    <w:rsid w:val="00EB1574"/>
    <w:rsid w:val="00EB158F"/>
    <w:rsid w:val="00EB1906"/>
    <w:rsid w:val="00EB1926"/>
    <w:rsid w:val="00EB1C99"/>
    <w:rsid w:val="00EB1EAB"/>
    <w:rsid w:val="00EB1F0C"/>
    <w:rsid w:val="00EB2288"/>
    <w:rsid w:val="00EB22DD"/>
    <w:rsid w:val="00EB2356"/>
    <w:rsid w:val="00EB24CF"/>
    <w:rsid w:val="00EB259A"/>
    <w:rsid w:val="00EB2895"/>
    <w:rsid w:val="00EB2986"/>
    <w:rsid w:val="00EB2990"/>
    <w:rsid w:val="00EB2A65"/>
    <w:rsid w:val="00EB34C2"/>
    <w:rsid w:val="00EB3559"/>
    <w:rsid w:val="00EB41D2"/>
    <w:rsid w:val="00EB430D"/>
    <w:rsid w:val="00EB4465"/>
    <w:rsid w:val="00EB46BF"/>
    <w:rsid w:val="00EB4AF5"/>
    <w:rsid w:val="00EB4B20"/>
    <w:rsid w:val="00EB5107"/>
    <w:rsid w:val="00EB5658"/>
    <w:rsid w:val="00EB57EB"/>
    <w:rsid w:val="00EB58EE"/>
    <w:rsid w:val="00EB5B11"/>
    <w:rsid w:val="00EB5C24"/>
    <w:rsid w:val="00EB5C76"/>
    <w:rsid w:val="00EB5CA0"/>
    <w:rsid w:val="00EB62DF"/>
    <w:rsid w:val="00EB6894"/>
    <w:rsid w:val="00EB68FB"/>
    <w:rsid w:val="00EB6CD0"/>
    <w:rsid w:val="00EB6EA8"/>
    <w:rsid w:val="00EB7062"/>
    <w:rsid w:val="00EB7191"/>
    <w:rsid w:val="00EB71C1"/>
    <w:rsid w:val="00EB71CB"/>
    <w:rsid w:val="00EB7281"/>
    <w:rsid w:val="00EB733B"/>
    <w:rsid w:val="00EB7B48"/>
    <w:rsid w:val="00EC03CB"/>
    <w:rsid w:val="00EC06BD"/>
    <w:rsid w:val="00EC0ACE"/>
    <w:rsid w:val="00EC0B82"/>
    <w:rsid w:val="00EC0C17"/>
    <w:rsid w:val="00EC0DD9"/>
    <w:rsid w:val="00EC0E6A"/>
    <w:rsid w:val="00EC11DE"/>
    <w:rsid w:val="00EC1344"/>
    <w:rsid w:val="00EC1456"/>
    <w:rsid w:val="00EC1484"/>
    <w:rsid w:val="00EC157B"/>
    <w:rsid w:val="00EC1685"/>
    <w:rsid w:val="00EC17C0"/>
    <w:rsid w:val="00EC1D1D"/>
    <w:rsid w:val="00EC1D60"/>
    <w:rsid w:val="00EC21E1"/>
    <w:rsid w:val="00EC2262"/>
    <w:rsid w:val="00EC22F9"/>
    <w:rsid w:val="00EC237A"/>
    <w:rsid w:val="00EC24C1"/>
    <w:rsid w:val="00EC2607"/>
    <w:rsid w:val="00EC2D86"/>
    <w:rsid w:val="00EC2FDE"/>
    <w:rsid w:val="00EC2FE1"/>
    <w:rsid w:val="00EC3261"/>
    <w:rsid w:val="00EC343B"/>
    <w:rsid w:val="00EC38DA"/>
    <w:rsid w:val="00EC3B40"/>
    <w:rsid w:val="00EC3F42"/>
    <w:rsid w:val="00EC3FE2"/>
    <w:rsid w:val="00EC429F"/>
    <w:rsid w:val="00EC4D5F"/>
    <w:rsid w:val="00EC4EED"/>
    <w:rsid w:val="00EC5333"/>
    <w:rsid w:val="00EC57B9"/>
    <w:rsid w:val="00EC57EC"/>
    <w:rsid w:val="00EC5C92"/>
    <w:rsid w:val="00EC5D0C"/>
    <w:rsid w:val="00EC67E6"/>
    <w:rsid w:val="00EC6CC3"/>
    <w:rsid w:val="00EC71A5"/>
    <w:rsid w:val="00EC7D47"/>
    <w:rsid w:val="00EC7FF6"/>
    <w:rsid w:val="00ED0332"/>
    <w:rsid w:val="00ED0570"/>
    <w:rsid w:val="00ED0BE4"/>
    <w:rsid w:val="00ED107F"/>
    <w:rsid w:val="00ED116F"/>
    <w:rsid w:val="00ED135C"/>
    <w:rsid w:val="00ED1755"/>
    <w:rsid w:val="00ED1AEA"/>
    <w:rsid w:val="00ED1BD8"/>
    <w:rsid w:val="00ED1E37"/>
    <w:rsid w:val="00ED1F47"/>
    <w:rsid w:val="00ED1FD0"/>
    <w:rsid w:val="00ED2157"/>
    <w:rsid w:val="00ED21C3"/>
    <w:rsid w:val="00ED2651"/>
    <w:rsid w:val="00ED295B"/>
    <w:rsid w:val="00ED2B62"/>
    <w:rsid w:val="00ED30FD"/>
    <w:rsid w:val="00ED3682"/>
    <w:rsid w:val="00ED3750"/>
    <w:rsid w:val="00ED3CD3"/>
    <w:rsid w:val="00ED3DC5"/>
    <w:rsid w:val="00ED3EA4"/>
    <w:rsid w:val="00ED4481"/>
    <w:rsid w:val="00ED44FA"/>
    <w:rsid w:val="00ED4657"/>
    <w:rsid w:val="00ED46D2"/>
    <w:rsid w:val="00ED4905"/>
    <w:rsid w:val="00ED4AF8"/>
    <w:rsid w:val="00ED548B"/>
    <w:rsid w:val="00ED5D32"/>
    <w:rsid w:val="00ED5E25"/>
    <w:rsid w:val="00ED5F5D"/>
    <w:rsid w:val="00ED623B"/>
    <w:rsid w:val="00ED67E2"/>
    <w:rsid w:val="00ED6A05"/>
    <w:rsid w:val="00ED6CDF"/>
    <w:rsid w:val="00ED7124"/>
    <w:rsid w:val="00ED7473"/>
    <w:rsid w:val="00ED7588"/>
    <w:rsid w:val="00ED7DE6"/>
    <w:rsid w:val="00EE0084"/>
    <w:rsid w:val="00EE00C8"/>
    <w:rsid w:val="00EE04C8"/>
    <w:rsid w:val="00EE0824"/>
    <w:rsid w:val="00EE0DD5"/>
    <w:rsid w:val="00EE0F6D"/>
    <w:rsid w:val="00EE1177"/>
    <w:rsid w:val="00EE135F"/>
    <w:rsid w:val="00EE168B"/>
    <w:rsid w:val="00EE17D0"/>
    <w:rsid w:val="00EE17F2"/>
    <w:rsid w:val="00EE1823"/>
    <w:rsid w:val="00EE197F"/>
    <w:rsid w:val="00EE1CD1"/>
    <w:rsid w:val="00EE20DF"/>
    <w:rsid w:val="00EE25CA"/>
    <w:rsid w:val="00EE28F0"/>
    <w:rsid w:val="00EE2B0F"/>
    <w:rsid w:val="00EE2B61"/>
    <w:rsid w:val="00EE2CF2"/>
    <w:rsid w:val="00EE2EA6"/>
    <w:rsid w:val="00EE36AE"/>
    <w:rsid w:val="00EE3754"/>
    <w:rsid w:val="00EE3CD1"/>
    <w:rsid w:val="00EE405C"/>
    <w:rsid w:val="00EE42DD"/>
    <w:rsid w:val="00EE46F1"/>
    <w:rsid w:val="00EE4A0F"/>
    <w:rsid w:val="00EE50DD"/>
    <w:rsid w:val="00EE50EA"/>
    <w:rsid w:val="00EE5133"/>
    <w:rsid w:val="00EE59EF"/>
    <w:rsid w:val="00EE5A17"/>
    <w:rsid w:val="00EE5C44"/>
    <w:rsid w:val="00EE5DC8"/>
    <w:rsid w:val="00EE6202"/>
    <w:rsid w:val="00EE6226"/>
    <w:rsid w:val="00EE62E8"/>
    <w:rsid w:val="00EE66B9"/>
    <w:rsid w:val="00EE6939"/>
    <w:rsid w:val="00EE71F0"/>
    <w:rsid w:val="00EE74F5"/>
    <w:rsid w:val="00EE78B3"/>
    <w:rsid w:val="00EF00BC"/>
    <w:rsid w:val="00EF02AD"/>
    <w:rsid w:val="00EF0393"/>
    <w:rsid w:val="00EF0B50"/>
    <w:rsid w:val="00EF0C17"/>
    <w:rsid w:val="00EF1052"/>
    <w:rsid w:val="00EF17DD"/>
    <w:rsid w:val="00EF18AF"/>
    <w:rsid w:val="00EF18DF"/>
    <w:rsid w:val="00EF1A5A"/>
    <w:rsid w:val="00EF1D30"/>
    <w:rsid w:val="00EF1EB2"/>
    <w:rsid w:val="00EF2081"/>
    <w:rsid w:val="00EF20FC"/>
    <w:rsid w:val="00EF225F"/>
    <w:rsid w:val="00EF228A"/>
    <w:rsid w:val="00EF22FE"/>
    <w:rsid w:val="00EF31E3"/>
    <w:rsid w:val="00EF322A"/>
    <w:rsid w:val="00EF3386"/>
    <w:rsid w:val="00EF344B"/>
    <w:rsid w:val="00EF3B7C"/>
    <w:rsid w:val="00EF3CDB"/>
    <w:rsid w:val="00EF4431"/>
    <w:rsid w:val="00EF4437"/>
    <w:rsid w:val="00EF44C3"/>
    <w:rsid w:val="00EF46E4"/>
    <w:rsid w:val="00EF4F2D"/>
    <w:rsid w:val="00EF4FD4"/>
    <w:rsid w:val="00EF51DE"/>
    <w:rsid w:val="00EF53AE"/>
    <w:rsid w:val="00EF57E4"/>
    <w:rsid w:val="00EF5BEA"/>
    <w:rsid w:val="00EF6047"/>
    <w:rsid w:val="00EF6AA0"/>
    <w:rsid w:val="00EF6D7D"/>
    <w:rsid w:val="00EF6EC5"/>
    <w:rsid w:val="00EF7009"/>
    <w:rsid w:val="00F00317"/>
    <w:rsid w:val="00F00397"/>
    <w:rsid w:val="00F008B9"/>
    <w:rsid w:val="00F008D1"/>
    <w:rsid w:val="00F008E7"/>
    <w:rsid w:val="00F00A27"/>
    <w:rsid w:val="00F00CEE"/>
    <w:rsid w:val="00F0135D"/>
    <w:rsid w:val="00F018D5"/>
    <w:rsid w:val="00F01C1A"/>
    <w:rsid w:val="00F01DA9"/>
    <w:rsid w:val="00F01E1A"/>
    <w:rsid w:val="00F023E7"/>
    <w:rsid w:val="00F024CC"/>
    <w:rsid w:val="00F024EC"/>
    <w:rsid w:val="00F0259F"/>
    <w:rsid w:val="00F028E8"/>
    <w:rsid w:val="00F02A5D"/>
    <w:rsid w:val="00F02D16"/>
    <w:rsid w:val="00F02E3E"/>
    <w:rsid w:val="00F02E79"/>
    <w:rsid w:val="00F02E7A"/>
    <w:rsid w:val="00F0317B"/>
    <w:rsid w:val="00F0341B"/>
    <w:rsid w:val="00F03FB8"/>
    <w:rsid w:val="00F04052"/>
    <w:rsid w:val="00F04081"/>
    <w:rsid w:val="00F047FA"/>
    <w:rsid w:val="00F0519D"/>
    <w:rsid w:val="00F051E7"/>
    <w:rsid w:val="00F0524E"/>
    <w:rsid w:val="00F05B63"/>
    <w:rsid w:val="00F05D87"/>
    <w:rsid w:val="00F05FF9"/>
    <w:rsid w:val="00F062E1"/>
    <w:rsid w:val="00F0670C"/>
    <w:rsid w:val="00F06D46"/>
    <w:rsid w:val="00F06E9B"/>
    <w:rsid w:val="00F0747B"/>
    <w:rsid w:val="00F07684"/>
    <w:rsid w:val="00F07766"/>
    <w:rsid w:val="00F07F71"/>
    <w:rsid w:val="00F1033E"/>
    <w:rsid w:val="00F10431"/>
    <w:rsid w:val="00F10929"/>
    <w:rsid w:val="00F1159B"/>
    <w:rsid w:val="00F116D4"/>
    <w:rsid w:val="00F12172"/>
    <w:rsid w:val="00F1278E"/>
    <w:rsid w:val="00F12AEF"/>
    <w:rsid w:val="00F12F71"/>
    <w:rsid w:val="00F1300A"/>
    <w:rsid w:val="00F13045"/>
    <w:rsid w:val="00F131F2"/>
    <w:rsid w:val="00F13355"/>
    <w:rsid w:val="00F13AED"/>
    <w:rsid w:val="00F13E84"/>
    <w:rsid w:val="00F140DF"/>
    <w:rsid w:val="00F140F6"/>
    <w:rsid w:val="00F14546"/>
    <w:rsid w:val="00F148A0"/>
    <w:rsid w:val="00F14949"/>
    <w:rsid w:val="00F14C52"/>
    <w:rsid w:val="00F14DD5"/>
    <w:rsid w:val="00F150B0"/>
    <w:rsid w:val="00F15881"/>
    <w:rsid w:val="00F15BE4"/>
    <w:rsid w:val="00F15F00"/>
    <w:rsid w:val="00F1602D"/>
    <w:rsid w:val="00F161F3"/>
    <w:rsid w:val="00F17209"/>
    <w:rsid w:val="00F17538"/>
    <w:rsid w:val="00F20209"/>
    <w:rsid w:val="00F20600"/>
    <w:rsid w:val="00F209E2"/>
    <w:rsid w:val="00F20BBC"/>
    <w:rsid w:val="00F20FF1"/>
    <w:rsid w:val="00F21088"/>
    <w:rsid w:val="00F21116"/>
    <w:rsid w:val="00F211B9"/>
    <w:rsid w:val="00F211F7"/>
    <w:rsid w:val="00F21840"/>
    <w:rsid w:val="00F21925"/>
    <w:rsid w:val="00F2233B"/>
    <w:rsid w:val="00F22348"/>
    <w:rsid w:val="00F224A3"/>
    <w:rsid w:val="00F228E6"/>
    <w:rsid w:val="00F22CDE"/>
    <w:rsid w:val="00F22D38"/>
    <w:rsid w:val="00F22E3D"/>
    <w:rsid w:val="00F22E59"/>
    <w:rsid w:val="00F23361"/>
    <w:rsid w:val="00F234FD"/>
    <w:rsid w:val="00F2351E"/>
    <w:rsid w:val="00F23681"/>
    <w:rsid w:val="00F23793"/>
    <w:rsid w:val="00F23C6D"/>
    <w:rsid w:val="00F243F9"/>
    <w:rsid w:val="00F24A23"/>
    <w:rsid w:val="00F24C80"/>
    <w:rsid w:val="00F24C83"/>
    <w:rsid w:val="00F25001"/>
    <w:rsid w:val="00F25104"/>
    <w:rsid w:val="00F2515F"/>
    <w:rsid w:val="00F251FA"/>
    <w:rsid w:val="00F256FB"/>
    <w:rsid w:val="00F2591B"/>
    <w:rsid w:val="00F25BCD"/>
    <w:rsid w:val="00F261B8"/>
    <w:rsid w:val="00F2631E"/>
    <w:rsid w:val="00F26958"/>
    <w:rsid w:val="00F26CE9"/>
    <w:rsid w:val="00F26DBF"/>
    <w:rsid w:val="00F26EF9"/>
    <w:rsid w:val="00F27107"/>
    <w:rsid w:val="00F2730E"/>
    <w:rsid w:val="00F2733D"/>
    <w:rsid w:val="00F273E2"/>
    <w:rsid w:val="00F2766F"/>
    <w:rsid w:val="00F27AA6"/>
    <w:rsid w:val="00F27C6A"/>
    <w:rsid w:val="00F302F3"/>
    <w:rsid w:val="00F30821"/>
    <w:rsid w:val="00F30BB5"/>
    <w:rsid w:val="00F311A8"/>
    <w:rsid w:val="00F31260"/>
    <w:rsid w:val="00F31785"/>
    <w:rsid w:val="00F317A6"/>
    <w:rsid w:val="00F31834"/>
    <w:rsid w:val="00F31F30"/>
    <w:rsid w:val="00F3234A"/>
    <w:rsid w:val="00F3276F"/>
    <w:rsid w:val="00F32CB4"/>
    <w:rsid w:val="00F32CF3"/>
    <w:rsid w:val="00F335DC"/>
    <w:rsid w:val="00F33731"/>
    <w:rsid w:val="00F33B32"/>
    <w:rsid w:val="00F33CB4"/>
    <w:rsid w:val="00F33E59"/>
    <w:rsid w:val="00F33F21"/>
    <w:rsid w:val="00F33F94"/>
    <w:rsid w:val="00F34209"/>
    <w:rsid w:val="00F34245"/>
    <w:rsid w:val="00F349BA"/>
    <w:rsid w:val="00F34B5D"/>
    <w:rsid w:val="00F34BB8"/>
    <w:rsid w:val="00F34C75"/>
    <w:rsid w:val="00F35522"/>
    <w:rsid w:val="00F35570"/>
    <w:rsid w:val="00F356F4"/>
    <w:rsid w:val="00F35C4F"/>
    <w:rsid w:val="00F363F2"/>
    <w:rsid w:val="00F36500"/>
    <w:rsid w:val="00F3671C"/>
    <w:rsid w:val="00F368DB"/>
    <w:rsid w:val="00F36DEC"/>
    <w:rsid w:val="00F3708C"/>
    <w:rsid w:val="00F37249"/>
    <w:rsid w:val="00F3746F"/>
    <w:rsid w:val="00F37481"/>
    <w:rsid w:val="00F37771"/>
    <w:rsid w:val="00F37B35"/>
    <w:rsid w:val="00F40206"/>
    <w:rsid w:val="00F4031C"/>
    <w:rsid w:val="00F40349"/>
    <w:rsid w:val="00F40F0E"/>
    <w:rsid w:val="00F40F8F"/>
    <w:rsid w:val="00F41030"/>
    <w:rsid w:val="00F410D0"/>
    <w:rsid w:val="00F411A5"/>
    <w:rsid w:val="00F41429"/>
    <w:rsid w:val="00F415CD"/>
    <w:rsid w:val="00F41791"/>
    <w:rsid w:val="00F418E5"/>
    <w:rsid w:val="00F41915"/>
    <w:rsid w:val="00F419DC"/>
    <w:rsid w:val="00F41A99"/>
    <w:rsid w:val="00F41AA2"/>
    <w:rsid w:val="00F41AAD"/>
    <w:rsid w:val="00F41CF3"/>
    <w:rsid w:val="00F41DE2"/>
    <w:rsid w:val="00F41EC4"/>
    <w:rsid w:val="00F41F8E"/>
    <w:rsid w:val="00F41FE5"/>
    <w:rsid w:val="00F423FD"/>
    <w:rsid w:val="00F428C8"/>
    <w:rsid w:val="00F429B3"/>
    <w:rsid w:val="00F42B6D"/>
    <w:rsid w:val="00F42DDE"/>
    <w:rsid w:val="00F4304C"/>
    <w:rsid w:val="00F4368F"/>
    <w:rsid w:val="00F43732"/>
    <w:rsid w:val="00F43960"/>
    <w:rsid w:val="00F43C50"/>
    <w:rsid w:val="00F43DE1"/>
    <w:rsid w:val="00F4410D"/>
    <w:rsid w:val="00F44399"/>
    <w:rsid w:val="00F44A40"/>
    <w:rsid w:val="00F44B23"/>
    <w:rsid w:val="00F44BAA"/>
    <w:rsid w:val="00F44F05"/>
    <w:rsid w:val="00F44F4D"/>
    <w:rsid w:val="00F45B03"/>
    <w:rsid w:val="00F45E29"/>
    <w:rsid w:val="00F45EC3"/>
    <w:rsid w:val="00F460F1"/>
    <w:rsid w:val="00F4622A"/>
    <w:rsid w:val="00F466D8"/>
    <w:rsid w:val="00F46C29"/>
    <w:rsid w:val="00F46CD4"/>
    <w:rsid w:val="00F46FF9"/>
    <w:rsid w:val="00F47292"/>
    <w:rsid w:val="00F47530"/>
    <w:rsid w:val="00F47572"/>
    <w:rsid w:val="00F47C22"/>
    <w:rsid w:val="00F500FA"/>
    <w:rsid w:val="00F50783"/>
    <w:rsid w:val="00F507CA"/>
    <w:rsid w:val="00F5086C"/>
    <w:rsid w:val="00F51433"/>
    <w:rsid w:val="00F5231B"/>
    <w:rsid w:val="00F524E0"/>
    <w:rsid w:val="00F52AD0"/>
    <w:rsid w:val="00F52F78"/>
    <w:rsid w:val="00F53290"/>
    <w:rsid w:val="00F533CE"/>
    <w:rsid w:val="00F535C4"/>
    <w:rsid w:val="00F53928"/>
    <w:rsid w:val="00F53BC7"/>
    <w:rsid w:val="00F53BCB"/>
    <w:rsid w:val="00F53FC5"/>
    <w:rsid w:val="00F54268"/>
    <w:rsid w:val="00F54437"/>
    <w:rsid w:val="00F544C0"/>
    <w:rsid w:val="00F55092"/>
    <w:rsid w:val="00F55135"/>
    <w:rsid w:val="00F55226"/>
    <w:rsid w:val="00F55572"/>
    <w:rsid w:val="00F559AD"/>
    <w:rsid w:val="00F559D4"/>
    <w:rsid w:val="00F55A98"/>
    <w:rsid w:val="00F5611C"/>
    <w:rsid w:val="00F56556"/>
    <w:rsid w:val="00F56775"/>
    <w:rsid w:val="00F56A0A"/>
    <w:rsid w:val="00F56D63"/>
    <w:rsid w:val="00F5751E"/>
    <w:rsid w:val="00F576A4"/>
    <w:rsid w:val="00F576FF"/>
    <w:rsid w:val="00F60485"/>
    <w:rsid w:val="00F60771"/>
    <w:rsid w:val="00F60801"/>
    <w:rsid w:val="00F60C9C"/>
    <w:rsid w:val="00F60D4E"/>
    <w:rsid w:val="00F61176"/>
    <w:rsid w:val="00F6131D"/>
    <w:rsid w:val="00F61913"/>
    <w:rsid w:val="00F61F02"/>
    <w:rsid w:val="00F61F6D"/>
    <w:rsid w:val="00F61F89"/>
    <w:rsid w:val="00F6288E"/>
    <w:rsid w:val="00F62D33"/>
    <w:rsid w:val="00F62EF8"/>
    <w:rsid w:val="00F62F80"/>
    <w:rsid w:val="00F632C4"/>
    <w:rsid w:val="00F63A87"/>
    <w:rsid w:val="00F63D20"/>
    <w:rsid w:val="00F641D2"/>
    <w:rsid w:val="00F64280"/>
    <w:rsid w:val="00F6438F"/>
    <w:rsid w:val="00F6457B"/>
    <w:rsid w:val="00F6461E"/>
    <w:rsid w:val="00F648C2"/>
    <w:rsid w:val="00F64AEC"/>
    <w:rsid w:val="00F64CAA"/>
    <w:rsid w:val="00F64ECC"/>
    <w:rsid w:val="00F64EDF"/>
    <w:rsid w:val="00F65327"/>
    <w:rsid w:val="00F656EE"/>
    <w:rsid w:val="00F662A5"/>
    <w:rsid w:val="00F665D7"/>
    <w:rsid w:val="00F6663E"/>
    <w:rsid w:val="00F667D5"/>
    <w:rsid w:val="00F66C0C"/>
    <w:rsid w:val="00F66C18"/>
    <w:rsid w:val="00F66D4F"/>
    <w:rsid w:val="00F66E2D"/>
    <w:rsid w:val="00F67308"/>
    <w:rsid w:val="00F674FD"/>
    <w:rsid w:val="00F67A57"/>
    <w:rsid w:val="00F67C17"/>
    <w:rsid w:val="00F70202"/>
    <w:rsid w:val="00F70570"/>
    <w:rsid w:val="00F70719"/>
    <w:rsid w:val="00F70E51"/>
    <w:rsid w:val="00F70F5F"/>
    <w:rsid w:val="00F7106F"/>
    <w:rsid w:val="00F71427"/>
    <w:rsid w:val="00F71508"/>
    <w:rsid w:val="00F71509"/>
    <w:rsid w:val="00F715D7"/>
    <w:rsid w:val="00F71623"/>
    <w:rsid w:val="00F7176C"/>
    <w:rsid w:val="00F717EB"/>
    <w:rsid w:val="00F71986"/>
    <w:rsid w:val="00F71F0B"/>
    <w:rsid w:val="00F720CC"/>
    <w:rsid w:val="00F72538"/>
    <w:rsid w:val="00F7255F"/>
    <w:rsid w:val="00F725C3"/>
    <w:rsid w:val="00F72679"/>
    <w:rsid w:val="00F7270F"/>
    <w:rsid w:val="00F72805"/>
    <w:rsid w:val="00F72A48"/>
    <w:rsid w:val="00F72F8D"/>
    <w:rsid w:val="00F730ED"/>
    <w:rsid w:val="00F736F1"/>
    <w:rsid w:val="00F73AFF"/>
    <w:rsid w:val="00F73C0C"/>
    <w:rsid w:val="00F73E85"/>
    <w:rsid w:val="00F73EC7"/>
    <w:rsid w:val="00F73F05"/>
    <w:rsid w:val="00F73F3B"/>
    <w:rsid w:val="00F743C2"/>
    <w:rsid w:val="00F74678"/>
    <w:rsid w:val="00F74993"/>
    <w:rsid w:val="00F74BD3"/>
    <w:rsid w:val="00F74CA2"/>
    <w:rsid w:val="00F74FC8"/>
    <w:rsid w:val="00F75172"/>
    <w:rsid w:val="00F753EE"/>
    <w:rsid w:val="00F7549C"/>
    <w:rsid w:val="00F75A40"/>
    <w:rsid w:val="00F75A51"/>
    <w:rsid w:val="00F765BB"/>
    <w:rsid w:val="00F766F9"/>
    <w:rsid w:val="00F769C2"/>
    <w:rsid w:val="00F76C16"/>
    <w:rsid w:val="00F76EDA"/>
    <w:rsid w:val="00F77C79"/>
    <w:rsid w:val="00F77D45"/>
    <w:rsid w:val="00F800EC"/>
    <w:rsid w:val="00F802FF"/>
    <w:rsid w:val="00F804F2"/>
    <w:rsid w:val="00F8051A"/>
    <w:rsid w:val="00F805A4"/>
    <w:rsid w:val="00F808A7"/>
    <w:rsid w:val="00F80C59"/>
    <w:rsid w:val="00F80C5D"/>
    <w:rsid w:val="00F81468"/>
    <w:rsid w:val="00F8190E"/>
    <w:rsid w:val="00F81B60"/>
    <w:rsid w:val="00F81DCB"/>
    <w:rsid w:val="00F82201"/>
    <w:rsid w:val="00F822DE"/>
    <w:rsid w:val="00F82906"/>
    <w:rsid w:val="00F82B4B"/>
    <w:rsid w:val="00F831C4"/>
    <w:rsid w:val="00F83728"/>
    <w:rsid w:val="00F8387F"/>
    <w:rsid w:val="00F838E5"/>
    <w:rsid w:val="00F83E81"/>
    <w:rsid w:val="00F841B5"/>
    <w:rsid w:val="00F84239"/>
    <w:rsid w:val="00F84290"/>
    <w:rsid w:val="00F8429D"/>
    <w:rsid w:val="00F84CCF"/>
    <w:rsid w:val="00F84F62"/>
    <w:rsid w:val="00F85681"/>
    <w:rsid w:val="00F858C1"/>
    <w:rsid w:val="00F85A92"/>
    <w:rsid w:val="00F85AAC"/>
    <w:rsid w:val="00F85E18"/>
    <w:rsid w:val="00F86295"/>
    <w:rsid w:val="00F8694F"/>
    <w:rsid w:val="00F86C1F"/>
    <w:rsid w:val="00F87BCC"/>
    <w:rsid w:val="00F87CC2"/>
    <w:rsid w:val="00F901C7"/>
    <w:rsid w:val="00F9021E"/>
    <w:rsid w:val="00F90C53"/>
    <w:rsid w:val="00F90DD7"/>
    <w:rsid w:val="00F911C5"/>
    <w:rsid w:val="00F9154F"/>
    <w:rsid w:val="00F91930"/>
    <w:rsid w:val="00F92DB2"/>
    <w:rsid w:val="00F9328F"/>
    <w:rsid w:val="00F93829"/>
    <w:rsid w:val="00F93915"/>
    <w:rsid w:val="00F93E95"/>
    <w:rsid w:val="00F93F0A"/>
    <w:rsid w:val="00F950D1"/>
    <w:rsid w:val="00F953BD"/>
    <w:rsid w:val="00F953C9"/>
    <w:rsid w:val="00F954F5"/>
    <w:rsid w:val="00F955BA"/>
    <w:rsid w:val="00F9571C"/>
    <w:rsid w:val="00F957F3"/>
    <w:rsid w:val="00F9592B"/>
    <w:rsid w:val="00F95970"/>
    <w:rsid w:val="00F95E29"/>
    <w:rsid w:val="00F962B0"/>
    <w:rsid w:val="00F969A9"/>
    <w:rsid w:val="00F96A85"/>
    <w:rsid w:val="00F96B62"/>
    <w:rsid w:val="00F970BE"/>
    <w:rsid w:val="00F9758C"/>
    <w:rsid w:val="00F979BF"/>
    <w:rsid w:val="00F97AF0"/>
    <w:rsid w:val="00F97B48"/>
    <w:rsid w:val="00F97CB5"/>
    <w:rsid w:val="00FA001F"/>
    <w:rsid w:val="00FA00F2"/>
    <w:rsid w:val="00FA013F"/>
    <w:rsid w:val="00FA0522"/>
    <w:rsid w:val="00FA099F"/>
    <w:rsid w:val="00FA0C75"/>
    <w:rsid w:val="00FA0FE1"/>
    <w:rsid w:val="00FA10E4"/>
    <w:rsid w:val="00FA115B"/>
    <w:rsid w:val="00FA12E7"/>
    <w:rsid w:val="00FA14BA"/>
    <w:rsid w:val="00FA163D"/>
    <w:rsid w:val="00FA17F9"/>
    <w:rsid w:val="00FA182E"/>
    <w:rsid w:val="00FA1B85"/>
    <w:rsid w:val="00FA1CF6"/>
    <w:rsid w:val="00FA1EAB"/>
    <w:rsid w:val="00FA1EFA"/>
    <w:rsid w:val="00FA1F00"/>
    <w:rsid w:val="00FA2273"/>
    <w:rsid w:val="00FA252D"/>
    <w:rsid w:val="00FA2635"/>
    <w:rsid w:val="00FA2A36"/>
    <w:rsid w:val="00FA2A78"/>
    <w:rsid w:val="00FA2BA0"/>
    <w:rsid w:val="00FA3789"/>
    <w:rsid w:val="00FA37B9"/>
    <w:rsid w:val="00FA3947"/>
    <w:rsid w:val="00FA48B0"/>
    <w:rsid w:val="00FA4AD4"/>
    <w:rsid w:val="00FA50B8"/>
    <w:rsid w:val="00FA5231"/>
    <w:rsid w:val="00FA55F1"/>
    <w:rsid w:val="00FA5A93"/>
    <w:rsid w:val="00FA5DE4"/>
    <w:rsid w:val="00FA627B"/>
    <w:rsid w:val="00FA649C"/>
    <w:rsid w:val="00FA67A1"/>
    <w:rsid w:val="00FA693E"/>
    <w:rsid w:val="00FA69DA"/>
    <w:rsid w:val="00FA6A2A"/>
    <w:rsid w:val="00FA6E9A"/>
    <w:rsid w:val="00FA6EDE"/>
    <w:rsid w:val="00FA7094"/>
    <w:rsid w:val="00FA7647"/>
    <w:rsid w:val="00FA76CE"/>
    <w:rsid w:val="00FA7A98"/>
    <w:rsid w:val="00FB0462"/>
    <w:rsid w:val="00FB0695"/>
    <w:rsid w:val="00FB0879"/>
    <w:rsid w:val="00FB0971"/>
    <w:rsid w:val="00FB09D0"/>
    <w:rsid w:val="00FB0D8A"/>
    <w:rsid w:val="00FB12C2"/>
    <w:rsid w:val="00FB1632"/>
    <w:rsid w:val="00FB1989"/>
    <w:rsid w:val="00FB19A8"/>
    <w:rsid w:val="00FB2341"/>
    <w:rsid w:val="00FB255D"/>
    <w:rsid w:val="00FB2602"/>
    <w:rsid w:val="00FB2772"/>
    <w:rsid w:val="00FB2A88"/>
    <w:rsid w:val="00FB2C37"/>
    <w:rsid w:val="00FB2D78"/>
    <w:rsid w:val="00FB3088"/>
    <w:rsid w:val="00FB314B"/>
    <w:rsid w:val="00FB32CE"/>
    <w:rsid w:val="00FB3339"/>
    <w:rsid w:val="00FB36D0"/>
    <w:rsid w:val="00FB375B"/>
    <w:rsid w:val="00FB3E56"/>
    <w:rsid w:val="00FB421E"/>
    <w:rsid w:val="00FB4437"/>
    <w:rsid w:val="00FB4573"/>
    <w:rsid w:val="00FB473F"/>
    <w:rsid w:val="00FB4918"/>
    <w:rsid w:val="00FB4CC9"/>
    <w:rsid w:val="00FB4D01"/>
    <w:rsid w:val="00FB4EE1"/>
    <w:rsid w:val="00FB4FD3"/>
    <w:rsid w:val="00FB51C1"/>
    <w:rsid w:val="00FB52D3"/>
    <w:rsid w:val="00FB5952"/>
    <w:rsid w:val="00FB5DBC"/>
    <w:rsid w:val="00FB6297"/>
    <w:rsid w:val="00FB62A9"/>
    <w:rsid w:val="00FB62E0"/>
    <w:rsid w:val="00FB6607"/>
    <w:rsid w:val="00FB6783"/>
    <w:rsid w:val="00FB685B"/>
    <w:rsid w:val="00FB6F44"/>
    <w:rsid w:val="00FB7DD0"/>
    <w:rsid w:val="00FB7E89"/>
    <w:rsid w:val="00FB7F52"/>
    <w:rsid w:val="00FC053C"/>
    <w:rsid w:val="00FC08A3"/>
    <w:rsid w:val="00FC08AA"/>
    <w:rsid w:val="00FC0937"/>
    <w:rsid w:val="00FC101C"/>
    <w:rsid w:val="00FC148B"/>
    <w:rsid w:val="00FC17BD"/>
    <w:rsid w:val="00FC18AF"/>
    <w:rsid w:val="00FC1BA0"/>
    <w:rsid w:val="00FC1DBA"/>
    <w:rsid w:val="00FC1DCE"/>
    <w:rsid w:val="00FC1E06"/>
    <w:rsid w:val="00FC2258"/>
    <w:rsid w:val="00FC24DA"/>
    <w:rsid w:val="00FC2730"/>
    <w:rsid w:val="00FC3209"/>
    <w:rsid w:val="00FC337A"/>
    <w:rsid w:val="00FC3C7E"/>
    <w:rsid w:val="00FC3CBE"/>
    <w:rsid w:val="00FC405B"/>
    <w:rsid w:val="00FC45EF"/>
    <w:rsid w:val="00FC46DC"/>
    <w:rsid w:val="00FC47CC"/>
    <w:rsid w:val="00FC4B4B"/>
    <w:rsid w:val="00FC513A"/>
    <w:rsid w:val="00FC525E"/>
    <w:rsid w:val="00FC5369"/>
    <w:rsid w:val="00FC5B1B"/>
    <w:rsid w:val="00FC5BC1"/>
    <w:rsid w:val="00FC5FD4"/>
    <w:rsid w:val="00FC601F"/>
    <w:rsid w:val="00FC6042"/>
    <w:rsid w:val="00FC610D"/>
    <w:rsid w:val="00FC6287"/>
    <w:rsid w:val="00FC6365"/>
    <w:rsid w:val="00FC66F7"/>
    <w:rsid w:val="00FC6F2B"/>
    <w:rsid w:val="00FC6F4A"/>
    <w:rsid w:val="00FC757A"/>
    <w:rsid w:val="00FC75F7"/>
    <w:rsid w:val="00FC78A4"/>
    <w:rsid w:val="00FC7BAD"/>
    <w:rsid w:val="00FD0001"/>
    <w:rsid w:val="00FD014C"/>
    <w:rsid w:val="00FD154E"/>
    <w:rsid w:val="00FD1874"/>
    <w:rsid w:val="00FD1912"/>
    <w:rsid w:val="00FD1E61"/>
    <w:rsid w:val="00FD1EEE"/>
    <w:rsid w:val="00FD2083"/>
    <w:rsid w:val="00FD212A"/>
    <w:rsid w:val="00FD2141"/>
    <w:rsid w:val="00FD23CA"/>
    <w:rsid w:val="00FD263C"/>
    <w:rsid w:val="00FD28CF"/>
    <w:rsid w:val="00FD291A"/>
    <w:rsid w:val="00FD296A"/>
    <w:rsid w:val="00FD29F2"/>
    <w:rsid w:val="00FD2AFD"/>
    <w:rsid w:val="00FD2EE9"/>
    <w:rsid w:val="00FD3702"/>
    <w:rsid w:val="00FD387D"/>
    <w:rsid w:val="00FD3C49"/>
    <w:rsid w:val="00FD3FF3"/>
    <w:rsid w:val="00FD4148"/>
    <w:rsid w:val="00FD439D"/>
    <w:rsid w:val="00FD43D0"/>
    <w:rsid w:val="00FD479F"/>
    <w:rsid w:val="00FD4E45"/>
    <w:rsid w:val="00FD505D"/>
    <w:rsid w:val="00FD53ED"/>
    <w:rsid w:val="00FD56AD"/>
    <w:rsid w:val="00FD5BF9"/>
    <w:rsid w:val="00FD648B"/>
    <w:rsid w:val="00FD681A"/>
    <w:rsid w:val="00FD6A4F"/>
    <w:rsid w:val="00FD7055"/>
    <w:rsid w:val="00FD76B1"/>
    <w:rsid w:val="00FD7718"/>
    <w:rsid w:val="00FD7884"/>
    <w:rsid w:val="00FD7A5A"/>
    <w:rsid w:val="00FD7E51"/>
    <w:rsid w:val="00FD7F64"/>
    <w:rsid w:val="00FE048A"/>
    <w:rsid w:val="00FE04B8"/>
    <w:rsid w:val="00FE05D6"/>
    <w:rsid w:val="00FE06E0"/>
    <w:rsid w:val="00FE0A1D"/>
    <w:rsid w:val="00FE0AE2"/>
    <w:rsid w:val="00FE0B9E"/>
    <w:rsid w:val="00FE1414"/>
    <w:rsid w:val="00FE1A68"/>
    <w:rsid w:val="00FE21B3"/>
    <w:rsid w:val="00FE2333"/>
    <w:rsid w:val="00FE2789"/>
    <w:rsid w:val="00FE27F4"/>
    <w:rsid w:val="00FE29A6"/>
    <w:rsid w:val="00FE29DB"/>
    <w:rsid w:val="00FE2A6B"/>
    <w:rsid w:val="00FE2BBB"/>
    <w:rsid w:val="00FE2E60"/>
    <w:rsid w:val="00FE30F1"/>
    <w:rsid w:val="00FE30F6"/>
    <w:rsid w:val="00FE33C1"/>
    <w:rsid w:val="00FE3470"/>
    <w:rsid w:val="00FE3ABA"/>
    <w:rsid w:val="00FE3FF7"/>
    <w:rsid w:val="00FE44C9"/>
    <w:rsid w:val="00FE45B3"/>
    <w:rsid w:val="00FE47ED"/>
    <w:rsid w:val="00FE4A60"/>
    <w:rsid w:val="00FE4C3C"/>
    <w:rsid w:val="00FE4CD8"/>
    <w:rsid w:val="00FE4D9B"/>
    <w:rsid w:val="00FE4E8D"/>
    <w:rsid w:val="00FE4F7D"/>
    <w:rsid w:val="00FE5540"/>
    <w:rsid w:val="00FE560B"/>
    <w:rsid w:val="00FE5B80"/>
    <w:rsid w:val="00FE5DE7"/>
    <w:rsid w:val="00FE5F3B"/>
    <w:rsid w:val="00FE6021"/>
    <w:rsid w:val="00FE634B"/>
    <w:rsid w:val="00FE63FD"/>
    <w:rsid w:val="00FE66A4"/>
    <w:rsid w:val="00FE6A03"/>
    <w:rsid w:val="00FE6BDD"/>
    <w:rsid w:val="00FE6EB2"/>
    <w:rsid w:val="00FE749F"/>
    <w:rsid w:val="00FE7822"/>
    <w:rsid w:val="00FF0126"/>
    <w:rsid w:val="00FF023D"/>
    <w:rsid w:val="00FF0481"/>
    <w:rsid w:val="00FF05DB"/>
    <w:rsid w:val="00FF0A05"/>
    <w:rsid w:val="00FF0CFB"/>
    <w:rsid w:val="00FF1095"/>
    <w:rsid w:val="00FF1163"/>
    <w:rsid w:val="00FF13DC"/>
    <w:rsid w:val="00FF162F"/>
    <w:rsid w:val="00FF16BE"/>
    <w:rsid w:val="00FF1C5D"/>
    <w:rsid w:val="00FF208B"/>
    <w:rsid w:val="00FF2163"/>
    <w:rsid w:val="00FF2237"/>
    <w:rsid w:val="00FF239B"/>
    <w:rsid w:val="00FF2ADE"/>
    <w:rsid w:val="00FF2D10"/>
    <w:rsid w:val="00FF2D1C"/>
    <w:rsid w:val="00FF2D24"/>
    <w:rsid w:val="00FF360A"/>
    <w:rsid w:val="00FF3B8E"/>
    <w:rsid w:val="00FF3D31"/>
    <w:rsid w:val="00FF3FE0"/>
    <w:rsid w:val="00FF4194"/>
    <w:rsid w:val="00FF47A0"/>
    <w:rsid w:val="00FF4B37"/>
    <w:rsid w:val="00FF5327"/>
    <w:rsid w:val="00FF545F"/>
    <w:rsid w:val="00FF60AC"/>
    <w:rsid w:val="00FF65A5"/>
    <w:rsid w:val="00FF65BA"/>
    <w:rsid w:val="00FF6BBB"/>
    <w:rsid w:val="00FF701E"/>
    <w:rsid w:val="00FF744F"/>
    <w:rsid w:val="00FF7D47"/>
    <w:rsid w:val="00FF7EB5"/>
    <w:rsid w:val="00FF7EF0"/>
    <w:rsid w:val="00FF7FDA"/>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style="mso-position-horizontal:center;mso-width-percent:400;mso-height-percent:200;mso-width-relative:margin;mso-height-relative:margin" fillcolor="white">
      <v:fill color="white"/>
      <v:textbox style="mso-fit-shape-to-text:t"/>
    </o:shapedefaults>
    <o:shapelayout v:ext="edit">
      <o:idmap v:ext="edit" data="1"/>
    </o:shapelayout>
  </w:shapeDefaults>
  <w:decimalSymbol w:val=","/>
  <w:listSeparator w:val=";"/>
  <w14:docId w14:val="198FA579"/>
  <w15:docId w15:val="{00BFC27C-6314-4865-A79E-C01C89181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D293F"/>
    <w:rPr>
      <w:sz w:val="24"/>
      <w:szCs w:val="24"/>
    </w:rPr>
  </w:style>
  <w:style w:type="paragraph" w:styleId="Titolo1">
    <w:name w:val="heading 1"/>
    <w:basedOn w:val="Normale"/>
    <w:next w:val="Normale"/>
    <w:link w:val="Titolo1Carattere"/>
    <w:uiPriority w:val="99"/>
    <w:qFormat/>
    <w:rsid w:val="008C286E"/>
    <w:pPr>
      <w:keepNext/>
      <w:spacing w:after="120"/>
      <w:jc w:val="both"/>
      <w:outlineLvl w:val="0"/>
    </w:pPr>
    <w:rPr>
      <w:rFonts w:ascii="Cambria" w:hAnsi="Cambria"/>
      <w:b/>
      <w:sz w:val="32"/>
    </w:rPr>
  </w:style>
  <w:style w:type="paragraph" w:styleId="Titolo2">
    <w:name w:val="heading 2"/>
    <w:basedOn w:val="Normale"/>
    <w:next w:val="Normale"/>
    <w:link w:val="Titolo2Carattere"/>
    <w:uiPriority w:val="9"/>
    <w:semiHidden/>
    <w:unhideWhenUsed/>
    <w:qFormat/>
    <w:rsid w:val="008C286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8C286E"/>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9"/>
    <w:qFormat/>
    <w:rsid w:val="008C286E"/>
    <w:pPr>
      <w:keepNext/>
      <w:keepLines/>
      <w:spacing w:before="200"/>
      <w:outlineLvl w:val="3"/>
    </w:pPr>
    <w:rPr>
      <w:rFonts w:ascii="Cambria" w:hAnsi="Cambria"/>
      <w:b/>
      <w:bCs/>
      <w:i/>
      <w:iCs/>
      <w:color w:val="4F81BD"/>
    </w:rPr>
  </w:style>
  <w:style w:type="paragraph" w:styleId="Titolo5">
    <w:name w:val="heading 5"/>
    <w:basedOn w:val="Normale"/>
    <w:next w:val="Normale"/>
    <w:link w:val="Titolo5Carattere"/>
    <w:uiPriority w:val="9"/>
    <w:semiHidden/>
    <w:unhideWhenUsed/>
    <w:qFormat/>
    <w:rsid w:val="008C286E"/>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8C286E"/>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rsid w:val="008C286E"/>
    <w:pPr>
      <w:keepNext/>
      <w:keepLines/>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rsid w:val="008C286E"/>
    <w:pPr>
      <w:keepNext/>
      <w:keepLines/>
      <w:spacing w:before="200"/>
      <w:outlineLvl w:val="7"/>
    </w:pPr>
    <w:rPr>
      <w:rFonts w:asciiTheme="majorHAnsi" w:eastAsiaTheme="majorEastAsia" w:hAnsiTheme="majorHAnsi" w:cstheme="majorBidi"/>
      <w:color w:val="404040" w:themeColor="text1" w:themeTint="BF"/>
    </w:rPr>
  </w:style>
  <w:style w:type="paragraph" w:styleId="Titolo9">
    <w:name w:val="heading 9"/>
    <w:basedOn w:val="Normale"/>
    <w:next w:val="Normale"/>
    <w:link w:val="Titolo9Carattere"/>
    <w:uiPriority w:val="9"/>
    <w:semiHidden/>
    <w:unhideWhenUsed/>
    <w:qFormat/>
    <w:rsid w:val="008C286E"/>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9"/>
    <w:rsid w:val="008C286E"/>
    <w:rPr>
      <w:rFonts w:ascii="Cambria" w:hAnsi="Cambria" w:cs="Times New Roman"/>
      <w:b/>
      <w:sz w:val="32"/>
    </w:rPr>
  </w:style>
  <w:style w:type="paragraph" w:styleId="Corpotesto">
    <w:name w:val="Body Text"/>
    <w:basedOn w:val="Normale"/>
    <w:link w:val="CorpotestoCarattere"/>
    <w:uiPriority w:val="99"/>
    <w:rsid w:val="008C286E"/>
    <w:pPr>
      <w:spacing w:line="360" w:lineRule="auto"/>
    </w:pPr>
  </w:style>
  <w:style w:type="character" w:customStyle="1" w:styleId="CorpotestoCarattere">
    <w:name w:val="Corpo testo Carattere"/>
    <w:link w:val="Corpotesto"/>
    <w:uiPriority w:val="99"/>
    <w:rsid w:val="008C286E"/>
    <w:rPr>
      <w:rFonts w:cs="Times New Roman"/>
      <w:sz w:val="20"/>
    </w:rPr>
  </w:style>
  <w:style w:type="paragraph" w:styleId="Pidipagina">
    <w:name w:val="footer"/>
    <w:basedOn w:val="Normale"/>
    <w:link w:val="PidipaginaCarattere"/>
    <w:uiPriority w:val="99"/>
    <w:rsid w:val="008C286E"/>
    <w:pPr>
      <w:tabs>
        <w:tab w:val="center" w:pos="4818"/>
        <w:tab w:val="right" w:pos="9637"/>
      </w:tabs>
      <w:jc w:val="both"/>
    </w:pPr>
  </w:style>
  <w:style w:type="character" w:customStyle="1" w:styleId="PidipaginaCarattere">
    <w:name w:val="Piè di pagina Carattere"/>
    <w:link w:val="Pidipagina"/>
    <w:uiPriority w:val="99"/>
    <w:rsid w:val="008C286E"/>
    <w:rPr>
      <w:rFonts w:cs="Times New Roman"/>
      <w:sz w:val="20"/>
    </w:rPr>
  </w:style>
  <w:style w:type="character" w:styleId="Collegamentoipertestuale">
    <w:name w:val="Hyperlink"/>
    <w:uiPriority w:val="99"/>
    <w:rsid w:val="008C286E"/>
    <w:rPr>
      <w:rFonts w:cs="Times New Roman"/>
      <w:color w:val="0000FF"/>
      <w:u w:val="single"/>
    </w:rPr>
  </w:style>
  <w:style w:type="paragraph" w:styleId="Intestazione">
    <w:name w:val="header"/>
    <w:basedOn w:val="Normale"/>
    <w:link w:val="IntestazioneCarattere"/>
    <w:uiPriority w:val="99"/>
    <w:rsid w:val="008C286E"/>
    <w:pPr>
      <w:tabs>
        <w:tab w:val="center" w:pos="4819"/>
        <w:tab w:val="right" w:pos="9638"/>
      </w:tabs>
    </w:pPr>
  </w:style>
  <w:style w:type="character" w:customStyle="1" w:styleId="IntestazioneCarattere">
    <w:name w:val="Intestazione Carattere"/>
    <w:link w:val="Intestazione"/>
    <w:uiPriority w:val="99"/>
    <w:rsid w:val="008C286E"/>
    <w:rPr>
      <w:rFonts w:cs="Times New Roman"/>
      <w:sz w:val="20"/>
    </w:rPr>
  </w:style>
  <w:style w:type="character" w:styleId="Numeropagina">
    <w:name w:val="page number"/>
    <w:uiPriority w:val="99"/>
    <w:rsid w:val="008C286E"/>
    <w:rPr>
      <w:rFonts w:cs="Times New Roman"/>
    </w:rPr>
  </w:style>
  <w:style w:type="paragraph" w:styleId="Testofumetto">
    <w:name w:val="Balloon Text"/>
    <w:basedOn w:val="Normale"/>
    <w:link w:val="TestofumettoCarattere"/>
    <w:uiPriority w:val="99"/>
    <w:semiHidden/>
    <w:rsid w:val="008C286E"/>
    <w:rPr>
      <w:sz w:val="2"/>
    </w:rPr>
  </w:style>
  <w:style w:type="character" w:customStyle="1" w:styleId="TestofumettoCarattere">
    <w:name w:val="Testo fumetto Carattere"/>
    <w:link w:val="Testofumetto"/>
    <w:uiPriority w:val="99"/>
    <w:semiHidden/>
    <w:rsid w:val="008C286E"/>
    <w:rPr>
      <w:rFonts w:cs="Times New Roman"/>
      <w:sz w:val="2"/>
    </w:rPr>
  </w:style>
  <w:style w:type="paragraph" w:styleId="NormaleWeb">
    <w:name w:val="Normal (Web)"/>
    <w:basedOn w:val="Normale"/>
    <w:uiPriority w:val="99"/>
    <w:rsid w:val="008C286E"/>
  </w:style>
  <w:style w:type="paragraph" w:styleId="PreformattatoHTML">
    <w:name w:val="HTML Preformatted"/>
    <w:basedOn w:val="Normale"/>
    <w:link w:val="PreformattatoHTMLCarattere"/>
    <w:uiPriority w:val="99"/>
    <w:rsid w:val="008C28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PreformattatoHTMLCarattere">
    <w:name w:val="Preformattato HTML Carattere"/>
    <w:link w:val="PreformattatoHTML"/>
    <w:uiPriority w:val="99"/>
    <w:semiHidden/>
    <w:rsid w:val="008C286E"/>
    <w:rPr>
      <w:rFonts w:ascii="Courier New" w:hAnsi="Courier New" w:cs="Times New Roman"/>
      <w:sz w:val="20"/>
    </w:rPr>
  </w:style>
  <w:style w:type="character" w:styleId="Enfasigrassetto">
    <w:name w:val="Strong"/>
    <w:uiPriority w:val="99"/>
    <w:qFormat/>
    <w:rsid w:val="008C286E"/>
    <w:rPr>
      <w:rFonts w:cs="Times New Roman"/>
      <w:b/>
    </w:rPr>
  </w:style>
  <w:style w:type="table" w:styleId="Grigliatabella">
    <w:name w:val="Table Grid"/>
    <w:basedOn w:val="Tabellanormale"/>
    <w:uiPriority w:val="99"/>
    <w:rsid w:val="008C286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style-span">
    <w:name w:val="Apple-style-span"/>
    <w:uiPriority w:val="99"/>
    <w:rsid w:val="008C286E"/>
  </w:style>
  <w:style w:type="paragraph" w:styleId="Testonotaapidipagina">
    <w:name w:val="footnote text"/>
    <w:basedOn w:val="Normale"/>
    <w:link w:val="TestonotaapidipaginaCarattere"/>
    <w:uiPriority w:val="99"/>
    <w:rsid w:val="008C286E"/>
  </w:style>
  <w:style w:type="character" w:customStyle="1" w:styleId="TestonotaapidipaginaCarattere">
    <w:name w:val="Testo nota a piè di pagina Carattere"/>
    <w:link w:val="Testonotaapidipagina"/>
    <w:uiPriority w:val="99"/>
    <w:rsid w:val="008C286E"/>
    <w:rPr>
      <w:rFonts w:cs="Times New Roman"/>
      <w:sz w:val="20"/>
    </w:rPr>
  </w:style>
  <w:style w:type="character" w:styleId="Rimandonotaapidipagina">
    <w:name w:val="footnote reference"/>
    <w:uiPriority w:val="99"/>
    <w:rsid w:val="008C286E"/>
    <w:rPr>
      <w:rFonts w:cs="Times New Roman"/>
      <w:vertAlign w:val="superscript"/>
    </w:rPr>
  </w:style>
  <w:style w:type="character" w:styleId="Enfasicorsivo">
    <w:name w:val="Emphasis"/>
    <w:uiPriority w:val="20"/>
    <w:qFormat/>
    <w:rsid w:val="008C286E"/>
    <w:rPr>
      <w:rFonts w:cs="Times New Roman"/>
      <w:i/>
    </w:rPr>
  </w:style>
  <w:style w:type="paragraph" w:customStyle="1" w:styleId="Grigliamedia1-Colore21">
    <w:name w:val="Griglia media 1 - Colore 21"/>
    <w:basedOn w:val="Normale"/>
    <w:uiPriority w:val="34"/>
    <w:qFormat/>
    <w:rsid w:val="008C286E"/>
    <w:pPr>
      <w:ind w:left="720"/>
      <w:contextualSpacing/>
    </w:pPr>
  </w:style>
  <w:style w:type="character" w:styleId="Rimandocommento">
    <w:name w:val="annotation reference"/>
    <w:uiPriority w:val="99"/>
    <w:semiHidden/>
    <w:unhideWhenUsed/>
    <w:rsid w:val="008C286E"/>
    <w:rPr>
      <w:sz w:val="16"/>
      <w:szCs w:val="16"/>
    </w:rPr>
  </w:style>
  <w:style w:type="paragraph" w:styleId="Testocommento">
    <w:name w:val="annotation text"/>
    <w:basedOn w:val="Normale"/>
    <w:link w:val="TestocommentoCarattere"/>
    <w:uiPriority w:val="99"/>
    <w:semiHidden/>
    <w:unhideWhenUsed/>
    <w:rsid w:val="00E338F3"/>
    <w:rPr>
      <w:sz w:val="20"/>
      <w:szCs w:val="20"/>
    </w:rPr>
  </w:style>
  <w:style w:type="character" w:customStyle="1" w:styleId="TestocommentoCarattere">
    <w:name w:val="Testo commento Carattere"/>
    <w:link w:val="Testocommento"/>
    <w:uiPriority w:val="99"/>
    <w:semiHidden/>
    <w:rsid w:val="008C286E"/>
    <w:rPr>
      <w:sz w:val="20"/>
      <w:szCs w:val="20"/>
    </w:rPr>
  </w:style>
  <w:style w:type="paragraph" w:styleId="Soggettocommento">
    <w:name w:val="annotation subject"/>
    <w:basedOn w:val="Testocommento"/>
    <w:next w:val="Testocommento"/>
    <w:link w:val="SoggettocommentoCarattere"/>
    <w:uiPriority w:val="99"/>
    <w:semiHidden/>
    <w:unhideWhenUsed/>
    <w:rsid w:val="008C286E"/>
    <w:rPr>
      <w:b/>
      <w:bCs/>
    </w:rPr>
  </w:style>
  <w:style w:type="character" w:customStyle="1" w:styleId="SoggettocommentoCarattere">
    <w:name w:val="Soggetto commento Carattere"/>
    <w:link w:val="Soggettocommento"/>
    <w:uiPriority w:val="99"/>
    <w:semiHidden/>
    <w:rsid w:val="008C286E"/>
    <w:rPr>
      <w:b/>
      <w:bCs/>
      <w:sz w:val="20"/>
      <w:szCs w:val="20"/>
    </w:rPr>
  </w:style>
  <w:style w:type="paragraph" w:styleId="Sottotitolo">
    <w:name w:val="Subtitle"/>
    <w:basedOn w:val="Normale"/>
    <w:next w:val="Normale"/>
    <w:link w:val="SottotitoloCarattere"/>
    <w:uiPriority w:val="99"/>
    <w:qFormat/>
    <w:rsid w:val="008C286E"/>
    <w:pPr>
      <w:numPr>
        <w:ilvl w:val="1"/>
      </w:numPr>
    </w:pPr>
    <w:rPr>
      <w:rFonts w:ascii="Cambria" w:hAnsi="Cambria"/>
      <w:i/>
      <w:iCs/>
      <w:color w:val="4F81BD"/>
      <w:spacing w:val="15"/>
    </w:rPr>
  </w:style>
  <w:style w:type="character" w:customStyle="1" w:styleId="SottotitoloCarattere">
    <w:name w:val="Sottotitolo Carattere"/>
    <w:link w:val="Sottotitolo"/>
    <w:uiPriority w:val="99"/>
    <w:rsid w:val="008C286E"/>
    <w:rPr>
      <w:rFonts w:ascii="Cambria" w:eastAsia="Times New Roman" w:hAnsi="Cambria" w:cs="Times New Roman"/>
      <w:i/>
      <w:iCs/>
      <w:color w:val="4F81BD"/>
      <w:spacing w:val="15"/>
      <w:sz w:val="24"/>
      <w:szCs w:val="24"/>
    </w:rPr>
  </w:style>
  <w:style w:type="character" w:customStyle="1" w:styleId="Titolo4Carattere">
    <w:name w:val="Titolo 4 Carattere"/>
    <w:link w:val="Titolo4"/>
    <w:uiPriority w:val="9"/>
    <w:rsid w:val="008C286E"/>
    <w:rPr>
      <w:rFonts w:ascii="Cambria" w:eastAsia="Times New Roman" w:hAnsi="Cambria" w:cs="Times New Roman"/>
      <w:b/>
      <w:bCs/>
      <w:i/>
      <w:iCs/>
      <w:color w:val="4F81BD"/>
      <w:sz w:val="20"/>
      <w:szCs w:val="20"/>
    </w:rPr>
  </w:style>
  <w:style w:type="paragraph" w:customStyle="1" w:styleId="Default">
    <w:name w:val="Default"/>
    <w:rsid w:val="008C286E"/>
    <w:rPr>
      <w:rFonts w:ascii="Arial Narrow" w:hAnsi="Arial Narrow"/>
      <w:color w:val="000000"/>
      <w:sz w:val="24"/>
      <w:szCs w:val="24"/>
    </w:rPr>
  </w:style>
  <w:style w:type="paragraph" w:customStyle="1" w:styleId="Paragrafobase">
    <w:name w:val="[Paragrafo base]"/>
    <w:basedOn w:val="Normale"/>
    <w:uiPriority w:val="99"/>
    <w:rsid w:val="008C286E"/>
    <w:pPr>
      <w:spacing w:line="288" w:lineRule="auto"/>
    </w:pPr>
    <w:rPr>
      <w:rFonts w:ascii="Times-Roman" w:hAnsi="Times-Roman" w:cs="Times-Roman"/>
      <w:color w:val="000000"/>
    </w:rPr>
  </w:style>
  <w:style w:type="table" w:customStyle="1" w:styleId="Grigliatabella1">
    <w:name w:val="Griglia tabella1"/>
    <w:basedOn w:val="Tabellanormale"/>
    <w:uiPriority w:val="99"/>
    <w:rsid w:val="008C28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01TitoGra">
    <w:name w:val="001TitoGra"/>
    <w:basedOn w:val="Normale"/>
    <w:uiPriority w:val="99"/>
    <w:qFormat/>
    <w:rsid w:val="008C286E"/>
    <w:pPr>
      <w:spacing w:line="240" w:lineRule="exact"/>
    </w:pPr>
    <w:rPr>
      <w:rFonts w:ascii="Arial Narrow" w:hAnsi="Arial Narrow" w:cs="Arial"/>
      <w:b/>
      <w:color w:val="5F5F5F"/>
      <w:sz w:val="22"/>
      <w:szCs w:val="22"/>
    </w:rPr>
  </w:style>
  <w:style w:type="paragraph" w:customStyle="1" w:styleId="001TitoloBolocco">
    <w:name w:val="001TitoloBolocco"/>
    <w:basedOn w:val="Titolo1"/>
    <w:link w:val="001TitoloBoloccoCarattere"/>
    <w:uiPriority w:val="99"/>
    <w:qFormat/>
    <w:rsid w:val="008C286E"/>
    <w:pPr>
      <w:pBdr>
        <w:bottom w:val="single" w:sz="18" w:space="1" w:color="E31C18"/>
      </w:pBdr>
      <w:spacing w:after="240" w:line="240" w:lineRule="exact"/>
    </w:pPr>
    <w:rPr>
      <w:rFonts w:ascii="Calibri" w:hAnsi="Calibri" w:cs="Arial"/>
      <w:bCs/>
      <w:caps/>
      <w:color w:val="000000"/>
      <w:sz w:val="26"/>
      <w:szCs w:val="28"/>
    </w:rPr>
  </w:style>
  <w:style w:type="character" w:customStyle="1" w:styleId="001TitoloBoloccoCarattere">
    <w:name w:val="001TitoloBolocco Carattere"/>
    <w:link w:val="001TitoloBolocco"/>
    <w:uiPriority w:val="99"/>
    <w:rsid w:val="008C286E"/>
    <w:rPr>
      <w:rFonts w:ascii="Calibri" w:hAnsi="Calibri" w:cs="Arial"/>
      <w:b/>
      <w:bCs/>
      <w:caps/>
      <w:color w:val="000000"/>
      <w:sz w:val="26"/>
      <w:szCs w:val="28"/>
    </w:rPr>
  </w:style>
  <w:style w:type="paragraph" w:customStyle="1" w:styleId="00TitoGra1">
    <w:name w:val="00TitoGra1"/>
    <w:basedOn w:val="Normale"/>
    <w:uiPriority w:val="99"/>
    <w:qFormat/>
    <w:rsid w:val="008C286E"/>
    <w:pPr>
      <w:spacing w:line="280" w:lineRule="exact"/>
    </w:pPr>
    <w:rPr>
      <w:rFonts w:ascii="Calibri" w:hAnsi="Calibri" w:cs="Arial"/>
      <w:b/>
      <w:color w:val="D90B13"/>
      <w:sz w:val="28"/>
      <w:szCs w:val="28"/>
    </w:rPr>
  </w:style>
  <w:style w:type="character" w:customStyle="1" w:styleId="001TitoGraRed">
    <w:name w:val="001TitoGraRed"/>
    <w:uiPriority w:val="1"/>
    <w:qFormat/>
    <w:rsid w:val="008C286E"/>
    <w:rPr>
      <w:color w:val="E31C18"/>
    </w:rPr>
  </w:style>
  <w:style w:type="paragraph" w:customStyle="1" w:styleId="001SottotitoloGra">
    <w:name w:val="001SottotitoloGra"/>
    <w:basedOn w:val="001TitoGra"/>
    <w:uiPriority w:val="99"/>
    <w:qFormat/>
    <w:rsid w:val="008C286E"/>
    <w:pPr>
      <w:spacing w:after="120"/>
    </w:pPr>
    <w:rPr>
      <w:b w:val="0"/>
      <w:sz w:val="20"/>
      <w:szCs w:val="20"/>
    </w:rPr>
  </w:style>
  <w:style w:type="paragraph" w:styleId="Rientrocorpodeltesto">
    <w:name w:val="Body Text Indent"/>
    <w:basedOn w:val="Normale"/>
    <w:link w:val="RientrocorpodeltestoCarattere"/>
    <w:uiPriority w:val="99"/>
    <w:semiHidden/>
    <w:unhideWhenUsed/>
    <w:rsid w:val="008C286E"/>
    <w:pPr>
      <w:spacing w:after="120"/>
      <w:ind w:left="283"/>
    </w:pPr>
  </w:style>
  <w:style w:type="character" w:customStyle="1" w:styleId="RientrocorpodeltestoCarattere">
    <w:name w:val="Rientro corpo del testo Carattere"/>
    <w:link w:val="Rientrocorpodeltesto"/>
    <w:uiPriority w:val="99"/>
    <w:semiHidden/>
    <w:rsid w:val="008C286E"/>
  </w:style>
  <w:style w:type="character" w:customStyle="1" w:styleId="St">
    <w:name w:val="St"/>
    <w:uiPriority w:val="99"/>
    <w:rsid w:val="008C286E"/>
  </w:style>
  <w:style w:type="character" w:customStyle="1" w:styleId="TestonotaapidipaginaCarattere1">
    <w:name w:val="Testo nota a piè di pagina Carattere1"/>
    <w:uiPriority w:val="99"/>
    <w:semiHidden/>
    <w:rsid w:val="008C286E"/>
    <w:rPr>
      <w:sz w:val="20"/>
    </w:rPr>
  </w:style>
  <w:style w:type="paragraph" w:customStyle="1" w:styleId="A">
    <w:name w:val="A"/>
    <w:basedOn w:val="Normale"/>
    <w:next w:val="Corpotesto"/>
    <w:uiPriority w:val="99"/>
    <w:rsid w:val="008C286E"/>
    <w:pPr>
      <w:jc w:val="both"/>
    </w:pPr>
    <w:rPr>
      <w:b/>
      <w:lang w:eastAsia="ar-SA"/>
    </w:rPr>
  </w:style>
  <w:style w:type="paragraph" w:styleId="Paragrafoelenco">
    <w:name w:val="List Paragraph"/>
    <w:basedOn w:val="Normale"/>
    <w:uiPriority w:val="34"/>
    <w:qFormat/>
    <w:rsid w:val="008C286E"/>
    <w:pPr>
      <w:ind w:left="720"/>
      <w:contextualSpacing/>
    </w:pPr>
  </w:style>
  <w:style w:type="character" w:customStyle="1" w:styleId="Object3">
    <w:name w:val="Object3"/>
    <w:basedOn w:val="Carpredefinitoparagrafo"/>
    <w:uiPriority w:val="99"/>
    <w:rsid w:val="008C286E"/>
  </w:style>
  <w:style w:type="character" w:customStyle="1" w:styleId="Object4">
    <w:name w:val="Object4"/>
    <w:basedOn w:val="Carpredefinitoparagrafo"/>
    <w:uiPriority w:val="99"/>
    <w:rsid w:val="008C286E"/>
  </w:style>
  <w:style w:type="paragraph" w:styleId="Nessunaspaziatura">
    <w:name w:val="No Spacing"/>
    <w:uiPriority w:val="1"/>
    <w:qFormat/>
    <w:rsid w:val="008C286E"/>
  </w:style>
  <w:style w:type="character" w:customStyle="1" w:styleId="Heading1Char">
    <w:name w:val="Heading 1 Char"/>
    <w:basedOn w:val="Carpredefinitoparagrafo"/>
    <w:uiPriority w:val="9"/>
    <w:rsid w:val="008C286E"/>
    <w:rPr>
      <w:rFonts w:asciiTheme="majorHAnsi" w:eastAsiaTheme="majorEastAsia" w:hAnsiTheme="majorHAnsi" w:cstheme="majorBidi"/>
      <w:b/>
      <w:bCs/>
      <w:color w:val="365F91" w:themeColor="accent1" w:themeShade="BF"/>
      <w:sz w:val="28"/>
      <w:szCs w:val="28"/>
    </w:rPr>
  </w:style>
  <w:style w:type="character" w:customStyle="1" w:styleId="Titolo2Carattere">
    <w:name w:val="Titolo 2 Carattere"/>
    <w:basedOn w:val="Carpredefinitoparagrafo"/>
    <w:link w:val="Titolo2"/>
    <w:uiPriority w:val="9"/>
    <w:rsid w:val="008C286E"/>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rsid w:val="008C286E"/>
    <w:rPr>
      <w:rFonts w:asciiTheme="majorHAnsi" w:eastAsiaTheme="majorEastAsia" w:hAnsiTheme="majorHAnsi" w:cstheme="majorBidi"/>
      <w:b/>
      <w:bCs/>
      <w:color w:val="4F81BD" w:themeColor="accent1"/>
    </w:rPr>
  </w:style>
  <w:style w:type="character" w:customStyle="1" w:styleId="Heading4Char">
    <w:name w:val="Heading 4 Char"/>
    <w:basedOn w:val="Carpredefinitoparagrafo"/>
    <w:uiPriority w:val="9"/>
    <w:rsid w:val="008C286E"/>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rsid w:val="008C286E"/>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rsid w:val="008C286E"/>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rsid w:val="008C286E"/>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rsid w:val="008C286E"/>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rsid w:val="008C286E"/>
    <w:rPr>
      <w:rFonts w:asciiTheme="majorHAnsi" w:eastAsiaTheme="majorEastAsia" w:hAnsiTheme="majorHAnsi" w:cstheme="majorBidi"/>
      <w:i/>
      <w:iCs/>
      <w:color w:val="404040" w:themeColor="text1" w:themeTint="BF"/>
      <w:sz w:val="20"/>
      <w:szCs w:val="20"/>
    </w:rPr>
  </w:style>
  <w:style w:type="paragraph" w:styleId="Titolo">
    <w:name w:val="Title"/>
    <w:basedOn w:val="Normale"/>
    <w:next w:val="Normale"/>
    <w:link w:val="TitoloCarattere"/>
    <w:uiPriority w:val="10"/>
    <w:qFormat/>
    <w:rsid w:val="008C286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sz w:val="52"/>
      <w:szCs w:val="52"/>
    </w:rPr>
  </w:style>
  <w:style w:type="character" w:customStyle="1" w:styleId="TitoloCarattere">
    <w:name w:val="Titolo Carattere"/>
    <w:basedOn w:val="Carpredefinitoparagrafo"/>
    <w:link w:val="Titolo"/>
    <w:uiPriority w:val="10"/>
    <w:rsid w:val="008C286E"/>
    <w:rPr>
      <w:rFonts w:asciiTheme="majorHAnsi" w:eastAsiaTheme="majorEastAsia" w:hAnsiTheme="majorHAnsi" w:cstheme="majorBidi"/>
      <w:color w:val="17365D" w:themeColor="text2" w:themeShade="BF"/>
      <w:spacing w:val="5"/>
      <w:sz w:val="52"/>
      <w:szCs w:val="52"/>
    </w:rPr>
  </w:style>
  <w:style w:type="character" w:customStyle="1" w:styleId="SubtitleChar">
    <w:name w:val="Subtitle Char"/>
    <w:basedOn w:val="Carpredefinitoparagrafo"/>
    <w:uiPriority w:val="11"/>
    <w:rsid w:val="008C286E"/>
    <w:rPr>
      <w:rFonts w:asciiTheme="majorHAnsi" w:eastAsiaTheme="majorEastAsia" w:hAnsiTheme="majorHAnsi" w:cstheme="majorBidi"/>
      <w:i/>
      <w:iCs/>
      <w:color w:val="4F81BD" w:themeColor="accent1"/>
      <w:spacing w:val="15"/>
      <w:sz w:val="24"/>
      <w:szCs w:val="24"/>
    </w:rPr>
  </w:style>
  <w:style w:type="character" w:styleId="Enfasidelicata">
    <w:name w:val="Subtle Emphasis"/>
    <w:basedOn w:val="Carpredefinitoparagrafo"/>
    <w:uiPriority w:val="19"/>
    <w:qFormat/>
    <w:rsid w:val="008C286E"/>
    <w:rPr>
      <w:i/>
      <w:iCs/>
      <w:color w:val="808080" w:themeColor="text1" w:themeTint="7F"/>
    </w:rPr>
  </w:style>
  <w:style w:type="character" w:styleId="Enfasiintensa">
    <w:name w:val="Intense Emphasis"/>
    <w:basedOn w:val="Carpredefinitoparagrafo"/>
    <w:uiPriority w:val="21"/>
    <w:qFormat/>
    <w:rsid w:val="008C286E"/>
    <w:rPr>
      <w:b/>
      <w:bCs/>
      <w:i/>
      <w:iCs/>
      <w:color w:val="4F81BD" w:themeColor="accent1"/>
    </w:rPr>
  </w:style>
  <w:style w:type="paragraph" w:styleId="Citazione">
    <w:name w:val="Quote"/>
    <w:basedOn w:val="Normale"/>
    <w:next w:val="Normale"/>
    <w:link w:val="CitazioneCarattere"/>
    <w:uiPriority w:val="29"/>
    <w:qFormat/>
    <w:rsid w:val="008C286E"/>
    <w:rPr>
      <w:i/>
      <w:iCs/>
      <w:color w:val="000000" w:themeColor="text1"/>
    </w:rPr>
  </w:style>
  <w:style w:type="character" w:customStyle="1" w:styleId="CitazioneCarattere">
    <w:name w:val="Citazione Carattere"/>
    <w:basedOn w:val="Carpredefinitoparagrafo"/>
    <w:link w:val="Citazione"/>
    <w:uiPriority w:val="29"/>
    <w:rsid w:val="008C286E"/>
    <w:rPr>
      <w:i/>
      <w:iCs/>
      <w:color w:val="000000" w:themeColor="text1"/>
    </w:rPr>
  </w:style>
  <w:style w:type="paragraph" w:styleId="Citazioneintensa">
    <w:name w:val="Intense Quote"/>
    <w:basedOn w:val="Normale"/>
    <w:next w:val="Normale"/>
    <w:link w:val="CitazioneintensaCarattere"/>
    <w:uiPriority w:val="30"/>
    <w:qFormat/>
    <w:rsid w:val="008C286E"/>
    <w:pPr>
      <w:pBdr>
        <w:bottom w:val="single" w:sz="4" w:space="4" w:color="4F81BD" w:themeColor="accent1"/>
      </w:pBdr>
      <w:spacing w:before="200" w:after="280"/>
      <w:ind w:left="936" w:right="936"/>
    </w:pPr>
    <w:rPr>
      <w:b/>
      <w:bCs/>
      <w:i/>
      <w:iCs/>
      <w:color w:val="4F81BD" w:themeColor="accent1"/>
    </w:rPr>
  </w:style>
  <w:style w:type="character" w:customStyle="1" w:styleId="CitazioneintensaCarattere">
    <w:name w:val="Citazione intensa Carattere"/>
    <w:basedOn w:val="Carpredefinitoparagrafo"/>
    <w:link w:val="Citazioneintensa"/>
    <w:uiPriority w:val="30"/>
    <w:rsid w:val="008C286E"/>
    <w:rPr>
      <w:b/>
      <w:bCs/>
      <w:i/>
      <w:iCs/>
      <w:color w:val="4F81BD" w:themeColor="accent1"/>
    </w:rPr>
  </w:style>
  <w:style w:type="character" w:styleId="Riferimentodelicato">
    <w:name w:val="Subtle Reference"/>
    <w:basedOn w:val="Carpredefinitoparagrafo"/>
    <w:uiPriority w:val="31"/>
    <w:qFormat/>
    <w:rsid w:val="008C286E"/>
    <w:rPr>
      <w:smallCaps/>
      <w:color w:val="C0504D" w:themeColor="accent2"/>
      <w:u w:val="single"/>
    </w:rPr>
  </w:style>
  <w:style w:type="character" w:styleId="Riferimentointenso">
    <w:name w:val="Intense Reference"/>
    <w:basedOn w:val="Carpredefinitoparagrafo"/>
    <w:uiPriority w:val="32"/>
    <w:qFormat/>
    <w:rsid w:val="008C286E"/>
    <w:rPr>
      <w:b/>
      <w:bCs/>
      <w:smallCaps/>
      <w:color w:val="C0504D" w:themeColor="accent2"/>
      <w:spacing w:val="5"/>
      <w:u w:val="single"/>
    </w:rPr>
  </w:style>
  <w:style w:type="character" w:styleId="Titolodellibro">
    <w:name w:val="Book Title"/>
    <w:basedOn w:val="Carpredefinitoparagrafo"/>
    <w:uiPriority w:val="33"/>
    <w:qFormat/>
    <w:rsid w:val="008C286E"/>
    <w:rPr>
      <w:b/>
      <w:bCs/>
      <w:smallCaps/>
      <w:spacing w:val="5"/>
    </w:rPr>
  </w:style>
  <w:style w:type="character" w:customStyle="1" w:styleId="FootnoteTextChar">
    <w:name w:val="Footnote Text Char"/>
    <w:basedOn w:val="Carpredefinitoparagrafo"/>
    <w:uiPriority w:val="99"/>
    <w:semiHidden/>
    <w:rsid w:val="008C286E"/>
    <w:rPr>
      <w:sz w:val="20"/>
      <w:szCs w:val="20"/>
    </w:rPr>
  </w:style>
  <w:style w:type="paragraph" w:styleId="Testonotadichiusura">
    <w:name w:val="endnote text"/>
    <w:basedOn w:val="Normale"/>
    <w:link w:val="TestonotadichiusuraCarattere"/>
    <w:uiPriority w:val="99"/>
    <w:semiHidden/>
    <w:unhideWhenUsed/>
    <w:rsid w:val="008C286E"/>
  </w:style>
  <w:style w:type="character" w:customStyle="1" w:styleId="TestonotadichiusuraCarattere">
    <w:name w:val="Testo nota di chiusura Carattere"/>
    <w:basedOn w:val="Carpredefinitoparagrafo"/>
    <w:link w:val="Testonotadichiusura"/>
    <w:uiPriority w:val="99"/>
    <w:semiHidden/>
    <w:rsid w:val="008C286E"/>
    <w:rPr>
      <w:sz w:val="20"/>
      <w:szCs w:val="20"/>
    </w:rPr>
  </w:style>
  <w:style w:type="character" w:styleId="Rimandonotadichiusura">
    <w:name w:val="endnote reference"/>
    <w:basedOn w:val="Carpredefinitoparagrafo"/>
    <w:uiPriority w:val="99"/>
    <w:semiHidden/>
    <w:unhideWhenUsed/>
    <w:rsid w:val="008C286E"/>
    <w:rPr>
      <w:vertAlign w:val="superscript"/>
    </w:rPr>
  </w:style>
  <w:style w:type="paragraph" w:styleId="Testonormale">
    <w:name w:val="Plain Text"/>
    <w:basedOn w:val="Normale"/>
    <w:link w:val="TestonormaleCarattere"/>
    <w:uiPriority w:val="99"/>
    <w:semiHidden/>
    <w:unhideWhenUsed/>
    <w:rsid w:val="008C286E"/>
    <w:rPr>
      <w:rFonts w:ascii="Courier New" w:hAnsi="Courier New" w:cs="Courier New"/>
      <w:sz w:val="21"/>
      <w:szCs w:val="21"/>
    </w:rPr>
  </w:style>
  <w:style w:type="character" w:customStyle="1" w:styleId="TestonormaleCarattere">
    <w:name w:val="Testo normale Carattere"/>
    <w:basedOn w:val="Carpredefinitoparagrafo"/>
    <w:link w:val="Testonormale"/>
    <w:uiPriority w:val="99"/>
    <w:rsid w:val="008C286E"/>
    <w:rPr>
      <w:rFonts w:ascii="Courier New" w:hAnsi="Courier New" w:cs="Courier New"/>
      <w:sz w:val="21"/>
      <w:szCs w:val="21"/>
    </w:rPr>
  </w:style>
  <w:style w:type="paragraph" w:styleId="Indirizzodestinatario">
    <w:name w:val="envelope address"/>
    <w:basedOn w:val="Normale"/>
    <w:uiPriority w:val="99"/>
    <w:unhideWhenUsed/>
    <w:rsid w:val="008C286E"/>
    <w:pPr>
      <w:ind w:left="2880"/>
    </w:pPr>
    <w:rPr>
      <w:rFonts w:asciiTheme="majorHAnsi" w:eastAsiaTheme="majorEastAsia" w:hAnsiTheme="majorHAnsi" w:cstheme="majorBidi"/>
    </w:rPr>
  </w:style>
  <w:style w:type="paragraph" w:styleId="Indirizzomittente">
    <w:name w:val="envelope return"/>
    <w:basedOn w:val="Normale"/>
    <w:uiPriority w:val="99"/>
    <w:unhideWhenUsed/>
    <w:rsid w:val="008C286E"/>
    <w:rPr>
      <w:rFonts w:asciiTheme="majorHAnsi" w:eastAsiaTheme="majorEastAsia" w:hAnsiTheme="majorHAnsi" w:cstheme="majorBidi"/>
    </w:rPr>
  </w:style>
  <w:style w:type="character" w:styleId="Collegamentovisitato">
    <w:name w:val="FollowedHyperlink"/>
    <w:basedOn w:val="Carpredefinitoparagrafo"/>
    <w:uiPriority w:val="99"/>
    <w:semiHidden/>
    <w:unhideWhenUsed/>
    <w:rsid w:val="00984069"/>
    <w:rPr>
      <w:color w:val="800080" w:themeColor="followedHyperlink"/>
      <w:u w:val="single"/>
    </w:rPr>
  </w:style>
  <w:style w:type="character" w:customStyle="1" w:styleId="object">
    <w:name w:val="object"/>
    <w:basedOn w:val="Carpredefinitoparagrafo"/>
    <w:rsid w:val="003960B2"/>
  </w:style>
  <w:style w:type="character" w:customStyle="1" w:styleId="seocontent">
    <w:name w:val="seocontent"/>
    <w:basedOn w:val="Carpredefinitoparagrafo"/>
    <w:rsid w:val="00767D50"/>
  </w:style>
  <w:style w:type="character" w:customStyle="1" w:styleId="apple-converted-space">
    <w:name w:val="apple-converted-space"/>
    <w:basedOn w:val="Carpredefinitoparagrafo"/>
    <w:rsid w:val="0043457D"/>
  </w:style>
  <w:style w:type="paragraph" w:styleId="Mappadocumento">
    <w:name w:val="Document Map"/>
    <w:basedOn w:val="Normale"/>
    <w:link w:val="MappadocumentoCarattere"/>
    <w:uiPriority w:val="99"/>
    <w:semiHidden/>
    <w:unhideWhenUsed/>
    <w:rsid w:val="0048397C"/>
  </w:style>
  <w:style w:type="character" w:customStyle="1" w:styleId="MappadocumentoCarattere">
    <w:name w:val="Mappa documento Carattere"/>
    <w:basedOn w:val="Carpredefinitoparagrafo"/>
    <w:link w:val="Mappadocumento"/>
    <w:uiPriority w:val="99"/>
    <w:semiHidden/>
    <w:rsid w:val="0048397C"/>
    <w:rPr>
      <w:sz w:val="24"/>
      <w:szCs w:val="24"/>
    </w:rPr>
  </w:style>
  <w:style w:type="paragraph" w:styleId="Revisione">
    <w:name w:val="Revision"/>
    <w:hidden/>
    <w:uiPriority w:val="99"/>
    <w:semiHidden/>
    <w:rsid w:val="0089453E"/>
    <w:rPr>
      <w:sz w:val="24"/>
      <w:szCs w:val="24"/>
    </w:rPr>
  </w:style>
  <w:style w:type="character" w:customStyle="1" w:styleId="markedcontent">
    <w:name w:val="markedcontent"/>
    <w:basedOn w:val="Carpredefinitoparagrafo"/>
    <w:rsid w:val="008A3444"/>
  </w:style>
  <w:style w:type="paragraph" w:customStyle="1" w:styleId="oj-doc-ti">
    <w:name w:val="oj-doc-ti"/>
    <w:basedOn w:val="Normale"/>
    <w:rsid w:val="00AF02B8"/>
    <w:pPr>
      <w:spacing w:before="100" w:beforeAutospacing="1" w:after="100" w:afterAutospacing="1"/>
    </w:pPr>
  </w:style>
  <w:style w:type="paragraph" w:customStyle="1" w:styleId="doc-ti">
    <w:name w:val="doc-ti"/>
    <w:basedOn w:val="Normale"/>
    <w:rsid w:val="00BA60A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6722">
      <w:bodyDiv w:val="1"/>
      <w:marLeft w:val="0"/>
      <w:marRight w:val="0"/>
      <w:marTop w:val="0"/>
      <w:marBottom w:val="0"/>
      <w:divBdr>
        <w:top w:val="none" w:sz="0" w:space="0" w:color="auto"/>
        <w:left w:val="none" w:sz="0" w:space="0" w:color="auto"/>
        <w:bottom w:val="none" w:sz="0" w:space="0" w:color="auto"/>
        <w:right w:val="none" w:sz="0" w:space="0" w:color="auto"/>
      </w:divBdr>
      <w:divsChild>
        <w:div w:id="1411269190">
          <w:marLeft w:val="0"/>
          <w:marRight w:val="0"/>
          <w:marTop w:val="0"/>
          <w:marBottom w:val="0"/>
          <w:divBdr>
            <w:top w:val="none" w:sz="0" w:space="0" w:color="auto"/>
            <w:left w:val="none" w:sz="0" w:space="0" w:color="auto"/>
            <w:bottom w:val="none" w:sz="0" w:space="0" w:color="auto"/>
            <w:right w:val="none" w:sz="0" w:space="0" w:color="auto"/>
          </w:divBdr>
          <w:divsChild>
            <w:div w:id="757673392">
              <w:marLeft w:val="0"/>
              <w:marRight w:val="0"/>
              <w:marTop w:val="0"/>
              <w:marBottom w:val="0"/>
              <w:divBdr>
                <w:top w:val="none" w:sz="0" w:space="0" w:color="auto"/>
                <w:left w:val="none" w:sz="0" w:space="0" w:color="auto"/>
                <w:bottom w:val="none" w:sz="0" w:space="0" w:color="auto"/>
                <w:right w:val="none" w:sz="0" w:space="0" w:color="auto"/>
              </w:divBdr>
              <w:divsChild>
                <w:div w:id="470173811">
                  <w:marLeft w:val="0"/>
                  <w:marRight w:val="0"/>
                  <w:marTop w:val="0"/>
                  <w:marBottom w:val="0"/>
                  <w:divBdr>
                    <w:top w:val="none" w:sz="0" w:space="0" w:color="auto"/>
                    <w:left w:val="none" w:sz="0" w:space="0" w:color="auto"/>
                    <w:bottom w:val="none" w:sz="0" w:space="0" w:color="auto"/>
                    <w:right w:val="none" w:sz="0" w:space="0" w:color="auto"/>
                  </w:divBdr>
                  <w:divsChild>
                    <w:div w:id="1443305995">
                      <w:marLeft w:val="0"/>
                      <w:marRight w:val="0"/>
                      <w:marTop w:val="0"/>
                      <w:marBottom w:val="0"/>
                      <w:divBdr>
                        <w:top w:val="none" w:sz="0" w:space="0" w:color="auto"/>
                        <w:left w:val="none" w:sz="0" w:space="0" w:color="auto"/>
                        <w:bottom w:val="none" w:sz="0" w:space="0" w:color="auto"/>
                        <w:right w:val="none" w:sz="0" w:space="0" w:color="auto"/>
                      </w:divBdr>
                    </w:div>
                  </w:divsChild>
                </w:div>
                <w:div w:id="1450590073">
                  <w:marLeft w:val="0"/>
                  <w:marRight w:val="0"/>
                  <w:marTop w:val="0"/>
                  <w:marBottom w:val="0"/>
                  <w:divBdr>
                    <w:top w:val="none" w:sz="0" w:space="0" w:color="auto"/>
                    <w:left w:val="none" w:sz="0" w:space="0" w:color="auto"/>
                    <w:bottom w:val="none" w:sz="0" w:space="0" w:color="auto"/>
                    <w:right w:val="none" w:sz="0" w:space="0" w:color="auto"/>
                  </w:divBdr>
                  <w:divsChild>
                    <w:div w:id="214685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73486">
      <w:bodyDiv w:val="1"/>
      <w:marLeft w:val="0"/>
      <w:marRight w:val="0"/>
      <w:marTop w:val="0"/>
      <w:marBottom w:val="0"/>
      <w:divBdr>
        <w:top w:val="none" w:sz="0" w:space="0" w:color="auto"/>
        <w:left w:val="none" w:sz="0" w:space="0" w:color="auto"/>
        <w:bottom w:val="none" w:sz="0" w:space="0" w:color="auto"/>
        <w:right w:val="none" w:sz="0" w:space="0" w:color="auto"/>
      </w:divBdr>
    </w:div>
    <w:div w:id="6180447">
      <w:bodyDiv w:val="1"/>
      <w:marLeft w:val="0"/>
      <w:marRight w:val="0"/>
      <w:marTop w:val="0"/>
      <w:marBottom w:val="0"/>
      <w:divBdr>
        <w:top w:val="none" w:sz="0" w:space="0" w:color="auto"/>
        <w:left w:val="none" w:sz="0" w:space="0" w:color="auto"/>
        <w:bottom w:val="none" w:sz="0" w:space="0" w:color="auto"/>
        <w:right w:val="none" w:sz="0" w:space="0" w:color="auto"/>
      </w:divBdr>
    </w:div>
    <w:div w:id="23292396">
      <w:bodyDiv w:val="1"/>
      <w:marLeft w:val="0"/>
      <w:marRight w:val="0"/>
      <w:marTop w:val="0"/>
      <w:marBottom w:val="0"/>
      <w:divBdr>
        <w:top w:val="none" w:sz="0" w:space="0" w:color="auto"/>
        <w:left w:val="none" w:sz="0" w:space="0" w:color="auto"/>
        <w:bottom w:val="none" w:sz="0" w:space="0" w:color="auto"/>
        <w:right w:val="none" w:sz="0" w:space="0" w:color="auto"/>
      </w:divBdr>
    </w:div>
    <w:div w:id="29649862">
      <w:bodyDiv w:val="1"/>
      <w:marLeft w:val="0"/>
      <w:marRight w:val="0"/>
      <w:marTop w:val="0"/>
      <w:marBottom w:val="0"/>
      <w:divBdr>
        <w:top w:val="none" w:sz="0" w:space="0" w:color="auto"/>
        <w:left w:val="none" w:sz="0" w:space="0" w:color="auto"/>
        <w:bottom w:val="none" w:sz="0" w:space="0" w:color="auto"/>
        <w:right w:val="none" w:sz="0" w:space="0" w:color="auto"/>
      </w:divBdr>
    </w:div>
    <w:div w:id="58292022">
      <w:bodyDiv w:val="1"/>
      <w:marLeft w:val="0"/>
      <w:marRight w:val="0"/>
      <w:marTop w:val="0"/>
      <w:marBottom w:val="0"/>
      <w:divBdr>
        <w:top w:val="none" w:sz="0" w:space="0" w:color="auto"/>
        <w:left w:val="none" w:sz="0" w:space="0" w:color="auto"/>
        <w:bottom w:val="none" w:sz="0" w:space="0" w:color="auto"/>
        <w:right w:val="none" w:sz="0" w:space="0" w:color="auto"/>
      </w:divBdr>
    </w:div>
    <w:div w:id="69041894">
      <w:bodyDiv w:val="1"/>
      <w:marLeft w:val="0"/>
      <w:marRight w:val="0"/>
      <w:marTop w:val="0"/>
      <w:marBottom w:val="0"/>
      <w:divBdr>
        <w:top w:val="none" w:sz="0" w:space="0" w:color="auto"/>
        <w:left w:val="none" w:sz="0" w:space="0" w:color="auto"/>
        <w:bottom w:val="none" w:sz="0" w:space="0" w:color="auto"/>
        <w:right w:val="none" w:sz="0" w:space="0" w:color="auto"/>
      </w:divBdr>
    </w:div>
    <w:div w:id="72625743">
      <w:bodyDiv w:val="1"/>
      <w:marLeft w:val="0"/>
      <w:marRight w:val="0"/>
      <w:marTop w:val="0"/>
      <w:marBottom w:val="0"/>
      <w:divBdr>
        <w:top w:val="none" w:sz="0" w:space="0" w:color="auto"/>
        <w:left w:val="none" w:sz="0" w:space="0" w:color="auto"/>
        <w:bottom w:val="none" w:sz="0" w:space="0" w:color="auto"/>
        <w:right w:val="none" w:sz="0" w:space="0" w:color="auto"/>
      </w:divBdr>
    </w:div>
    <w:div w:id="111638430">
      <w:bodyDiv w:val="1"/>
      <w:marLeft w:val="0"/>
      <w:marRight w:val="0"/>
      <w:marTop w:val="0"/>
      <w:marBottom w:val="0"/>
      <w:divBdr>
        <w:top w:val="none" w:sz="0" w:space="0" w:color="auto"/>
        <w:left w:val="none" w:sz="0" w:space="0" w:color="auto"/>
        <w:bottom w:val="none" w:sz="0" w:space="0" w:color="auto"/>
        <w:right w:val="none" w:sz="0" w:space="0" w:color="auto"/>
      </w:divBdr>
    </w:div>
    <w:div w:id="123619020">
      <w:bodyDiv w:val="1"/>
      <w:marLeft w:val="0"/>
      <w:marRight w:val="0"/>
      <w:marTop w:val="0"/>
      <w:marBottom w:val="0"/>
      <w:divBdr>
        <w:top w:val="none" w:sz="0" w:space="0" w:color="auto"/>
        <w:left w:val="none" w:sz="0" w:space="0" w:color="auto"/>
        <w:bottom w:val="none" w:sz="0" w:space="0" w:color="auto"/>
        <w:right w:val="none" w:sz="0" w:space="0" w:color="auto"/>
      </w:divBdr>
    </w:div>
    <w:div w:id="190531945">
      <w:bodyDiv w:val="1"/>
      <w:marLeft w:val="0"/>
      <w:marRight w:val="0"/>
      <w:marTop w:val="0"/>
      <w:marBottom w:val="0"/>
      <w:divBdr>
        <w:top w:val="none" w:sz="0" w:space="0" w:color="auto"/>
        <w:left w:val="none" w:sz="0" w:space="0" w:color="auto"/>
        <w:bottom w:val="none" w:sz="0" w:space="0" w:color="auto"/>
        <w:right w:val="none" w:sz="0" w:space="0" w:color="auto"/>
      </w:divBdr>
    </w:div>
    <w:div w:id="193345705">
      <w:bodyDiv w:val="1"/>
      <w:marLeft w:val="0"/>
      <w:marRight w:val="0"/>
      <w:marTop w:val="0"/>
      <w:marBottom w:val="0"/>
      <w:divBdr>
        <w:top w:val="none" w:sz="0" w:space="0" w:color="auto"/>
        <w:left w:val="none" w:sz="0" w:space="0" w:color="auto"/>
        <w:bottom w:val="none" w:sz="0" w:space="0" w:color="auto"/>
        <w:right w:val="none" w:sz="0" w:space="0" w:color="auto"/>
      </w:divBdr>
    </w:div>
    <w:div w:id="197011566">
      <w:bodyDiv w:val="1"/>
      <w:marLeft w:val="0"/>
      <w:marRight w:val="0"/>
      <w:marTop w:val="0"/>
      <w:marBottom w:val="0"/>
      <w:divBdr>
        <w:top w:val="none" w:sz="0" w:space="0" w:color="auto"/>
        <w:left w:val="none" w:sz="0" w:space="0" w:color="auto"/>
        <w:bottom w:val="none" w:sz="0" w:space="0" w:color="auto"/>
        <w:right w:val="none" w:sz="0" w:space="0" w:color="auto"/>
      </w:divBdr>
    </w:div>
    <w:div w:id="207953705">
      <w:bodyDiv w:val="1"/>
      <w:marLeft w:val="0"/>
      <w:marRight w:val="0"/>
      <w:marTop w:val="0"/>
      <w:marBottom w:val="0"/>
      <w:divBdr>
        <w:top w:val="none" w:sz="0" w:space="0" w:color="auto"/>
        <w:left w:val="none" w:sz="0" w:space="0" w:color="auto"/>
        <w:bottom w:val="none" w:sz="0" w:space="0" w:color="auto"/>
        <w:right w:val="none" w:sz="0" w:space="0" w:color="auto"/>
      </w:divBdr>
      <w:divsChild>
        <w:div w:id="1991400334">
          <w:marLeft w:val="0"/>
          <w:marRight w:val="0"/>
          <w:marTop w:val="0"/>
          <w:marBottom w:val="0"/>
          <w:divBdr>
            <w:top w:val="none" w:sz="0" w:space="0" w:color="auto"/>
            <w:left w:val="none" w:sz="0" w:space="0" w:color="auto"/>
            <w:bottom w:val="none" w:sz="0" w:space="0" w:color="auto"/>
            <w:right w:val="none" w:sz="0" w:space="0" w:color="auto"/>
          </w:divBdr>
          <w:divsChild>
            <w:div w:id="2014987602">
              <w:marLeft w:val="0"/>
              <w:marRight w:val="0"/>
              <w:marTop w:val="0"/>
              <w:marBottom w:val="0"/>
              <w:divBdr>
                <w:top w:val="none" w:sz="0" w:space="0" w:color="auto"/>
                <w:left w:val="none" w:sz="0" w:space="0" w:color="auto"/>
                <w:bottom w:val="none" w:sz="0" w:space="0" w:color="auto"/>
                <w:right w:val="none" w:sz="0" w:space="0" w:color="auto"/>
              </w:divBdr>
              <w:divsChild>
                <w:div w:id="153643006">
                  <w:marLeft w:val="0"/>
                  <w:marRight w:val="0"/>
                  <w:marTop w:val="0"/>
                  <w:marBottom w:val="0"/>
                  <w:divBdr>
                    <w:top w:val="none" w:sz="0" w:space="0" w:color="auto"/>
                    <w:left w:val="none" w:sz="0" w:space="0" w:color="auto"/>
                    <w:bottom w:val="none" w:sz="0" w:space="0" w:color="auto"/>
                    <w:right w:val="none" w:sz="0" w:space="0" w:color="auto"/>
                  </w:divBdr>
                  <w:divsChild>
                    <w:div w:id="1743211399">
                      <w:marLeft w:val="0"/>
                      <w:marRight w:val="0"/>
                      <w:marTop w:val="0"/>
                      <w:marBottom w:val="0"/>
                      <w:divBdr>
                        <w:top w:val="none" w:sz="0" w:space="0" w:color="auto"/>
                        <w:left w:val="none" w:sz="0" w:space="0" w:color="auto"/>
                        <w:bottom w:val="none" w:sz="0" w:space="0" w:color="auto"/>
                        <w:right w:val="none" w:sz="0" w:space="0" w:color="auto"/>
                      </w:divBdr>
                      <w:divsChild>
                        <w:div w:id="31106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266356">
                  <w:marLeft w:val="0"/>
                  <w:marRight w:val="0"/>
                  <w:marTop w:val="0"/>
                  <w:marBottom w:val="0"/>
                  <w:divBdr>
                    <w:top w:val="none" w:sz="0" w:space="0" w:color="auto"/>
                    <w:left w:val="none" w:sz="0" w:space="0" w:color="auto"/>
                    <w:bottom w:val="none" w:sz="0" w:space="0" w:color="auto"/>
                    <w:right w:val="none" w:sz="0" w:space="0" w:color="auto"/>
                  </w:divBdr>
                  <w:divsChild>
                    <w:div w:id="293602411">
                      <w:marLeft w:val="0"/>
                      <w:marRight w:val="0"/>
                      <w:marTop w:val="0"/>
                      <w:marBottom w:val="0"/>
                      <w:divBdr>
                        <w:top w:val="none" w:sz="0" w:space="0" w:color="auto"/>
                        <w:left w:val="none" w:sz="0" w:space="0" w:color="auto"/>
                        <w:bottom w:val="none" w:sz="0" w:space="0" w:color="auto"/>
                        <w:right w:val="none" w:sz="0" w:space="0" w:color="auto"/>
                      </w:divBdr>
                      <w:divsChild>
                        <w:div w:id="82897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711236">
                  <w:marLeft w:val="0"/>
                  <w:marRight w:val="0"/>
                  <w:marTop w:val="0"/>
                  <w:marBottom w:val="0"/>
                  <w:divBdr>
                    <w:top w:val="none" w:sz="0" w:space="0" w:color="auto"/>
                    <w:left w:val="none" w:sz="0" w:space="0" w:color="auto"/>
                    <w:bottom w:val="none" w:sz="0" w:space="0" w:color="auto"/>
                    <w:right w:val="none" w:sz="0" w:space="0" w:color="auto"/>
                  </w:divBdr>
                  <w:divsChild>
                    <w:div w:id="1674186560">
                      <w:marLeft w:val="0"/>
                      <w:marRight w:val="0"/>
                      <w:marTop w:val="0"/>
                      <w:marBottom w:val="0"/>
                      <w:divBdr>
                        <w:top w:val="none" w:sz="0" w:space="0" w:color="auto"/>
                        <w:left w:val="none" w:sz="0" w:space="0" w:color="auto"/>
                        <w:bottom w:val="none" w:sz="0" w:space="0" w:color="auto"/>
                        <w:right w:val="none" w:sz="0" w:space="0" w:color="auto"/>
                      </w:divBdr>
                      <w:divsChild>
                        <w:div w:id="206583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7282464">
      <w:bodyDiv w:val="1"/>
      <w:marLeft w:val="0"/>
      <w:marRight w:val="0"/>
      <w:marTop w:val="0"/>
      <w:marBottom w:val="0"/>
      <w:divBdr>
        <w:top w:val="none" w:sz="0" w:space="0" w:color="auto"/>
        <w:left w:val="none" w:sz="0" w:space="0" w:color="auto"/>
        <w:bottom w:val="none" w:sz="0" w:space="0" w:color="auto"/>
        <w:right w:val="none" w:sz="0" w:space="0" w:color="auto"/>
      </w:divBdr>
    </w:div>
    <w:div w:id="224222885">
      <w:bodyDiv w:val="1"/>
      <w:marLeft w:val="0"/>
      <w:marRight w:val="0"/>
      <w:marTop w:val="0"/>
      <w:marBottom w:val="0"/>
      <w:divBdr>
        <w:top w:val="none" w:sz="0" w:space="0" w:color="auto"/>
        <w:left w:val="none" w:sz="0" w:space="0" w:color="auto"/>
        <w:bottom w:val="none" w:sz="0" w:space="0" w:color="auto"/>
        <w:right w:val="none" w:sz="0" w:space="0" w:color="auto"/>
      </w:divBdr>
    </w:div>
    <w:div w:id="225141597">
      <w:bodyDiv w:val="1"/>
      <w:marLeft w:val="0"/>
      <w:marRight w:val="0"/>
      <w:marTop w:val="0"/>
      <w:marBottom w:val="0"/>
      <w:divBdr>
        <w:top w:val="none" w:sz="0" w:space="0" w:color="auto"/>
        <w:left w:val="none" w:sz="0" w:space="0" w:color="auto"/>
        <w:bottom w:val="none" w:sz="0" w:space="0" w:color="auto"/>
        <w:right w:val="none" w:sz="0" w:space="0" w:color="auto"/>
      </w:divBdr>
      <w:divsChild>
        <w:div w:id="1180699192">
          <w:marLeft w:val="0"/>
          <w:marRight w:val="0"/>
          <w:marTop w:val="0"/>
          <w:marBottom w:val="0"/>
          <w:divBdr>
            <w:top w:val="none" w:sz="0" w:space="0" w:color="auto"/>
            <w:left w:val="none" w:sz="0" w:space="0" w:color="auto"/>
            <w:bottom w:val="none" w:sz="0" w:space="0" w:color="auto"/>
            <w:right w:val="none" w:sz="0" w:space="0" w:color="auto"/>
          </w:divBdr>
          <w:divsChild>
            <w:div w:id="1033700291">
              <w:marLeft w:val="0"/>
              <w:marRight w:val="0"/>
              <w:marTop w:val="0"/>
              <w:marBottom w:val="0"/>
              <w:divBdr>
                <w:top w:val="none" w:sz="0" w:space="0" w:color="auto"/>
                <w:left w:val="none" w:sz="0" w:space="0" w:color="auto"/>
                <w:bottom w:val="none" w:sz="0" w:space="0" w:color="auto"/>
                <w:right w:val="none" w:sz="0" w:space="0" w:color="auto"/>
              </w:divBdr>
              <w:divsChild>
                <w:div w:id="786001819">
                  <w:marLeft w:val="0"/>
                  <w:marRight w:val="0"/>
                  <w:marTop w:val="0"/>
                  <w:marBottom w:val="0"/>
                  <w:divBdr>
                    <w:top w:val="none" w:sz="0" w:space="0" w:color="auto"/>
                    <w:left w:val="none" w:sz="0" w:space="0" w:color="auto"/>
                    <w:bottom w:val="none" w:sz="0" w:space="0" w:color="auto"/>
                    <w:right w:val="none" w:sz="0" w:space="0" w:color="auto"/>
                  </w:divBdr>
                  <w:divsChild>
                    <w:div w:id="168008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0235604">
      <w:bodyDiv w:val="1"/>
      <w:marLeft w:val="0"/>
      <w:marRight w:val="0"/>
      <w:marTop w:val="0"/>
      <w:marBottom w:val="0"/>
      <w:divBdr>
        <w:top w:val="none" w:sz="0" w:space="0" w:color="auto"/>
        <w:left w:val="none" w:sz="0" w:space="0" w:color="auto"/>
        <w:bottom w:val="none" w:sz="0" w:space="0" w:color="auto"/>
        <w:right w:val="none" w:sz="0" w:space="0" w:color="auto"/>
      </w:divBdr>
      <w:divsChild>
        <w:div w:id="521088550">
          <w:marLeft w:val="0"/>
          <w:marRight w:val="0"/>
          <w:marTop w:val="0"/>
          <w:marBottom w:val="0"/>
          <w:divBdr>
            <w:top w:val="none" w:sz="0" w:space="0" w:color="auto"/>
            <w:left w:val="none" w:sz="0" w:space="0" w:color="auto"/>
            <w:bottom w:val="none" w:sz="0" w:space="0" w:color="auto"/>
            <w:right w:val="none" w:sz="0" w:space="0" w:color="auto"/>
          </w:divBdr>
          <w:divsChild>
            <w:div w:id="857236911">
              <w:marLeft w:val="0"/>
              <w:marRight w:val="0"/>
              <w:marTop w:val="0"/>
              <w:marBottom w:val="0"/>
              <w:divBdr>
                <w:top w:val="none" w:sz="0" w:space="0" w:color="auto"/>
                <w:left w:val="none" w:sz="0" w:space="0" w:color="auto"/>
                <w:bottom w:val="none" w:sz="0" w:space="0" w:color="auto"/>
                <w:right w:val="none" w:sz="0" w:space="0" w:color="auto"/>
              </w:divBdr>
              <w:divsChild>
                <w:div w:id="59981926">
                  <w:marLeft w:val="0"/>
                  <w:marRight w:val="0"/>
                  <w:marTop w:val="0"/>
                  <w:marBottom w:val="0"/>
                  <w:divBdr>
                    <w:top w:val="none" w:sz="0" w:space="0" w:color="auto"/>
                    <w:left w:val="none" w:sz="0" w:space="0" w:color="auto"/>
                    <w:bottom w:val="none" w:sz="0" w:space="0" w:color="auto"/>
                    <w:right w:val="none" w:sz="0" w:space="0" w:color="auto"/>
                  </w:divBdr>
                  <w:divsChild>
                    <w:div w:id="58446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7443218">
      <w:bodyDiv w:val="1"/>
      <w:marLeft w:val="0"/>
      <w:marRight w:val="0"/>
      <w:marTop w:val="0"/>
      <w:marBottom w:val="0"/>
      <w:divBdr>
        <w:top w:val="none" w:sz="0" w:space="0" w:color="auto"/>
        <w:left w:val="none" w:sz="0" w:space="0" w:color="auto"/>
        <w:bottom w:val="none" w:sz="0" w:space="0" w:color="auto"/>
        <w:right w:val="none" w:sz="0" w:space="0" w:color="auto"/>
      </w:divBdr>
    </w:div>
    <w:div w:id="238947615">
      <w:bodyDiv w:val="1"/>
      <w:marLeft w:val="0"/>
      <w:marRight w:val="0"/>
      <w:marTop w:val="0"/>
      <w:marBottom w:val="0"/>
      <w:divBdr>
        <w:top w:val="none" w:sz="0" w:space="0" w:color="auto"/>
        <w:left w:val="none" w:sz="0" w:space="0" w:color="auto"/>
        <w:bottom w:val="none" w:sz="0" w:space="0" w:color="auto"/>
        <w:right w:val="none" w:sz="0" w:space="0" w:color="auto"/>
      </w:divBdr>
      <w:divsChild>
        <w:div w:id="1301957581">
          <w:marLeft w:val="0"/>
          <w:marRight w:val="0"/>
          <w:marTop w:val="0"/>
          <w:marBottom w:val="0"/>
          <w:divBdr>
            <w:top w:val="none" w:sz="0" w:space="0" w:color="auto"/>
            <w:left w:val="none" w:sz="0" w:space="0" w:color="auto"/>
            <w:bottom w:val="none" w:sz="0" w:space="0" w:color="auto"/>
            <w:right w:val="none" w:sz="0" w:space="0" w:color="auto"/>
          </w:divBdr>
          <w:divsChild>
            <w:div w:id="205528138">
              <w:marLeft w:val="0"/>
              <w:marRight w:val="0"/>
              <w:marTop w:val="0"/>
              <w:marBottom w:val="0"/>
              <w:divBdr>
                <w:top w:val="none" w:sz="0" w:space="0" w:color="auto"/>
                <w:left w:val="none" w:sz="0" w:space="0" w:color="auto"/>
                <w:bottom w:val="none" w:sz="0" w:space="0" w:color="auto"/>
                <w:right w:val="none" w:sz="0" w:space="0" w:color="auto"/>
              </w:divBdr>
              <w:divsChild>
                <w:div w:id="1118522020">
                  <w:marLeft w:val="0"/>
                  <w:marRight w:val="0"/>
                  <w:marTop w:val="0"/>
                  <w:marBottom w:val="0"/>
                  <w:divBdr>
                    <w:top w:val="none" w:sz="0" w:space="0" w:color="auto"/>
                    <w:left w:val="none" w:sz="0" w:space="0" w:color="auto"/>
                    <w:bottom w:val="none" w:sz="0" w:space="0" w:color="auto"/>
                    <w:right w:val="none" w:sz="0" w:space="0" w:color="auto"/>
                  </w:divBdr>
                  <w:divsChild>
                    <w:div w:id="166809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9338810">
      <w:bodyDiv w:val="1"/>
      <w:marLeft w:val="0"/>
      <w:marRight w:val="0"/>
      <w:marTop w:val="0"/>
      <w:marBottom w:val="0"/>
      <w:divBdr>
        <w:top w:val="none" w:sz="0" w:space="0" w:color="auto"/>
        <w:left w:val="none" w:sz="0" w:space="0" w:color="auto"/>
        <w:bottom w:val="none" w:sz="0" w:space="0" w:color="auto"/>
        <w:right w:val="none" w:sz="0" w:space="0" w:color="auto"/>
      </w:divBdr>
      <w:divsChild>
        <w:div w:id="335347819">
          <w:marLeft w:val="0"/>
          <w:marRight w:val="0"/>
          <w:marTop w:val="0"/>
          <w:marBottom w:val="0"/>
          <w:divBdr>
            <w:top w:val="none" w:sz="0" w:space="0" w:color="auto"/>
            <w:left w:val="none" w:sz="0" w:space="0" w:color="auto"/>
            <w:bottom w:val="none" w:sz="0" w:space="0" w:color="auto"/>
            <w:right w:val="none" w:sz="0" w:space="0" w:color="auto"/>
          </w:divBdr>
          <w:divsChild>
            <w:div w:id="1335183542">
              <w:marLeft w:val="0"/>
              <w:marRight w:val="0"/>
              <w:marTop w:val="0"/>
              <w:marBottom w:val="0"/>
              <w:divBdr>
                <w:top w:val="none" w:sz="0" w:space="0" w:color="auto"/>
                <w:left w:val="none" w:sz="0" w:space="0" w:color="auto"/>
                <w:bottom w:val="none" w:sz="0" w:space="0" w:color="auto"/>
                <w:right w:val="none" w:sz="0" w:space="0" w:color="auto"/>
              </w:divBdr>
              <w:divsChild>
                <w:div w:id="1751923384">
                  <w:marLeft w:val="0"/>
                  <w:marRight w:val="0"/>
                  <w:marTop w:val="0"/>
                  <w:marBottom w:val="0"/>
                  <w:divBdr>
                    <w:top w:val="none" w:sz="0" w:space="0" w:color="auto"/>
                    <w:left w:val="none" w:sz="0" w:space="0" w:color="auto"/>
                    <w:bottom w:val="none" w:sz="0" w:space="0" w:color="auto"/>
                    <w:right w:val="none" w:sz="0" w:space="0" w:color="auto"/>
                  </w:divBdr>
                  <w:divsChild>
                    <w:div w:id="150177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3520606">
      <w:bodyDiv w:val="1"/>
      <w:marLeft w:val="0"/>
      <w:marRight w:val="0"/>
      <w:marTop w:val="0"/>
      <w:marBottom w:val="0"/>
      <w:divBdr>
        <w:top w:val="none" w:sz="0" w:space="0" w:color="auto"/>
        <w:left w:val="none" w:sz="0" w:space="0" w:color="auto"/>
        <w:bottom w:val="none" w:sz="0" w:space="0" w:color="auto"/>
        <w:right w:val="none" w:sz="0" w:space="0" w:color="auto"/>
      </w:divBdr>
    </w:div>
    <w:div w:id="290327171">
      <w:bodyDiv w:val="1"/>
      <w:marLeft w:val="0"/>
      <w:marRight w:val="0"/>
      <w:marTop w:val="0"/>
      <w:marBottom w:val="0"/>
      <w:divBdr>
        <w:top w:val="none" w:sz="0" w:space="0" w:color="auto"/>
        <w:left w:val="none" w:sz="0" w:space="0" w:color="auto"/>
        <w:bottom w:val="none" w:sz="0" w:space="0" w:color="auto"/>
        <w:right w:val="none" w:sz="0" w:space="0" w:color="auto"/>
      </w:divBdr>
    </w:div>
    <w:div w:id="309137912">
      <w:bodyDiv w:val="1"/>
      <w:marLeft w:val="0"/>
      <w:marRight w:val="0"/>
      <w:marTop w:val="0"/>
      <w:marBottom w:val="0"/>
      <w:divBdr>
        <w:top w:val="none" w:sz="0" w:space="0" w:color="auto"/>
        <w:left w:val="none" w:sz="0" w:space="0" w:color="auto"/>
        <w:bottom w:val="none" w:sz="0" w:space="0" w:color="auto"/>
        <w:right w:val="none" w:sz="0" w:space="0" w:color="auto"/>
      </w:divBdr>
    </w:div>
    <w:div w:id="356736269">
      <w:bodyDiv w:val="1"/>
      <w:marLeft w:val="0"/>
      <w:marRight w:val="0"/>
      <w:marTop w:val="0"/>
      <w:marBottom w:val="0"/>
      <w:divBdr>
        <w:top w:val="none" w:sz="0" w:space="0" w:color="auto"/>
        <w:left w:val="none" w:sz="0" w:space="0" w:color="auto"/>
        <w:bottom w:val="none" w:sz="0" w:space="0" w:color="auto"/>
        <w:right w:val="none" w:sz="0" w:space="0" w:color="auto"/>
      </w:divBdr>
      <w:divsChild>
        <w:div w:id="1168249234">
          <w:marLeft w:val="0"/>
          <w:marRight w:val="0"/>
          <w:marTop w:val="0"/>
          <w:marBottom w:val="0"/>
          <w:divBdr>
            <w:top w:val="none" w:sz="0" w:space="0" w:color="auto"/>
            <w:left w:val="none" w:sz="0" w:space="0" w:color="auto"/>
            <w:bottom w:val="none" w:sz="0" w:space="0" w:color="auto"/>
            <w:right w:val="none" w:sz="0" w:space="0" w:color="auto"/>
          </w:divBdr>
          <w:divsChild>
            <w:div w:id="642344745">
              <w:marLeft w:val="0"/>
              <w:marRight w:val="0"/>
              <w:marTop w:val="0"/>
              <w:marBottom w:val="0"/>
              <w:divBdr>
                <w:top w:val="none" w:sz="0" w:space="0" w:color="auto"/>
                <w:left w:val="none" w:sz="0" w:space="0" w:color="auto"/>
                <w:bottom w:val="none" w:sz="0" w:space="0" w:color="auto"/>
                <w:right w:val="none" w:sz="0" w:space="0" w:color="auto"/>
              </w:divBdr>
              <w:divsChild>
                <w:div w:id="2002658658">
                  <w:marLeft w:val="0"/>
                  <w:marRight w:val="0"/>
                  <w:marTop w:val="0"/>
                  <w:marBottom w:val="0"/>
                  <w:divBdr>
                    <w:top w:val="none" w:sz="0" w:space="0" w:color="auto"/>
                    <w:left w:val="none" w:sz="0" w:space="0" w:color="auto"/>
                    <w:bottom w:val="none" w:sz="0" w:space="0" w:color="auto"/>
                    <w:right w:val="none" w:sz="0" w:space="0" w:color="auto"/>
                  </w:divBdr>
                  <w:divsChild>
                    <w:div w:id="52686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980233">
      <w:bodyDiv w:val="1"/>
      <w:marLeft w:val="0"/>
      <w:marRight w:val="0"/>
      <w:marTop w:val="0"/>
      <w:marBottom w:val="0"/>
      <w:divBdr>
        <w:top w:val="none" w:sz="0" w:space="0" w:color="auto"/>
        <w:left w:val="none" w:sz="0" w:space="0" w:color="auto"/>
        <w:bottom w:val="none" w:sz="0" w:space="0" w:color="auto"/>
        <w:right w:val="none" w:sz="0" w:space="0" w:color="auto"/>
      </w:divBdr>
      <w:divsChild>
        <w:div w:id="1644650967">
          <w:marLeft w:val="0"/>
          <w:marRight w:val="0"/>
          <w:marTop w:val="0"/>
          <w:marBottom w:val="0"/>
          <w:divBdr>
            <w:top w:val="none" w:sz="0" w:space="0" w:color="auto"/>
            <w:left w:val="none" w:sz="0" w:space="0" w:color="auto"/>
            <w:bottom w:val="none" w:sz="0" w:space="0" w:color="auto"/>
            <w:right w:val="none" w:sz="0" w:space="0" w:color="auto"/>
          </w:divBdr>
          <w:divsChild>
            <w:div w:id="830176020">
              <w:marLeft w:val="0"/>
              <w:marRight w:val="0"/>
              <w:marTop w:val="0"/>
              <w:marBottom w:val="0"/>
              <w:divBdr>
                <w:top w:val="none" w:sz="0" w:space="0" w:color="auto"/>
                <w:left w:val="none" w:sz="0" w:space="0" w:color="auto"/>
                <w:bottom w:val="none" w:sz="0" w:space="0" w:color="auto"/>
                <w:right w:val="none" w:sz="0" w:space="0" w:color="auto"/>
              </w:divBdr>
              <w:divsChild>
                <w:div w:id="701595451">
                  <w:marLeft w:val="0"/>
                  <w:marRight w:val="0"/>
                  <w:marTop w:val="0"/>
                  <w:marBottom w:val="0"/>
                  <w:divBdr>
                    <w:top w:val="none" w:sz="0" w:space="0" w:color="auto"/>
                    <w:left w:val="none" w:sz="0" w:space="0" w:color="auto"/>
                    <w:bottom w:val="none" w:sz="0" w:space="0" w:color="auto"/>
                    <w:right w:val="none" w:sz="0" w:space="0" w:color="auto"/>
                  </w:divBdr>
                  <w:divsChild>
                    <w:div w:id="87504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3358988">
      <w:bodyDiv w:val="1"/>
      <w:marLeft w:val="0"/>
      <w:marRight w:val="0"/>
      <w:marTop w:val="0"/>
      <w:marBottom w:val="0"/>
      <w:divBdr>
        <w:top w:val="none" w:sz="0" w:space="0" w:color="auto"/>
        <w:left w:val="none" w:sz="0" w:space="0" w:color="auto"/>
        <w:bottom w:val="none" w:sz="0" w:space="0" w:color="auto"/>
        <w:right w:val="none" w:sz="0" w:space="0" w:color="auto"/>
      </w:divBdr>
    </w:div>
    <w:div w:id="402219072">
      <w:bodyDiv w:val="1"/>
      <w:marLeft w:val="0"/>
      <w:marRight w:val="0"/>
      <w:marTop w:val="0"/>
      <w:marBottom w:val="0"/>
      <w:divBdr>
        <w:top w:val="none" w:sz="0" w:space="0" w:color="auto"/>
        <w:left w:val="none" w:sz="0" w:space="0" w:color="auto"/>
        <w:bottom w:val="none" w:sz="0" w:space="0" w:color="auto"/>
        <w:right w:val="none" w:sz="0" w:space="0" w:color="auto"/>
      </w:divBdr>
    </w:div>
    <w:div w:id="451363474">
      <w:bodyDiv w:val="1"/>
      <w:marLeft w:val="0"/>
      <w:marRight w:val="0"/>
      <w:marTop w:val="0"/>
      <w:marBottom w:val="0"/>
      <w:divBdr>
        <w:top w:val="none" w:sz="0" w:space="0" w:color="auto"/>
        <w:left w:val="none" w:sz="0" w:space="0" w:color="auto"/>
        <w:bottom w:val="none" w:sz="0" w:space="0" w:color="auto"/>
        <w:right w:val="none" w:sz="0" w:space="0" w:color="auto"/>
      </w:divBdr>
      <w:divsChild>
        <w:div w:id="1102843659">
          <w:marLeft w:val="0"/>
          <w:marRight w:val="0"/>
          <w:marTop w:val="0"/>
          <w:marBottom w:val="0"/>
          <w:divBdr>
            <w:top w:val="none" w:sz="0" w:space="0" w:color="auto"/>
            <w:left w:val="none" w:sz="0" w:space="0" w:color="auto"/>
            <w:bottom w:val="none" w:sz="0" w:space="0" w:color="auto"/>
            <w:right w:val="none" w:sz="0" w:space="0" w:color="auto"/>
          </w:divBdr>
          <w:divsChild>
            <w:div w:id="867259740">
              <w:marLeft w:val="0"/>
              <w:marRight w:val="0"/>
              <w:marTop w:val="0"/>
              <w:marBottom w:val="0"/>
              <w:divBdr>
                <w:top w:val="none" w:sz="0" w:space="0" w:color="auto"/>
                <w:left w:val="none" w:sz="0" w:space="0" w:color="auto"/>
                <w:bottom w:val="none" w:sz="0" w:space="0" w:color="auto"/>
                <w:right w:val="none" w:sz="0" w:space="0" w:color="auto"/>
              </w:divBdr>
              <w:divsChild>
                <w:div w:id="1539853442">
                  <w:marLeft w:val="0"/>
                  <w:marRight w:val="0"/>
                  <w:marTop w:val="0"/>
                  <w:marBottom w:val="0"/>
                  <w:divBdr>
                    <w:top w:val="none" w:sz="0" w:space="0" w:color="auto"/>
                    <w:left w:val="none" w:sz="0" w:space="0" w:color="auto"/>
                    <w:bottom w:val="none" w:sz="0" w:space="0" w:color="auto"/>
                    <w:right w:val="none" w:sz="0" w:space="0" w:color="auto"/>
                  </w:divBdr>
                  <w:divsChild>
                    <w:div w:id="122613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4226301">
      <w:bodyDiv w:val="1"/>
      <w:marLeft w:val="0"/>
      <w:marRight w:val="0"/>
      <w:marTop w:val="0"/>
      <w:marBottom w:val="0"/>
      <w:divBdr>
        <w:top w:val="none" w:sz="0" w:space="0" w:color="auto"/>
        <w:left w:val="none" w:sz="0" w:space="0" w:color="auto"/>
        <w:bottom w:val="none" w:sz="0" w:space="0" w:color="auto"/>
        <w:right w:val="none" w:sz="0" w:space="0" w:color="auto"/>
      </w:divBdr>
    </w:div>
    <w:div w:id="498884580">
      <w:bodyDiv w:val="1"/>
      <w:marLeft w:val="0"/>
      <w:marRight w:val="0"/>
      <w:marTop w:val="0"/>
      <w:marBottom w:val="0"/>
      <w:divBdr>
        <w:top w:val="none" w:sz="0" w:space="0" w:color="auto"/>
        <w:left w:val="none" w:sz="0" w:space="0" w:color="auto"/>
        <w:bottom w:val="none" w:sz="0" w:space="0" w:color="auto"/>
        <w:right w:val="none" w:sz="0" w:space="0" w:color="auto"/>
      </w:divBdr>
    </w:div>
    <w:div w:id="505829458">
      <w:bodyDiv w:val="1"/>
      <w:marLeft w:val="0"/>
      <w:marRight w:val="0"/>
      <w:marTop w:val="0"/>
      <w:marBottom w:val="0"/>
      <w:divBdr>
        <w:top w:val="none" w:sz="0" w:space="0" w:color="auto"/>
        <w:left w:val="none" w:sz="0" w:space="0" w:color="auto"/>
        <w:bottom w:val="none" w:sz="0" w:space="0" w:color="auto"/>
        <w:right w:val="none" w:sz="0" w:space="0" w:color="auto"/>
      </w:divBdr>
    </w:div>
    <w:div w:id="521630806">
      <w:bodyDiv w:val="1"/>
      <w:marLeft w:val="0"/>
      <w:marRight w:val="0"/>
      <w:marTop w:val="0"/>
      <w:marBottom w:val="0"/>
      <w:divBdr>
        <w:top w:val="none" w:sz="0" w:space="0" w:color="auto"/>
        <w:left w:val="none" w:sz="0" w:space="0" w:color="auto"/>
        <w:bottom w:val="none" w:sz="0" w:space="0" w:color="auto"/>
        <w:right w:val="none" w:sz="0" w:space="0" w:color="auto"/>
      </w:divBdr>
    </w:div>
    <w:div w:id="525752474">
      <w:bodyDiv w:val="1"/>
      <w:marLeft w:val="0"/>
      <w:marRight w:val="0"/>
      <w:marTop w:val="0"/>
      <w:marBottom w:val="0"/>
      <w:divBdr>
        <w:top w:val="none" w:sz="0" w:space="0" w:color="auto"/>
        <w:left w:val="none" w:sz="0" w:space="0" w:color="auto"/>
        <w:bottom w:val="none" w:sz="0" w:space="0" w:color="auto"/>
        <w:right w:val="none" w:sz="0" w:space="0" w:color="auto"/>
      </w:divBdr>
    </w:div>
    <w:div w:id="530411729">
      <w:bodyDiv w:val="1"/>
      <w:marLeft w:val="0"/>
      <w:marRight w:val="0"/>
      <w:marTop w:val="0"/>
      <w:marBottom w:val="0"/>
      <w:divBdr>
        <w:top w:val="none" w:sz="0" w:space="0" w:color="auto"/>
        <w:left w:val="none" w:sz="0" w:space="0" w:color="auto"/>
        <w:bottom w:val="none" w:sz="0" w:space="0" w:color="auto"/>
        <w:right w:val="none" w:sz="0" w:space="0" w:color="auto"/>
      </w:divBdr>
    </w:div>
    <w:div w:id="546995541">
      <w:bodyDiv w:val="1"/>
      <w:marLeft w:val="0"/>
      <w:marRight w:val="0"/>
      <w:marTop w:val="0"/>
      <w:marBottom w:val="0"/>
      <w:divBdr>
        <w:top w:val="none" w:sz="0" w:space="0" w:color="auto"/>
        <w:left w:val="none" w:sz="0" w:space="0" w:color="auto"/>
        <w:bottom w:val="none" w:sz="0" w:space="0" w:color="auto"/>
        <w:right w:val="none" w:sz="0" w:space="0" w:color="auto"/>
      </w:divBdr>
    </w:div>
    <w:div w:id="552615088">
      <w:bodyDiv w:val="1"/>
      <w:marLeft w:val="0"/>
      <w:marRight w:val="0"/>
      <w:marTop w:val="0"/>
      <w:marBottom w:val="0"/>
      <w:divBdr>
        <w:top w:val="none" w:sz="0" w:space="0" w:color="auto"/>
        <w:left w:val="none" w:sz="0" w:space="0" w:color="auto"/>
        <w:bottom w:val="none" w:sz="0" w:space="0" w:color="auto"/>
        <w:right w:val="none" w:sz="0" w:space="0" w:color="auto"/>
      </w:divBdr>
      <w:divsChild>
        <w:div w:id="954293612">
          <w:marLeft w:val="0"/>
          <w:marRight w:val="0"/>
          <w:marTop w:val="0"/>
          <w:marBottom w:val="0"/>
          <w:divBdr>
            <w:top w:val="none" w:sz="0" w:space="0" w:color="auto"/>
            <w:left w:val="none" w:sz="0" w:space="0" w:color="auto"/>
            <w:bottom w:val="none" w:sz="0" w:space="0" w:color="auto"/>
            <w:right w:val="none" w:sz="0" w:space="0" w:color="auto"/>
          </w:divBdr>
          <w:divsChild>
            <w:div w:id="1919824104">
              <w:marLeft w:val="0"/>
              <w:marRight w:val="0"/>
              <w:marTop w:val="0"/>
              <w:marBottom w:val="0"/>
              <w:divBdr>
                <w:top w:val="none" w:sz="0" w:space="0" w:color="auto"/>
                <w:left w:val="none" w:sz="0" w:space="0" w:color="auto"/>
                <w:bottom w:val="none" w:sz="0" w:space="0" w:color="auto"/>
                <w:right w:val="none" w:sz="0" w:space="0" w:color="auto"/>
              </w:divBdr>
              <w:divsChild>
                <w:div w:id="917252602">
                  <w:marLeft w:val="0"/>
                  <w:marRight w:val="0"/>
                  <w:marTop w:val="0"/>
                  <w:marBottom w:val="0"/>
                  <w:divBdr>
                    <w:top w:val="none" w:sz="0" w:space="0" w:color="auto"/>
                    <w:left w:val="none" w:sz="0" w:space="0" w:color="auto"/>
                    <w:bottom w:val="none" w:sz="0" w:space="0" w:color="auto"/>
                    <w:right w:val="none" w:sz="0" w:space="0" w:color="auto"/>
                  </w:divBdr>
                  <w:divsChild>
                    <w:div w:id="61644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402257">
      <w:bodyDiv w:val="1"/>
      <w:marLeft w:val="0"/>
      <w:marRight w:val="0"/>
      <w:marTop w:val="0"/>
      <w:marBottom w:val="0"/>
      <w:divBdr>
        <w:top w:val="none" w:sz="0" w:space="0" w:color="auto"/>
        <w:left w:val="none" w:sz="0" w:space="0" w:color="auto"/>
        <w:bottom w:val="none" w:sz="0" w:space="0" w:color="auto"/>
        <w:right w:val="none" w:sz="0" w:space="0" w:color="auto"/>
      </w:divBdr>
      <w:divsChild>
        <w:div w:id="238757181">
          <w:marLeft w:val="0"/>
          <w:marRight w:val="0"/>
          <w:marTop w:val="0"/>
          <w:marBottom w:val="0"/>
          <w:divBdr>
            <w:top w:val="none" w:sz="0" w:space="0" w:color="auto"/>
            <w:left w:val="none" w:sz="0" w:space="0" w:color="auto"/>
            <w:bottom w:val="none" w:sz="0" w:space="0" w:color="auto"/>
            <w:right w:val="none" w:sz="0" w:space="0" w:color="auto"/>
          </w:divBdr>
          <w:divsChild>
            <w:div w:id="1770275448">
              <w:marLeft w:val="0"/>
              <w:marRight w:val="0"/>
              <w:marTop w:val="0"/>
              <w:marBottom w:val="0"/>
              <w:divBdr>
                <w:top w:val="none" w:sz="0" w:space="0" w:color="auto"/>
                <w:left w:val="none" w:sz="0" w:space="0" w:color="auto"/>
                <w:bottom w:val="none" w:sz="0" w:space="0" w:color="auto"/>
                <w:right w:val="none" w:sz="0" w:space="0" w:color="auto"/>
              </w:divBdr>
              <w:divsChild>
                <w:div w:id="881290218">
                  <w:marLeft w:val="0"/>
                  <w:marRight w:val="0"/>
                  <w:marTop w:val="0"/>
                  <w:marBottom w:val="0"/>
                  <w:divBdr>
                    <w:top w:val="none" w:sz="0" w:space="0" w:color="auto"/>
                    <w:left w:val="none" w:sz="0" w:space="0" w:color="auto"/>
                    <w:bottom w:val="none" w:sz="0" w:space="0" w:color="auto"/>
                    <w:right w:val="none" w:sz="0" w:space="0" w:color="auto"/>
                  </w:divBdr>
                  <w:divsChild>
                    <w:div w:id="27722406">
                      <w:marLeft w:val="0"/>
                      <w:marRight w:val="0"/>
                      <w:marTop w:val="0"/>
                      <w:marBottom w:val="0"/>
                      <w:divBdr>
                        <w:top w:val="none" w:sz="0" w:space="0" w:color="auto"/>
                        <w:left w:val="none" w:sz="0" w:space="0" w:color="auto"/>
                        <w:bottom w:val="none" w:sz="0" w:space="0" w:color="auto"/>
                        <w:right w:val="none" w:sz="0" w:space="0" w:color="auto"/>
                      </w:divBdr>
                    </w:div>
                  </w:divsChild>
                </w:div>
                <w:div w:id="892085330">
                  <w:marLeft w:val="0"/>
                  <w:marRight w:val="0"/>
                  <w:marTop w:val="0"/>
                  <w:marBottom w:val="0"/>
                  <w:divBdr>
                    <w:top w:val="none" w:sz="0" w:space="0" w:color="auto"/>
                    <w:left w:val="none" w:sz="0" w:space="0" w:color="auto"/>
                    <w:bottom w:val="none" w:sz="0" w:space="0" w:color="auto"/>
                    <w:right w:val="none" w:sz="0" w:space="0" w:color="auto"/>
                  </w:divBdr>
                  <w:divsChild>
                    <w:div w:id="15487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8998793">
      <w:bodyDiv w:val="1"/>
      <w:marLeft w:val="0"/>
      <w:marRight w:val="0"/>
      <w:marTop w:val="0"/>
      <w:marBottom w:val="0"/>
      <w:divBdr>
        <w:top w:val="none" w:sz="0" w:space="0" w:color="auto"/>
        <w:left w:val="none" w:sz="0" w:space="0" w:color="auto"/>
        <w:bottom w:val="none" w:sz="0" w:space="0" w:color="auto"/>
        <w:right w:val="none" w:sz="0" w:space="0" w:color="auto"/>
      </w:divBdr>
    </w:div>
    <w:div w:id="622662056">
      <w:bodyDiv w:val="1"/>
      <w:marLeft w:val="0"/>
      <w:marRight w:val="0"/>
      <w:marTop w:val="0"/>
      <w:marBottom w:val="0"/>
      <w:divBdr>
        <w:top w:val="none" w:sz="0" w:space="0" w:color="auto"/>
        <w:left w:val="none" w:sz="0" w:space="0" w:color="auto"/>
        <w:bottom w:val="none" w:sz="0" w:space="0" w:color="auto"/>
        <w:right w:val="none" w:sz="0" w:space="0" w:color="auto"/>
      </w:divBdr>
    </w:div>
    <w:div w:id="631524876">
      <w:bodyDiv w:val="1"/>
      <w:marLeft w:val="0"/>
      <w:marRight w:val="0"/>
      <w:marTop w:val="0"/>
      <w:marBottom w:val="0"/>
      <w:divBdr>
        <w:top w:val="none" w:sz="0" w:space="0" w:color="auto"/>
        <w:left w:val="none" w:sz="0" w:space="0" w:color="auto"/>
        <w:bottom w:val="none" w:sz="0" w:space="0" w:color="auto"/>
        <w:right w:val="none" w:sz="0" w:space="0" w:color="auto"/>
      </w:divBdr>
    </w:div>
    <w:div w:id="636954640">
      <w:bodyDiv w:val="1"/>
      <w:marLeft w:val="0"/>
      <w:marRight w:val="0"/>
      <w:marTop w:val="0"/>
      <w:marBottom w:val="0"/>
      <w:divBdr>
        <w:top w:val="none" w:sz="0" w:space="0" w:color="auto"/>
        <w:left w:val="none" w:sz="0" w:space="0" w:color="auto"/>
        <w:bottom w:val="none" w:sz="0" w:space="0" w:color="auto"/>
        <w:right w:val="none" w:sz="0" w:space="0" w:color="auto"/>
      </w:divBdr>
    </w:div>
    <w:div w:id="646596715">
      <w:bodyDiv w:val="1"/>
      <w:marLeft w:val="0"/>
      <w:marRight w:val="0"/>
      <w:marTop w:val="0"/>
      <w:marBottom w:val="0"/>
      <w:divBdr>
        <w:top w:val="none" w:sz="0" w:space="0" w:color="auto"/>
        <w:left w:val="none" w:sz="0" w:space="0" w:color="auto"/>
        <w:bottom w:val="none" w:sz="0" w:space="0" w:color="auto"/>
        <w:right w:val="none" w:sz="0" w:space="0" w:color="auto"/>
      </w:divBdr>
    </w:div>
    <w:div w:id="669018745">
      <w:bodyDiv w:val="1"/>
      <w:marLeft w:val="0"/>
      <w:marRight w:val="0"/>
      <w:marTop w:val="0"/>
      <w:marBottom w:val="0"/>
      <w:divBdr>
        <w:top w:val="none" w:sz="0" w:space="0" w:color="auto"/>
        <w:left w:val="none" w:sz="0" w:space="0" w:color="auto"/>
        <w:bottom w:val="none" w:sz="0" w:space="0" w:color="auto"/>
        <w:right w:val="none" w:sz="0" w:space="0" w:color="auto"/>
      </w:divBdr>
    </w:div>
    <w:div w:id="669719324">
      <w:bodyDiv w:val="1"/>
      <w:marLeft w:val="0"/>
      <w:marRight w:val="0"/>
      <w:marTop w:val="0"/>
      <w:marBottom w:val="0"/>
      <w:divBdr>
        <w:top w:val="none" w:sz="0" w:space="0" w:color="auto"/>
        <w:left w:val="none" w:sz="0" w:space="0" w:color="auto"/>
        <w:bottom w:val="none" w:sz="0" w:space="0" w:color="auto"/>
        <w:right w:val="none" w:sz="0" w:space="0" w:color="auto"/>
      </w:divBdr>
    </w:div>
    <w:div w:id="679351289">
      <w:bodyDiv w:val="1"/>
      <w:marLeft w:val="0"/>
      <w:marRight w:val="0"/>
      <w:marTop w:val="0"/>
      <w:marBottom w:val="0"/>
      <w:divBdr>
        <w:top w:val="none" w:sz="0" w:space="0" w:color="auto"/>
        <w:left w:val="none" w:sz="0" w:space="0" w:color="auto"/>
        <w:bottom w:val="none" w:sz="0" w:space="0" w:color="auto"/>
        <w:right w:val="none" w:sz="0" w:space="0" w:color="auto"/>
      </w:divBdr>
    </w:div>
    <w:div w:id="709768472">
      <w:bodyDiv w:val="1"/>
      <w:marLeft w:val="0"/>
      <w:marRight w:val="0"/>
      <w:marTop w:val="0"/>
      <w:marBottom w:val="0"/>
      <w:divBdr>
        <w:top w:val="none" w:sz="0" w:space="0" w:color="auto"/>
        <w:left w:val="none" w:sz="0" w:space="0" w:color="auto"/>
        <w:bottom w:val="none" w:sz="0" w:space="0" w:color="auto"/>
        <w:right w:val="none" w:sz="0" w:space="0" w:color="auto"/>
      </w:divBdr>
    </w:div>
    <w:div w:id="723990124">
      <w:bodyDiv w:val="1"/>
      <w:marLeft w:val="0"/>
      <w:marRight w:val="0"/>
      <w:marTop w:val="0"/>
      <w:marBottom w:val="0"/>
      <w:divBdr>
        <w:top w:val="none" w:sz="0" w:space="0" w:color="auto"/>
        <w:left w:val="none" w:sz="0" w:space="0" w:color="auto"/>
        <w:bottom w:val="none" w:sz="0" w:space="0" w:color="auto"/>
        <w:right w:val="none" w:sz="0" w:space="0" w:color="auto"/>
      </w:divBdr>
      <w:divsChild>
        <w:div w:id="1304504124">
          <w:marLeft w:val="0"/>
          <w:marRight w:val="0"/>
          <w:marTop w:val="0"/>
          <w:marBottom w:val="0"/>
          <w:divBdr>
            <w:top w:val="none" w:sz="0" w:space="0" w:color="auto"/>
            <w:left w:val="none" w:sz="0" w:space="0" w:color="auto"/>
            <w:bottom w:val="none" w:sz="0" w:space="0" w:color="auto"/>
            <w:right w:val="none" w:sz="0" w:space="0" w:color="auto"/>
          </w:divBdr>
          <w:divsChild>
            <w:div w:id="2130929209">
              <w:marLeft w:val="0"/>
              <w:marRight w:val="0"/>
              <w:marTop w:val="0"/>
              <w:marBottom w:val="0"/>
              <w:divBdr>
                <w:top w:val="none" w:sz="0" w:space="0" w:color="auto"/>
                <w:left w:val="none" w:sz="0" w:space="0" w:color="auto"/>
                <w:bottom w:val="none" w:sz="0" w:space="0" w:color="auto"/>
                <w:right w:val="none" w:sz="0" w:space="0" w:color="auto"/>
              </w:divBdr>
              <w:divsChild>
                <w:div w:id="1200825407">
                  <w:marLeft w:val="0"/>
                  <w:marRight w:val="0"/>
                  <w:marTop w:val="0"/>
                  <w:marBottom w:val="0"/>
                  <w:divBdr>
                    <w:top w:val="none" w:sz="0" w:space="0" w:color="auto"/>
                    <w:left w:val="none" w:sz="0" w:space="0" w:color="auto"/>
                    <w:bottom w:val="none" w:sz="0" w:space="0" w:color="auto"/>
                    <w:right w:val="none" w:sz="0" w:space="0" w:color="auto"/>
                  </w:divBdr>
                  <w:divsChild>
                    <w:div w:id="24523471">
                      <w:marLeft w:val="0"/>
                      <w:marRight w:val="0"/>
                      <w:marTop w:val="0"/>
                      <w:marBottom w:val="0"/>
                      <w:divBdr>
                        <w:top w:val="none" w:sz="0" w:space="0" w:color="auto"/>
                        <w:left w:val="none" w:sz="0" w:space="0" w:color="auto"/>
                        <w:bottom w:val="none" w:sz="0" w:space="0" w:color="auto"/>
                        <w:right w:val="none" w:sz="0" w:space="0" w:color="auto"/>
                      </w:divBdr>
                    </w:div>
                  </w:divsChild>
                </w:div>
                <w:div w:id="2138453292">
                  <w:marLeft w:val="0"/>
                  <w:marRight w:val="0"/>
                  <w:marTop w:val="0"/>
                  <w:marBottom w:val="0"/>
                  <w:divBdr>
                    <w:top w:val="none" w:sz="0" w:space="0" w:color="auto"/>
                    <w:left w:val="none" w:sz="0" w:space="0" w:color="auto"/>
                    <w:bottom w:val="none" w:sz="0" w:space="0" w:color="auto"/>
                    <w:right w:val="none" w:sz="0" w:space="0" w:color="auto"/>
                  </w:divBdr>
                  <w:divsChild>
                    <w:div w:id="6963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7991793">
      <w:bodyDiv w:val="1"/>
      <w:marLeft w:val="0"/>
      <w:marRight w:val="0"/>
      <w:marTop w:val="0"/>
      <w:marBottom w:val="0"/>
      <w:divBdr>
        <w:top w:val="none" w:sz="0" w:space="0" w:color="auto"/>
        <w:left w:val="none" w:sz="0" w:space="0" w:color="auto"/>
        <w:bottom w:val="none" w:sz="0" w:space="0" w:color="auto"/>
        <w:right w:val="none" w:sz="0" w:space="0" w:color="auto"/>
      </w:divBdr>
    </w:div>
    <w:div w:id="747653020">
      <w:bodyDiv w:val="1"/>
      <w:marLeft w:val="0"/>
      <w:marRight w:val="0"/>
      <w:marTop w:val="0"/>
      <w:marBottom w:val="0"/>
      <w:divBdr>
        <w:top w:val="none" w:sz="0" w:space="0" w:color="auto"/>
        <w:left w:val="none" w:sz="0" w:space="0" w:color="auto"/>
        <w:bottom w:val="none" w:sz="0" w:space="0" w:color="auto"/>
        <w:right w:val="none" w:sz="0" w:space="0" w:color="auto"/>
      </w:divBdr>
      <w:divsChild>
        <w:div w:id="775179284">
          <w:marLeft w:val="0"/>
          <w:marRight w:val="0"/>
          <w:marTop w:val="0"/>
          <w:marBottom w:val="0"/>
          <w:divBdr>
            <w:top w:val="none" w:sz="0" w:space="0" w:color="auto"/>
            <w:left w:val="none" w:sz="0" w:space="0" w:color="auto"/>
            <w:bottom w:val="none" w:sz="0" w:space="0" w:color="auto"/>
            <w:right w:val="none" w:sz="0" w:space="0" w:color="auto"/>
          </w:divBdr>
          <w:divsChild>
            <w:div w:id="2123380291">
              <w:marLeft w:val="0"/>
              <w:marRight w:val="0"/>
              <w:marTop w:val="0"/>
              <w:marBottom w:val="0"/>
              <w:divBdr>
                <w:top w:val="none" w:sz="0" w:space="0" w:color="auto"/>
                <w:left w:val="none" w:sz="0" w:space="0" w:color="auto"/>
                <w:bottom w:val="none" w:sz="0" w:space="0" w:color="auto"/>
                <w:right w:val="none" w:sz="0" w:space="0" w:color="auto"/>
              </w:divBdr>
              <w:divsChild>
                <w:div w:id="1358389001">
                  <w:marLeft w:val="0"/>
                  <w:marRight w:val="0"/>
                  <w:marTop w:val="0"/>
                  <w:marBottom w:val="0"/>
                  <w:divBdr>
                    <w:top w:val="none" w:sz="0" w:space="0" w:color="auto"/>
                    <w:left w:val="none" w:sz="0" w:space="0" w:color="auto"/>
                    <w:bottom w:val="none" w:sz="0" w:space="0" w:color="auto"/>
                    <w:right w:val="none" w:sz="0" w:space="0" w:color="auto"/>
                  </w:divBdr>
                  <w:divsChild>
                    <w:div w:id="135287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5612509">
      <w:bodyDiv w:val="1"/>
      <w:marLeft w:val="0"/>
      <w:marRight w:val="0"/>
      <w:marTop w:val="0"/>
      <w:marBottom w:val="0"/>
      <w:divBdr>
        <w:top w:val="none" w:sz="0" w:space="0" w:color="auto"/>
        <w:left w:val="none" w:sz="0" w:space="0" w:color="auto"/>
        <w:bottom w:val="none" w:sz="0" w:space="0" w:color="auto"/>
        <w:right w:val="none" w:sz="0" w:space="0" w:color="auto"/>
      </w:divBdr>
      <w:divsChild>
        <w:div w:id="1014261141">
          <w:marLeft w:val="0"/>
          <w:marRight w:val="0"/>
          <w:marTop w:val="0"/>
          <w:marBottom w:val="0"/>
          <w:divBdr>
            <w:top w:val="none" w:sz="0" w:space="0" w:color="auto"/>
            <w:left w:val="none" w:sz="0" w:space="0" w:color="auto"/>
            <w:bottom w:val="none" w:sz="0" w:space="0" w:color="auto"/>
            <w:right w:val="none" w:sz="0" w:space="0" w:color="auto"/>
          </w:divBdr>
          <w:divsChild>
            <w:div w:id="1947154734">
              <w:marLeft w:val="0"/>
              <w:marRight w:val="0"/>
              <w:marTop w:val="0"/>
              <w:marBottom w:val="0"/>
              <w:divBdr>
                <w:top w:val="none" w:sz="0" w:space="0" w:color="auto"/>
                <w:left w:val="none" w:sz="0" w:space="0" w:color="auto"/>
                <w:bottom w:val="none" w:sz="0" w:space="0" w:color="auto"/>
                <w:right w:val="none" w:sz="0" w:space="0" w:color="auto"/>
              </w:divBdr>
              <w:divsChild>
                <w:div w:id="1576359698">
                  <w:marLeft w:val="0"/>
                  <w:marRight w:val="0"/>
                  <w:marTop w:val="0"/>
                  <w:marBottom w:val="0"/>
                  <w:divBdr>
                    <w:top w:val="none" w:sz="0" w:space="0" w:color="auto"/>
                    <w:left w:val="none" w:sz="0" w:space="0" w:color="auto"/>
                    <w:bottom w:val="none" w:sz="0" w:space="0" w:color="auto"/>
                    <w:right w:val="none" w:sz="0" w:space="0" w:color="auto"/>
                  </w:divBdr>
                  <w:divsChild>
                    <w:div w:id="108862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2243075">
      <w:bodyDiv w:val="1"/>
      <w:marLeft w:val="0"/>
      <w:marRight w:val="0"/>
      <w:marTop w:val="0"/>
      <w:marBottom w:val="0"/>
      <w:divBdr>
        <w:top w:val="none" w:sz="0" w:space="0" w:color="auto"/>
        <w:left w:val="none" w:sz="0" w:space="0" w:color="auto"/>
        <w:bottom w:val="none" w:sz="0" w:space="0" w:color="auto"/>
        <w:right w:val="none" w:sz="0" w:space="0" w:color="auto"/>
      </w:divBdr>
      <w:divsChild>
        <w:div w:id="1065839304">
          <w:marLeft w:val="0"/>
          <w:marRight w:val="0"/>
          <w:marTop w:val="0"/>
          <w:marBottom w:val="0"/>
          <w:divBdr>
            <w:top w:val="none" w:sz="0" w:space="0" w:color="auto"/>
            <w:left w:val="none" w:sz="0" w:space="0" w:color="auto"/>
            <w:bottom w:val="none" w:sz="0" w:space="0" w:color="auto"/>
            <w:right w:val="none" w:sz="0" w:space="0" w:color="auto"/>
          </w:divBdr>
          <w:divsChild>
            <w:div w:id="1414353620">
              <w:marLeft w:val="0"/>
              <w:marRight w:val="0"/>
              <w:marTop w:val="0"/>
              <w:marBottom w:val="0"/>
              <w:divBdr>
                <w:top w:val="none" w:sz="0" w:space="0" w:color="auto"/>
                <w:left w:val="none" w:sz="0" w:space="0" w:color="auto"/>
                <w:bottom w:val="none" w:sz="0" w:space="0" w:color="auto"/>
                <w:right w:val="none" w:sz="0" w:space="0" w:color="auto"/>
              </w:divBdr>
              <w:divsChild>
                <w:div w:id="1518235364">
                  <w:marLeft w:val="0"/>
                  <w:marRight w:val="0"/>
                  <w:marTop w:val="0"/>
                  <w:marBottom w:val="0"/>
                  <w:divBdr>
                    <w:top w:val="none" w:sz="0" w:space="0" w:color="auto"/>
                    <w:left w:val="none" w:sz="0" w:space="0" w:color="auto"/>
                    <w:bottom w:val="none" w:sz="0" w:space="0" w:color="auto"/>
                    <w:right w:val="none" w:sz="0" w:space="0" w:color="auto"/>
                  </w:divBdr>
                  <w:divsChild>
                    <w:div w:id="188031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2897932">
      <w:bodyDiv w:val="1"/>
      <w:marLeft w:val="0"/>
      <w:marRight w:val="0"/>
      <w:marTop w:val="0"/>
      <w:marBottom w:val="0"/>
      <w:divBdr>
        <w:top w:val="none" w:sz="0" w:space="0" w:color="auto"/>
        <w:left w:val="none" w:sz="0" w:space="0" w:color="auto"/>
        <w:bottom w:val="none" w:sz="0" w:space="0" w:color="auto"/>
        <w:right w:val="none" w:sz="0" w:space="0" w:color="auto"/>
      </w:divBdr>
    </w:div>
    <w:div w:id="777142644">
      <w:bodyDiv w:val="1"/>
      <w:marLeft w:val="0"/>
      <w:marRight w:val="0"/>
      <w:marTop w:val="0"/>
      <w:marBottom w:val="0"/>
      <w:divBdr>
        <w:top w:val="none" w:sz="0" w:space="0" w:color="auto"/>
        <w:left w:val="none" w:sz="0" w:space="0" w:color="auto"/>
        <w:bottom w:val="none" w:sz="0" w:space="0" w:color="auto"/>
        <w:right w:val="none" w:sz="0" w:space="0" w:color="auto"/>
      </w:divBdr>
    </w:div>
    <w:div w:id="789978370">
      <w:marLeft w:val="0"/>
      <w:marRight w:val="0"/>
      <w:marTop w:val="0"/>
      <w:marBottom w:val="0"/>
      <w:divBdr>
        <w:top w:val="none" w:sz="0" w:space="0" w:color="auto"/>
        <w:left w:val="none" w:sz="0" w:space="0" w:color="auto"/>
        <w:bottom w:val="none" w:sz="0" w:space="0" w:color="auto"/>
        <w:right w:val="none" w:sz="0" w:space="0" w:color="auto"/>
      </w:divBdr>
    </w:div>
    <w:div w:id="789978371">
      <w:marLeft w:val="0"/>
      <w:marRight w:val="0"/>
      <w:marTop w:val="0"/>
      <w:marBottom w:val="0"/>
      <w:divBdr>
        <w:top w:val="none" w:sz="0" w:space="0" w:color="auto"/>
        <w:left w:val="none" w:sz="0" w:space="0" w:color="auto"/>
        <w:bottom w:val="none" w:sz="0" w:space="0" w:color="auto"/>
        <w:right w:val="none" w:sz="0" w:space="0" w:color="auto"/>
      </w:divBdr>
    </w:div>
    <w:div w:id="789978372">
      <w:marLeft w:val="0"/>
      <w:marRight w:val="0"/>
      <w:marTop w:val="0"/>
      <w:marBottom w:val="0"/>
      <w:divBdr>
        <w:top w:val="none" w:sz="0" w:space="0" w:color="auto"/>
        <w:left w:val="none" w:sz="0" w:space="0" w:color="auto"/>
        <w:bottom w:val="none" w:sz="0" w:space="0" w:color="auto"/>
        <w:right w:val="none" w:sz="0" w:space="0" w:color="auto"/>
      </w:divBdr>
    </w:div>
    <w:div w:id="789978373">
      <w:marLeft w:val="0"/>
      <w:marRight w:val="0"/>
      <w:marTop w:val="0"/>
      <w:marBottom w:val="0"/>
      <w:divBdr>
        <w:top w:val="none" w:sz="0" w:space="0" w:color="auto"/>
        <w:left w:val="none" w:sz="0" w:space="0" w:color="auto"/>
        <w:bottom w:val="none" w:sz="0" w:space="0" w:color="auto"/>
        <w:right w:val="none" w:sz="0" w:space="0" w:color="auto"/>
      </w:divBdr>
    </w:div>
    <w:div w:id="789978374">
      <w:marLeft w:val="0"/>
      <w:marRight w:val="0"/>
      <w:marTop w:val="0"/>
      <w:marBottom w:val="0"/>
      <w:divBdr>
        <w:top w:val="none" w:sz="0" w:space="0" w:color="auto"/>
        <w:left w:val="none" w:sz="0" w:space="0" w:color="auto"/>
        <w:bottom w:val="none" w:sz="0" w:space="0" w:color="auto"/>
        <w:right w:val="none" w:sz="0" w:space="0" w:color="auto"/>
      </w:divBdr>
    </w:div>
    <w:div w:id="789978375">
      <w:marLeft w:val="0"/>
      <w:marRight w:val="0"/>
      <w:marTop w:val="0"/>
      <w:marBottom w:val="0"/>
      <w:divBdr>
        <w:top w:val="none" w:sz="0" w:space="0" w:color="auto"/>
        <w:left w:val="none" w:sz="0" w:space="0" w:color="auto"/>
        <w:bottom w:val="none" w:sz="0" w:space="0" w:color="auto"/>
        <w:right w:val="none" w:sz="0" w:space="0" w:color="auto"/>
      </w:divBdr>
    </w:div>
    <w:div w:id="789978376">
      <w:marLeft w:val="0"/>
      <w:marRight w:val="0"/>
      <w:marTop w:val="0"/>
      <w:marBottom w:val="0"/>
      <w:divBdr>
        <w:top w:val="none" w:sz="0" w:space="0" w:color="auto"/>
        <w:left w:val="none" w:sz="0" w:space="0" w:color="auto"/>
        <w:bottom w:val="none" w:sz="0" w:space="0" w:color="auto"/>
        <w:right w:val="none" w:sz="0" w:space="0" w:color="auto"/>
      </w:divBdr>
    </w:div>
    <w:div w:id="789978377">
      <w:marLeft w:val="0"/>
      <w:marRight w:val="0"/>
      <w:marTop w:val="0"/>
      <w:marBottom w:val="0"/>
      <w:divBdr>
        <w:top w:val="none" w:sz="0" w:space="0" w:color="auto"/>
        <w:left w:val="none" w:sz="0" w:space="0" w:color="auto"/>
        <w:bottom w:val="none" w:sz="0" w:space="0" w:color="auto"/>
        <w:right w:val="none" w:sz="0" w:space="0" w:color="auto"/>
      </w:divBdr>
    </w:div>
    <w:div w:id="789978378">
      <w:marLeft w:val="0"/>
      <w:marRight w:val="0"/>
      <w:marTop w:val="0"/>
      <w:marBottom w:val="0"/>
      <w:divBdr>
        <w:top w:val="none" w:sz="0" w:space="0" w:color="auto"/>
        <w:left w:val="none" w:sz="0" w:space="0" w:color="auto"/>
        <w:bottom w:val="none" w:sz="0" w:space="0" w:color="auto"/>
        <w:right w:val="none" w:sz="0" w:space="0" w:color="auto"/>
      </w:divBdr>
    </w:div>
    <w:div w:id="789978379">
      <w:marLeft w:val="0"/>
      <w:marRight w:val="0"/>
      <w:marTop w:val="0"/>
      <w:marBottom w:val="0"/>
      <w:divBdr>
        <w:top w:val="none" w:sz="0" w:space="0" w:color="auto"/>
        <w:left w:val="none" w:sz="0" w:space="0" w:color="auto"/>
        <w:bottom w:val="none" w:sz="0" w:space="0" w:color="auto"/>
        <w:right w:val="none" w:sz="0" w:space="0" w:color="auto"/>
      </w:divBdr>
    </w:div>
    <w:div w:id="789978380">
      <w:marLeft w:val="0"/>
      <w:marRight w:val="0"/>
      <w:marTop w:val="0"/>
      <w:marBottom w:val="0"/>
      <w:divBdr>
        <w:top w:val="none" w:sz="0" w:space="0" w:color="auto"/>
        <w:left w:val="none" w:sz="0" w:space="0" w:color="auto"/>
        <w:bottom w:val="none" w:sz="0" w:space="0" w:color="auto"/>
        <w:right w:val="none" w:sz="0" w:space="0" w:color="auto"/>
      </w:divBdr>
    </w:div>
    <w:div w:id="789978381">
      <w:marLeft w:val="0"/>
      <w:marRight w:val="0"/>
      <w:marTop w:val="0"/>
      <w:marBottom w:val="0"/>
      <w:divBdr>
        <w:top w:val="none" w:sz="0" w:space="0" w:color="auto"/>
        <w:left w:val="none" w:sz="0" w:space="0" w:color="auto"/>
        <w:bottom w:val="none" w:sz="0" w:space="0" w:color="auto"/>
        <w:right w:val="none" w:sz="0" w:space="0" w:color="auto"/>
      </w:divBdr>
    </w:div>
    <w:div w:id="789978382">
      <w:marLeft w:val="0"/>
      <w:marRight w:val="0"/>
      <w:marTop w:val="0"/>
      <w:marBottom w:val="0"/>
      <w:divBdr>
        <w:top w:val="none" w:sz="0" w:space="0" w:color="auto"/>
        <w:left w:val="none" w:sz="0" w:space="0" w:color="auto"/>
        <w:bottom w:val="none" w:sz="0" w:space="0" w:color="auto"/>
        <w:right w:val="none" w:sz="0" w:space="0" w:color="auto"/>
      </w:divBdr>
    </w:div>
    <w:div w:id="789978383">
      <w:marLeft w:val="0"/>
      <w:marRight w:val="0"/>
      <w:marTop w:val="0"/>
      <w:marBottom w:val="0"/>
      <w:divBdr>
        <w:top w:val="none" w:sz="0" w:space="0" w:color="auto"/>
        <w:left w:val="none" w:sz="0" w:space="0" w:color="auto"/>
        <w:bottom w:val="none" w:sz="0" w:space="0" w:color="auto"/>
        <w:right w:val="none" w:sz="0" w:space="0" w:color="auto"/>
      </w:divBdr>
    </w:div>
    <w:div w:id="789978384">
      <w:marLeft w:val="0"/>
      <w:marRight w:val="0"/>
      <w:marTop w:val="0"/>
      <w:marBottom w:val="0"/>
      <w:divBdr>
        <w:top w:val="none" w:sz="0" w:space="0" w:color="auto"/>
        <w:left w:val="none" w:sz="0" w:space="0" w:color="auto"/>
        <w:bottom w:val="none" w:sz="0" w:space="0" w:color="auto"/>
        <w:right w:val="none" w:sz="0" w:space="0" w:color="auto"/>
      </w:divBdr>
    </w:div>
    <w:div w:id="789978385">
      <w:marLeft w:val="0"/>
      <w:marRight w:val="0"/>
      <w:marTop w:val="0"/>
      <w:marBottom w:val="0"/>
      <w:divBdr>
        <w:top w:val="none" w:sz="0" w:space="0" w:color="auto"/>
        <w:left w:val="none" w:sz="0" w:space="0" w:color="auto"/>
        <w:bottom w:val="none" w:sz="0" w:space="0" w:color="auto"/>
        <w:right w:val="none" w:sz="0" w:space="0" w:color="auto"/>
      </w:divBdr>
    </w:div>
    <w:div w:id="789978386">
      <w:marLeft w:val="0"/>
      <w:marRight w:val="0"/>
      <w:marTop w:val="0"/>
      <w:marBottom w:val="0"/>
      <w:divBdr>
        <w:top w:val="none" w:sz="0" w:space="0" w:color="auto"/>
        <w:left w:val="none" w:sz="0" w:space="0" w:color="auto"/>
        <w:bottom w:val="none" w:sz="0" w:space="0" w:color="auto"/>
        <w:right w:val="none" w:sz="0" w:space="0" w:color="auto"/>
      </w:divBdr>
    </w:div>
    <w:div w:id="789978387">
      <w:marLeft w:val="0"/>
      <w:marRight w:val="0"/>
      <w:marTop w:val="0"/>
      <w:marBottom w:val="0"/>
      <w:divBdr>
        <w:top w:val="none" w:sz="0" w:space="0" w:color="auto"/>
        <w:left w:val="none" w:sz="0" w:space="0" w:color="auto"/>
        <w:bottom w:val="none" w:sz="0" w:space="0" w:color="auto"/>
        <w:right w:val="none" w:sz="0" w:space="0" w:color="auto"/>
      </w:divBdr>
    </w:div>
    <w:div w:id="789978388">
      <w:marLeft w:val="0"/>
      <w:marRight w:val="0"/>
      <w:marTop w:val="0"/>
      <w:marBottom w:val="0"/>
      <w:divBdr>
        <w:top w:val="none" w:sz="0" w:space="0" w:color="auto"/>
        <w:left w:val="none" w:sz="0" w:space="0" w:color="auto"/>
        <w:bottom w:val="none" w:sz="0" w:space="0" w:color="auto"/>
        <w:right w:val="none" w:sz="0" w:space="0" w:color="auto"/>
      </w:divBdr>
    </w:div>
    <w:div w:id="789978389">
      <w:marLeft w:val="0"/>
      <w:marRight w:val="0"/>
      <w:marTop w:val="0"/>
      <w:marBottom w:val="0"/>
      <w:divBdr>
        <w:top w:val="none" w:sz="0" w:space="0" w:color="auto"/>
        <w:left w:val="none" w:sz="0" w:space="0" w:color="auto"/>
        <w:bottom w:val="none" w:sz="0" w:space="0" w:color="auto"/>
        <w:right w:val="none" w:sz="0" w:space="0" w:color="auto"/>
      </w:divBdr>
    </w:div>
    <w:div w:id="789978390">
      <w:marLeft w:val="0"/>
      <w:marRight w:val="0"/>
      <w:marTop w:val="0"/>
      <w:marBottom w:val="0"/>
      <w:divBdr>
        <w:top w:val="none" w:sz="0" w:space="0" w:color="auto"/>
        <w:left w:val="none" w:sz="0" w:space="0" w:color="auto"/>
        <w:bottom w:val="none" w:sz="0" w:space="0" w:color="auto"/>
        <w:right w:val="none" w:sz="0" w:space="0" w:color="auto"/>
      </w:divBdr>
    </w:div>
    <w:div w:id="789978391">
      <w:marLeft w:val="0"/>
      <w:marRight w:val="0"/>
      <w:marTop w:val="0"/>
      <w:marBottom w:val="0"/>
      <w:divBdr>
        <w:top w:val="none" w:sz="0" w:space="0" w:color="auto"/>
        <w:left w:val="none" w:sz="0" w:space="0" w:color="auto"/>
        <w:bottom w:val="none" w:sz="0" w:space="0" w:color="auto"/>
        <w:right w:val="none" w:sz="0" w:space="0" w:color="auto"/>
      </w:divBdr>
    </w:div>
    <w:div w:id="789978392">
      <w:marLeft w:val="0"/>
      <w:marRight w:val="0"/>
      <w:marTop w:val="0"/>
      <w:marBottom w:val="0"/>
      <w:divBdr>
        <w:top w:val="none" w:sz="0" w:space="0" w:color="auto"/>
        <w:left w:val="none" w:sz="0" w:space="0" w:color="auto"/>
        <w:bottom w:val="none" w:sz="0" w:space="0" w:color="auto"/>
        <w:right w:val="none" w:sz="0" w:space="0" w:color="auto"/>
      </w:divBdr>
    </w:div>
    <w:div w:id="789978393">
      <w:marLeft w:val="0"/>
      <w:marRight w:val="0"/>
      <w:marTop w:val="0"/>
      <w:marBottom w:val="0"/>
      <w:divBdr>
        <w:top w:val="none" w:sz="0" w:space="0" w:color="auto"/>
        <w:left w:val="none" w:sz="0" w:space="0" w:color="auto"/>
        <w:bottom w:val="none" w:sz="0" w:space="0" w:color="auto"/>
        <w:right w:val="none" w:sz="0" w:space="0" w:color="auto"/>
      </w:divBdr>
    </w:div>
    <w:div w:id="789978394">
      <w:marLeft w:val="0"/>
      <w:marRight w:val="0"/>
      <w:marTop w:val="0"/>
      <w:marBottom w:val="0"/>
      <w:divBdr>
        <w:top w:val="none" w:sz="0" w:space="0" w:color="auto"/>
        <w:left w:val="none" w:sz="0" w:space="0" w:color="auto"/>
        <w:bottom w:val="none" w:sz="0" w:space="0" w:color="auto"/>
        <w:right w:val="none" w:sz="0" w:space="0" w:color="auto"/>
      </w:divBdr>
    </w:div>
    <w:div w:id="789978395">
      <w:marLeft w:val="0"/>
      <w:marRight w:val="0"/>
      <w:marTop w:val="0"/>
      <w:marBottom w:val="0"/>
      <w:divBdr>
        <w:top w:val="none" w:sz="0" w:space="0" w:color="auto"/>
        <w:left w:val="none" w:sz="0" w:space="0" w:color="auto"/>
        <w:bottom w:val="none" w:sz="0" w:space="0" w:color="auto"/>
        <w:right w:val="none" w:sz="0" w:space="0" w:color="auto"/>
      </w:divBdr>
    </w:div>
    <w:div w:id="789978396">
      <w:marLeft w:val="0"/>
      <w:marRight w:val="0"/>
      <w:marTop w:val="0"/>
      <w:marBottom w:val="0"/>
      <w:divBdr>
        <w:top w:val="none" w:sz="0" w:space="0" w:color="auto"/>
        <w:left w:val="none" w:sz="0" w:space="0" w:color="auto"/>
        <w:bottom w:val="none" w:sz="0" w:space="0" w:color="auto"/>
        <w:right w:val="none" w:sz="0" w:space="0" w:color="auto"/>
      </w:divBdr>
    </w:div>
    <w:div w:id="789978397">
      <w:marLeft w:val="0"/>
      <w:marRight w:val="0"/>
      <w:marTop w:val="0"/>
      <w:marBottom w:val="0"/>
      <w:divBdr>
        <w:top w:val="none" w:sz="0" w:space="0" w:color="auto"/>
        <w:left w:val="none" w:sz="0" w:space="0" w:color="auto"/>
        <w:bottom w:val="none" w:sz="0" w:space="0" w:color="auto"/>
        <w:right w:val="none" w:sz="0" w:space="0" w:color="auto"/>
      </w:divBdr>
    </w:div>
    <w:div w:id="789978398">
      <w:marLeft w:val="0"/>
      <w:marRight w:val="0"/>
      <w:marTop w:val="0"/>
      <w:marBottom w:val="0"/>
      <w:divBdr>
        <w:top w:val="none" w:sz="0" w:space="0" w:color="auto"/>
        <w:left w:val="none" w:sz="0" w:space="0" w:color="auto"/>
        <w:bottom w:val="none" w:sz="0" w:space="0" w:color="auto"/>
        <w:right w:val="none" w:sz="0" w:space="0" w:color="auto"/>
      </w:divBdr>
    </w:div>
    <w:div w:id="789978399">
      <w:marLeft w:val="0"/>
      <w:marRight w:val="0"/>
      <w:marTop w:val="0"/>
      <w:marBottom w:val="0"/>
      <w:divBdr>
        <w:top w:val="none" w:sz="0" w:space="0" w:color="auto"/>
        <w:left w:val="none" w:sz="0" w:space="0" w:color="auto"/>
        <w:bottom w:val="none" w:sz="0" w:space="0" w:color="auto"/>
        <w:right w:val="none" w:sz="0" w:space="0" w:color="auto"/>
      </w:divBdr>
    </w:div>
    <w:div w:id="789978400">
      <w:marLeft w:val="0"/>
      <w:marRight w:val="0"/>
      <w:marTop w:val="0"/>
      <w:marBottom w:val="0"/>
      <w:divBdr>
        <w:top w:val="none" w:sz="0" w:space="0" w:color="auto"/>
        <w:left w:val="none" w:sz="0" w:space="0" w:color="auto"/>
        <w:bottom w:val="none" w:sz="0" w:space="0" w:color="auto"/>
        <w:right w:val="none" w:sz="0" w:space="0" w:color="auto"/>
      </w:divBdr>
    </w:div>
    <w:div w:id="789978401">
      <w:marLeft w:val="0"/>
      <w:marRight w:val="0"/>
      <w:marTop w:val="0"/>
      <w:marBottom w:val="0"/>
      <w:divBdr>
        <w:top w:val="none" w:sz="0" w:space="0" w:color="auto"/>
        <w:left w:val="none" w:sz="0" w:space="0" w:color="auto"/>
        <w:bottom w:val="none" w:sz="0" w:space="0" w:color="auto"/>
        <w:right w:val="none" w:sz="0" w:space="0" w:color="auto"/>
      </w:divBdr>
    </w:div>
    <w:div w:id="789978402">
      <w:marLeft w:val="0"/>
      <w:marRight w:val="0"/>
      <w:marTop w:val="0"/>
      <w:marBottom w:val="0"/>
      <w:divBdr>
        <w:top w:val="none" w:sz="0" w:space="0" w:color="auto"/>
        <w:left w:val="none" w:sz="0" w:space="0" w:color="auto"/>
        <w:bottom w:val="none" w:sz="0" w:space="0" w:color="auto"/>
        <w:right w:val="none" w:sz="0" w:space="0" w:color="auto"/>
      </w:divBdr>
    </w:div>
    <w:div w:id="789978403">
      <w:marLeft w:val="0"/>
      <w:marRight w:val="0"/>
      <w:marTop w:val="0"/>
      <w:marBottom w:val="0"/>
      <w:divBdr>
        <w:top w:val="none" w:sz="0" w:space="0" w:color="auto"/>
        <w:left w:val="none" w:sz="0" w:space="0" w:color="auto"/>
        <w:bottom w:val="none" w:sz="0" w:space="0" w:color="auto"/>
        <w:right w:val="none" w:sz="0" w:space="0" w:color="auto"/>
      </w:divBdr>
    </w:div>
    <w:div w:id="789978404">
      <w:marLeft w:val="0"/>
      <w:marRight w:val="0"/>
      <w:marTop w:val="0"/>
      <w:marBottom w:val="0"/>
      <w:divBdr>
        <w:top w:val="none" w:sz="0" w:space="0" w:color="auto"/>
        <w:left w:val="none" w:sz="0" w:space="0" w:color="auto"/>
        <w:bottom w:val="none" w:sz="0" w:space="0" w:color="auto"/>
        <w:right w:val="none" w:sz="0" w:space="0" w:color="auto"/>
      </w:divBdr>
    </w:div>
    <w:div w:id="789978405">
      <w:marLeft w:val="0"/>
      <w:marRight w:val="0"/>
      <w:marTop w:val="0"/>
      <w:marBottom w:val="0"/>
      <w:divBdr>
        <w:top w:val="none" w:sz="0" w:space="0" w:color="auto"/>
        <w:left w:val="none" w:sz="0" w:space="0" w:color="auto"/>
        <w:bottom w:val="none" w:sz="0" w:space="0" w:color="auto"/>
        <w:right w:val="none" w:sz="0" w:space="0" w:color="auto"/>
      </w:divBdr>
    </w:div>
    <w:div w:id="789978406">
      <w:marLeft w:val="0"/>
      <w:marRight w:val="0"/>
      <w:marTop w:val="0"/>
      <w:marBottom w:val="0"/>
      <w:divBdr>
        <w:top w:val="none" w:sz="0" w:space="0" w:color="auto"/>
        <w:left w:val="none" w:sz="0" w:space="0" w:color="auto"/>
        <w:bottom w:val="none" w:sz="0" w:space="0" w:color="auto"/>
        <w:right w:val="none" w:sz="0" w:space="0" w:color="auto"/>
      </w:divBdr>
    </w:div>
    <w:div w:id="789978407">
      <w:marLeft w:val="0"/>
      <w:marRight w:val="0"/>
      <w:marTop w:val="0"/>
      <w:marBottom w:val="0"/>
      <w:divBdr>
        <w:top w:val="none" w:sz="0" w:space="0" w:color="auto"/>
        <w:left w:val="none" w:sz="0" w:space="0" w:color="auto"/>
        <w:bottom w:val="none" w:sz="0" w:space="0" w:color="auto"/>
        <w:right w:val="none" w:sz="0" w:space="0" w:color="auto"/>
      </w:divBdr>
    </w:div>
    <w:div w:id="789978408">
      <w:marLeft w:val="0"/>
      <w:marRight w:val="0"/>
      <w:marTop w:val="0"/>
      <w:marBottom w:val="0"/>
      <w:divBdr>
        <w:top w:val="none" w:sz="0" w:space="0" w:color="auto"/>
        <w:left w:val="none" w:sz="0" w:space="0" w:color="auto"/>
        <w:bottom w:val="none" w:sz="0" w:space="0" w:color="auto"/>
        <w:right w:val="none" w:sz="0" w:space="0" w:color="auto"/>
      </w:divBdr>
    </w:div>
    <w:div w:id="789978409">
      <w:marLeft w:val="0"/>
      <w:marRight w:val="0"/>
      <w:marTop w:val="0"/>
      <w:marBottom w:val="0"/>
      <w:divBdr>
        <w:top w:val="none" w:sz="0" w:space="0" w:color="auto"/>
        <w:left w:val="none" w:sz="0" w:space="0" w:color="auto"/>
        <w:bottom w:val="none" w:sz="0" w:space="0" w:color="auto"/>
        <w:right w:val="none" w:sz="0" w:space="0" w:color="auto"/>
      </w:divBdr>
    </w:div>
    <w:div w:id="789978410">
      <w:marLeft w:val="0"/>
      <w:marRight w:val="0"/>
      <w:marTop w:val="0"/>
      <w:marBottom w:val="0"/>
      <w:divBdr>
        <w:top w:val="none" w:sz="0" w:space="0" w:color="auto"/>
        <w:left w:val="none" w:sz="0" w:space="0" w:color="auto"/>
        <w:bottom w:val="none" w:sz="0" w:space="0" w:color="auto"/>
        <w:right w:val="none" w:sz="0" w:space="0" w:color="auto"/>
      </w:divBdr>
    </w:div>
    <w:div w:id="789978411">
      <w:marLeft w:val="0"/>
      <w:marRight w:val="0"/>
      <w:marTop w:val="0"/>
      <w:marBottom w:val="0"/>
      <w:divBdr>
        <w:top w:val="none" w:sz="0" w:space="0" w:color="auto"/>
        <w:left w:val="none" w:sz="0" w:space="0" w:color="auto"/>
        <w:bottom w:val="none" w:sz="0" w:space="0" w:color="auto"/>
        <w:right w:val="none" w:sz="0" w:space="0" w:color="auto"/>
      </w:divBdr>
    </w:div>
    <w:div w:id="789978412">
      <w:marLeft w:val="0"/>
      <w:marRight w:val="0"/>
      <w:marTop w:val="0"/>
      <w:marBottom w:val="0"/>
      <w:divBdr>
        <w:top w:val="none" w:sz="0" w:space="0" w:color="auto"/>
        <w:left w:val="none" w:sz="0" w:space="0" w:color="auto"/>
        <w:bottom w:val="none" w:sz="0" w:space="0" w:color="auto"/>
        <w:right w:val="none" w:sz="0" w:space="0" w:color="auto"/>
      </w:divBdr>
    </w:div>
    <w:div w:id="789978413">
      <w:marLeft w:val="0"/>
      <w:marRight w:val="0"/>
      <w:marTop w:val="0"/>
      <w:marBottom w:val="0"/>
      <w:divBdr>
        <w:top w:val="none" w:sz="0" w:space="0" w:color="auto"/>
        <w:left w:val="none" w:sz="0" w:space="0" w:color="auto"/>
        <w:bottom w:val="none" w:sz="0" w:space="0" w:color="auto"/>
        <w:right w:val="none" w:sz="0" w:space="0" w:color="auto"/>
      </w:divBdr>
    </w:div>
    <w:div w:id="789978414">
      <w:marLeft w:val="0"/>
      <w:marRight w:val="0"/>
      <w:marTop w:val="0"/>
      <w:marBottom w:val="0"/>
      <w:divBdr>
        <w:top w:val="none" w:sz="0" w:space="0" w:color="auto"/>
        <w:left w:val="none" w:sz="0" w:space="0" w:color="auto"/>
        <w:bottom w:val="none" w:sz="0" w:space="0" w:color="auto"/>
        <w:right w:val="none" w:sz="0" w:space="0" w:color="auto"/>
      </w:divBdr>
    </w:div>
    <w:div w:id="789978415">
      <w:marLeft w:val="0"/>
      <w:marRight w:val="0"/>
      <w:marTop w:val="0"/>
      <w:marBottom w:val="0"/>
      <w:divBdr>
        <w:top w:val="none" w:sz="0" w:space="0" w:color="auto"/>
        <w:left w:val="none" w:sz="0" w:space="0" w:color="auto"/>
        <w:bottom w:val="none" w:sz="0" w:space="0" w:color="auto"/>
        <w:right w:val="none" w:sz="0" w:space="0" w:color="auto"/>
      </w:divBdr>
    </w:div>
    <w:div w:id="789978416">
      <w:marLeft w:val="0"/>
      <w:marRight w:val="0"/>
      <w:marTop w:val="0"/>
      <w:marBottom w:val="0"/>
      <w:divBdr>
        <w:top w:val="none" w:sz="0" w:space="0" w:color="auto"/>
        <w:left w:val="none" w:sz="0" w:space="0" w:color="auto"/>
        <w:bottom w:val="none" w:sz="0" w:space="0" w:color="auto"/>
        <w:right w:val="none" w:sz="0" w:space="0" w:color="auto"/>
      </w:divBdr>
    </w:div>
    <w:div w:id="789978417">
      <w:marLeft w:val="0"/>
      <w:marRight w:val="0"/>
      <w:marTop w:val="0"/>
      <w:marBottom w:val="0"/>
      <w:divBdr>
        <w:top w:val="none" w:sz="0" w:space="0" w:color="auto"/>
        <w:left w:val="none" w:sz="0" w:space="0" w:color="auto"/>
        <w:bottom w:val="none" w:sz="0" w:space="0" w:color="auto"/>
        <w:right w:val="none" w:sz="0" w:space="0" w:color="auto"/>
      </w:divBdr>
    </w:div>
    <w:div w:id="789978418">
      <w:marLeft w:val="0"/>
      <w:marRight w:val="0"/>
      <w:marTop w:val="0"/>
      <w:marBottom w:val="0"/>
      <w:divBdr>
        <w:top w:val="none" w:sz="0" w:space="0" w:color="auto"/>
        <w:left w:val="none" w:sz="0" w:space="0" w:color="auto"/>
        <w:bottom w:val="none" w:sz="0" w:space="0" w:color="auto"/>
        <w:right w:val="none" w:sz="0" w:space="0" w:color="auto"/>
      </w:divBdr>
    </w:div>
    <w:div w:id="789978419">
      <w:marLeft w:val="0"/>
      <w:marRight w:val="0"/>
      <w:marTop w:val="0"/>
      <w:marBottom w:val="0"/>
      <w:divBdr>
        <w:top w:val="none" w:sz="0" w:space="0" w:color="auto"/>
        <w:left w:val="none" w:sz="0" w:space="0" w:color="auto"/>
        <w:bottom w:val="none" w:sz="0" w:space="0" w:color="auto"/>
        <w:right w:val="none" w:sz="0" w:space="0" w:color="auto"/>
      </w:divBdr>
    </w:div>
    <w:div w:id="789978420">
      <w:marLeft w:val="0"/>
      <w:marRight w:val="0"/>
      <w:marTop w:val="0"/>
      <w:marBottom w:val="0"/>
      <w:divBdr>
        <w:top w:val="none" w:sz="0" w:space="0" w:color="auto"/>
        <w:left w:val="none" w:sz="0" w:space="0" w:color="auto"/>
        <w:bottom w:val="none" w:sz="0" w:space="0" w:color="auto"/>
        <w:right w:val="none" w:sz="0" w:space="0" w:color="auto"/>
      </w:divBdr>
    </w:div>
    <w:div w:id="789978421">
      <w:marLeft w:val="0"/>
      <w:marRight w:val="0"/>
      <w:marTop w:val="0"/>
      <w:marBottom w:val="0"/>
      <w:divBdr>
        <w:top w:val="none" w:sz="0" w:space="0" w:color="auto"/>
        <w:left w:val="none" w:sz="0" w:space="0" w:color="auto"/>
        <w:bottom w:val="none" w:sz="0" w:space="0" w:color="auto"/>
        <w:right w:val="none" w:sz="0" w:space="0" w:color="auto"/>
      </w:divBdr>
    </w:div>
    <w:div w:id="789978422">
      <w:marLeft w:val="0"/>
      <w:marRight w:val="0"/>
      <w:marTop w:val="0"/>
      <w:marBottom w:val="0"/>
      <w:divBdr>
        <w:top w:val="none" w:sz="0" w:space="0" w:color="auto"/>
        <w:left w:val="none" w:sz="0" w:space="0" w:color="auto"/>
        <w:bottom w:val="none" w:sz="0" w:space="0" w:color="auto"/>
        <w:right w:val="none" w:sz="0" w:space="0" w:color="auto"/>
      </w:divBdr>
    </w:div>
    <w:div w:id="789978423">
      <w:marLeft w:val="0"/>
      <w:marRight w:val="0"/>
      <w:marTop w:val="0"/>
      <w:marBottom w:val="0"/>
      <w:divBdr>
        <w:top w:val="none" w:sz="0" w:space="0" w:color="auto"/>
        <w:left w:val="none" w:sz="0" w:space="0" w:color="auto"/>
        <w:bottom w:val="none" w:sz="0" w:space="0" w:color="auto"/>
        <w:right w:val="none" w:sz="0" w:space="0" w:color="auto"/>
      </w:divBdr>
    </w:div>
    <w:div w:id="789978424">
      <w:marLeft w:val="0"/>
      <w:marRight w:val="0"/>
      <w:marTop w:val="0"/>
      <w:marBottom w:val="0"/>
      <w:divBdr>
        <w:top w:val="none" w:sz="0" w:space="0" w:color="auto"/>
        <w:left w:val="none" w:sz="0" w:space="0" w:color="auto"/>
        <w:bottom w:val="none" w:sz="0" w:space="0" w:color="auto"/>
        <w:right w:val="none" w:sz="0" w:space="0" w:color="auto"/>
      </w:divBdr>
    </w:div>
    <w:div w:id="789978425">
      <w:marLeft w:val="0"/>
      <w:marRight w:val="0"/>
      <w:marTop w:val="0"/>
      <w:marBottom w:val="0"/>
      <w:divBdr>
        <w:top w:val="none" w:sz="0" w:space="0" w:color="auto"/>
        <w:left w:val="none" w:sz="0" w:space="0" w:color="auto"/>
        <w:bottom w:val="none" w:sz="0" w:space="0" w:color="auto"/>
        <w:right w:val="none" w:sz="0" w:space="0" w:color="auto"/>
      </w:divBdr>
    </w:div>
    <w:div w:id="789978426">
      <w:marLeft w:val="0"/>
      <w:marRight w:val="0"/>
      <w:marTop w:val="0"/>
      <w:marBottom w:val="0"/>
      <w:divBdr>
        <w:top w:val="none" w:sz="0" w:space="0" w:color="auto"/>
        <w:left w:val="none" w:sz="0" w:space="0" w:color="auto"/>
        <w:bottom w:val="none" w:sz="0" w:space="0" w:color="auto"/>
        <w:right w:val="none" w:sz="0" w:space="0" w:color="auto"/>
      </w:divBdr>
    </w:div>
    <w:div w:id="789978427">
      <w:marLeft w:val="0"/>
      <w:marRight w:val="0"/>
      <w:marTop w:val="0"/>
      <w:marBottom w:val="0"/>
      <w:divBdr>
        <w:top w:val="none" w:sz="0" w:space="0" w:color="auto"/>
        <w:left w:val="none" w:sz="0" w:space="0" w:color="auto"/>
        <w:bottom w:val="none" w:sz="0" w:space="0" w:color="auto"/>
        <w:right w:val="none" w:sz="0" w:space="0" w:color="auto"/>
      </w:divBdr>
    </w:div>
    <w:div w:id="789978428">
      <w:marLeft w:val="0"/>
      <w:marRight w:val="0"/>
      <w:marTop w:val="0"/>
      <w:marBottom w:val="0"/>
      <w:divBdr>
        <w:top w:val="none" w:sz="0" w:space="0" w:color="auto"/>
        <w:left w:val="none" w:sz="0" w:space="0" w:color="auto"/>
        <w:bottom w:val="none" w:sz="0" w:space="0" w:color="auto"/>
        <w:right w:val="none" w:sz="0" w:space="0" w:color="auto"/>
      </w:divBdr>
    </w:div>
    <w:div w:id="789978429">
      <w:marLeft w:val="0"/>
      <w:marRight w:val="0"/>
      <w:marTop w:val="0"/>
      <w:marBottom w:val="0"/>
      <w:divBdr>
        <w:top w:val="none" w:sz="0" w:space="0" w:color="auto"/>
        <w:left w:val="none" w:sz="0" w:space="0" w:color="auto"/>
        <w:bottom w:val="none" w:sz="0" w:space="0" w:color="auto"/>
        <w:right w:val="none" w:sz="0" w:space="0" w:color="auto"/>
      </w:divBdr>
    </w:div>
    <w:div w:id="789978430">
      <w:marLeft w:val="0"/>
      <w:marRight w:val="0"/>
      <w:marTop w:val="0"/>
      <w:marBottom w:val="0"/>
      <w:divBdr>
        <w:top w:val="none" w:sz="0" w:space="0" w:color="auto"/>
        <w:left w:val="none" w:sz="0" w:space="0" w:color="auto"/>
        <w:bottom w:val="none" w:sz="0" w:space="0" w:color="auto"/>
        <w:right w:val="none" w:sz="0" w:space="0" w:color="auto"/>
      </w:divBdr>
    </w:div>
    <w:div w:id="789978431">
      <w:marLeft w:val="0"/>
      <w:marRight w:val="0"/>
      <w:marTop w:val="0"/>
      <w:marBottom w:val="0"/>
      <w:divBdr>
        <w:top w:val="none" w:sz="0" w:space="0" w:color="auto"/>
        <w:left w:val="none" w:sz="0" w:space="0" w:color="auto"/>
        <w:bottom w:val="none" w:sz="0" w:space="0" w:color="auto"/>
        <w:right w:val="none" w:sz="0" w:space="0" w:color="auto"/>
      </w:divBdr>
    </w:div>
    <w:div w:id="789978432">
      <w:marLeft w:val="0"/>
      <w:marRight w:val="0"/>
      <w:marTop w:val="0"/>
      <w:marBottom w:val="0"/>
      <w:divBdr>
        <w:top w:val="none" w:sz="0" w:space="0" w:color="auto"/>
        <w:left w:val="none" w:sz="0" w:space="0" w:color="auto"/>
        <w:bottom w:val="none" w:sz="0" w:space="0" w:color="auto"/>
        <w:right w:val="none" w:sz="0" w:space="0" w:color="auto"/>
      </w:divBdr>
    </w:div>
    <w:div w:id="789978433">
      <w:marLeft w:val="0"/>
      <w:marRight w:val="0"/>
      <w:marTop w:val="0"/>
      <w:marBottom w:val="0"/>
      <w:divBdr>
        <w:top w:val="none" w:sz="0" w:space="0" w:color="auto"/>
        <w:left w:val="none" w:sz="0" w:space="0" w:color="auto"/>
        <w:bottom w:val="none" w:sz="0" w:space="0" w:color="auto"/>
        <w:right w:val="none" w:sz="0" w:space="0" w:color="auto"/>
      </w:divBdr>
    </w:div>
    <w:div w:id="789978434">
      <w:marLeft w:val="0"/>
      <w:marRight w:val="0"/>
      <w:marTop w:val="0"/>
      <w:marBottom w:val="0"/>
      <w:divBdr>
        <w:top w:val="none" w:sz="0" w:space="0" w:color="auto"/>
        <w:left w:val="none" w:sz="0" w:space="0" w:color="auto"/>
        <w:bottom w:val="none" w:sz="0" w:space="0" w:color="auto"/>
        <w:right w:val="none" w:sz="0" w:space="0" w:color="auto"/>
      </w:divBdr>
    </w:div>
    <w:div w:id="789978435">
      <w:marLeft w:val="0"/>
      <w:marRight w:val="0"/>
      <w:marTop w:val="0"/>
      <w:marBottom w:val="0"/>
      <w:divBdr>
        <w:top w:val="none" w:sz="0" w:space="0" w:color="auto"/>
        <w:left w:val="none" w:sz="0" w:space="0" w:color="auto"/>
        <w:bottom w:val="none" w:sz="0" w:space="0" w:color="auto"/>
        <w:right w:val="none" w:sz="0" w:space="0" w:color="auto"/>
      </w:divBdr>
    </w:div>
    <w:div w:id="789978436">
      <w:marLeft w:val="0"/>
      <w:marRight w:val="0"/>
      <w:marTop w:val="0"/>
      <w:marBottom w:val="0"/>
      <w:divBdr>
        <w:top w:val="none" w:sz="0" w:space="0" w:color="auto"/>
        <w:left w:val="none" w:sz="0" w:space="0" w:color="auto"/>
        <w:bottom w:val="none" w:sz="0" w:space="0" w:color="auto"/>
        <w:right w:val="none" w:sz="0" w:space="0" w:color="auto"/>
      </w:divBdr>
    </w:div>
    <w:div w:id="789978437">
      <w:marLeft w:val="0"/>
      <w:marRight w:val="0"/>
      <w:marTop w:val="0"/>
      <w:marBottom w:val="0"/>
      <w:divBdr>
        <w:top w:val="none" w:sz="0" w:space="0" w:color="auto"/>
        <w:left w:val="none" w:sz="0" w:space="0" w:color="auto"/>
        <w:bottom w:val="none" w:sz="0" w:space="0" w:color="auto"/>
        <w:right w:val="none" w:sz="0" w:space="0" w:color="auto"/>
      </w:divBdr>
    </w:div>
    <w:div w:id="789978438">
      <w:marLeft w:val="0"/>
      <w:marRight w:val="0"/>
      <w:marTop w:val="0"/>
      <w:marBottom w:val="0"/>
      <w:divBdr>
        <w:top w:val="none" w:sz="0" w:space="0" w:color="auto"/>
        <w:left w:val="none" w:sz="0" w:space="0" w:color="auto"/>
        <w:bottom w:val="none" w:sz="0" w:space="0" w:color="auto"/>
        <w:right w:val="none" w:sz="0" w:space="0" w:color="auto"/>
      </w:divBdr>
    </w:div>
    <w:div w:id="789978439">
      <w:marLeft w:val="0"/>
      <w:marRight w:val="0"/>
      <w:marTop w:val="0"/>
      <w:marBottom w:val="0"/>
      <w:divBdr>
        <w:top w:val="none" w:sz="0" w:space="0" w:color="auto"/>
        <w:left w:val="none" w:sz="0" w:space="0" w:color="auto"/>
        <w:bottom w:val="none" w:sz="0" w:space="0" w:color="auto"/>
        <w:right w:val="none" w:sz="0" w:space="0" w:color="auto"/>
      </w:divBdr>
    </w:div>
    <w:div w:id="789978440">
      <w:marLeft w:val="0"/>
      <w:marRight w:val="0"/>
      <w:marTop w:val="0"/>
      <w:marBottom w:val="0"/>
      <w:divBdr>
        <w:top w:val="none" w:sz="0" w:space="0" w:color="auto"/>
        <w:left w:val="none" w:sz="0" w:space="0" w:color="auto"/>
        <w:bottom w:val="none" w:sz="0" w:space="0" w:color="auto"/>
        <w:right w:val="none" w:sz="0" w:space="0" w:color="auto"/>
      </w:divBdr>
    </w:div>
    <w:div w:id="789978441">
      <w:marLeft w:val="0"/>
      <w:marRight w:val="0"/>
      <w:marTop w:val="0"/>
      <w:marBottom w:val="0"/>
      <w:divBdr>
        <w:top w:val="none" w:sz="0" w:space="0" w:color="auto"/>
        <w:left w:val="none" w:sz="0" w:space="0" w:color="auto"/>
        <w:bottom w:val="none" w:sz="0" w:space="0" w:color="auto"/>
        <w:right w:val="none" w:sz="0" w:space="0" w:color="auto"/>
      </w:divBdr>
    </w:div>
    <w:div w:id="789978442">
      <w:marLeft w:val="0"/>
      <w:marRight w:val="0"/>
      <w:marTop w:val="0"/>
      <w:marBottom w:val="0"/>
      <w:divBdr>
        <w:top w:val="none" w:sz="0" w:space="0" w:color="auto"/>
        <w:left w:val="none" w:sz="0" w:space="0" w:color="auto"/>
        <w:bottom w:val="none" w:sz="0" w:space="0" w:color="auto"/>
        <w:right w:val="none" w:sz="0" w:space="0" w:color="auto"/>
      </w:divBdr>
    </w:div>
    <w:div w:id="789978443">
      <w:marLeft w:val="0"/>
      <w:marRight w:val="0"/>
      <w:marTop w:val="0"/>
      <w:marBottom w:val="0"/>
      <w:divBdr>
        <w:top w:val="none" w:sz="0" w:space="0" w:color="auto"/>
        <w:left w:val="none" w:sz="0" w:space="0" w:color="auto"/>
        <w:bottom w:val="none" w:sz="0" w:space="0" w:color="auto"/>
        <w:right w:val="none" w:sz="0" w:space="0" w:color="auto"/>
      </w:divBdr>
    </w:div>
    <w:div w:id="789978444">
      <w:marLeft w:val="0"/>
      <w:marRight w:val="0"/>
      <w:marTop w:val="0"/>
      <w:marBottom w:val="0"/>
      <w:divBdr>
        <w:top w:val="none" w:sz="0" w:space="0" w:color="auto"/>
        <w:left w:val="none" w:sz="0" w:space="0" w:color="auto"/>
        <w:bottom w:val="none" w:sz="0" w:space="0" w:color="auto"/>
        <w:right w:val="none" w:sz="0" w:space="0" w:color="auto"/>
      </w:divBdr>
    </w:div>
    <w:div w:id="789978445">
      <w:marLeft w:val="0"/>
      <w:marRight w:val="0"/>
      <w:marTop w:val="0"/>
      <w:marBottom w:val="0"/>
      <w:divBdr>
        <w:top w:val="none" w:sz="0" w:space="0" w:color="auto"/>
        <w:left w:val="none" w:sz="0" w:space="0" w:color="auto"/>
        <w:bottom w:val="none" w:sz="0" w:space="0" w:color="auto"/>
        <w:right w:val="none" w:sz="0" w:space="0" w:color="auto"/>
      </w:divBdr>
    </w:div>
    <w:div w:id="789978446">
      <w:marLeft w:val="0"/>
      <w:marRight w:val="0"/>
      <w:marTop w:val="0"/>
      <w:marBottom w:val="0"/>
      <w:divBdr>
        <w:top w:val="none" w:sz="0" w:space="0" w:color="auto"/>
        <w:left w:val="none" w:sz="0" w:space="0" w:color="auto"/>
        <w:bottom w:val="none" w:sz="0" w:space="0" w:color="auto"/>
        <w:right w:val="none" w:sz="0" w:space="0" w:color="auto"/>
      </w:divBdr>
    </w:div>
    <w:div w:id="789978447">
      <w:marLeft w:val="0"/>
      <w:marRight w:val="0"/>
      <w:marTop w:val="0"/>
      <w:marBottom w:val="0"/>
      <w:divBdr>
        <w:top w:val="none" w:sz="0" w:space="0" w:color="auto"/>
        <w:left w:val="none" w:sz="0" w:space="0" w:color="auto"/>
        <w:bottom w:val="none" w:sz="0" w:space="0" w:color="auto"/>
        <w:right w:val="none" w:sz="0" w:space="0" w:color="auto"/>
      </w:divBdr>
    </w:div>
    <w:div w:id="789978448">
      <w:marLeft w:val="0"/>
      <w:marRight w:val="0"/>
      <w:marTop w:val="0"/>
      <w:marBottom w:val="0"/>
      <w:divBdr>
        <w:top w:val="none" w:sz="0" w:space="0" w:color="auto"/>
        <w:left w:val="none" w:sz="0" w:space="0" w:color="auto"/>
        <w:bottom w:val="none" w:sz="0" w:space="0" w:color="auto"/>
        <w:right w:val="none" w:sz="0" w:space="0" w:color="auto"/>
      </w:divBdr>
    </w:div>
    <w:div w:id="789978449">
      <w:marLeft w:val="0"/>
      <w:marRight w:val="0"/>
      <w:marTop w:val="0"/>
      <w:marBottom w:val="0"/>
      <w:divBdr>
        <w:top w:val="none" w:sz="0" w:space="0" w:color="auto"/>
        <w:left w:val="none" w:sz="0" w:space="0" w:color="auto"/>
        <w:bottom w:val="none" w:sz="0" w:space="0" w:color="auto"/>
        <w:right w:val="none" w:sz="0" w:space="0" w:color="auto"/>
      </w:divBdr>
    </w:div>
    <w:div w:id="789978450">
      <w:marLeft w:val="0"/>
      <w:marRight w:val="0"/>
      <w:marTop w:val="0"/>
      <w:marBottom w:val="0"/>
      <w:divBdr>
        <w:top w:val="none" w:sz="0" w:space="0" w:color="auto"/>
        <w:left w:val="none" w:sz="0" w:space="0" w:color="auto"/>
        <w:bottom w:val="none" w:sz="0" w:space="0" w:color="auto"/>
        <w:right w:val="none" w:sz="0" w:space="0" w:color="auto"/>
      </w:divBdr>
    </w:div>
    <w:div w:id="789978451">
      <w:marLeft w:val="0"/>
      <w:marRight w:val="0"/>
      <w:marTop w:val="0"/>
      <w:marBottom w:val="0"/>
      <w:divBdr>
        <w:top w:val="none" w:sz="0" w:space="0" w:color="auto"/>
        <w:left w:val="none" w:sz="0" w:space="0" w:color="auto"/>
        <w:bottom w:val="none" w:sz="0" w:space="0" w:color="auto"/>
        <w:right w:val="none" w:sz="0" w:space="0" w:color="auto"/>
      </w:divBdr>
    </w:div>
    <w:div w:id="789978452">
      <w:marLeft w:val="0"/>
      <w:marRight w:val="0"/>
      <w:marTop w:val="0"/>
      <w:marBottom w:val="0"/>
      <w:divBdr>
        <w:top w:val="none" w:sz="0" w:space="0" w:color="auto"/>
        <w:left w:val="none" w:sz="0" w:space="0" w:color="auto"/>
        <w:bottom w:val="none" w:sz="0" w:space="0" w:color="auto"/>
        <w:right w:val="none" w:sz="0" w:space="0" w:color="auto"/>
      </w:divBdr>
    </w:div>
    <w:div w:id="789978453">
      <w:marLeft w:val="0"/>
      <w:marRight w:val="0"/>
      <w:marTop w:val="0"/>
      <w:marBottom w:val="0"/>
      <w:divBdr>
        <w:top w:val="none" w:sz="0" w:space="0" w:color="auto"/>
        <w:left w:val="none" w:sz="0" w:space="0" w:color="auto"/>
        <w:bottom w:val="none" w:sz="0" w:space="0" w:color="auto"/>
        <w:right w:val="none" w:sz="0" w:space="0" w:color="auto"/>
      </w:divBdr>
    </w:div>
    <w:div w:id="789978454">
      <w:marLeft w:val="0"/>
      <w:marRight w:val="0"/>
      <w:marTop w:val="0"/>
      <w:marBottom w:val="0"/>
      <w:divBdr>
        <w:top w:val="none" w:sz="0" w:space="0" w:color="auto"/>
        <w:left w:val="none" w:sz="0" w:space="0" w:color="auto"/>
        <w:bottom w:val="none" w:sz="0" w:space="0" w:color="auto"/>
        <w:right w:val="none" w:sz="0" w:space="0" w:color="auto"/>
      </w:divBdr>
    </w:div>
    <w:div w:id="789978455">
      <w:marLeft w:val="0"/>
      <w:marRight w:val="0"/>
      <w:marTop w:val="0"/>
      <w:marBottom w:val="0"/>
      <w:divBdr>
        <w:top w:val="none" w:sz="0" w:space="0" w:color="auto"/>
        <w:left w:val="none" w:sz="0" w:space="0" w:color="auto"/>
        <w:bottom w:val="none" w:sz="0" w:space="0" w:color="auto"/>
        <w:right w:val="none" w:sz="0" w:space="0" w:color="auto"/>
      </w:divBdr>
    </w:div>
    <w:div w:id="789978456">
      <w:marLeft w:val="0"/>
      <w:marRight w:val="0"/>
      <w:marTop w:val="0"/>
      <w:marBottom w:val="0"/>
      <w:divBdr>
        <w:top w:val="none" w:sz="0" w:space="0" w:color="auto"/>
        <w:left w:val="none" w:sz="0" w:space="0" w:color="auto"/>
        <w:bottom w:val="none" w:sz="0" w:space="0" w:color="auto"/>
        <w:right w:val="none" w:sz="0" w:space="0" w:color="auto"/>
      </w:divBdr>
    </w:div>
    <w:div w:id="789978457">
      <w:marLeft w:val="0"/>
      <w:marRight w:val="0"/>
      <w:marTop w:val="0"/>
      <w:marBottom w:val="0"/>
      <w:divBdr>
        <w:top w:val="none" w:sz="0" w:space="0" w:color="auto"/>
        <w:left w:val="none" w:sz="0" w:space="0" w:color="auto"/>
        <w:bottom w:val="none" w:sz="0" w:space="0" w:color="auto"/>
        <w:right w:val="none" w:sz="0" w:space="0" w:color="auto"/>
      </w:divBdr>
    </w:div>
    <w:div w:id="789978458">
      <w:marLeft w:val="0"/>
      <w:marRight w:val="0"/>
      <w:marTop w:val="0"/>
      <w:marBottom w:val="0"/>
      <w:divBdr>
        <w:top w:val="none" w:sz="0" w:space="0" w:color="auto"/>
        <w:left w:val="none" w:sz="0" w:space="0" w:color="auto"/>
        <w:bottom w:val="none" w:sz="0" w:space="0" w:color="auto"/>
        <w:right w:val="none" w:sz="0" w:space="0" w:color="auto"/>
      </w:divBdr>
    </w:div>
    <w:div w:id="789978459">
      <w:marLeft w:val="0"/>
      <w:marRight w:val="0"/>
      <w:marTop w:val="0"/>
      <w:marBottom w:val="0"/>
      <w:divBdr>
        <w:top w:val="none" w:sz="0" w:space="0" w:color="auto"/>
        <w:left w:val="none" w:sz="0" w:space="0" w:color="auto"/>
        <w:bottom w:val="none" w:sz="0" w:space="0" w:color="auto"/>
        <w:right w:val="none" w:sz="0" w:space="0" w:color="auto"/>
      </w:divBdr>
    </w:div>
    <w:div w:id="789978460">
      <w:marLeft w:val="0"/>
      <w:marRight w:val="0"/>
      <w:marTop w:val="0"/>
      <w:marBottom w:val="0"/>
      <w:divBdr>
        <w:top w:val="none" w:sz="0" w:space="0" w:color="auto"/>
        <w:left w:val="none" w:sz="0" w:space="0" w:color="auto"/>
        <w:bottom w:val="none" w:sz="0" w:space="0" w:color="auto"/>
        <w:right w:val="none" w:sz="0" w:space="0" w:color="auto"/>
      </w:divBdr>
    </w:div>
    <w:div w:id="789978461">
      <w:marLeft w:val="0"/>
      <w:marRight w:val="0"/>
      <w:marTop w:val="0"/>
      <w:marBottom w:val="0"/>
      <w:divBdr>
        <w:top w:val="none" w:sz="0" w:space="0" w:color="auto"/>
        <w:left w:val="none" w:sz="0" w:space="0" w:color="auto"/>
        <w:bottom w:val="none" w:sz="0" w:space="0" w:color="auto"/>
        <w:right w:val="none" w:sz="0" w:space="0" w:color="auto"/>
      </w:divBdr>
    </w:div>
    <w:div w:id="789978462">
      <w:marLeft w:val="0"/>
      <w:marRight w:val="0"/>
      <w:marTop w:val="0"/>
      <w:marBottom w:val="0"/>
      <w:divBdr>
        <w:top w:val="none" w:sz="0" w:space="0" w:color="auto"/>
        <w:left w:val="none" w:sz="0" w:space="0" w:color="auto"/>
        <w:bottom w:val="none" w:sz="0" w:space="0" w:color="auto"/>
        <w:right w:val="none" w:sz="0" w:space="0" w:color="auto"/>
      </w:divBdr>
    </w:div>
    <w:div w:id="789978463">
      <w:marLeft w:val="0"/>
      <w:marRight w:val="0"/>
      <w:marTop w:val="0"/>
      <w:marBottom w:val="0"/>
      <w:divBdr>
        <w:top w:val="none" w:sz="0" w:space="0" w:color="auto"/>
        <w:left w:val="none" w:sz="0" w:space="0" w:color="auto"/>
        <w:bottom w:val="none" w:sz="0" w:space="0" w:color="auto"/>
        <w:right w:val="none" w:sz="0" w:space="0" w:color="auto"/>
      </w:divBdr>
    </w:div>
    <w:div w:id="789978464">
      <w:marLeft w:val="0"/>
      <w:marRight w:val="0"/>
      <w:marTop w:val="0"/>
      <w:marBottom w:val="0"/>
      <w:divBdr>
        <w:top w:val="none" w:sz="0" w:space="0" w:color="auto"/>
        <w:left w:val="none" w:sz="0" w:space="0" w:color="auto"/>
        <w:bottom w:val="none" w:sz="0" w:space="0" w:color="auto"/>
        <w:right w:val="none" w:sz="0" w:space="0" w:color="auto"/>
      </w:divBdr>
    </w:div>
    <w:div w:id="789978465">
      <w:marLeft w:val="0"/>
      <w:marRight w:val="0"/>
      <w:marTop w:val="0"/>
      <w:marBottom w:val="0"/>
      <w:divBdr>
        <w:top w:val="none" w:sz="0" w:space="0" w:color="auto"/>
        <w:left w:val="none" w:sz="0" w:space="0" w:color="auto"/>
        <w:bottom w:val="none" w:sz="0" w:space="0" w:color="auto"/>
        <w:right w:val="none" w:sz="0" w:space="0" w:color="auto"/>
      </w:divBdr>
    </w:div>
    <w:div w:id="789978466">
      <w:marLeft w:val="0"/>
      <w:marRight w:val="0"/>
      <w:marTop w:val="0"/>
      <w:marBottom w:val="0"/>
      <w:divBdr>
        <w:top w:val="none" w:sz="0" w:space="0" w:color="auto"/>
        <w:left w:val="none" w:sz="0" w:space="0" w:color="auto"/>
        <w:bottom w:val="none" w:sz="0" w:space="0" w:color="auto"/>
        <w:right w:val="none" w:sz="0" w:space="0" w:color="auto"/>
      </w:divBdr>
    </w:div>
    <w:div w:id="789978467">
      <w:marLeft w:val="0"/>
      <w:marRight w:val="0"/>
      <w:marTop w:val="0"/>
      <w:marBottom w:val="0"/>
      <w:divBdr>
        <w:top w:val="none" w:sz="0" w:space="0" w:color="auto"/>
        <w:left w:val="none" w:sz="0" w:space="0" w:color="auto"/>
        <w:bottom w:val="none" w:sz="0" w:space="0" w:color="auto"/>
        <w:right w:val="none" w:sz="0" w:space="0" w:color="auto"/>
      </w:divBdr>
    </w:div>
    <w:div w:id="795757659">
      <w:bodyDiv w:val="1"/>
      <w:marLeft w:val="0"/>
      <w:marRight w:val="0"/>
      <w:marTop w:val="0"/>
      <w:marBottom w:val="0"/>
      <w:divBdr>
        <w:top w:val="none" w:sz="0" w:space="0" w:color="auto"/>
        <w:left w:val="none" w:sz="0" w:space="0" w:color="auto"/>
        <w:bottom w:val="none" w:sz="0" w:space="0" w:color="auto"/>
        <w:right w:val="none" w:sz="0" w:space="0" w:color="auto"/>
      </w:divBdr>
    </w:div>
    <w:div w:id="809131509">
      <w:bodyDiv w:val="1"/>
      <w:marLeft w:val="0"/>
      <w:marRight w:val="0"/>
      <w:marTop w:val="0"/>
      <w:marBottom w:val="0"/>
      <w:divBdr>
        <w:top w:val="none" w:sz="0" w:space="0" w:color="auto"/>
        <w:left w:val="none" w:sz="0" w:space="0" w:color="auto"/>
        <w:bottom w:val="none" w:sz="0" w:space="0" w:color="auto"/>
        <w:right w:val="none" w:sz="0" w:space="0" w:color="auto"/>
      </w:divBdr>
    </w:div>
    <w:div w:id="814880752">
      <w:bodyDiv w:val="1"/>
      <w:marLeft w:val="0"/>
      <w:marRight w:val="0"/>
      <w:marTop w:val="0"/>
      <w:marBottom w:val="0"/>
      <w:divBdr>
        <w:top w:val="none" w:sz="0" w:space="0" w:color="auto"/>
        <w:left w:val="none" w:sz="0" w:space="0" w:color="auto"/>
        <w:bottom w:val="none" w:sz="0" w:space="0" w:color="auto"/>
        <w:right w:val="none" w:sz="0" w:space="0" w:color="auto"/>
      </w:divBdr>
    </w:div>
    <w:div w:id="816804025">
      <w:bodyDiv w:val="1"/>
      <w:marLeft w:val="0"/>
      <w:marRight w:val="0"/>
      <w:marTop w:val="0"/>
      <w:marBottom w:val="0"/>
      <w:divBdr>
        <w:top w:val="none" w:sz="0" w:space="0" w:color="auto"/>
        <w:left w:val="none" w:sz="0" w:space="0" w:color="auto"/>
        <w:bottom w:val="none" w:sz="0" w:space="0" w:color="auto"/>
        <w:right w:val="none" w:sz="0" w:space="0" w:color="auto"/>
      </w:divBdr>
    </w:div>
    <w:div w:id="841511630">
      <w:bodyDiv w:val="1"/>
      <w:marLeft w:val="0"/>
      <w:marRight w:val="0"/>
      <w:marTop w:val="0"/>
      <w:marBottom w:val="0"/>
      <w:divBdr>
        <w:top w:val="none" w:sz="0" w:space="0" w:color="auto"/>
        <w:left w:val="none" w:sz="0" w:space="0" w:color="auto"/>
        <w:bottom w:val="none" w:sz="0" w:space="0" w:color="auto"/>
        <w:right w:val="none" w:sz="0" w:space="0" w:color="auto"/>
      </w:divBdr>
    </w:div>
    <w:div w:id="860320878">
      <w:bodyDiv w:val="1"/>
      <w:marLeft w:val="0"/>
      <w:marRight w:val="0"/>
      <w:marTop w:val="0"/>
      <w:marBottom w:val="0"/>
      <w:divBdr>
        <w:top w:val="none" w:sz="0" w:space="0" w:color="auto"/>
        <w:left w:val="none" w:sz="0" w:space="0" w:color="auto"/>
        <w:bottom w:val="none" w:sz="0" w:space="0" w:color="auto"/>
        <w:right w:val="none" w:sz="0" w:space="0" w:color="auto"/>
      </w:divBdr>
    </w:div>
    <w:div w:id="863788067">
      <w:bodyDiv w:val="1"/>
      <w:marLeft w:val="0"/>
      <w:marRight w:val="0"/>
      <w:marTop w:val="0"/>
      <w:marBottom w:val="0"/>
      <w:divBdr>
        <w:top w:val="none" w:sz="0" w:space="0" w:color="auto"/>
        <w:left w:val="none" w:sz="0" w:space="0" w:color="auto"/>
        <w:bottom w:val="none" w:sz="0" w:space="0" w:color="auto"/>
        <w:right w:val="none" w:sz="0" w:space="0" w:color="auto"/>
      </w:divBdr>
    </w:div>
    <w:div w:id="889415502">
      <w:bodyDiv w:val="1"/>
      <w:marLeft w:val="0"/>
      <w:marRight w:val="0"/>
      <w:marTop w:val="0"/>
      <w:marBottom w:val="0"/>
      <w:divBdr>
        <w:top w:val="none" w:sz="0" w:space="0" w:color="auto"/>
        <w:left w:val="none" w:sz="0" w:space="0" w:color="auto"/>
        <w:bottom w:val="none" w:sz="0" w:space="0" w:color="auto"/>
        <w:right w:val="none" w:sz="0" w:space="0" w:color="auto"/>
      </w:divBdr>
    </w:div>
    <w:div w:id="905456798">
      <w:bodyDiv w:val="1"/>
      <w:marLeft w:val="0"/>
      <w:marRight w:val="0"/>
      <w:marTop w:val="0"/>
      <w:marBottom w:val="0"/>
      <w:divBdr>
        <w:top w:val="none" w:sz="0" w:space="0" w:color="auto"/>
        <w:left w:val="none" w:sz="0" w:space="0" w:color="auto"/>
        <w:bottom w:val="none" w:sz="0" w:space="0" w:color="auto"/>
        <w:right w:val="none" w:sz="0" w:space="0" w:color="auto"/>
      </w:divBdr>
    </w:div>
    <w:div w:id="926617948">
      <w:bodyDiv w:val="1"/>
      <w:marLeft w:val="0"/>
      <w:marRight w:val="0"/>
      <w:marTop w:val="0"/>
      <w:marBottom w:val="0"/>
      <w:divBdr>
        <w:top w:val="none" w:sz="0" w:space="0" w:color="auto"/>
        <w:left w:val="none" w:sz="0" w:space="0" w:color="auto"/>
        <w:bottom w:val="none" w:sz="0" w:space="0" w:color="auto"/>
        <w:right w:val="none" w:sz="0" w:space="0" w:color="auto"/>
      </w:divBdr>
      <w:divsChild>
        <w:div w:id="1527327448">
          <w:marLeft w:val="0"/>
          <w:marRight w:val="0"/>
          <w:marTop w:val="0"/>
          <w:marBottom w:val="0"/>
          <w:divBdr>
            <w:top w:val="none" w:sz="0" w:space="0" w:color="auto"/>
            <w:left w:val="none" w:sz="0" w:space="0" w:color="auto"/>
            <w:bottom w:val="none" w:sz="0" w:space="0" w:color="auto"/>
            <w:right w:val="none" w:sz="0" w:space="0" w:color="auto"/>
          </w:divBdr>
          <w:divsChild>
            <w:div w:id="556084720">
              <w:marLeft w:val="0"/>
              <w:marRight w:val="0"/>
              <w:marTop w:val="0"/>
              <w:marBottom w:val="0"/>
              <w:divBdr>
                <w:top w:val="none" w:sz="0" w:space="0" w:color="auto"/>
                <w:left w:val="none" w:sz="0" w:space="0" w:color="auto"/>
                <w:bottom w:val="none" w:sz="0" w:space="0" w:color="auto"/>
                <w:right w:val="none" w:sz="0" w:space="0" w:color="auto"/>
              </w:divBdr>
              <w:divsChild>
                <w:div w:id="2095740106">
                  <w:marLeft w:val="0"/>
                  <w:marRight w:val="0"/>
                  <w:marTop w:val="0"/>
                  <w:marBottom w:val="0"/>
                  <w:divBdr>
                    <w:top w:val="none" w:sz="0" w:space="0" w:color="auto"/>
                    <w:left w:val="none" w:sz="0" w:space="0" w:color="auto"/>
                    <w:bottom w:val="none" w:sz="0" w:space="0" w:color="auto"/>
                    <w:right w:val="none" w:sz="0" w:space="0" w:color="auto"/>
                  </w:divBdr>
                  <w:divsChild>
                    <w:div w:id="135013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6422231">
      <w:bodyDiv w:val="1"/>
      <w:marLeft w:val="0"/>
      <w:marRight w:val="0"/>
      <w:marTop w:val="0"/>
      <w:marBottom w:val="0"/>
      <w:divBdr>
        <w:top w:val="none" w:sz="0" w:space="0" w:color="auto"/>
        <w:left w:val="none" w:sz="0" w:space="0" w:color="auto"/>
        <w:bottom w:val="none" w:sz="0" w:space="0" w:color="auto"/>
        <w:right w:val="none" w:sz="0" w:space="0" w:color="auto"/>
      </w:divBdr>
    </w:div>
    <w:div w:id="950010919">
      <w:bodyDiv w:val="1"/>
      <w:marLeft w:val="0"/>
      <w:marRight w:val="0"/>
      <w:marTop w:val="0"/>
      <w:marBottom w:val="0"/>
      <w:divBdr>
        <w:top w:val="none" w:sz="0" w:space="0" w:color="auto"/>
        <w:left w:val="none" w:sz="0" w:space="0" w:color="auto"/>
        <w:bottom w:val="none" w:sz="0" w:space="0" w:color="auto"/>
        <w:right w:val="none" w:sz="0" w:space="0" w:color="auto"/>
      </w:divBdr>
    </w:div>
    <w:div w:id="954796405">
      <w:bodyDiv w:val="1"/>
      <w:marLeft w:val="0"/>
      <w:marRight w:val="0"/>
      <w:marTop w:val="0"/>
      <w:marBottom w:val="0"/>
      <w:divBdr>
        <w:top w:val="none" w:sz="0" w:space="0" w:color="auto"/>
        <w:left w:val="none" w:sz="0" w:space="0" w:color="auto"/>
        <w:bottom w:val="none" w:sz="0" w:space="0" w:color="auto"/>
        <w:right w:val="none" w:sz="0" w:space="0" w:color="auto"/>
      </w:divBdr>
    </w:div>
    <w:div w:id="975910780">
      <w:bodyDiv w:val="1"/>
      <w:marLeft w:val="0"/>
      <w:marRight w:val="0"/>
      <w:marTop w:val="0"/>
      <w:marBottom w:val="0"/>
      <w:divBdr>
        <w:top w:val="none" w:sz="0" w:space="0" w:color="auto"/>
        <w:left w:val="none" w:sz="0" w:space="0" w:color="auto"/>
        <w:bottom w:val="none" w:sz="0" w:space="0" w:color="auto"/>
        <w:right w:val="none" w:sz="0" w:space="0" w:color="auto"/>
      </w:divBdr>
    </w:div>
    <w:div w:id="977102989">
      <w:bodyDiv w:val="1"/>
      <w:marLeft w:val="0"/>
      <w:marRight w:val="0"/>
      <w:marTop w:val="0"/>
      <w:marBottom w:val="0"/>
      <w:divBdr>
        <w:top w:val="none" w:sz="0" w:space="0" w:color="auto"/>
        <w:left w:val="none" w:sz="0" w:space="0" w:color="auto"/>
        <w:bottom w:val="none" w:sz="0" w:space="0" w:color="auto"/>
        <w:right w:val="none" w:sz="0" w:space="0" w:color="auto"/>
      </w:divBdr>
      <w:divsChild>
        <w:div w:id="492189127">
          <w:marLeft w:val="0"/>
          <w:marRight w:val="0"/>
          <w:marTop w:val="0"/>
          <w:marBottom w:val="0"/>
          <w:divBdr>
            <w:top w:val="none" w:sz="0" w:space="0" w:color="auto"/>
            <w:left w:val="none" w:sz="0" w:space="0" w:color="auto"/>
            <w:bottom w:val="none" w:sz="0" w:space="0" w:color="auto"/>
            <w:right w:val="none" w:sz="0" w:space="0" w:color="auto"/>
          </w:divBdr>
          <w:divsChild>
            <w:div w:id="2050451247">
              <w:marLeft w:val="0"/>
              <w:marRight w:val="0"/>
              <w:marTop w:val="0"/>
              <w:marBottom w:val="0"/>
              <w:divBdr>
                <w:top w:val="none" w:sz="0" w:space="0" w:color="auto"/>
                <w:left w:val="none" w:sz="0" w:space="0" w:color="auto"/>
                <w:bottom w:val="none" w:sz="0" w:space="0" w:color="auto"/>
                <w:right w:val="none" w:sz="0" w:space="0" w:color="auto"/>
              </w:divBdr>
              <w:divsChild>
                <w:div w:id="62028571">
                  <w:marLeft w:val="0"/>
                  <w:marRight w:val="0"/>
                  <w:marTop w:val="0"/>
                  <w:marBottom w:val="0"/>
                  <w:divBdr>
                    <w:top w:val="none" w:sz="0" w:space="0" w:color="auto"/>
                    <w:left w:val="none" w:sz="0" w:space="0" w:color="auto"/>
                    <w:bottom w:val="none" w:sz="0" w:space="0" w:color="auto"/>
                    <w:right w:val="none" w:sz="0" w:space="0" w:color="auto"/>
                  </w:divBdr>
                  <w:divsChild>
                    <w:div w:id="56499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0883531">
      <w:bodyDiv w:val="1"/>
      <w:marLeft w:val="0"/>
      <w:marRight w:val="0"/>
      <w:marTop w:val="0"/>
      <w:marBottom w:val="0"/>
      <w:divBdr>
        <w:top w:val="none" w:sz="0" w:space="0" w:color="auto"/>
        <w:left w:val="none" w:sz="0" w:space="0" w:color="auto"/>
        <w:bottom w:val="none" w:sz="0" w:space="0" w:color="auto"/>
        <w:right w:val="none" w:sz="0" w:space="0" w:color="auto"/>
      </w:divBdr>
    </w:div>
    <w:div w:id="1056049388">
      <w:bodyDiv w:val="1"/>
      <w:marLeft w:val="0"/>
      <w:marRight w:val="0"/>
      <w:marTop w:val="0"/>
      <w:marBottom w:val="0"/>
      <w:divBdr>
        <w:top w:val="none" w:sz="0" w:space="0" w:color="auto"/>
        <w:left w:val="none" w:sz="0" w:space="0" w:color="auto"/>
        <w:bottom w:val="none" w:sz="0" w:space="0" w:color="auto"/>
        <w:right w:val="none" w:sz="0" w:space="0" w:color="auto"/>
      </w:divBdr>
    </w:div>
    <w:div w:id="1062564905">
      <w:bodyDiv w:val="1"/>
      <w:marLeft w:val="0"/>
      <w:marRight w:val="0"/>
      <w:marTop w:val="0"/>
      <w:marBottom w:val="0"/>
      <w:divBdr>
        <w:top w:val="none" w:sz="0" w:space="0" w:color="auto"/>
        <w:left w:val="none" w:sz="0" w:space="0" w:color="auto"/>
        <w:bottom w:val="none" w:sz="0" w:space="0" w:color="auto"/>
        <w:right w:val="none" w:sz="0" w:space="0" w:color="auto"/>
      </w:divBdr>
    </w:div>
    <w:div w:id="1102336758">
      <w:bodyDiv w:val="1"/>
      <w:marLeft w:val="0"/>
      <w:marRight w:val="0"/>
      <w:marTop w:val="0"/>
      <w:marBottom w:val="0"/>
      <w:divBdr>
        <w:top w:val="none" w:sz="0" w:space="0" w:color="auto"/>
        <w:left w:val="none" w:sz="0" w:space="0" w:color="auto"/>
        <w:bottom w:val="none" w:sz="0" w:space="0" w:color="auto"/>
        <w:right w:val="none" w:sz="0" w:space="0" w:color="auto"/>
      </w:divBdr>
    </w:div>
    <w:div w:id="1116101267">
      <w:bodyDiv w:val="1"/>
      <w:marLeft w:val="0"/>
      <w:marRight w:val="0"/>
      <w:marTop w:val="0"/>
      <w:marBottom w:val="0"/>
      <w:divBdr>
        <w:top w:val="none" w:sz="0" w:space="0" w:color="auto"/>
        <w:left w:val="none" w:sz="0" w:space="0" w:color="auto"/>
        <w:bottom w:val="none" w:sz="0" w:space="0" w:color="auto"/>
        <w:right w:val="none" w:sz="0" w:space="0" w:color="auto"/>
      </w:divBdr>
      <w:divsChild>
        <w:div w:id="160897921">
          <w:marLeft w:val="0"/>
          <w:marRight w:val="0"/>
          <w:marTop w:val="0"/>
          <w:marBottom w:val="0"/>
          <w:divBdr>
            <w:top w:val="none" w:sz="0" w:space="0" w:color="auto"/>
            <w:left w:val="none" w:sz="0" w:space="0" w:color="auto"/>
            <w:bottom w:val="none" w:sz="0" w:space="0" w:color="auto"/>
            <w:right w:val="none" w:sz="0" w:space="0" w:color="auto"/>
          </w:divBdr>
          <w:divsChild>
            <w:div w:id="1674526104">
              <w:marLeft w:val="0"/>
              <w:marRight w:val="0"/>
              <w:marTop w:val="0"/>
              <w:marBottom w:val="0"/>
              <w:divBdr>
                <w:top w:val="none" w:sz="0" w:space="0" w:color="auto"/>
                <w:left w:val="none" w:sz="0" w:space="0" w:color="auto"/>
                <w:bottom w:val="none" w:sz="0" w:space="0" w:color="auto"/>
                <w:right w:val="none" w:sz="0" w:space="0" w:color="auto"/>
              </w:divBdr>
              <w:divsChild>
                <w:div w:id="183109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014803">
      <w:bodyDiv w:val="1"/>
      <w:marLeft w:val="0"/>
      <w:marRight w:val="0"/>
      <w:marTop w:val="0"/>
      <w:marBottom w:val="0"/>
      <w:divBdr>
        <w:top w:val="none" w:sz="0" w:space="0" w:color="auto"/>
        <w:left w:val="none" w:sz="0" w:space="0" w:color="auto"/>
        <w:bottom w:val="none" w:sz="0" w:space="0" w:color="auto"/>
        <w:right w:val="none" w:sz="0" w:space="0" w:color="auto"/>
      </w:divBdr>
    </w:div>
    <w:div w:id="1133866331">
      <w:bodyDiv w:val="1"/>
      <w:marLeft w:val="0"/>
      <w:marRight w:val="0"/>
      <w:marTop w:val="0"/>
      <w:marBottom w:val="0"/>
      <w:divBdr>
        <w:top w:val="none" w:sz="0" w:space="0" w:color="auto"/>
        <w:left w:val="none" w:sz="0" w:space="0" w:color="auto"/>
        <w:bottom w:val="none" w:sz="0" w:space="0" w:color="auto"/>
        <w:right w:val="none" w:sz="0" w:space="0" w:color="auto"/>
      </w:divBdr>
    </w:div>
    <w:div w:id="1158810500">
      <w:bodyDiv w:val="1"/>
      <w:marLeft w:val="0"/>
      <w:marRight w:val="0"/>
      <w:marTop w:val="0"/>
      <w:marBottom w:val="0"/>
      <w:divBdr>
        <w:top w:val="none" w:sz="0" w:space="0" w:color="auto"/>
        <w:left w:val="none" w:sz="0" w:space="0" w:color="auto"/>
        <w:bottom w:val="none" w:sz="0" w:space="0" w:color="auto"/>
        <w:right w:val="none" w:sz="0" w:space="0" w:color="auto"/>
      </w:divBdr>
      <w:divsChild>
        <w:div w:id="1282033047">
          <w:marLeft w:val="0"/>
          <w:marRight w:val="0"/>
          <w:marTop w:val="0"/>
          <w:marBottom w:val="0"/>
          <w:divBdr>
            <w:top w:val="none" w:sz="0" w:space="0" w:color="auto"/>
            <w:left w:val="none" w:sz="0" w:space="0" w:color="auto"/>
            <w:bottom w:val="none" w:sz="0" w:space="0" w:color="auto"/>
            <w:right w:val="none" w:sz="0" w:space="0" w:color="auto"/>
          </w:divBdr>
          <w:divsChild>
            <w:div w:id="2070615077">
              <w:marLeft w:val="0"/>
              <w:marRight w:val="0"/>
              <w:marTop w:val="0"/>
              <w:marBottom w:val="0"/>
              <w:divBdr>
                <w:top w:val="none" w:sz="0" w:space="0" w:color="auto"/>
                <w:left w:val="none" w:sz="0" w:space="0" w:color="auto"/>
                <w:bottom w:val="none" w:sz="0" w:space="0" w:color="auto"/>
                <w:right w:val="none" w:sz="0" w:space="0" w:color="auto"/>
              </w:divBdr>
              <w:divsChild>
                <w:div w:id="2038893362">
                  <w:marLeft w:val="0"/>
                  <w:marRight w:val="0"/>
                  <w:marTop w:val="0"/>
                  <w:marBottom w:val="0"/>
                  <w:divBdr>
                    <w:top w:val="none" w:sz="0" w:space="0" w:color="auto"/>
                    <w:left w:val="none" w:sz="0" w:space="0" w:color="auto"/>
                    <w:bottom w:val="none" w:sz="0" w:space="0" w:color="auto"/>
                    <w:right w:val="none" w:sz="0" w:space="0" w:color="auto"/>
                  </w:divBdr>
                  <w:divsChild>
                    <w:div w:id="151041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3520987">
      <w:bodyDiv w:val="1"/>
      <w:marLeft w:val="0"/>
      <w:marRight w:val="0"/>
      <w:marTop w:val="0"/>
      <w:marBottom w:val="0"/>
      <w:divBdr>
        <w:top w:val="none" w:sz="0" w:space="0" w:color="auto"/>
        <w:left w:val="none" w:sz="0" w:space="0" w:color="auto"/>
        <w:bottom w:val="none" w:sz="0" w:space="0" w:color="auto"/>
        <w:right w:val="none" w:sz="0" w:space="0" w:color="auto"/>
      </w:divBdr>
    </w:div>
    <w:div w:id="1191532852">
      <w:bodyDiv w:val="1"/>
      <w:marLeft w:val="0"/>
      <w:marRight w:val="0"/>
      <w:marTop w:val="0"/>
      <w:marBottom w:val="0"/>
      <w:divBdr>
        <w:top w:val="none" w:sz="0" w:space="0" w:color="auto"/>
        <w:left w:val="none" w:sz="0" w:space="0" w:color="auto"/>
        <w:bottom w:val="none" w:sz="0" w:space="0" w:color="auto"/>
        <w:right w:val="none" w:sz="0" w:space="0" w:color="auto"/>
      </w:divBdr>
    </w:div>
    <w:div w:id="1199468629">
      <w:bodyDiv w:val="1"/>
      <w:marLeft w:val="0"/>
      <w:marRight w:val="0"/>
      <w:marTop w:val="0"/>
      <w:marBottom w:val="0"/>
      <w:divBdr>
        <w:top w:val="none" w:sz="0" w:space="0" w:color="auto"/>
        <w:left w:val="none" w:sz="0" w:space="0" w:color="auto"/>
        <w:bottom w:val="none" w:sz="0" w:space="0" w:color="auto"/>
        <w:right w:val="none" w:sz="0" w:space="0" w:color="auto"/>
      </w:divBdr>
    </w:div>
    <w:div w:id="1205101907">
      <w:bodyDiv w:val="1"/>
      <w:marLeft w:val="0"/>
      <w:marRight w:val="0"/>
      <w:marTop w:val="0"/>
      <w:marBottom w:val="0"/>
      <w:divBdr>
        <w:top w:val="none" w:sz="0" w:space="0" w:color="auto"/>
        <w:left w:val="none" w:sz="0" w:space="0" w:color="auto"/>
        <w:bottom w:val="none" w:sz="0" w:space="0" w:color="auto"/>
        <w:right w:val="none" w:sz="0" w:space="0" w:color="auto"/>
      </w:divBdr>
      <w:divsChild>
        <w:div w:id="1472362359">
          <w:marLeft w:val="0"/>
          <w:marRight w:val="0"/>
          <w:marTop w:val="0"/>
          <w:marBottom w:val="0"/>
          <w:divBdr>
            <w:top w:val="none" w:sz="0" w:space="0" w:color="auto"/>
            <w:left w:val="none" w:sz="0" w:space="0" w:color="auto"/>
            <w:bottom w:val="none" w:sz="0" w:space="0" w:color="auto"/>
            <w:right w:val="none" w:sz="0" w:space="0" w:color="auto"/>
          </w:divBdr>
          <w:divsChild>
            <w:div w:id="23948902">
              <w:marLeft w:val="0"/>
              <w:marRight w:val="0"/>
              <w:marTop w:val="0"/>
              <w:marBottom w:val="0"/>
              <w:divBdr>
                <w:top w:val="none" w:sz="0" w:space="0" w:color="auto"/>
                <w:left w:val="none" w:sz="0" w:space="0" w:color="auto"/>
                <w:bottom w:val="none" w:sz="0" w:space="0" w:color="auto"/>
                <w:right w:val="none" w:sz="0" w:space="0" w:color="auto"/>
              </w:divBdr>
              <w:divsChild>
                <w:div w:id="1726681232">
                  <w:marLeft w:val="0"/>
                  <w:marRight w:val="0"/>
                  <w:marTop w:val="0"/>
                  <w:marBottom w:val="0"/>
                  <w:divBdr>
                    <w:top w:val="none" w:sz="0" w:space="0" w:color="auto"/>
                    <w:left w:val="none" w:sz="0" w:space="0" w:color="auto"/>
                    <w:bottom w:val="none" w:sz="0" w:space="0" w:color="auto"/>
                    <w:right w:val="none" w:sz="0" w:space="0" w:color="auto"/>
                  </w:divBdr>
                  <w:divsChild>
                    <w:div w:id="112330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3075025">
      <w:bodyDiv w:val="1"/>
      <w:marLeft w:val="0"/>
      <w:marRight w:val="0"/>
      <w:marTop w:val="0"/>
      <w:marBottom w:val="0"/>
      <w:divBdr>
        <w:top w:val="none" w:sz="0" w:space="0" w:color="auto"/>
        <w:left w:val="none" w:sz="0" w:space="0" w:color="auto"/>
        <w:bottom w:val="none" w:sz="0" w:space="0" w:color="auto"/>
        <w:right w:val="none" w:sz="0" w:space="0" w:color="auto"/>
      </w:divBdr>
    </w:div>
    <w:div w:id="1223516784">
      <w:bodyDiv w:val="1"/>
      <w:marLeft w:val="0"/>
      <w:marRight w:val="0"/>
      <w:marTop w:val="0"/>
      <w:marBottom w:val="0"/>
      <w:divBdr>
        <w:top w:val="none" w:sz="0" w:space="0" w:color="auto"/>
        <w:left w:val="none" w:sz="0" w:space="0" w:color="auto"/>
        <w:bottom w:val="none" w:sz="0" w:space="0" w:color="auto"/>
        <w:right w:val="none" w:sz="0" w:space="0" w:color="auto"/>
      </w:divBdr>
    </w:div>
    <w:div w:id="1230384266">
      <w:bodyDiv w:val="1"/>
      <w:marLeft w:val="0"/>
      <w:marRight w:val="0"/>
      <w:marTop w:val="0"/>
      <w:marBottom w:val="0"/>
      <w:divBdr>
        <w:top w:val="none" w:sz="0" w:space="0" w:color="auto"/>
        <w:left w:val="none" w:sz="0" w:space="0" w:color="auto"/>
        <w:bottom w:val="none" w:sz="0" w:space="0" w:color="auto"/>
        <w:right w:val="none" w:sz="0" w:space="0" w:color="auto"/>
      </w:divBdr>
    </w:div>
    <w:div w:id="1233662563">
      <w:bodyDiv w:val="1"/>
      <w:marLeft w:val="0"/>
      <w:marRight w:val="0"/>
      <w:marTop w:val="0"/>
      <w:marBottom w:val="0"/>
      <w:divBdr>
        <w:top w:val="none" w:sz="0" w:space="0" w:color="auto"/>
        <w:left w:val="none" w:sz="0" w:space="0" w:color="auto"/>
        <w:bottom w:val="none" w:sz="0" w:space="0" w:color="auto"/>
        <w:right w:val="none" w:sz="0" w:space="0" w:color="auto"/>
      </w:divBdr>
    </w:div>
    <w:div w:id="1245453589">
      <w:bodyDiv w:val="1"/>
      <w:marLeft w:val="0"/>
      <w:marRight w:val="0"/>
      <w:marTop w:val="0"/>
      <w:marBottom w:val="0"/>
      <w:divBdr>
        <w:top w:val="none" w:sz="0" w:space="0" w:color="auto"/>
        <w:left w:val="none" w:sz="0" w:space="0" w:color="auto"/>
        <w:bottom w:val="none" w:sz="0" w:space="0" w:color="auto"/>
        <w:right w:val="none" w:sz="0" w:space="0" w:color="auto"/>
      </w:divBdr>
    </w:div>
    <w:div w:id="1255699842">
      <w:bodyDiv w:val="1"/>
      <w:marLeft w:val="0"/>
      <w:marRight w:val="0"/>
      <w:marTop w:val="0"/>
      <w:marBottom w:val="0"/>
      <w:divBdr>
        <w:top w:val="none" w:sz="0" w:space="0" w:color="auto"/>
        <w:left w:val="none" w:sz="0" w:space="0" w:color="auto"/>
        <w:bottom w:val="none" w:sz="0" w:space="0" w:color="auto"/>
        <w:right w:val="none" w:sz="0" w:space="0" w:color="auto"/>
      </w:divBdr>
    </w:div>
    <w:div w:id="1264651650">
      <w:bodyDiv w:val="1"/>
      <w:marLeft w:val="0"/>
      <w:marRight w:val="0"/>
      <w:marTop w:val="0"/>
      <w:marBottom w:val="0"/>
      <w:divBdr>
        <w:top w:val="none" w:sz="0" w:space="0" w:color="auto"/>
        <w:left w:val="none" w:sz="0" w:space="0" w:color="auto"/>
        <w:bottom w:val="none" w:sz="0" w:space="0" w:color="auto"/>
        <w:right w:val="none" w:sz="0" w:space="0" w:color="auto"/>
      </w:divBdr>
    </w:div>
    <w:div w:id="1280332342">
      <w:bodyDiv w:val="1"/>
      <w:marLeft w:val="0"/>
      <w:marRight w:val="0"/>
      <w:marTop w:val="0"/>
      <w:marBottom w:val="0"/>
      <w:divBdr>
        <w:top w:val="none" w:sz="0" w:space="0" w:color="auto"/>
        <w:left w:val="none" w:sz="0" w:space="0" w:color="auto"/>
        <w:bottom w:val="none" w:sz="0" w:space="0" w:color="auto"/>
        <w:right w:val="none" w:sz="0" w:space="0" w:color="auto"/>
      </w:divBdr>
      <w:divsChild>
        <w:div w:id="1773085003">
          <w:marLeft w:val="0"/>
          <w:marRight w:val="0"/>
          <w:marTop w:val="0"/>
          <w:marBottom w:val="0"/>
          <w:divBdr>
            <w:top w:val="none" w:sz="0" w:space="0" w:color="auto"/>
            <w:left w:val="none" w:sz="0" w:space="0" w:color="auto"/>
            <w:bottom w:val="none" w:sz="0" w:space="0" w:color="auto"/>
            <w:right w:val="none" w:sz="0" w:space="0" w:color="auto"/>
          </w:divBdr>
          <w:divsChild>
            <w:div w:id="446048014">
              <w:marLeft w:val="0"/>
              <w:marRight w:val="0"/>
              <w:marTop w:val="0"/>
              <w:marBottom w:val="0"/>
              <w:divBdr>
                <w:top w:val="none" w:sz="0" w:space="0" w:color="auto"/>
                <w:left w:val="none" w:sz="0" w:space="0" w:color="auto"/>
                <w:bottom w:val="none" w:sz="0" w:space="0" w:color="auto"/>
                <w:right w:val="none" w:sz="0" w:space="0" w:color="auto"/>
              </w:divBdr>
              <w:divsChild>
                <w:div w:id="730150660">
                  <w:marLeft w:val="0"/>
                  <w:marRight w:val="0"/>
                  <w:marTop w:val="0"/>
                  <w:marBottom w:val="0"/>
                  <w:divBdr>
                    <w:top w:val="none" w:sz="0" w:space="0" w:color="auto"/>
                    <w:left w:val="none" w:sz="0" w:space="0" w:color="auto"/>
                    <w:bottom w:val="none" w:sz="0" w:space="0" w:color="auto"/>
                    <w:right w:val="none" w:sz="0" w:space="0" w:color="auto"/>
                  </w:divBdr>
                  <w:divsChild>
                    <w:div w:id="45818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7348138">
      <w:bodyDiv w:val="1"/>
      <w:marLeft w:val="0"/>
      <w:marRight w:val="0"/>
      <w:marTop w:val="0"/>
      <w:marBottom w:val="0"/>
      <w:divBdr>
        <w:top w:val="none" w:sz="0" w:space="0" w:color="auto"/>
        <w:left w:val="none" w:sz="0" w:space="0" w:color="auto"/>
        <w:bottom w:val="none" w:sz="0" w:space="0" w:color="auto"/>
        <w:right w:val="none" w:sz="0" w:space="0" w:color="auto"/>
      </w:divBdr>
    </w:div>
    <w:div w:id="1296372245">
      <w:bodyDiv w:val="1"/>
      <w:marLeft w:val="0"/>
      <w:marRight w:val="0"/>
      <w:marTop w:val="0"/>
      <w:marBottom w:val="0"/>
      <w:divBdr>
        <w:top w:val="none" w:sz="0" w:space="0" w:color="auto"/>
        <w:left w:val="none" w:sz="0" w:space="0" w:color="auto"/>
        <w:bottom w:val="none" w:sz="0" w:space="0" w:color="auto"/>
        <w:right w:val="none" w:sz="0" w:space="0" w:color="auto"/>
      </w:divBdr>
      <w:divsChild>
        <w:div w:id="1535994132">
          <w:marLeft w:val="0"/>
          <w:marRight w:val="0"/>
          <w:marTop w:val="0"/>
          <w:marBottom w:val="0"/>
          <w:divBdr>
            <w:top w:val="none" w:sz="0" w:space="0" w:color="auto"/>
            <w:left w:val="none" w:sz="0" w:space="0" w:color="auto"/>
            <w:bottom w:val="none" w:sz="0" w:space="0" w:color="auto"/>
            <w:right w:val="none" w:sz="0" w:space="0" w:color="auto"/>
          </w:divBdr>
          <w:divsChild>
            <w:div w:id="1947418654">
              <w:marLeft w:val="0"/>
              <w:marRight w:val="0"/>
              <w:marTop w:val="0"/>
              <w:marBottom w:val="0"/>
              <w:divBdr>
                <w:top w:val="none" w:sz="0" w:space="0" w:color="auto"/>
                <w:left w:val="none" w:sz="0" w:space="0" w:color="auto"/>
                <w:bottom w:val="none" w:sz="0" w:space="0" w:color="auto"/>
                <w:right w:val="none" w:sz="0" w:space="0" w:color="auto"/>
              </w:divBdr>
              <w:divsChild>
                <w:div w:id="193462408">
                  <w:marLeft w:val="0"/>
                  <w:marRight w:val="0"/>
                  <w:marTop w:val="0"/>
                  <w:marBottom w:val="0"/>
                  <w:divBdr>
                    <w:top w:val="none" w:sz="0" w:space="0" w:color="auto"/>
                    <w:left w:val="none" w:sz="0" w:space="0" w:color="auto"/>
                    <w:bottom w:val="none" w:sz="0" w:space="0" w:color="auto"/>
                    <w:right w:val="none" w:sz="0" w:space="0" w:color="auto"/>
                  </w:divBdr>
                  <w:divsChild>
                    <w:div w:id="104826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1058562">
      <w:bodyDiv w:val="1"/>
      <w:marLeft w:val="0"/>
      <w:marRight w:val="0"/>
      <w:marTop w:val="0"/>
      <w:marBottom w:val="0"/>
      <w:divBdr>
        <w:top w:val="none" w:sz="0" w:space="0" w:color="auto"/>
        <w:left w:val="none" w:sz="0" w:space="0" w:color="auto"/>
        <w:bottom w:val="none" w:sz="0" w:space="0" w:color="auto"/>
        <w:right w:val="none" w:sz="0" w:space="0" w:color="auto"/>
      </w:divBdr>
    </w:div>
    <w:div w:id="1344865989">
      <w:bodyDiv w:val="1"/>
      <w:marLeft w:val="0"/>
      <w:marRight w:val="0"/>
      <w:marTop w:val="0"/>
      <w:marBottom w:val="0"/>
      <w:divBdr>
        <w:top w:val="none" w:sz="0" w:space="0" w:color="auto"/>
        <w:left w:val="none" w:sz="0" w:space="0" w:color="auto"/>
        <w:bottom w:val="none" w:sz="0" w:space="0" w:color="auto"/>
        <w:right w:val="none" w:sz="0" w:space="0" w:color="auto"/>
      </w:divBdr>
    </w:div>
    <w:div w:id="1363631114">
      <w:bodyDiv w:val="1"/>
      <w:marLeft w:val="0"/>
      <w:marRight w:val="0"/>
      <w:marTop w:val="0"/>
      <w:marBottom w:val="0"/>
      <w:divBdr>
        <w:top w:val="none" w:sz="0" w:space="0" w:color="auto"/>
        <w:left w:val="none" w:sz="0" w:space="0" w:color="auto"/>
        <w:bottom w:val="none" w:sz="0" w:space="0" w:color="auto"/>
        <w:right w:val="none" w:sz="0" w:space="0" w:color="auto"/>
      </w:divBdr>
      <w:divsChild>
        <w:div w:id="2112893517">
          <w:marLeft w:val="0"/>
          <w:marRight w:val="0"/>
          <w:marTop w:val="0"/>
          <w:marBottom w:val="0"/>
          <w:divBdr>
            <w:top w:val="none" w:sz="0" w:space="0" w:color="auto"/>
            <w:left w:val="none" w:sz="0" w:space="0" w:color="auto"/>
            <w:bottom w:val="none" w:sz="0" w:space="0" w:color="auto"/>
            <w:right w:val="none" w:sz="0" w:space="0" w:color="auto"/>
          </w:divBdr>
          <w:divsChild>
            <w:div w:id="2072993819">
              <w:marLeft w:val="0"/>
              <w:marRight w:val="0"/>
              <w:marTop w:val="0"/>
              <w:marBottom w:val="0"/>
              <w:divBdr>
                <w:top w:val="none" w:sz="0" w:space="0" w:color="auto"/>
                <w:left w:val="none" w:sz="0" w:space="0" w:color="auto"/>
                <w:bottom w:val="none" w:sz="0" w:space="0" w:color="auto"/>
                <w:right w:val="none" w:sz="0" w:space="0" w:color="auto"/>
              </w:divBdr>
              <w:divsChild>
                <w:div w:id="791675504">
                  <w:marLeft w:val="0"/>
                  <w:marRight w:val="0"/>
                  <w:marTop w:val="0"/>
                  <w:marBottom w:val="0"/>
                  <w:divBdr>
                    <w:top w:val="none" w:sz="0" w:space="0" w:color="auto"/>
                    <w:left w:val="none" w:sz="0" w:space="0" w:color="auto"/>
                    <w:bottom w:val="none" w:sz="0" w:space="0" w:color="auto"/>
                    <w:right w:val="none" w:sz="0" w:space="0" w:color="auto"/>
                  </w:divBdr>
                  <w:divsChild>
                    <w:div w:id="204355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3098536">
      <w:bodyDiv w:val="1"/>
      <w:marLeft w:val="0"/>
      <w:marRight w:val="0"/>
      <w:marTop w:val="0"/>
      <w:marBottom w:val="0"/>
      <w:divBdr>
        <w:top w:val="none" w:sz="0" w:space="0" w:color="auto"/>
        <w:left w:val="none" w:sz="0" w:space="0" w:color="auto"/>
        <w:bottom w:val="none" w:sz="0" w:space="0" w:color="auto"/>
        <w:right w:val="none" w:sz="0" w:space="0" w:color="auto"/>
      </w:divBdr>
    </w:div>
    <w:div w:id="1399283043">
      <w:bodyDiv w:val="1"/>
      <w:marLeft w:val="0"/>
      <w:marRight w:val="0"/>
      <w:marTop w:val="0"/>
      <w:marBottom w:val="0"/>
      <w:divBdr>
        <w:top w:val="none" w:sz="0" w:space="0" w:color="auto"/>
        <w:left w:val="none" w:sz="0" w:space="0" w:color="auto"/>
        <w:bottom w:val="none" w:sz="0" w:space="0" w:color="auto"/>
        <w:right w:val="none" w:sz="0" w:space="0" w:color="auto"/>
      </w:divBdr>
      <w:divsChild>
        <w:div w:id="890268415">
          <w:marLeft w:val="0"/>
          <w:marRight w:val="0"/>
          <w:marTop w:val="0"/>
          <w:marBottom w:val="0"/>
          <w:divBdr>
            <w:top w:val="none" w:sz="0" w:space="0" w:color="auto"/>
            <w:left w:val="none" w:sz="0" w:space="0" w:color="auto"/>
            <w:bottom w:val="none" w:sz="0" w:space="0" w:color="auto"/>
            <w:right w:val="none" w:sz="0" w:space="0" w:color="auto"/>
          </w:divBdr>
          <w:divsChild>
            <w:div w:id="337537353">
              <w:marLeft w:val="0"/>
              <w:marRight w:val="0"/>
              <w:marTop w:val="0"/>
              <w:marBottom w:val="0"/>
              <w:divBdr>
                <w:top w:val="none" w:sz="0" w:space="0" w:color="auto"/>
                <w:left w:val="none" w:sz="0" w:space="0" w:color="auto"/>
                <w:bottom w:val="none" w:sz="0" w:space="0" w:color="auto"/>
                <w:right w:val="none" w:sz="0" w:space="0" w:color="auto"/>
              </w:divBdr>
              <w:divsChild>
                <w:div w:id="2075622189">
                  <w:marLeft w:val="0"/>
                  <w:marRight w:val="0"/>
                  <w:marTop w:val="0"/>
                  <w:marBottom w:val="0"/>
                  <w:divBdr>
                    <w:top w:val="none" w:sz="0" w:space="0" w:color="auto"/>
                    <w:left w:val="none" w:sz="0" w:space="0" w:color="auto"/>
                    <w:bottom w:val="none" w:sz="0" w:space="0" w:color="auto"/>
                    <w:right w:val="none" w:sz="0" w:space="0" w:color="auto"/>
                  </w:divBdr>
                  <w:divsChild>
                    <w:div w:id="6746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039895">
      <w:bodyDiv w:val="1"/>
      <w:marLeft w:val="0"/>
      <w:marRight w:val="0"/>
      <w:marTop w:val="0"/>
      <w:marBottom w:val="0"/>
      <w:divBdr>
        <w:top w:val="none" w:sz="0" w:space="0" w:color="auto"/>
        <w:left w:val="none" w:sz="0" w:space="0" w:color="auto"/>
        <w:bottom w:val="none" w:sz="0" w:space="0" w:color="auto"/>
        <w:right w:val="none" w:sz="0" w:space="0" w:color="auto"/>
      </w:divBdr>
      <w:divsChild>
        <w:div w:id="1631983199">
          <w:marLeft w:val="0"/>
          <w:marRight w:val="0"/>
          <w:marTop w:val="0"/>
          <w:marBottom w:val="0"/>
          <w:divBdr>
            <w:top w:val="none" w:sz="0" w:space="0" w:color="auto"/>
            <w:left w:val="none" w:sz="0" w:space="0" w:color="auto"/>
            <w:bottom w:val="none" w:sz="0" w:space="0" w:color="auto"/>
            <w:right w:val="none" w:sz="0" w:space="0" w:color="auto"/>
          </w:divBdr>
          <w:divsChild>
            <w:div w:id="620652907">
              <w:marLeft w:val="0"/>
              <w:marRight w:val="0"/>
              <w:marTop w:val="0"/>
              <w:marBottom w:val="0"/>
              <w:divBdr>
                <w:top w:val="none" w:sz="0" w:space="0" w:color="auto"/>
                <w:left w:val="none" w:sz="0" w:space="0" w:color="auto"/>
                <w:bottom w:val="none" w:sz="0" w:space="0" w:color="auto"/>
                <w:right w:val="none" w:sz="0" w:space="0" w:color="auto"/>
              </w:divBdr>
              <w:divsChild>
                <w:div w:id="99691057">
                  <w:marLeft w:val="0"/>
                  <w:marRight w:val="0"/>
                  <w:marTop w:val="0"/>
                  <w:marBottom w:val="0"/>
                  <w:divBdr>
                    <w:top w:val="none" w:sz="0" w:space="0" w:color="auto"/>
                    <w:left w:val="none" w:sz="0" w:space="0" w:color="auto"/>
                    <w:bottom w:val="none" w:sz="0" w:space="0" w:color="auto"/>
                    <w:right w:val="none" w:sz="0" w:space="0" w:color="auto"/>
                  </w:divBdr>
                  <w:divsChild>
                    <w:div w:id="99275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2898268">
      <w:bodyDiv w:val="1"/>
      <w:marLeft w:val="0"/>
      <w:marRight w:val="0"/>
      <w:marTop w:val="0"/>
      <w:marBottom w:val="0"/>
      <w:divBdr>
        <w:top w:val="none" w:sz="0" w:space="0" w:color="auto"/>
        <w:left w:val="none" w:sz="0" w:space="0" w:color="auto"/>
        <w:bottom w:val="none" w:sz="0" w:space="0" w:color="auto"/>
        <w:right w:val="none" w:sz="0" w:space="0" w:color="auto"/>
      </w:divBdr>
      <w:divsChild>
        <w:div w:id="1774856440">
          <w:marLeft w:val="0"/>
          <w:marRight w:val="0"/>
          <w:marTop w:val="0"/>
          <w:marBottom w:val="0"/>
          <w:divBdr>
            <w:top w:val="none" w:sz="0" w:space="0" w:color="auto"/>
            <w:left w:val="none" w:sz="0" w:space="0" w:color="auto"/>
            <w:bottom w:val="none" w:sz="0" w:space="0" w:color="auto"/>
            <w:right w:val="none" w:sz="0" w:space="0" w:color="auto"/>
          </w:divBdr>
          <w:divsChild>
            <w:div w:id="1433358978">
              <w:marLeft w:val="0"/>
              <w:marRight w:val="0"/>
              <w:marTop w:val="0"/>
              <w:marBottom w:val="0"/>
              <w:divBdr>
                <w:top w:val="none" w:sz="0" w:space="0" w:color="auto"/>
                <w:left w:val="none" w:sz="0" w:space="0" w:color="auto"/>
                <w:bottom w:val="none" w:sz="0" w:space="0" w:color="auto"/>
                <w:right w:val="none" w:sz="0" w:space="0" w:color="auto"/>
              </w:divBdr>
              <w:divsChild>
                <w:div w:id="363405473">
                  <w:marLeft w:val="0"/>
                  <w:marRight w:val="0"/>
                  <w:marTop w:val="0"/>
                  <w:marBottom w:val="0"/>
                  <w:divBdr>
                    <w:top w:val="none" w:sz="0" w:space="0" w:color="auto"/>
                    <w:left w:val="none" w:sz="0" w:space="0" w:color="auto"/>
                    <w:bottom w:val="none" w:sz="0" w:space="0" w:color="auto"/>
                    <w:right w:val="none" w:sz="0" w:space="0" w:color="auto"/>
                  </w:divBdr>
                  <w:divsChild>
                    <w:div w:id="200168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2359703">
      <w:bodyDiv w:val="1"/>
      <w:marLeft w:val="0"/>
      <w:marRight w:val="0"/>
      <w:marTop w:val="0"/>
      <w:marBottom w:val="0"/>
      <w:divBdr>
        <w:top w:val="none" w:sz="0" w:space="0" w:color="auto"/>
        <w:left w:val="none" w:sz="0" w:space="0" w:color="auto"/>
        <w:bottom w:val="none" w:sz="0" w:space="0" w:color="auto"/>
        <w:right w:val="none" w:sz="0" w:space="0" w:color="auto"/>
      </w:divBdr>
    </w:div>
    <w:div w:id="1459177615">
      <w:bodyDiv w:val="1"/>
      <w:marLeft w:val="0"/>
      <w:marRight w:val="0"/>
      <w:marTop w:val="0"/>
      <w:marBottom w:val="0"/>
      <w:divBdr>
        <w:top w:val="none" w:sz="0" w:space="0" w:color="auto"/>
        <w:left w:val="none" w:sz="0" w:space="0" w:color="auto"/>
        <w:bottom w:val="none" w:sz="0" w:space="0" w:color="auto"/>
        <w:right w:val="none" w:sz="0" w:space="0" w:color="auto"/>
      </w:divBdr>
    </w:div>
    <w:div w:id="1461997288">
      <w:bodyDiv w:val="1"/>
      <w:marLeft w:val="0"/>
      <w:marRight w:val="0"/>
      <w:marTop w:val="0"/>
      <w:marBottom w:val="0"/>
      <w:divBdr>
        <w:top w:val="none" w:sz="0" w:space="0" w:color="auto"/>
        <w:left w:val="none" w:sz="0" w:space="0" w:color="auto"/>
        <w:bottom w:val="none" w:sz="0" w:space="0" w:color="auto"/>
        <w:right w:val="none" w:sz="0" w:space="0" w:color="auto"/>
      </w:divBdr>
    </w:div>
    <w:div w:id="1479565532">
      <w:bodyDiv w:val="1"/>
      <w:marLeft w:val="0"/>
      <w:marRight w:val="0"/>
      <w:marTop w:val="0"/>
      <w:marBottom w:val="0"/>
      <w:divBdr>
        <w:top w:val="none" w:sz="0" w:space="0" w:color="auto"/>
        <w:left w:val="none" w:sz="0" w:space="0" w:color="auto"/>
        <w:bottom w:val="none" w:sz="0" w:space="0" w:color="auto"/>
        <w:right w:val="none" w:sz="0" w:space="0" w:color="auto"/>
      </w:divBdr>
    </w:div>
    <w:div w:id="1514107287">
      <w:bodyDiv w:val="1"/>
      <w:marLeft w:val="0"/>
      <w:marRight w:val="0"/>
      <w:marTop w:val="0"/>
      <w:marBottom w:val="0"/>
      <w:divBdr>
        <w:top w:val="none" w:sz="0" w:space="0" w:color="auto"/>
        <w:left w:val="none" w:sz="0" w:space="0" w:color="auto"/>
        <w:bottom w:val="none" w:sz="0" w:space="0" w:color="auto"/>
        <w:right w:val="none" w:sz="0" w:space="0" w:color="auto"/>
      </w:divBdr>
    </w:div>
    <w:div w:id="1542859679">
      <w:bodyDiv w:val="1"/>
      <w:marLeft w:val="0"/>
      <w:marRight w:val="0"/>
      <w:marTop w:val="0"/>
      <w:marBottom w:val="0"/>
      <w:divBdr>
        <w:top w:val="none" w:sz="0" w:space="0" w:color="auto"/>
        <w:left w:val="none" w:sz="0" w:space="0" w:color="auto"/>
        <w:bottom w:val="none" w:sz="0" w:space="0" w:color="auto"/>
        <w:right w:val="none" w:sz="0" w:space="0" w:color="auto"/>
      </w:divBdr>
    </w:div>
    <w:div w:id="1556551405">
      <w:bodyDiv w:val="1"/>
      <w:marLeft w:val="0"/>
      <w:marRight w:val="0"/>
      <w:marTop w:val="0"/>
      <w:marBottom w:val="0"/>
      <w:divBdr>
        <w:top w:val="none" w:sz="0" w:space="0" w:color="auto"/>
        <w:left w:val="none" w:sz="0" w:space="0" w:color="auto"/>
        <w:bottom w:val="none" w:sz="0" w:space="0" w:color="auto"/>
        <w:right w:val="none" w:sz="0" w:space="0" w:color="auto"/>
      </w:divBdr>
    </w:div>
    <w:div w:id="1556771593">
      <w:bodyDiv w:val="1"/>
      <w:marLeft w:val="0"/>
      <w:marRight w:val="0"/>
      <w:marTop w:val="0"/>
      <w:marBottom w:val="0"/>
      <w:divBdr>
        <w:top w:val="none" w:sz="0" w:space="0" w:color="auto"/>
        <w:left w:val="none" w:sz="0" w:space="0" w:color="auto"/>
        <w:bottom w:val="none" w:sz="0" w:space="0" w:color="auto"/>
        <w:right w:val="none" w:sz="0" w:space="0" w:color="auto"/>
      </w:divBdr>
    </w:div>
    <w:div w:id="1557469869">
      <w:bodyDiv w:val="1"/>
      <w:marLeft w:val="0"/>
      <w:marRight w:val="0"/>
      <w:marTop w:val="0"/>
      <w:marBottom w:val="0"/>
      <w:divBdr>
        <w:top w:val="none" w:sz="0" w:space="0" w:color="auto"/>
        <w:left w:val="none" w:sz="0" w:space="0" w:color="auto"/>
        <w:bottom w:val="none" w:sz="0" w:space="0" w:color="auto"/>
        <w:right w:val="none" w:sz="0" w:space="0" w:color="auto"/>
      </w:divBdr>
    </w:div>
    <w:div w:id="1566377109">
      <w:bodyDiv w:val="1"/>
      <w:marLeft w:val="0"/>
      <w:marRight w:val="0"/>
      <w:marTop w:val="0"/>
      <w:marBottom w:val="0"/>
      <w:divBdr>
        <w:top w:val="none" w:sz="0" w:space="0" w:color="auto"/>
        <w:left w:val="none" w:sz="0" w:space="0" w:color="auto"/>
        <w:bottom w:val="none" w:sz="0" w:space="0" w:color="auto"/>
        <w:right w:val="none" w:sz="0" w:space="0" w:color="auto"/>
      </w:divBdr>
    </w:div>
    <w:div w:id="1581212622">
      <w:bodyDiv w:val="1"/>
      <w:marLeft w:val="0"/>
      <w:marRight w:val="0"/>
      <w:marTop w:val="0"/>
      <w:marBottom w:val="0"/>
      <w:divBdr>
        <w:top w:val="none" w:sz="0" w:space="0" w:color="auto"/>
        <w:left w:val="none" w:sz="0" w:space="0" w:color="auto"/>
        <w:bottom w:val="none" w:sz="0" w:space="0" w:color="auto"/>
        <w:right w:val="none" w:sz="0" w:space="0" w:color="auto"/>
      </w:divBdr>
    </w:div>
    <w:div w:id="1596088642">
      <w:bodyDiv w:val="1"/>
      <w:marLeft w:val="0"/>
      <w:marRight w:val="0"/>
      <w:marTop w:val="0"/>
      <w:marBottom w:val="0"/>
      <w:divBdr>
        <w:top w:val="none" w:sz="0" w:space="0" w:color="auto"/>
        <w:left w:val="none" w:sz="0" w:space="0" w:color="auto"/>
        <w:bottom w:val="none" w:sz="0" w:space="0" w:color="auto"/>
        <w:right w:val="none" w:sz="0" w:space="0" w:color="auto"/>
      </w:divBdr>
    </w:div>
    <w:div w:id="1600068453">
      <w:bodyDiv w:val="1"/>
      <w:marLeft w:val="0"/>
      <w:marRight w:val="0"/>
      <w:marTop w:val="0"/>
      <w:marBottom w:val="0"/>
      <w:divBdr>
        <w:top w:val="none" w:sz="0" w:space="0" w:color="auto"/>
        <w:left w:val="none" w:sz="0" w:space="0" w:color="auto"/>
        <w:bottom w:val="none" w:sz="0" w:space="0" w:color="auto"/>
        <w:right w:val="none" w:sz="0" w:space="0" w:color="auto"/>
      </w:divBdr>
      <w:divsChild>
        <w:div w:id="1037118516">
          <w:marLeft w:val="0"/>
          <w:marRight w:val="0"/>
          <w:marTop w:val="0"/>
          <w:marBottom w:val="0"/>
          <w:divBdr>
            <w:top w:val="none" w:sz="0" w:space="0" w:color="auto"/>
            <w:left w:val="none" w:sz="0" w:space="0" w:color="auto"/>
            <w:bottom w:val="none" w:sz="0" w:space="0" w:color="auto"/>
            <w:right w:val="none" w:sz="0" w:space="0" w:color="auto"/>
          </w:divBdr>
          <w:divsChild>
            <w:div w:id="1258827294">
              <w:marLeft w:val="0"/>
              <w:marRight w:val="0"/>
              <w:marTop w:val="0"/>
              <w:marBottom w:val="0"/>
              <w:divBdr>
                <w:top w:val="none" w:sz="0" w:space="0" w:color="auto"/>
                <w:left w:val="none" w:sz="0" w:space="0" w:color="auto"/>
                <w:bottom w:val="none" w:sz="0" w:space="0" w:color="auto"/>
                <w:right w:val="none" w:sz="0" w:space="0" w:color="auto"/>
              </w:divBdr>
              <w:divsChild>
                <w:div w:id="483085815">
                  <w:marLeft w:val="0"/>
                  <w:marRight w:val="0"/>
                  <w:marTop w:val="0"/>
                  <w:marBottom w:val="0"/>
                  <w:divBdr>
                    <w:top w:val="none" w:sz="0" w:space="0" w:color="auto"/>
                    <w:left w:val="none" w:sz="0" w:space="0" w:color="auto"/>
                    <w:bottom w:val="none" w:sz="0" w:space="0" w:color="auto"/>
                    <w:right w:val="none" w:sz="0" w:space="0" w:color="auto"/>
                  </w:divBdr>
                  <w:divsChild>
                    <w:div w:id="927154298">
                      <w:marLeft w:val="0"/>
                      <w:marRight w:val="0"/>
                      <w:marTop w:val="0"/>
                      <w:marBottom w:val="0"/>
                      <w:divBdr>
                        <w:top w:val="none" w:sz="0" w:space="0" w:color="auto"/>
                        <w:left w:val="none" w:sz="0" w:space="0" w:color="auto"/>
                        <w:bottom w:val="none" w:sz="0" w:space="0" w:color="auto"/>
                        <w:right w:val="none" w:sz="0" w:space="0" w:color="auto"/>
                      </w:divBdr>
                    </w:div>
                  </w:divsChild>
                </w:div>
                <w:div w:id="1030499163">
                  <w:marLeft w:val="0"/>
                  <w:marRight w:val="0"/>
                  <w:marTop w:val="0"/>
                  <w:marBottom w:val="0"/>
                  <w:divBdr>
                    <w:top w:val="none" w:sz="0" w:space="0" w:color="auto"/>
                    <w:left w:val="none" w:sz="0" w:space="0" w:color="auto"/>
                    <w:bottom w:val="none" w:sz="0" w:space="0" w:color="auto"/>
                    <w:right w:val="none" w:sz="0" w:space="0" w:color="auto"/>
                  </w:divBdr>
                  <w:divsChild>
                    <w:div w:id="53839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2348086">
      <w:bodyDiv w:val="1"/>
      <w:marLeft w:val="0"/>
      <w:marRight w:val="0"/>
      <w:marTop w:val="0"/>
      <w:marBottom w:val="0"/>
      <w:divBdr>
        <w:top w:val="none" w:sz="0" w:space="0" w:color="auto"/>
        <w:left w:val="none" w:sz="0" w:space="0" w:color="auto"/>
        <w:bottom w:val="none" w:sz="0" w:space="0" w:color="auto"/>
        <w:right w:val="none" w:sz="0" w:space="0" w:color="auto"/>
      </w:divBdr>
    </w:div>
    <w:div w:id="1625888873">
      <w:bodyDiv w:val="1"/>
      <w:marLeft w:val="0"/>
      <w:marRight w:val="0"/>
      <w:marTop w:val="0"/>
      <w:marBottom w:val="0"/>
      <w:divBdr>
        <w:top w:val="none" w:sz="0" w:space="0" w:color="auto"/>
        <w:left w:val="none" w:sz="0" w:space="0" w:color="auto"/>
        <w:bottom w:val="none" w:sz="0" w:space="0" w:color="auto"/>
        <w:right w:val="none" w:sz="0" w:space="0" w:color="auto"/>
      </w:divBdr>
      <w:divsChild>
        <w:div w:id="1898198306">
          <w:marLeft w:val="0"/>
          <w:marRight w:val="0"/>
          <w:marTop w:val="0"/>
          <w:marBottom w:val="0"/>
          <w:divBdr>
            <w:top w:val="none" w:sz="0" w:space="0" w:color="auto"/>
            <w:left w:val="none" w:sz="0" w:space="0" w:color="auto"/>
            <w:bottom w:val="none" w:sz="0" w:space="0" w:color="auto"/>
            <w:right w:val="none" w:sz="0" w:space="0" w:color="auto"/>
          </w:divBdr>
          <w:divsChild>
            <w:div w:id="133107786">
              <w:marLeft w:val="0"/>
              <w:marRight w:val="0"/>
              <w:marTop w:val="0"/>
              <w:marBottom w:val="0"/>
              <w:divBdr>
                <w:top w:val="none" w:sz="0" w:space="0" w:color="auto"/>
                <w:left w:val="none" w:sz="0" w:space="0" w:color="auto"/>
                <w:bottom w:val="none" w:sz="0" w:space="0" w:color="auto"/>
                <w:right w:val="none" w:sz="0" w:space="0" w:color="auto"/>
              </w:divBdr>
              <w:divsChild>
                <w:div w:id="74400498">
                  <w:marLeft w:val="0"/>
                  <w:marRight w:val="0"/>
                  <w:marTop w:val="0"/>
                  <w:marBottom w:val="0"/>
                  <w:divBdr>
                    <w:top w:val="none" w:sz="0" w:space="0" w:color="auto"/>
                    <w:left w:val="none" w:sz="0" w:space="0" w:color="auto"/>
                    <w:bottom w:val="none" w:sz="0" w:space="0" w:color="auto"/>
                    <w:right w:val="none" w:sz="0" w:space="0" w:color="auto"/>
                  </w:divBdr>
                  <w:divsChild>
                    <w:div w:id="123155213">
                      <w:marLeft w:val="0"/>
                      <w:marRight w:val="0"/>
                      <w:marTop w:val="0"/>
                      <w:marBottom w:val="0"/>
                      <w:divBdr>
                        <w:top w:val="none" w:sz="0" w:space="0" w:color="auto"/>
                        <w:left w:val="none" w:sz="0" w:space="0" w:color="auto"/>
                        <w:bottom w:val="none" w:sz="0" w:space="0" w:color="auto"/>
                        <w:right w:val="none" w:sz="0" w:space="0" w:color="auto"/>
                      </w:divBdr>
                    </w:div>
                  </w:divsChild>
                </w:div>
                <w:div w:id="1063333044">
                  <w:marLeft w:val="0"/>
                  <w:marRight w:val="0"/>
                  <w:marTop w:val="0"/>
                  <w:marBottom w:val="0"/>
                  <w:divBdr>
                    <w:top w:val="none" w:sz="0" w:space="0" w:color="auto"/>
                    <w:left w:val="none" w:sz="0" w:space="0" w:color="auto"/>
                    <w:bottom w:val="none" w:sz="0" w:space="0" w:color="auto"/>
                    <w:right w:val="none" w:sz="0" w:space="0" w:color="auto"/>
                  </w:divBdr>
                  <w:divsChild>
                    <w:div w:id="167641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514811">
      <w:bodyDiv w:val="1"/>
      <w:marLeft w:val="0"/>
      <w:marRight w:val="0"/>
      <w:marTop w:val="0"/>
      <w:marBottom w:val="0"/>
      <w:divBdr>
        <w:top w:val="none" w:sz="0" w:space="0" w:color="auto"/>
        <w:left w:val="none" w:sz="0" w:space="0" w:color="auto"/>
        <w:bottom w:val="none" w:sz="0" w:space="0" w:color="auto"/>
        <w:right w:val="none" w:sz="0" w:space="0" w:color="auto"/>
      </w:divBdr>
    </w:div>
    <w:div w:id="1662125928">
      <w:bodyDiv w:val="1"/>
      <w:marLeft w:val="0"/>
      <w:marRight w:val="0"/>
      <w:marTop w:val="0"/>
      <w:marBottom w:val="0"/>
      <w:divBdr>
        <w:top w:val="none" w:sz="0" w:space="0" w:color="auto"/>
        <w:left w:val="none" w:sz="0" w:space="0" w:color="auto"/>
        <w:bottom w:val="none" w:sz="0" w:space="0" w:color="auto"/>
        <w:right w:val="none" w:sz="0" w:space="0" w:color="auto"/>
      </w:divBdr>
    </w:div>
    <w:div w:id="1684621872">
      <w:bodyDiv w:val="1"/>
      <w:marLeft w:val="0"/>
      <w:marRight w:val="0"/>
      <w:marTop w:val="0"/>
      <w:marBottom w:val="0"/>
      <w:divBdr>
        <w:top w:val="none" w:sz="0" w:space="0" w:color="auto"/>
        <w:left w:val="none" w:sz="0" w:space="0" w:color="auto"/>
        <w:bottom w:val="none" w:sz="0" w:space="0" w:color="auto"/>
        <w:right w:val="none" w:sz="0" w:space="0" w:color="auto"/>
      </w:divBdr>
      <w:divsChild>
        <w:div w:id="1641613462">
          <w:marLeft w:val="0"/>
          <w:marRight w:val="0"/>
          <w:marTop w:val="0"/>
          <w:marBottom w:val="0"/>
          <w:divBdr>
            <w:top w:val="none" w:sz="0" w:space="0" w:color="auto"/>
            <w:left w:val="none" w:sz="0" w:space="0" w:color="auto"/>
            <w:bottom w:val="none" w:sz="0" w:space="0" w:color="auto"/>
            <w:right w:val="none" w:sz="0" w:space="0" w:color="auto"/>
          </w:divBdr>
          <w:divsChild>
            <w:div w:id="706640580">
              <w:marLeft w:val="0"/>
              <w:marRight w:val="0"/>
              <w:marTop w:val="0"/>
              <w:marBottom w:val="0"/>
              <w:divBdr>
                <w:top w:val="none" w:sz="0" w:space="0" w:color="auto"/>
                <w:left w:val="none" w:sz="0" w:space="0" w:color="auto"/>
                <w:bottom w:val="none" w:sz="0" w:space="0" w:color="auto"/>
                <w:right w:val="none" w:sz="0" w:space="0" w:color="auto"/>
              </w:divBdr>
              <w:divsChild>
                <w:div w:id="1204371652">
                  <w:marLeft w:val="0"/>
                  <w:marRight w:val="0"/>
                  <w:marTop w:val="0"/>
                  <w:marBottom w:val="0"/>
                  <w:divBdr>
                    <w:top w:val="none" w:sz="0" w:space="0" w:color="auto"/>
                    <w:left w:val="none" w:sz="0" w:space="0" w:color="auto"/>
                    <w:bottom w:val="none" w:sz="0" w:space="0" w:color="auto"/>
                    <w:right w:val="none" w:sz="0" w:space="0" w:color="auto"/>
                  </w:divBdr>
                  <w:divsChild>
                    <w:div w:id="213509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6714692">
      <w:bodyDiv w:val="1"/>
      <w:marLeft w:val="0"/>
      <w:marRight w:val="0"/>
      <w:marTop w:val="0"/>
      <w:marBottom w:val="0"/>
      <w:divBdr>
        <w:top w:val="none" w:sz="0" w:space="0" w:color="auto"/>
        <w:left w:val="none" w:sz="0" w:space="0" w:color="auto"/>
        <w:bottom w:val="none" w:sz="0" w:space="0" w:color="auto"/>
        <w:right w:val="none" w:sz="0" w:space="0" w:color="auto"/>
      </w:divBdr>
    </w:div>
    <w:div w:id="1689215407">
      <w:bodyDiv w:val="1"/>
      <w:marLeft w:val="0"/>
      <w:marRight w:val="0"/>
      <w:marTop w:val="0"/>
      <w:marBottom w:val="0"/>
      <w:divBdr>
        <w:top w:val="none" w:sz="0" w:space="0" w:color="auto"/>
        <w:left w:val="none" w:sz="0" w:space="0" w:color="auto"/>
        <w:bottom w:val="none" w:sz="0" w:space="0" w:color="auto"/>
        <w:right w:val="none" w:sz="0" w:space="0" w:color="auto"/>
      </w:divBdr>
      <w:divsChild>
        <w:div w:id="1642224545">
          <w:marLeft w:val="0"/>
          <w:marRight w:val="0"/>
          <w:marTop w:val="0"/>
          <w:marBottom w:val="0"/>
          <w:divBdr>
            <w:top w:val="none" w:sz="0" w:space="0" w:color="auto"/>
            <w:left w:val="none" w:sz="0" w:space="0" w:color="auto"/>
            <w:bottom w:val="none" w:sz="0" w:space="0" w:color="auto"/>
            <w:right w:val="none" w:sz="0" w:space="0" w:color="auto"/>
          </w:divBdr>
          <w:divsChild>
            <w:div w:id="425149290">
              <w:marLeft w:val="0"/>
              <w:marRight w:val="0"/>
              <w:marTop w:val="0"/>
              <w:marBottom w:val="0"/>
              <w:divBdr>
                <w:top w:val="none" w:sz="0" w:space="0" w:color="auto"/>
                <w:left w:val="none" w:sz="0" w:space="0" w:color="auto"/>
                <w:bottom w:val="none" w:sz="0" w:space="0" w:color="auto"/>
                <w:right w:val="none" w:sz="0" w:space="0" w:color="auto"/>
              </w:divBdr>
              <w:divsChild>
                <w:div w:id="496726582">
                  <w:marLeft w:val="0"/>
                  <w:marRight w:val="0"/>
                  <w:marTop w:val="0"/>
                  <w:marBottom w:val="0"/>
                  <w:divBdr>
                    <w:top w:val="none" w:sz="0" w:space="0" w:color="auto"/>
                    <w:left w:val="none" w:sz="0" w:space="0" w:color="auto"/>
                    <w:bottom w:val="none" w:sz="0" w:space="0" w:color="auto"/>
                    <w:right w:val="none" w:sz="0" w:space="0" w:color="auto"/>
                  </w:divBdr>
                  <w:divsChild>
                    <w:div w:id="31877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4845000">
      <w:bodyDiv w:val="1"/>
      <w:marLeft w:val="0"/>
      <w:marRight w:val="0"/>
      <w:marTop w:val="0"/>
      <w:marBottom w:val="0"/>
      <w:divBdr>
        <w:top w:val="none" w:sz="0" w:space="0" w:color="auto"/>
        <w:left w:val="none" w:sz="0" w:space="0" w:color="auto"/>
        <w:bottom w:val="none" w:sz="0" w:space="0" w:color="auto"/>
        <w:right w:val="none" w:sz="0" w:space="0" w:color="auto"/>
      </w:divBdr>
    </w:div>
    <w:div w:id="1716850249">
      <w:bodyDiv w:val="1"/>
      <w:marLeft w:val="0"/>
      <w:marRight w:val="0"/>
      <w:marTop w:val="0"/>
      <w:marBottom w:val="0"/>
      <w:divBdr>
        <w:top w:val="none" w:sz="0" w:space="0" w:color="auto"/>
        <w:left w:val="none" w:sz="0" w:space="0" w:color="auto"/>
        <w:bottom w:val="none" w:sz="0" w:space="0" w:color="auto"/>
        <w:right w:val="none" w:sz="0" w:space="0" w:color="auto"/>
      </w:divBdr>
      <w:divsChild>
        <w:div w:id="2110805498">
          <w:marLeft w:val="0"/>
          <w:marRight w:val="0"/>
          <w:marTop w:val="0"/>
          <w:marBottom w:val="0"/>
          <w:divBdr>
            <w:top w:val="none" w:sz="0" w:space="0" w:color="auto"/>
            <w:left w:val="none" w:sz="0" w:space="0" w:color="auto"/>
            <w:bottom w:val="none" w:sz="0" w:space="0" w:color="auto"/>
            <w:right w:val="none" w:sz="0" w:space="0" w:color="auto"/>
          </w:divBdr>
          <w:divsChild>
            <w:div w:id="1831749660">
              <w:marLeft w:val="0"/>
              <w:marRight w:val="0"/>
              <w:marTop w:val="0"/>
              <w:marBottom w:val="0"/>
              <w:divBdr>
                <w:top w:val="none" w:sz="0" w:space="0" w:color="auto"/>
                <w:left w:val="none" w:sz="0" w:space="0" w:color="auto"/>
                <w:bottom w:val="none" w:sz="0" w:space="0" w:color="auto"/>
                <w:right w:val="none" w:sz="0" w:space="0" w:color="auto"/>
              </w:divBdr>
              <w:divsChild>
                <w:div w:id="24252270">
                  <w:marLeft w:val="0"/>
                  <w:marRight w:val="0"/>
                  <w:marTop w:val="0"/>
                  <w:marBottom w:val="0"/>
                  <w:divBdr>
                    <w:top w:val="none" w:sz="0" w:space="0" w:color="auto"/>
                    <w:left w:val="none" w:sz="0" w:space="0" w:color="auto"/>
                    <w:bottom w:val="none" w:sz="0" w:space="0" w:color="auto"/>
                    <w:right w:val="none" w:sz="0" w:space="0" w:color="auto"/>
                  </w:divBdr>
                  <w:divsChild>
                    <w:div w:id="70171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2993946">
      <w:bodyDiv w:val="1"/>
      <w:marLeft w:val="0"/>
      <w:marRight w:val="0"/>
      <w:marTop w:val="0"/>
      <w:marBottom w:val="0"/>
      <w:divBdr>
        <w:top w:val="none" w:sz="0" w:space="0" w:color="auto"/>
        <w:left w:val="none" w:sz="0" w:space="0" w:color="auto"/>
        <w:bottom w:val="none" w:sz="0" w:space="0" w:color="auto"/>
        <w:right w:val="none" w:sz="0" w:space="0" w:color="auto"/>
      </w:divBdr>
    </w:div>
    <w:div w:id="1732998990">
      <w:bodyDiv w:val="1"/>
      <w:marLeft w:val="0"/>
      <w:marRight w:val="0"/>
      <w:marTop w:val="0"/>
      <w:marBottom w:val="0"/>
      <w:divBdr>
        <w:top w:val="none" w:sz="0" w:space="0" w:color="auto"/>
        <w:left w:val="none" w:sz="0" w:space="0" w:color="auto"/>
        <w:bottom w:val="none" w:sz="0" w:space="0" w:color="auto"/>
        <w:right w:val="none" w:sz="0" w:space="0" w:color="auto"/>
      </w:divBdr>
      <w:divsChild>
        <w:div w:id="1360204547">
          <w:marLeft w:val="0"/>
          <w:marRight w:val="0"/>
          <w:marTop w:val="0"/>
          <w:marBottom w:val="0"/>
          <w:divBdr>
            <w:top w:val="none" w:sz="0" w:space="0" w:color="auto"/>
            <w:left w:val="none" w:sz="0" w:space="0" w:color="auto"/>
            <w:bottom w:val="none" w:sz="0" w:space="0" w:color="auto"/>
            <w:right w:val="none" w:sz="0" w:space="0" w:color="auto"/>
          </w:divBdr>
          <w:divsChild>
            <w:div w:id="1776906260">
              <w:marLeft w:val="0"/>
              <w:marRight w:val="0"/>
              <w:marTop w:val="0"/>
              <w:marBottom w:val="0"/>
              <w:divBdr>
                <w:top w:val="none" w:sz="0" w:space="0" w:color="auto"/>
                <w:left w:val="none" w:sz="0" w:space="0" w:color="auto"/>
                <w:bottom w:val="none" w:sz="0" w:space="0" w:color="auto"/>
                <w:right w:val="none" w:sz="0" w:space="0" w:color="auto"/>
              </w:divBdr>
              <w:divsChild>
                <w:div w:id="1855653778">
                  <w:marLeft w:val="0"/>
                  <w:marRight w:val="0"/>
                  <w:marTop w:val="0"/>
                  <w:marBottom w:val="0"/>
                  <w:divBdr>
                    <w:top w:val="none" w:sz="0" w:space="0" w:color="auto"/>
                    <w:left w:val="none" w:sz="0" w:space="0" w:color="auto"/>
                    <w:bottom w:val="none" w:sz="0" w:space="0" w:color="auto"/>
                    <w:right w:val="none" w:sz="0" w:space="0" w:color="auto"/>
                  </w:divBdr>
                  <w:divsChild>
                    <w:div w:id="39459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067765">
      <w:bodyDiv w:val="1"/>
      <w:marLeft w:val="0"/>
      <w:marRight w:val="0"/>
      <w:marTop w:val="0"/>
      <w:marBottom w:val="0"/>
      <w:divBdr>
        <w:top w:val="none" w:sz="0" w:space="0" w:color="auto"/>
        <w:left w:val="none" w:sz="0" w:space="0" w:color="auto"/>
        <w:bottom w:val="none" w:sz="0" w:space="0" w:color="auto"/>
        <w:right w:val="none" w:sz="0" w:space="0" w:color="auto"/>
      </w:divBdr>
    </w:div>
    <w:div w:id="1776706023">
      <w:bodyDiv w:val="1"/>
      <w:marLeft w:val="0"/>
      <w:marRight w:val="0"/>
      <w:marTop w:val="0"/>
      <w:marBottom w:val="0"/>
      <w:divBdr>
        <w:top w:val="none" w:sz="0" w:space="0" w:color="auto"/>
        <w:left w:val="none" w:sz="0" w:space="0" w:color="auto"/>
        <w:bottom w:val="none" w:sz="0" w:space="0" w:color="auto"/>
        <w:right w:val="none" w:sz="0" w:space="0" w:color="auto"/>
      </w:divBdr>
      <w:divsChild>
        <w:div w:id="565798848">
          <w:marLeft w:val="0"/>
          <w:marRight w:val="0"/>
          <w:marTop w:val="0"/>
          <w:marBottom w:val="0"/>
          <w:divBdr>
            <w:top w:val="none" w:sz="0" w:space="0" w:color="auto"/>
            <w:left w:val="none" w:sz="0" w:space="0" w:color="auto"/>
            <w:bottom w:val="none" w:sz="0" w:space="0" w:color="auto"/>
            <w:right w:val="none" w:sz="0" w:space="0" w:color="auto"/>
          </w:divBdr>
          <w:divsChild>
            <w:div w:id="2079396045">
              <w:marLeft w:val="0"/>
              <w:marRight w:val="0"/>
              <w:marTop w:val="0"/>
              <w:marBottom w:val="0"/>
              <w:divBdr>
                <w:top w:val="none" w:sz="0" w:space="0" w:color="auto"/>
                <w:left w:val="none" w:sz="0" w:space="0" w:color="auto"/>
                <w:bottom w:val="none" w:sz="0" w:space="0" w:color="auto"/>
                <w:right w:val="none" w:sz="0" w:space="0" w:color="auto"/>
              </w:divBdr>
              <w:divsChild>
                <w:div w:id="247202362">
                  <w:marLeft w:val="0"/>
                  <w:marRight w:val="0"/>
                  <w:marTop w:val="0"/>
                  <w:marBottom w:val="0"/>
                  <w:divBdr>
                    <w:top w:val="none" w:sz="0" w:space="0" w:color="auto"/>
                    <w:left w:val="none" w:sz="0" w:space="0" w:color="auto"/>
                    <w:bottom w:val="none" w:sz="0" w:space="0" w:color="auto"/>
                    <w:right w:val="none" w:sz="0" w:space="0" w:color="auto"/>
                  </w:divBdr>
                  <w:divsChild>
                    <w:div w:id="54769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9442476">
      <w:bodyDiv w:val="1"/>
      <w:marLeft w:val="0"/>
      <w:marRight w:val="0"/>
      <w:marTop w:val="0"/>
      <w:marBottom w:val="0"/>
      <w:divBdr>
        <w:top w:val="none" w:sz="0" w:space="0" w:color="auto"/>
        <w:left w:val="none" w:sz="0" w:space="0" w:color="auto"/>
        <w:bottom w:val="none" w:sz="0" w:space="0" w:color="auto"/>
        <w:right w:val="none" w:sz="0" w:space="0" w:color="auto"/>
      </w:divBdr>
    </w:div>
    <w:div w:id="1781560111">
      <w:bodyDiv w:val="1"/>
      <w:marLeft w:val="0"/>
      <w:marRight w:val="0"/>
      <w:marTop w:val="0"/>
      <w:marBottom w:val="0"/>
      <w:divBdr>
        <w:top w:val="none" w:sz="0" w:space="0" w:color="auto"/>
        <w:left w:val="none" w:sz="0" w:space="0" w:color="auto"/>
        <w:bottom w:val="none" w:sz="0" w:space="0" w:color="auto"/>
        <w:right w:val="none" w:sz="0" w:space="0" w:color="auto"/>
      </w:divBdr>
    </w:div>
    <w:div w:id="1846632407">
      <w:bodyDiv w:val="1"/>
      <w:marLeft w:val="0"/>
      <w:marRight w:val="0"/>
      <w:marTop w:val="0"/>
      <w:marBottom w:val="0"/>
      <w:divBdr>
        <w:top w:val="none" w:sz="0" w:space="0" w:color="auto"/>
        <w:left w:val="none" w:sz="0" w:space="0" w:color="auto"/>
        <w:bottom w:val="none" w:sz="0" w:space="0" w:color="auto"/>
        <w:right w:val="none" w:sz="0" w:space="0" w:color="auto"/>
      </w:divBdr>
    </w:div>
    <w:div w:id="1884632998">
      <w:bodyDiv w:val="1"/>
      <w:marLeft w:val="0"/>
      <w:marRight w:val="0"/>
      <w:marTop w:val="0"/>
      <w:marBottom w:val="0"/>
      <w:divBdr>
        <w:top w:val="none" w:sz="0" w:space="0" w:color="auto"/>
        <w:left w:val="none" w:sz="0" w:space="0" w:color="auto"/>
        <w:bottom w:val="none" w:sz="0" w:space="0" w:color="auto"/>
        <w:right w:val="none" w:sz="0" w:space="0" w:color="auto"/>
      </w:divBdr>
    </w:div>
    <w:div w:id="1886720462">
      <w:bodyDiv w:val="1"/>
      <w:marLeft w:val="0"/>
      <w:marRight w:val="0"/>
      <w:marTop w:val="0"/>
      <w:marBottom w:val="0"/>
      <w:divBdr>
        <w:top w:val="none" w:sz="0" w:space="0" w:color="auto"/>
        <w:left w:val="none" w:sz="0" w:space="0" w:color="auto"/>
        <w:bottom w:val="none" w:sz="0" w:space="0" w:color="auto"/>
        <w:right w:val="none" w:sz="0" w:space="0" w:color="auto"/>
      </w:divBdr>
    </w:div>
    <w:div w:id="1887524226">
      <w:bodyDiv w:val="1"/>
      <w:marLeft w:val="0"/>
      <w:marRight w:val="0"/>
      <w:marTop w:val="0"/>
      <w:marBottom w:val="0"/>
      <w:divBdr>
        <w:top w:val="none" w:sz="0" w:space="0" w:color="auto"/>
        <w:left w:val="none" w:sz="0" w:space="0" w:color="auto"/>
        <w:bottom w:val="none" w:sz="0" w:space="0" w:color="auto"/>
        <w:right w:val="none" w:sz="0" w:space="0" w:color="auto"/>
      </w:divBdr>
    </w:div>
    <w:div w:id="1893539418">
      <w:bodyDiv w:val="1"/>
      <w:marLeft w:val="0"/>
      <w:marRight w:val="0"/>
      <w:marTop w:val="0"/>
      <w:marBottom w:val="0"/>
      <w:divBdr>
        <w:top w:val="none" w:sz="0" w:space="0" w:color="auto"/>
        <w:left w:val="none" w:sz="0" w:space="0" w:color="auto"/>
        <w:bottom w:val="none" w:sz="0" w:space="0" w:color="auto"/>
        <w:right w:val="none" w:sz="0" w:space="0" w:color="auto"/>
      </w:divBdr>
    </w:div>
    <w:div w:id="1916237994">
      <w:bodyDiv w:val="1"/>
      <w:marLeft w:val="0"/>
      <w:marRight w:val="0"/>
      <w:marTop w:val="0"/>
      <w:marBottom w:val="0"/>
      <w:divBdr>
        <w:top w:val="none" w:sz="0" w:space="0" w:color="auto"/>
        <w:left w:val="none" w:sz="0" w:space="0" w:color="auto"/>
        <w:bottom w:val="none" w:sz="0" w:space="0" w:color="auto"/>
        <w:right w:val="none" w:sz="0" w:space="0" w:color="auto"/>
      </w:divBdr>
    </w:div>
    <w:div w:id="1918854835">
      <w:bodyDiv w:val="1"/>
      <w:marLeft w:val="0"/>
      <w:marRight w:val="0"/>
      <w:marTop w:val="0"/>
      <w:marBottom w:val="0"/>
      <w:divBdr>
        <w:top w:val="none" w:sz="0" w:space="0" w:color="auto"/>
        <w:left w:val="none" w:sz="0" w:space="0" w:color="auto"/>
        <w:bottom w:val="none" w:sz="0" w:space="0" w:color="auto"/>
        <w:right w:val="none" w:sz="0" w:space="0" w:color="auto"/>
      </w:divBdr>
    </w:div>
    <w:div w:id="1932397314">
      <w:bodyDiv w:val="1"/>
      <w:marLeft w:val="0"/>
      <w:marRight w:val="0"/>
      <w:marTop w:val="0"/>
      <w:marBottom w:val="0"/>
      <w:divBdr>
        <w:top w:val="none" w:sz="0" w:space="0" w:color="auto"/>
        <w:left w:val="none" w:sz="0" w:space="0" w:color="auto"/>
        <w:bottom w:val="none" w:sz="0" w:space="0" w:color="auto"/>
        <w:right w:val="none" w:sz="0" w:space="0" w:color="auto"/>
      </w:divBdr>
    </w:div>
    <w:div w:id="1933514611">
      <w:bodyDiv w:val="1"/>
      <w:marLeft w:val="0"/>
      <w:marRight w:val="0"/>
      <w:marTop w:val="0"/>
      <w:marBottom w:val="0"/>
      <w:divBdr>
        <w:top w:val="none" w:sz="0" w:space="0" w:color="auto"/>
        <w:left w:val="none" w:sz="0" w:space="0" w:color="auto"/>
        <w:bottom w:val="none" w:sz="0" w:space="0" w:color="auto"/>
        <w:right w:val="none" w:sz="0" w:space="0" w:color="auto"/>
      </w:divBdr>
    </w:div>
    <w:div w:id="1939753114">
      <w:bodyDiv w:val="1"/>
      <w:marLeft w:val="0"/>
      <w:marRight w:val="0"/>
      <w:marTop w:val="0"/>
      <w:marBottom w:val="0"/>
      <w:divBdr>
        <w:top w:val="none" w:sz="0" w:space="0" w:color="auto"/>
        <w:left w:val="none" w:sz="0" w:space="0" w:color="auto"/>
        <w:bottom w:val="none" w:sz="0" w:space="0" w:color="auto"/>
        <w:right w:val="none" w:sz="0" w:space="0" w:color="auto"/>
      </w:divBdr>
      <w:divsChild>
        <w:div w:id="505360273">
          <w:marLeft w:val="0"/>
          <w:marRight w:val="0"/>
          <w:marTop w:val="0"/>
          <w:marBottom w:val="0"/>
          <w:divBdr>
            <w:top w:val="none" w:sz="0" w:space="0" w:color="auto"/>
            <w:left w:val="none" w:sz="0" w:space="0" w:color="auto"/>
            <w:bottom w:val="none" w:sz="0" w:space="0" w:color="auto"/>
            <w:right w:val="none" w:sz="0" w:space="0" w:color="auto"/>
          </w:divBdr>
          <w:divsChild>
            <w:div w:id="521209510">
              <w:marLeft w:val="0"/>
              <w:marRight w:val="0"/>
              <w:marTop w:val="0"/>
              <w:marBottom w:val="0"/>
              <w:divBdr>
                <w:top w:val="none" w:sz="0" w:space="0" w:color="auto"/>
                <w:left w:val="none" w:sz="0" w:space="0" w:color="auto"/>
                <w:bottom w:val="none" w:sz="0" w:space="0" w:color="auto"/>
                <w:right w:val="none" w:sz="0" w:space="0" w:color="auto"/>
              </w:divBdr>
              <w:divsChild>
                <w:div w:id="1246691892">
                  <w:marLeft w:val="0"/>
                  <w:marRight w:val="0"/>
                  <w:marTop w:val="0"/>
                  <w:marBottom w:val="0"/>
                  <w:divBdr>
                    <w:top w:val="none" w:sz="0" w:space="0" w:color="auto"/>
                    <w:left w:val="none" w:sz="0" w:space="0" w:color="auto"/>
                    <w:bottom w:val="none" w:sz="0" w:space="0" w:color="auto"/>
                    <w:right w:val="none" w:sz="0" w:space="0" w:color="auto"/>
                  </w:divBdr>
                  <w:divsChild>
                    <w:div w:id="46539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012622">
      <w:bodyDiv w:val="1"/>
      <w:marLeft w:val="0"/>
      <w:marRight w:val="0"/>
      <w:marTop w:val="0"/>
      <w:marBottom w:val="0"/>
      <w:divBdr>
        <w:top w:val="none" w:sz="0" w:space="0" w:color="auto"/>
        <w:left w:val="none" w:sz="0" w:space="0" w:color="auto"/>
        <w:bottom w:val="none" w:sz="0" w:space="0" w:color="auto"/>
        <w:right w:val="none" w:sz="0" w:space="0" w:color="auto"/>
      </w:divBdr>
    </w:div>
    <w:div w:id="1952974536">
      <w:bodyDiv w:val="1"/>
      <w:marLeft w:val="0"/>
      <w:marRight w:val="0"/>
      <w:marTop w:val="0"/>
      <w:marBottom w:val="0"/>
      <w:divBdr>
        <w:top w:val="none" w:sz="0" w:space="0" w:color="auto"/>
        <w:left w:val="none" w:sz="0" w:space="0" w:color="auto"/>
        <w:bottom w:val="none" w:sz="0" w:space="0" w:color="auto"/>
        <w:right w:val="none" w:sz="0" w:space="0" w:color="auto"/>
      </w:divBdr>
      <w:divsChild>
        <w:div w:id="734162401">
          <w:marLeft w:val="0"/>
          <w:marRight w:val="0"/>
          <w:marTop w:val="0"/>
          <w:marBottom w:val="0"/>
          <w:divBdr>
            <w:top w:val="none" w:sz="0" w:space="0" w:color="auto"/>
            <w:left w:val="none" w:sz="0" w:space="0" w:color="auto"/>
            <w:bottom w:val="none" w:sz="0" w:space="0" w:color="auto"/>
            <w:right w:val="none" w:sz="0" w:space="0" w:color="auto"/>
          </w:divBdr>
          <w:divsChild>
            <w:div w:id="992298363">
              <w:marLeft w:val="0"/>
              <w:marRight w:val="0"/>
              <w:marTop w:val="0"/>
              <w:marBottom w:val="0"/>
              <w:divBdr>
                <w:top w:val="none" w:sz="0" w:space="0" w:color="auto"/>
                <w:left w:val="none" w:sz="0" w:space="0" w:color="auto"/>
                <w:bottom w:val="none" w:sz="0" w:space="0" w:color="auto"/>
                <w:right w:val="none" w:sz="0" w:space="0" w:color="auto"/>
              </w:divBdr>
              <w:divsChild>
                <w:div w:id="2087998488">
                  <w:marLeft w:val="0"/>
                  <w:marRight w:val="0"/>
                  <w:marTop w:val="0"/>
                  <w:marBottom w:val="0"/>
                  <w:divBdr>
                    <w:top w:val="none" w:sz="0" w:space="0" w:color="auto"/>
                    <w:left w:val="none" w:sz="0" w:space="0" w:color="auto"/>
                    <w:bottom w:val="none" w:sz="0" w:space="0" w:color="auto"/>
                    <w:right w:val="none" w:sz="0" w:space="0" w:color="auto"/>
                  </w:divBdr>
                  <w:divsChild>
                    <w:div w:id="118505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7561391">
      <w:bodyDiv w:val="1"/>
      <w:marLeft w:val="0"/>
      <w:marRight w:val="0"/>
      <w:marTop w:val="0"/>
      <w:marBottom w:val="0"/>
      <w:divBdr>
        <w:top w:val="none" w:sz="0" w:space="0" w:color="auto"/>
        <w:left w:val="none" w:sz="0" w:space="0" w:color="auto"/>
        <w:bottom w:val="none" w:sz="0" w:space="0" w:color="auto"/>
        <w:right w:val="none" w:sz="0" w:space="0" w:color="auto"/>
      </w:divBdr>
    </w:div>
    <w:div w:id="1984846649">
      <w:bodyDiv w:val="1"/>
      <w:marLeft w:val="0"/>
      <w:marRight w:val="0"/>
      <w:marTop w:val="0"/>
      <w:marBottom w:val="0"/>
      <w:divBdr>
        <w:top w:val="none" w:sz="0" w:space="0" w:color="auto"/>
        <w:left w:val="none" w:sz="0" w:space="0" w:color="auto"/>
        <w:bottom w:val="none" w:sz="0" w:space="0" w:color="auto"/>
        <w:right w:val="none" w:sz="0" w:space="0" w:color="auto"/>
      </w:divBdr>
    </w:div>
    <w:div w:id="1987202953">
      <w:bodyDiv w:val="1"/>
      <w:marLeft w:val="0"/>
      <w:marRight w:val="0"/>
      <w:marTop w:val="0"/>
      <w:marBottom w:val="0"/>
      <w:divBdr>
        <w:top w:val="none" w:sz="0" w:space="0" w:color="auto"/>
        <w:left w:val="none" w:sz="0" w:space="0" w:color="auto"/>
        <w:bottom w:val="none" w:sz="0" w:space="0" w:color="auto"/>
        <w:right w:val="none" w:sz="0" w:space="0" w:color="auto"/>
      </w:divBdr>
      <w:divsChild>
        <w:div w:id="1454901795">
          <w:marLeft w:val="0"/>
          <w:marRight w:val="0"/>
          <w:marTop w:val="0"/>
          <w:marBottom w:val="0"/>
          <w:divBdr>
            <w:top w:val="none" w:sz="0" w:space="0" w:color="auto"/>
            <w:left w:val="none" w:sz="0" w:space="0" w:color="auto"/>
            <w:bottom w:val="none" w:sz="0" w:space="0" w:color="auto"/>
            <w:right w:val="none" w:sz="0" w:space="0" w:color="auto"/>
          </w:divBdr>
          <w:divsChild>
            <w:div w:id="179705640">
              <w:marLeft w:val="0"/>
              <w:marRight w:val="0"/>
              <w:marTop w:val="0"/>
              <w:marBottom w:val="0"/>
              <w:divBdr>
                <w:top w:val="none" w:sz="0" w:space="0" w:color="auto"/>
                <w:left w:val="none" w:sz="0" w:space="0" w:color="auto"/>
                <w:bottom w:val="none" w:sz="0" w:space="0" w:color="auto"/>
                <w:right w:val="none" w:sz="0" w:space="0" w:color="auto"/>
              </w:divBdr>
              <w:divsChild>
                <w:div w:id="1210923506">
                  <w:marLeft w:val="0"/>
                  <w:marRight w:val="0"/>
                  <w:marTop w:val="0"/>
                  <w:marBottom w:val="0"/>
                  <w:divBdr>
                    <w:top w:val="none" w:sz="0" w:space="0" w:color="auto"/>
                    <w:left w:val="none" w:sz="0" w:space="0" w:color="auto"/>
                    <w:bottom w:val="none" w:sz="0" w:space="0" w:color="auto"/>
                    <w:right w:val="none" w:sz="0" w:space="0" w:color="auto"/>
                  </w:divBdr>
                  <w:divsChild>
                    <w:div w:id="14674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0888814">
      <w:bodyDiv w:val="1"/>
      <w:marLeft w:val="0"/>
      <w:marRight w:val="0"/>
      <w:marTop w:val="0"/>
      <w:marBottom w:val="0"/>
      <w:divBdr>
        <w:top w:val="none" w:sz="0" w:space="0" w:color="auto"/>
        <w:left w:val="none" w:sz="0" w:space="0" w:color="auto"/>
        <w:bottom w:val="none" w:sz="0" w:space="0" w:color="auto"/>
        <w:right w:val="none" w:sz="0" w:space="0" w:color="auto"/>
      </w:divBdr>
    </w:div>
    <w:div w:id="2046446622">
      <w:bodyDiv w:val="1"/>
      <w:marLeft w:val="0"/>
      <w:marRight w:val="0"/>
      <w:marTop w:val="0"/>
      <w:marBottom w:val="0"/>
      <w:divBdr>
        <w:top w:val="none" w:sz="0" w:space="0" w:color="auto"/>
        <w:left w:val="none" w:sz="0" w:space="0" w:color="auto"/>
        <w:bottom w:val="none" w:sz="0" w:space="0" w:color="auto"/>
        <w:right w:val="none" w:sz="0" w:space="0" w:color="auto"/>
      </w:divBdr>
    </w:div>
    <w:div w:id="2063209383">
      <w:bodyDiv w:val="1"/>
      <w:marLeft w:val="0"/>
      <w:marRight w:val="0"/>
      <w:marTop w:val="0"/>
      <w:marBottom w:val="0"/>
      <w:divBdr>
        <w:top w:val="none" w:sz="0" w:space="0" w:color="auto"/>
        <w:left w:val="none" w:sz="0" w:space="0" w:color="auto"/>
        <w:bottom w:val="none" w:sz="0" w:space="0" w:color="auto"/>
        <w:right w:val="none" w:sz="0" w:space="0" w:color="auto"/>
      </w:divBdr>
    </w:div>
    <w:div w:id="2068020546">
      <w:bodyDiv w:val="1"/>
      <w:marLeft w:val="0"/>
      <w:marRight w:val="0"/>
      <w:marTop w:val="0"/>
      <w:marBottom w:val="0"/>
      <w:divBdr>
        <w:top w:val="none" w:sz="0" w:space="0" w:color="auto"/>
        <w:left w:val="none" w:sz="0" w:space="0" w:color="auto"/>
        <w:bottom w:val="none" w:sz="0" w:space="0" w:color="auto"/>
        <w:right w:val="none" w:sz="0" w:space="0" w:color="auto"/>
      </w:divBdr>
    </w:div>
    <w:div w:id="2068140086">
      <w:bodyDiv w:val="1"/>
      <w:marLeft w:val="0"/>
      <w:marRight w:val="0"/>
      <w:marTop w:val="0"/>
      <w:marBottom w:val="0"/>
      <w:divBdr>
        <w:top w:val="none" w:sz="0" w:space="0" w:color="auto"/>
        <w:left w:val="none" w:sz="0" w:space="0" w:color="auto"/>
        <w:bottom w:val="none" w:sz="0" w:space="0" w:color="auto"/>
        <w:right w:val="none" w:sz="0" w:space="0" w:color="auto"/>
      </w:divBdr>
    </w:div>
    <w:div w:id="2073693073">
      <w:bodyDiv w:val="1"/>
      <w:marLeft w:val="0"/>
      <w:marRight w:val="0"/>
      <w:marTop w:val="0"/>
      <w:marBottom w:val="0"/>
      <w:divBdr>
        <w:top w:val="none" w:sz="0" w:space="0" w:color="auto"/>
        <w:left w:val="none" w:sz="0" w:space="0" w:color="auto"/>
        <w:bottom w:val="none" w:sz="0" w:space="0" w:color="auto"/>
        <w:right w:val="none" w:sz="0" w:space="0" w:color="auto"/>
      </w:divBdr>
      <w:divsChild>
        <w:div w:id="1159537676">
          <w:marLeft w:val="0"/>
          <w:marRight w:val="0"/>
          <w:marTop w:val="0"/>
          <w:marBottom w:val="0"/>
          <w:divBdr>
            <w:top w:val="none" w:sz="0" w:space="0" w:color="auto"/>
            <w:left w:val="none" w:sz="0" w:space="0" w:color="auto"/>
            <w:bottom w:val="none" w:sz="0" w:space="0" w:color="auto"/>
            <w:right w:val="none" w:sz="0" w:space="0" w:color="auto"/>
          </w:divBdr>
          <w:divsChild>
            <w:div w:id="1785226078">
              <w:marLeft w:val="0"/>
              <w:marRight w:val="0"/>
              <w:marTop w:val="0"/>
              <w:marBottom w:val="0"/>
              <w:divBdr>
                <w:top w:val="none" w:sz="0" w:space="0" w:color="auto"/>
                <w:left w:val="none" w:sz="0" w:space="0" w:color="auto"/>
                <w:bottom w:val="none" w:sz="0" w:space="0" w:color="auto"/>
                <w:right w:val="none" w:sz="0" w:space="0" w:color="auto"/>
              </w:divBdr>
              <w:divsChild>
                <w:div w:id="951741159">
                  <w:marLeft w:val="0"/>
                  <w:marRight w:val="0"/>
                  <w:marTop w:val="0"/>
                  <w:marBottom w:val="0"/>
                  <w:divBdr>
                    <w:top w:val="none" w:sz="0" w:space="0" w:color="auto"/>
                    <w:left w:val="none" w:sz="0" w:space="0" w:color="auto"/>
                    <w:bottom w:val="none" w:sz="0" w:space="0" w:color="auto"/>
                    <w:right w:val="none" w:sz="0" w:space="0" w:color="auto"/>
                  </w:divBdr>
                  <w:divsChild>
                    <w:div w:id="1025405835">
                      <w:marLeft w:val="0"/>
                      <w:marRight w:val="0"/>
                      <w:marTop w:val="0"/>
                      <w:marBottom w:val="0"/>
                      <w:divBdr>
                        <w:top w:val="none" w:sz="0" w:space="0" w:color="auto"/>
                        <w:left w:val="none" w:sz="0" w:space="0" w:color="auto"/>
                        <w:bottom w:val="none" w:sz="0" w:space="0" w:color="auto"/>
                        <w:right w:val="none" w:sz="0" w:space="0" w:color="auto"/>
                      </w:divBdr>
                    </w:div>
                  </w:divsChild>
                </w:div>
                <w:div w:id="393434568">
                  <w:marLeft w:val="0"/>
                  <w:marRight w:val="0"/>
                  <w:marTop w:val="0"/>
                  <w:marBottom w:val="0"/>
                  <w:divBdr>
                    <w:top w:val="none" w:sz="0" w:space="0" w:color="auto"/>
                    <w:left w:val="none" w:sz="0" w:space="0" w:color="auto"/>
                    <w:bottom w:val="none" w:sz="0" w:space="0" w:color="auto"/>
                    <w:right w:val="none" w:sz="0" w:space="0" w:color="auto"/>
                  </w:divBdr>
                  <w:divsChild>
                    <w:div w:id="133722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665988">
      <w:bodyDiv w:val="1"/>
      <w:marLeft w:val="0"/>
      <w:marRight w:val="0"/>
      <w:marTop w:val="0"/>
      <w:marBottom w:val="0"/>
      <w:divBdr>
        <w:top w:val="none" w:sz="0" w:space="0" w:color="auto"/>
        <w:left w:val="none" w:sz="0" w:space="0" w:color="auto"/>
        <w:bottom w:val="none" w:sz="0" w:space="0" w:color="auto"/>
        <w:right w:val="none" w:sz="0" w:space="0" w:color="auto"/>
      </w:divBdr>
      <w:divsChild>
        <w:div w:id="581186700">
          <w:marLeft w:val="0"/>
          <w:marRight w:val="0"/>
          <w:marTop w:val="0"/>
          <w:marBottom w:val="0"/>
          <w:divBdr>
            <w:top w:val="none" w:sz="0" w:space="0" w:color="auto"/>
            <w:left w:val="none" w:sz="0" w:space="0" w:color="auto"/>
            <w:bottom w:val="none" w:sz="0" w:space="0" w:color="auto"/>
            <w:right w:val="none" w:sz="0" w:space="0" w:color="auto"/>
          </w:divBdr>
          <w:divsChild>
            <w:div w:id="1895307250">
              <w:marLeft w:val="0"/>
              <w:marRight w:val="0"/>
              <w:marTop w:val="0"/>
              <w:marBottom w:val="0"/>
              <w:divBdr>
                <w:top w:val="none" w:sz="0" w:space="0" w:color="auto"/>
                <w:left w:val="none" w:sz="0" w:space="0" w:color="auto"/>
                <w:bottom w:val="none" w:sz="0" w:space="0" w:color="auto"/>
                <w:right w:val="none" w:sz="0" w:space="0" w:color="auto"/>
              </w:divBdr>
              <w:divsChild>
                <w:div w:id="1412964237">
                  <w:marLeft w:val="0"/>
                  <w:marRight w:val="0"/>
                  <w:marTop w:val="0"/>
                  <w:marBottom w:val="0"/>
                  <w:divBdr>
                    <w:top w:val="none" w:sz="0" w:space="0" w:color="auto"/>
                    <w:left w:val="none" w:sz="0" w:space="0" w:color="auto"/>
                    <w:bottom w:val="none" w:sz="0" w:space="0" w:color="auto"/>
                    <w:right w:val="none" w:sz="0" w:space="0" w:color="auto"/>
                  </w:divBdr>
                  <w:divsChild>
                    <w:div w:id="40449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3355121">
      <w:bodyDiv w:val="1"/>
      <w:marLeft w:val="0"/>
      <w:marRight w:val="0"/>
      <w:marTop w:val="0"/>
      <w:marBottom w:val="0"/>
      <w:divBdr>
        <w:top w:val="none" w:sz="0" w:space="0" w:color="auto"/>
        <w:left w:val="none" w:sz="0" w:space="0" w:color="auto"/>
        <w:bottom w:val="none" w:sz="0" w:space="0" w:color="auto"/>
        <w:right w:val="none" w:sz="0" w:space="0" w:color="auto"/>
      </w:divBdr>
      <w:divsChild>
        <w:div w:id="318726601">
          <w:marLeft w:val="0"/>
          <w:marRight w:val="0"/>
          <w:marTop w:val="0"/>
          <w:marBottom w:val="0"/>
          <w:divBdr>
            <w:top w:val="none" w:sz="0" w:space="0" w:color="auto"/>
            <w:left w:val="none" w:sz="0" w:space="0" w:color="auto"/>
            <w:bottom w:val="none" w:sz="0" w:space="0" w:color="auto"/>
            <w:right w:val="none" w:sz="0" w:space="0" w:color="auto"/>
          </w:divBdr>
          <w:divsChild>
            <w:div w:id="2129663305">
              <w:marLeft w:val="0"/>
              <w:marRight w:val="0"/>
              <w:marTop w:val="0"/>
              <w:marBottom w:val="0"/>
              <w:divBdr>
                <w:top w:val="none" w:sz="0" w:space="0" w:color="auto"/>
                <w:left w:val="none" w:sz="0" w:space="0" w:color="auto"/>
                <w:bottom w:val="none" w:sz="0" w:space="0" w:color="auto"/>
                <w:right w:val="none" w:sz="0" w:space="0" w:color="auto"/>
              </w:divBdr>
              <w:divsChild>
                <w:div w:id="1760443346">
                  <w:marLeft w:val="0"/>
                  <w:marRight w:val="0"/>
                  <w:marTop w:val="0"/>
                  <w:marBottom w:val="0"/>
                  <w:divBdr>
                    <w:top w:val="none" w:sz="0" w:space="0" w:color="auto"/>
                    <w:left w:val="none" w:sz="0" w:space="0" w:color="auto"/>
                    <w:bottom w:val="none" w:sz="0" w:space="0" w:color="auto"/>
                    <w:right w:val="none" w:sz="0" w:space="0" w:color="auto"/>
                  </w:divBdr>
                  <w:divsChild>
                    <w:div w:id="164176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55128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s://www.coeweb.istat.it/" TargetMode="External"/><Relationship Id="rId26" Type="http://schemas.openxmlformats.org/officeDocument/2006/relationships/footer" Target="footer1.xml"/><Relationship Id="rId39" Type="http://schemas.openxmlformats.org/officeDocument/2006/relationships/hyperlink" Target="mailto:mimorron@istat.it" TargetMode="External"/><Relationship Id="rId21" Type="http://schemas.openxmlformats.org/officeDocument/2006/relationships/chart" Target="charts/chart2.xml"/><Relationship Id="rId34" Type="http://schemas.openxmlformats.org/officeDocument/2006/relationships/hyperlink" Target="https://www.coeweb.istat.it/" TargetMode="External"/><Relationship Id="rId42" Type="http://schemas.openxmlformats.org/officeDocument/2006/relationships/theme" Target="theme/theme1.xm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hyperlink" Target="http://dati.istat.it" TargetMode="External"/><Relationship Id="rId20" Type="http://schemas.openxmlformats.org/officeDocument/2006/relationships/chart" Target="charts/chart1.xml"/><Relationship Id="rId29" Type="http://schemas.openxmlformats.org/officeDocument/2006/relationships/hyperlink" Target="https://ec.europa.eu/eurostat/data/metadata/covid-19-support-for-statisticians"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chart" Target="charts/chart5.xml"/><Relationship Id="rId32" Type="http://schemas.openxmlformats.org/officeDocument/2006/relationships/hyperlink" Target="https://www.coeweb.istat.it/note_metodologiche/note_diffusione.htm" TargetMode="External"/><Relationship Id="rId37" Type="http://schemas.openxmlformats.org/officeDocument/2006/relationships/hyperlink" Target="http://www.istat.it/it/archivio/esportazioni+delle+regioni" TargetMode="External"/><Relationship Id="rId40" Type="http://schemas.openxmlformats.org/officeDocument/2006/relationships/header" Target="header4.xml"/><Relationship Id="rId5" Type="http://schemas.openxmlformats.org/officeDocument/2006/relationships/customXml" Target="../customXml/item5.xml"/><Relationship Id="rId15" Type="http://schemas.openxmlformats.org/officeDocument/2006/relationships/image" Target="media/image5.png"/><Relationship Id="rId23" Type="http://schemas.openxmlformats.org/officeDocument/2006/relationships/chart" Target="charts/chart4.xml"/><Relationship Id="rId28" Type="http://schemas.openxmlformats.org/officeDocument/2006/relationships/hyperlink" Target="http://www.istat.it/it/archivio/45225" TargetMode="External"/><Relationship Id="rId36" Type="http://schemas.openxmlformats.org/officeDocument/2006/relationships/hyperlink" Target="http://www.istat.it/it/archivio/commercio+estero+extra+ue" TargetMode="External"/><Relationship Id="rId10" Type="http://schemas.openxmlformats.org/officeDocument/2006/relationships/webSettings" Target="webSettings.xml"/><Relationship Id="rId19" Type="http://schemas.openxmlformats.org/officeDocument/2006/relationships/header" Target="header1.xml"/><Relationship Id="rId31" Type="http://schemas.openxmlformats.org/officeDocument/2006/relationships/hyperlink" Target="http://www.istat.it/it/files/2016/07/scheda-CommercioEsteroextraUE.pdf"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4.png"/><Relationship Id="rId22" Type="http://schemas.openxmlformats.org/officeDocument/2006/relationships/chart" Target="charts/chart3.xml"/><Relationship Id="rId27" Type="http://schemas.openxmlformats.org/officeDocument/2006/relationships/header" Target="header3.xml"/><Relationship Id="rId30" Type="http://schemas.openxmlformats.org/officeDocument/2006/relationships/hyperlink" Target="http://www.istat.it/it/congiuntura/revisioni" TargetMode="External"/><Relationship Id="rId35" Type="http://schemas.openxmlformats.org/officeDocument/2006/relationships/hyperlink" Target="http://www.istat.it/it/archivio/commercio+estero+e+prezzi+import" TargetMode="External"/><Relationship Id="rId8" Type="http://schemas.openxmlformats.org/officeDocument/2006/relationships/styles" Target="styles.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http://www.istat.it/it/congiuntura" TargetMode="External"/><Relationship Id="rId25" Type="http://schemas.openxmlformats.org/officeDocument/2006/relationships/header" Target="header2.xml"/><Relationship Id="rId33" Type="http://schemas.openxmlformats.org/officeDocument/2006/relationships/hyperlink" Target="https://www.coeweb.istat.it/" TargetMode="External"/><Relationship Id="rId38" Type="http://schemas.openxmlformats.org/officeDocument/2006/relationships/hyperlink" Target="http://www.istat.it/it/archivio/45225"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8.jpe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_rels/header3.xml.rels><?xml version="1.0" encoding="UTF-8" standalone="yes"?>
<Relationships xmlns="http://schemas.openxmlformats.org/package/2006/relationships"><Relationship Id="rId1" Type="http://schemas.openxmlformats.org/officeDocument/2006/relationships/image" Target="media/image9.png"/></Relationships>
</file>

<file path=word/_rels/header4.xml.rels><?xml version="1.0" encoding="UTF-8" standalone="yes"?>
<Relationships xmlns="http://schemas.openxmlformats.org/package/2006/relationships"><Relationship Id="rId1" Type="http://schemas.openxmlformats.org/officeDocument/2006/relationships/image" Target="media/image10.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Nas-repo1\share2\COE_documentazione_servizio\DIFFUSIONE\COMUNICATO%20STAMPA\CS%20Extra\CS_COE_Extra_Ue_ottobre_2022\coe_extraue_102022.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Nas-repo1\share2\COE_documentazione_servizio\DIFFUSIONE\COMUNICATO%20STAMPA\CS%20Extra\CS_COE_Extra_Ue_ottobre_2022\coe_extraue_102022.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Nas-repo1\share2\COE_documentazione_servizio\DIFFUSIONE\COMUNICATO%20STAMPA\CS%20Extra\CS_COE_Extra_Ue_ottobre_2022\coe_extraue_102022.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Nas-repo1\share2\COE_documentazione_servizio\DIFFUSIONE\COMUNICATO%20STAMPA\CS%20Extra\CS_COE_Extra_Ue_ottobre_2022\coe_extraue_102022.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Nas-repo1\share2\COE_documentazione_servizio\DIFFUSIONE\COMUNICATO%20STAMPA\CS%20Extra\CS_COE_Extra_Ue_ottobre_2022\coe_extraue_10202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5"/>
          <c:order val="4"/>
          <c:tx>
            <c:strRef>
              <c:f>'[coe_extraue_102022.xlsx]Figura 1'!$G$4</c:f>
              <c:strCache>
                <c:ptCount val="1"/>
                <c:pt idx="0">
                  <c:v>Saldi (scala destra)</c:v>
                </c:pt>
              </c:strCache>
            </c:strRef>
          </c:tx>
          <c:spPr>
            <a:solidFill>
              <a:srgbClr val="A6A6A6"/>
            </a:solidFill>
            <a:ln w="6350" cap="flat" cmpd="sng" algn="ctr">
              <a:solidFill>
                <a:schemeClr val="bg1"/>
              </a:solidFill>
              <a:prstDash val="solid"/>
              <a:round/>
              <a:headEnd type="none" w="med" len="med"/>
              <a:tailEnd type="none" w="med" len="med"/>
            </a:ln>
            <a:effectLst/>
          </c:spPr>
          <c:invertIfNegative val="0"/>
          <c:val>
            <c:numRef>
              <c:f>'[coe_extraue_102022.xlsx]Figura 1'!$G$65:$G$136</c:f>
              <c:numCache>
                <c:formatCode>0</c:formatCode>
                <c:ptCount val="72"/>
                <c:pt idx="0">
                  <c:v>3926</c:v>
                </c:pt>
                <c:pt idx="1">
                  <c:v>3245</c:v>
                </c:pt>
                <c:pt idx="2">
                  <c:v>4442</c:v>
                </c:pt>
                <c:pt idx="3">
                  <c:v>3602</c:v>
                </c:pt>
                <c:pt idx="4">
                  <c:v>3439</c:v>
                </c:pt>
                <c:pt idx="5">
                  <c:v>3884</c:v>
                </c:pt>
                <c:pt idx="6">
                  <c:v>4222</c:v>
                </c:pt>
                <c:pt idx="7">
                  <c:v>4504</c:v>
                </c:pt>
                <c:pt idx="8">
                  <c:v>5332</c:v>
                </c:pt>
                <c:pt idx="9">
                  <c:v>4440</c:v>
                </c:pt>
                <c:pt idx="10">
                  <c:v>4778</c:v>
                </c:pt>
                <c:pt idx="11">
                  <c:v>4815</c:v>
                </c:pt>
                <c:pt idx="12">
                  <c:v>4108</c:v>
                </c:pt>
                <c:pt idx="13">
                  <c:v>3344</c:v>
                </c:pt>
                <c:pt idx="14">
                  <c:v>3795</c:v>
                </c:pt>
                <c:pt idx="15">
                  <c:v>3126</c:v>
                </c:pt>
                <c:pt idx="16">
                  <c:v>2683</c:v>
                </c:pt>
                <c:pt idx="17">
                  <c:v>3940</c:v>
                </c:pt>
                <c:pt idx="18">
                  <c:v>3092</c:v>
                </c:pt>
                <c:pt idx="19">
                  <c:v>3639</c:v>
                </c:pt>
                <c:pt idx="20">
                  <c:v>2122</c:v>
                </c:pt>
                <c:pt idx="21">
                  <c:v>2940</c:v>
                </c:pt>
                <c:pt idx="22">
                  <c:v>3533</c:v>
                </c:pt>
                <c:pt idx="23">
                  <c:v>2763</c:v>
                </c:pt>
                <c:pt idx="24">
                  <c:v>4373</c:v>
                </c:pt>
                <c:pt idx="25">
                  <c:v>4040</c:v>
                </c:pt>
                <c:pt idx="26">
                  <c:v>4096</c:v>
                </c:pt>
                <c:pt idx="27">
                  <c:v>3609</c:v>
                </c:pt>
                <c:pt idx="28">
                  <c:v>3539</c:v>
                </c:pt>
                <c:pt idx="29">
                  <c:v>4535</c:v>
                </c:pt>
                <c:pt idx="30">
                  <c:v>4233</c:v>
                </c:pt>
                <c:pt idx="31">
                  <c:v>4452</c:v>
                </c:pt>
                <c:pt idx="32">
                  <c:v>4224</c:v>
                </c:pt>
                <c:pt idx="33">
                  <c:v>6191</c:v>
                </c:pt>
                <c:pt idx="34">
                  <c:v>4506</c:v>
                </c:pt>
                <c:pt idx="35">
                  <c:v>5081</c:v>
                </c:pt>
                <c:pt idx="36">
                  <c:v>4629</c:v>
                </c:pt>
                <c:pt idx="37">
                  <c:v>5875</c:v>
                </c:pt>
                <c:pt idx="38">
                  <c:v>4550</c:v>
                </c:pt>
                <c:pt idx="39">
                  <c:v>-140</c:v>
                </c:pt>
                <c:pt idx="40">
                  <c:v>3638</c:v>
                </c:pt>
                <c:pt idx="41">
                  <c:v>4167</c:v>
                </c:pt>
                <c:pt idx="42">
                  <c:v>5075</c:v>
                </c:pt>
                <c:pt idx="43">
                  <c:v>5182</c:v>
                </c:pt>
                <c:pt idx="44">
                  <c:v>6393</c:v>
                </c:pt>
                <c:pt idx="45">
                  <c:v>5709</c:v>
                </c:pt>
                <c:pt idx="46">
                  <c:v>5888</c:v>
                </c:pt>
                <c:pt idx="47">
                  <c:v>5490</c:v>
                </c:pt>
                <c:pt idx="48">
                  <c:v>5463</c:v>
                </c:pt>
                <c:pt idx="49">
                  <c:v>4591</c:v>
                </c:pt>
                <c:pt idx="50">
                  <c:v>3972</c:v>
                </c:pt>
                <c:pt idx="51">
                  <c:v>4568</c:v>
                </c:pt>
                <c:pt idx="52">
                  <c:v>3830</c:v>
                </c:pt>
                <c:pt idx="53">
                  <c:v>3884</c:v>
                </c:pt>
                <c:pt idx="54">
                  <c:v>4755</c:v>
                </c:pt>
                <c:pt idx="55">
                  <c:v>2580</c:v>
                </c:pt>
                <c:pt idx="56">
                  <c:v>1574</c:v>
                </c:pt>
                <c:pt idx="57">
                  <c:v>958</c:v>
                </c:pt>
                <c:pt idx="58">
                  <c:v>1097</c:v>
                </c:pt>
                <c:pt idx="59">
                  <c:v>-681</c:v>
                </c:pt>
                <c:pt idx="60">
                  <c:v>-401</c:v>
                </c:pt>
                <c:pt idx="61">
                  <c:v>-874</c:v>
                </c:pt>
                <c:pt idx="62">
                  <c:v>-1578</c:v>
                </c:pt>
                <c:pt idx="63">
                  <c:v>-2713</c:v>
                </c:pt>
                <c:pt idx="64">
                  <c:v>-1081</c:v>
                </c:pt>
                <c:pt idx="65">
                  <c:v>-3890</c:v>
                </c:pt>
                <c:pt idx="66">
                  <c:v>-3667</c:v>
                </c:pt>
                <c:pt idx="67">
                  <c:v>-5936</c:v>
                </c:pt>
                <c:pt idx="68">
                  <c:v>-4633</c:v>
                </c:pt>
                <c:pt idx="69">
                  <c:v>-3119</c:v>
                </c:pt>
              </c:numCache>
            </c:numRef>
          </c:val>
          <c:extLst>
            <c:ext xmlns:c16="http://schemas.microsoft.com/office/drawing/2014/chart" uri="{C3380CC4-5D6E-409C-BE32-E72D297353CC}">
              <c16:uniqueId val="{00000000-8597-40B0-9CDE-14832E81D4F6}"/>
            </c:ext>
          </c:extLst>
        </c:ser>
        <c:dLbls>
          <c:showLegendKey val="0"/>
          <c:showVal val="0"/>
          <c:showCatName val="0"/>
          <c:showSerName val="0"/>
          <c:showPercent val="0"/>
          <c:showBubbleSize val="0"/>
        </c:dLbls>
        <c:gapWidth val="0"/>
        <c:axId val="208045248"/>
        <c:axId val="208044688"/>
      </c:barChart>
      <c:lineChart>
        <c:grouping val="standard"/>
        <c:varyColors val="0"/>
        <c:ser>
          <c:idx val="2"/>
          <c:order val="0"/>
          <c:tx>
            <c:strRef>
              <c:f>'[coe_extraue_102022.xlsx]Figura 1'!$C$4</c:f>
              <c:strCache>
                <c:ptCount val="1"/>
                <c:pt idx="0">
                  <c:v>Export - mensile</c:v>
                </c:pt>
              </c:strCache>
            </c:strRef>
          </c:tx>
          <c:spPr>
            <a:ln w="12700" cap="flat" cmpd="sng" algn="ctr">
              <a:solidFill>
                <a:srgbClr val="003B5C"/>
              </a:solidFill>
              <a:prstDash val="sysDash"/>
              <a:round/>
              <a:headEnd type="none" w="med" len="med"/>
              <a:tailEnd type="none" w="med" len="med"/>
            </a:ln>
            <a:effectLst/>
          </c:spPr>
          <c:marker>
            <c:symbol val="none"/>
          </c:marker>
          <c:cat>
            <c:numRef>
              <c:f>'[coe_extraue_102022.xlsx]Figura 1'!$B$65:$B$136</c:f>
              <c:numCache>
                <c:formatCode>General</c:formatCode>
                <c:ptCount val="72"/>
                <c:pt idx="5" formatCode="0">
                  <c:v>2017</c:v>
                </c:pt>
                <c:pt idx="17" formatCode="0">
                  <c:v>2018</c:v>
                </c:pt>
                <c:pt idx="29" formatCode="0">
                  <c:v>2019</c:v>
                </c:pt>
                <c:pt idx="41" formatCode="0">
                  <c:v>2020</c:v>
                </c:pt>
                <c:pt idx="53" formatCode="0">
                  <c:v>2021</c:v>
                </c:pt>
                <c:pt idx="65" formatCode="0">
                  <c:v>2022</c:v>
                </c:pt>
              </c:numCache>
            </c:numRef>
          </c:cat>
          <c:val>
            <c:numRef>
              <c:f>'[coe_extraue_102022.xlsx]Figura 1'!$C$65:$C$136</c:f>
              <c:numCache>
                <c:formatCode>0</c:formatCode>
                <c:ptCount val="72"/>
                <c:pt idx="0">
                  <c:v>18539</c:v>
                </c:pt>
                <c:pt idx="1">
                  <c:v>17910</c:v>
                </c:pt>
                <c:pt idx="2">
                  <c:v>19006</c:v>
                </c:pt>
                <c:pt idx="3">
                  <c:v>17965</c:v>
                </c:pt>
                <c:pt idx="4">
                  <c:v>18470</c:v>
                </c:pt>
                <c:pt idx="5">
                  <c:v>18214</c:v>
                </c:pt>
                <c:pt idx="6">
                  <c:v>18175</c:v>
                </c:pt>
                <c:pt idx="7">
                  <c:v>18692</c:v>
                </c:pt>
                <c:pt idx="8">
                  <c:v>18807</c:v>
                </c:pt>
                <c:pt idx="9">
                  <c:v>18380</c:v>
                </c:pt>
                <c:pt idx="10">
                  <c:v>19500</c:v>
                </c:pt>
                <c:pt idx="11">
                  <c:v>19763</c:v>
                </c:pt>
                <c:pt idx="12">
                  <c:v>18325</c:v>
                </c:pt>
                <c:pt idx="13">
                  <c:v>17997</c:v>
                </c:pt>
                <c:pt idx="14">
                  <c:v>18719</c:v>
                </c:pt>
                <c:pt idx="15">
                  <c:v>18592</c:v>
                </c:pt>
                <c:pt idx="16">
                  <c:v>18136</c:v>
                </c:pt>
                <c:pt idx="17">
                  <c:v>19516</c:v>
                </c:pt>
                <c:pt idx="18">
                  <c:v>18969</c:v>
                </c:pt>
                <c:pt idx="19">
                  <c:v>19334</c:v>
                </c:pt>
                <c:pt idx="20">
                  <c:v>18410</c:v>
                </c:pt>
                <c:pt idx="21">
                  <c:v>19479</c:v>
                </c:pt>
                <c:pt idx="22">
                  <c:v>19785</c:v>
                </c:pt>
                <c:pt idx="23">
                  <c:v>18771</c:v>
                </c:pt>
                <c:pt idx="24">
                  <c:v>19620</c:v>
                </c:pt>
                <c:pt idx="25">
                  <c:v>19268</c:v>
                </c:pt>
                <c:pt idx="26">
                  <c:v>19560</c:v>
                </c:pt>
                <c:pt idx="27">
                  <c:v>19061</c:v>
                </c:pt>
                <c:pt idx="28">
                  <c:v>19424</c:v>
                </c:pt>
                <c:pt idx="29">
                  <c:v>20077</c:v>
                </c:pt>
                <c:pt idx="30">
                  <c:v>19615</c:v>
                </c:pt>
                <c:pt idx="31">
                  <c:v>19506</c:v>
                </c:pt>
                <c:pt idx="32">
                  <c:v>19873</c:v>
                </c:pt>
                <c:pt idx="33">
                  <c:v>21000</c:v>
                </c:pt>
                <c:pt idx="34">
                  <c:v>19049</c:v>
                </c:pt>
                <c:pt idx="35">
                  <c:v>19638</c:v>
                </c:pt>
                <c:pt idx="36">
                  <c:v>20244</c:v>
                </c:pt>
                <c:pt idx="37">
                  <c:v>20162</c:v>
                </c:pt>
                <c:pt idx="38">
                  <c:v>16452</c:v>
                </c:pt>
                <c:pt idx="39">
                  <c:v>10184</c:v>
                </c:pt>
                <c:pt idx="40">
                  <c:v>14202</c:v>
                </c:pt>
                <c:pt idx="41">
                  <c:v>16567</c:v>
                </c:pt>
                <c:pt idx="42">
                  <c:v>18042</c:v>
                </c:pt>
                <c:pt idx="43">
                  <c:v>18080</c:v>
                </c:pt>
                <c:pt idx="44">
                  <c:v>19358</c:v>
                </c:pt>
                <c:pt idx="45">
                  <c:v>19173</c:v>
                </c:pt>
                <c:pt idx="46">
                  <c:v>19834</c:v>
                </c:pt>
                <c:pt idx="47">
                  <c:v>19082</c:v>
                </c:pt>
                <c:pt idx="48">
                  <c:v>19130</c:v>
                </c:pt>
                <c:pt idx="49">
                  <c:v>18869</c:v>
                </c:pt>
                <c:pt idx="50">
                  <c:v>19339</c:v>
                </c:pt>
                <c:pt idx="51">
                  <c:v>20832</c:v>
                </c:pt>
                <c:pt idx="52">
                  <c:v>19924</c:v>
                </c:pt>
                <c:pt idx="53">
                  <c:v>20145</c:v>
                </c:pt>
                <c:pt idx="54">
                  <c:v>21757</c:v>
                </c:pt>
                <c:pt idx="55">
                  <c:v>20718</c:v>
                </c:pt>
                <c:pt idx="56">
                  <c:v>20276</c:v>
                </c:pt>
                <c:pt idx="57">
                  <c:v>20964</c:v>
                </c:pt>
                <c:pt idx="58">
                  <c:v>21576</c:v>
                </c:pt>
                <c:pt idx="59">
                  <c:v>21165</c:v>
                </c:pt>
                <c:pt idx="60">
                  <c:v>22448</c:v>
                </c:pt>
                <c:pt idx="61">
                  <c:v>22903</c:v>
                </c:pt>
                <c:pt idx="62">
                  <c:v>23377</c:v>
                </c:pt>
                <c:pt idx="63">
                  <c:v>23868</c:v>
                </c:pt>
                <c:pt idx="64">
                  <c:v>24984</c:v>
                </c:pt>
                <c:pt idx="65">
                  <c:v>24638</c:v>
                </c:pt>
                <c:pt idx="66">
                  <c:v>26038</c:v>
                </c:pt>
                <c:pt idx="67">
                  <c:v>24250</c:v>
                </c:pt>
                <c:pt idx="68">
                  <c:v>25693</c:v>
                </c:pt>
                <c:pt idx="69">
                  <c:v>24581</c:v>
                </c:pt>
              </c:numCache>
            </c:numRef>
          </c:val>
          <c:smooth val="0"/>
          <c:extLst>
            <c:ext xmlns:c16="http://schemas.microsoft.com/office/drawing/2014/chart" uri="{C3380CC4-5D6E-409C-BE32-E72D297353CC}">
              <c16:uniqueId val="{00000001-8597-40B0-9CDE-14832E81D4F6}"/>
            </c:ext>
          </c:extLst>
        </c:ser>
        <c:ser>
          <c:idx val="4"/>
          <c:order val="1"/>
          <c:tx>
            <c:strRef>
              <c:f>'[coe_extraue_102022.xlsx]Figura 1'!$D$4</c:f>
              <c:strCache>
                <c:ptCount val="1"/>
                <c:pt idx="0">
                  <c:v>Export - media 3m</c:v>
                </c:pt>
              </c:strCache>
            </c:strRef>
          </c:tx>
          <c:spPr>
            <a:ln w="28575" cap="rnd">
              <a:solidFill>
                <a:srgbClr val="003B5C"/>
              </a:solidFill>
              <a:round/>
            </a:ln>
            <a:effectLst/>
          </c:spPr>
          <c:marker>
            <c:symbol val="none"/>
          </c:marker>
          <c:cat>
            <c:numRef>
              <c:f>'[coe_extraue_102022.xlsx]Figura 1'!$B$65:$B$136</c:f>
              <c:numCache>
                <c:formatCode>General</c:formatCode>
                <c:ptCount val="72"/>
                <c:pt idx="5" formatCode="0">
                  <c:v>2017</c:v>
                </c:pt>
                <c:pt idx="17" formatCode="0">
                  <c:v>2018</c:v>
                </c:pt>
                <c:pt idx="29" formatCode="0">
                  <c:v>2019</c:v>
                </c:pt>
                <c:pt idx="41" formatCode="0">
                  <c:v>2020</c:v>
                </c:pt>
                <c:pt idx="53" formatCode="0">
                  <c:v>2021</c:v>
                </c:pt>
                <c:pt idx="65" formatCode="0">
                  <c:v>2022</c:v>
                </c:pt>
              </c:numCache>
            </c:numRef>
          </c:cat>
          <c:val>
            <c:numRef>
              <c:f>'[coe_extraue_102022.xlsx]Figura 1'!$D$65:$D$136</c:f>
              <c:numCache>
                <c:formatCode>0</c:formatCode>
                <c:ptCount val="72"/>
                <c:pt idx="0">
                  <c:v>18236.333333333332</c:v>
                </c:pt>
                <c:pt idx="1">
                  <c:v>18485</c:v>
                </c:pt>
                <c:pt idx="2">
                  <c:v>18293.666666666668</c:v>
                </c:pt>
                <c:pt idx="3">
                  <c:v>18480.333333333332</c:v>
                </c:pt>
                <c:pt idx="4">
                  <c:v>18216.333333333332</c:v>
                </c:pt>
                <c:pt idx="5">
                  <c:v>18286.333333333332</c:v>
                </c:pt>
                <c:pt idx="6">
                  <c:v>18360.333333333332</c:v>
                </c:pt>
                <c:pt idx="7">
                  <c:v>18558</c:v>
                </c:pt>
                <c:pt idx="8">
                  <c:v>18626.333333333332</c:v>
                </c:pt>
                <c:pt idx="9">
                  <c:v>18895.666666666668</c:v>
                </c:pt>
                <c:pt idx="10">
                  <c:v>19214.333333333332</c:v>
                </c:pt>
                <c:pt idx="11">
                  <c:v>19196</c:v>
                </c:pt>
                <c:pt idx="12">
                  <c:v>18695</c:v>
                </c:pt>
                <c:pt idx="13">
                  <c:v>18347</c:v>
                </c:pt>
                <c:pt idx="14">
                  <c:v>18436</c:v>
                </c:pt>
                <c:pt idx="15">
                  <c:v>18482.333333333332</c:v>
                </c:pt>
                <c:pt idx="16">
                  <c:v>18748</c:v>
                </c:pt>
                <c:pt idx="17">
                  <c:v>18873.666666666668</c:v>
                </c:pt>
                <c:pt idx="18">
                  <c:v>19273</c:v>
                </c:pt>
                <c:pt idx="19">
                  <c:v>18904.333333333332</c:v>
                </c:pt>
                <c:pt idx="20">
                  <c:v>19074.333333333332</c:v>
                </c:pt>
                <c:pt idx="21">
                  <c:v>19224.666666666668</c:v>
                </c:pt>
                <c:pt idx="22">
                  <c:v>19345</c:v>
                </c:pt>
                <c:pt idx="23">
                  <c:v>19392</c:v>
                </c:pt>
                <c:pt idx="24">
                  <c:v>19219.666666666668</c:v>
                </c:pt>
                <c:pt idx="25">
                  <c:v>19482.666666666668</c:v>
                </c:pt>
                <c:pt idx="26">
                  <c:v>19296.333333333332</c:v>
                </c:pt>
                <c:pt idx="27">
                  <c:v>19348.333333333332</c:v>
                </c:pt>
                <c:pt idx="28">
                  <c:v>19520.666666666668</c:v>
                </c:pt>
                <c:pt idx="29">
                  <c:v>19705.333333333332</c:v>
                </c:pt>
                <c:pt idx="30">
                  <c:v>19732.666666666668</c:v>
                </c:pt>
                <c:pt idx="31">
                  <c:v>19664.666666666668</c:v>
                </c:pt>
                <c:pt idx="32">
                  <c:v>20126.333333333332</c:v>
                </c:pt>
                <c:pt idx="33">
                  <c:v>19974</c:v>
                </c:pt>
                <c:pt idx="34">
                  <c:v>19895.666666666668</c:v>
                </c:pt>
                <c:pt idx="35">
                  <c:v>19643.666666666668</c:v>
                </c:pt>
                <c:pt idx="36">
                  <c:v>20014.666666666668</c:v>
                </c:pt>
                <c:pt idx="37">
                  <c:v>18952.666666666668</c:v>
                </c:pt>
                <c:pt idx="38">
                  <c:v>15599.333333333334</c:v>
                </c:pt>
                <c:pt idx="39">
                  <c:v>13612.666666666666</c:v>
                </c:pt>
                <c:pt idx="40">
                  <c:v>13651</c:v>
                </c:pt>
                <c:pt idx="41">
                  <c:v>16270.333333333334</c:v>
                </c:pt>
                <c:pt idx="42">
                  <c:v>17563</c:v>
                </c:pt>
                <c:pt idx="43">
                  <c:v>18493.333333333332</c:v>
                </c:pt>
                <c:pt idx="44">
                  <c:v>18870.333333333332</c:v>
                </c:pt>
                <c:pt idx="45">
                  <c:v>19455</c:v>
                </c:pt>
                <c:pt idx="46">
                  <c:v>19363</c:v>
                </c:pt>
                <c:pt idx="47">
                  <c:v>19348.666666666668</c:v>
                </c:pt>
                <c:pt idx="48">
                  <c:v>19027</c:v>
                </c:pt>
                <c:pt idx="49">
                  <c:v>19112.666666666668</c:v>
                </c:pt>
                <c:pt idx="50">
                  <c:v>19680</c:v>
                </c:pt>
                <c:pt idx="51">
                  <c:v>20031.666666666668</c:v>
                </c:pt>
                <c:pt idx="52">
                  <c:v>20300.333333333332</c:v>
                </c:pt>
                <c:pt idx="53">
                  <c:v>20608.666666666668</c:v>
                </c:pt>
                <c:pt idx="54">
                  <c:v>20873.333333333332</c:v>
                </c:pt>
                <c:pt idx="55">
                  <c:v>20917</c:v>
                </c:pt>
                <c:pt idx="56">
                  <c:v>20652.666666666668</c:v>
                </c:pt>
                <c:pt idx="57">
                  <c:v>20938.666666666668</c:v>
                </c:pt>
                <c:pt idx="58">
                  <c:v>21235</c:v>
                </c:pt>
                <c:pt idx="59">
                  <c:v>21729.666666666668</c:v>
                </c:pt>
                <c:pt idx="60">
                  <c:v>22172</c:v>
                </c:pt>
                <c:pt idx="61">
                  <c:v>22909.333333333332</c:v>
                </c:pt>
                <c:pt idx="62">
                  <c:v>23382.666666666668</c:v>
                </c:pt>
                <c:pt idx="63">
                  <c:v>24076.333333333332</c:v>
                </c:pt>
                <c:pt idx="64">
                  <c:v>24496.666666666668</c:v>
                </c:pt>
                <c:pt idx="65">
                  <c:v>25220</c:v>
                </c:pt>
                <c:pt idx="66">
                  <c:v>24975.333333333332</c:v>
                </c:pt>
                <c:pt idx="67">
                  <c:v>25327</c:v>
                </c:pt>
                <c:pt idx="68">
                  <c:v>24841.333333333332</c:v>
                </c:pt>
              </c:numCache>
            </c:numRef>
          </c:val>
          <c:smooth val="0"/>
          <c:extLst>
            <c:ext xmlns:c16="http://schemas.microsoft.com/office/drawing/2014/chart" uri="{C3380CC4-5D6E-409C-BE32-E72D297353CC}">
              <c16:uniqueId val="{00000002-8597-40B0-9CDE-14832E81D4F6}"/>
            </c:ext>
          </c:extLst>
        </c:ser>
        <c:ser>
          <c:idx val="1"/>
          <c:order val="2"/>
          <c:tx>
            <c:strRef>
              <c:f>'[coe_extraue_102022.xlsx]Figura 1'!$E$4</c:f>
              <c:strCache>
                <c:ptCount val="1"/>
                <c:pt idx="0">
                  <c:v>Import - mensile</c:v>
                </c:pt>
              </c:strCache>
            </c:strRef>
          </c:tx>
          <c:spPr>
            <a:ln w="12700" cap="flat" cmpd="sng" algn="ctr">
              <a:solidFill>
                <a:srgbClr val="D22630"/>
              </a:solidFill>
              <a:prstDash val="sysDash"/>
              <a:round/>
              <a:headEnd type="none" w="med" len="med"/>
              <a:tailEnd type="none" w="med" len="med"/>
            </a:ln>
            <a:effectLst/>
          </c:spPr>
          <c:marker>
            <c:symbol val="none"/>
          </c:marker>
          <c:cat>
            <c:numRef>
              <c:f>'[coe_extraue_102022.xlsx]Figura 1'!$B$65:$B$136</c:f>
              <c:numCache>
                <c:formatCode>General</c:formatCode>
                <c:ptCount val="72"/>
                <c:pt idx="5" formatCode="0">
                  <c:v>2017</c:v>
                </c:pt>
                <c:pt idx="17" formatCode="0">
                  <c:v>2018</c:v>
                </c:pt>
                <c:pt idx="29" formatCode="0">
                  <c:v>2019</c:v>
                </c:pt>
                <c:pt idx="41" formatCode="0">
                  <c:v>2020</c:v>
                </c:pt>
                <c:pt idx="53" formatCode="0">
                  <c:v>2021</c:v>
                </c:pt>
                <c:pt idx="65" formatCode="0">
                  <c:v>2022</c:v>
                </c:pt>
              </c:numCache>
            </c:numRef>
          </c:cat>
          <c:val>
            <c:numRef>
              <c:f>'[coe_extraue_102022.xlsx]Figura 1'!$E$65:$E$136</c:f>
              <c:numCache>
                <c:formatCode>0</c:formatCode>
                <c:ptCount val="72"/>
                <c:pt idx="0">
                  <c:v>14613</c:v>
                </c:pt>
                <c:pt idx="1">
                  <c:v>14665</c:v>
                </c:pt>
                <c:pt idx="2">
                  <c:v>14564</c:v>
                </c:pt>
                <c:pt idx="3">
                  <c:v>14363</c:v>
                </c:pt>
                <c:pt idx="4">
                  <c:v>15031</c:v>
                </c:pt>
                <c:pt idx="5">
                  <c:v>14330</c:v>
                </c:pt>
                <c:pt idx="6">
                  <c:v>13953</c:v>
                </c:pt>
                <c:pt idx="7">
                  <c:v>14188</c:v>
                </c:pt>
                <c:pt idx="8">
                  <c:v>13475</c:v>
                </c:pt>
                <c:pt idx="9">
                  <c:v>13940</c:v>
                </c:pt>
                <c:pt idx="10">
                  <c:v>14722</c:v>
                </c:pt>
                <c:pt idx="11">
                  <c:v>14948</c:v>
                </c:pt>
                <c:pt idx="12">
                  <c:v>14217</c:v>
                </c:pt>
                <c:pt idx="13">
                  <c:v>14653</c:v>
                </c:pt>
                <c:pt idx="14">
                  <c:v>14924</c:v>
                </c:pt>
                <c:pt idx="15">
                  <c:v>15466</c:v>
                </c:pt>
                <c:pt idx="16">
                  <c:v>15453</c:v>
                </c:pt>
                <c:pt idx="17">
                  <c:v>15576</c:v>
                </c:pt>
                <c:pt idx="18">
                  <c:v>15877</c:v>
                </c:pt>
                <c:pt idx="19">
                  <c:v>15695</c:v>
                </c:pt>
                <c:pt idx="20">
                  <c:v>16288</c:v>
                </c:pt>
                <c:pt idx="21">
                  <c:v>16539</c:v>
                </c:pt>
                <c:pt idx="22">
                  <c:v>16252</c:v>
                </c:pt>
                <c:pt idx="23">
                  <c:v>16008</c:v>
                </c:pt>
                <c:pt idx="24">
                  <c:v>15247</c:v>
                </c:pt>
                <c:pt idx="25">
                  <c:v>15228</c:v>
                </c:pt>
                <c:pt idx="26">
                  <c:v>15464</c:v>
                </c:pt>
                <c:pt idx="27">
                  <c:v>15452</c:v>
                </c:pt>
                <c:pt idx="28">
                  <c:v>15885</c:v>
                </c:pt>
                <c:pt idx="29">
                  <c:v>15542</c:v>
                </c:pt>
                <c:pt idx="30">
                  <c:v>15382</c:v>
                </c:pt>
                <c:pt idx="31">
                  <c:v>15054</c:v>
                </c:pt>
                <c:pt idx="32">
                  <c:v>15649</c:v>
                </c:pt>
                <c:pt idx="33">
                  <c:v>14809</c:v>
                </c:pt>
                <c:pt idx="34">
                  <c:v>14543</c:v>
                </c:pt>
                <c:pt idx="35">
                  <c:v>14557</c:v>
                </c:pt>
                <c:pt idx="36">
                  <c:v>15615</c:v>
                </c:pt>
                <c:pt idx="37">
                  <c:v>14287</c:v>
                </c:pt>
                <c:pt idx="38">
                  <c:v>11902</c:v>
                </c:pt>
                <c:pt idx="39">
                  <c:v>10324</c:v>
                </c:pt>
                <c:pt idx="40">
                  <c:v>10564</c:v>
                </c:pt>
                <c:pt idx="41">
                  <c:v>12400</c:v>
                </c:pt>
                <c:pt idx="42">
                  <c:v>12967</c:v>
                </c:pt>
                <c:pt idx="43">
                  <c:v>12898</c:v>
                </c:pt>
                <c:pt idx="44">
                  <c:v>12965</c:v>
                </c:pt>
                <c:pt idx="45">
                  <c:v>13464</c:v>
                </c:pt>
                <c:pt idx="46">
                  <c:v>13946</c:v>
                </c:pt>
                <c:pt idx="47">
                  <c:v>13592</c:v>
                </c:pt>
                <c:pt idx="48">
                  <c:v>13667</c:v>
                </c:pt>
                <c:pt idx="49">
                  <c:v>14278</c:v>
                </c:pt>
                <c:pt idx="50">
                  <c:v>15367</c:v>
                </c:pt>
                <c:pt idx="51">
                  <c:v>16264</c:v>
                </c:pt>
                <c:pt idx="52">
                  <c:v>16094</c:v>
                </c:pt>
                <c:pt idx="53">
                  <c:v>16261</c:v>
                </c:pt>
                <c:pt idx="54">
                  <c:v>17002</c:v>
                </c:pt>
                <c:pt idx="55">
                  <c:v>18138</c:v>
                </c:pt>
                <c:pt idx="56">
                  <c:v>18702</c:v>
                </c:pt>
                <c:pt idx="57">
                  <c:v>20006</c:v>
                </c:pt>
                <c:pt idx="58">
                  <c:v>20479</c:v>
                </c:pt>
                <c:pt idx="59">
                  <c:v>21846</c:v>
                </c:pt>
                <c:pt idx="60">
                  <c:v>22849</c:v>
                </c:pt>
                <c:pt idx="61">
                  <c:v>23777</c:v>
                </c:pt>
                <c:pt idx="62">
                  <c:v>24955</c:v>
                </c:pt>
                <c:pt idx="63">
                  <c:v>26581</c:v>
                </c:pt>
                <c:pt idx="64">
                  <c:v>26065</c:v>
                </c:pt>
                <c:pt idx="65">
                  <c:v>28528</c:v>
                </c:pt>
                <c:pt idx="66">
                  <c:v>29705</c:v>
                </c:pt>
                <c:pt idx="67">
                  <c:v>30186</c:v>
                </c:pt>
                <c:pt idx="68">
                  <c:v>30326</c:v>
                </c:pt>
                <c:pt idx="69">
                  <c:v>27700</c:v>
                </c:pt>
              </c:numCache>
            </c:numRef>
          </c:val>
          <c:smooth val="0"/>
          <c:extLst>
            <c:ext xmlns:c16="http://schemas.microsoft.com/office/drawing/2014/chart" uri="{C3380CC4-5D6E-409C-BE32-E72D297353CC}">
              <c16:uniqueId val="{00000003-8597-40B0-9CDE-14832E81D4F6}"/>
            </c:ext>
          </c:extLst>
        </c:ser>
        <c:ser>
          <c:idx val="3"/>
          <c:order val="3"/>
          <c:tx>
            <c:strRef>
              <c:f>'[coe_extraue_102022.xlsx]Figura 1'!$F$4</c:f>
              <c:strCache>
                <c:ptCount val="1"/>
                <c:pt idx="0">
                  <c:v>Import - media 3m</c:v>
                </c:pt>
              </c:strCache>
            </c:strRef>
          </c:tx>
          <c:spPr>
            <a:ln w="28575" cap="rnd">
              <a:solidFill>
                <a:srgbClr val="D22630"/>
              </a:solidFill>
              <a:round/>
            </a:ln>
            <a:effectLst/>
          </c:spPr>
          <c:marker>
            <c:symbol val="none"/>
          </c:marker>
          <c:cat>
            <c:numRef>
              <c:f>'[coe_extraue_102022.xlsx]Figura 1'!$B$65:$B$136</c:f>
              <c:numCache>
                <c:formatCode>General</c:formatCode>
                <c:ptCount val="72"/>
                <c:pt idx="5" formatCode="0">
                  <c:v>2017</c:v>
                </c:pt>
                <c:pt idx="17" formatCode="0">
                  <c:v>2018</c:v>
                </c:pt>
                <c:pt idx="29" formatCode="0">
                  <c:v>2019</c:v>
                </c:pt>
                <c:pt idx="41" formatCode="0">
                  <c:v>2020</c:v>
                </c:pt>
                <c:pt idx="53" formatCode="0">
                  <c:v>2021</c:v>
                </c:pt>
                <c:pt idx="65" formatCode="0">
                  <c:v>2022</c:v>
                </c:pt>
              </c:numCache>
            </c:numRef>
          </c:cat>
          <c:val>
            <c:numRef>
              <c:f>'[coe_extraue_102022.xlsx]Figura 1'!$F$65:$F$136</c:f>
              <c:numCache>
                <c:formatCode>0</c:formatCode>
                <c:ptCount val="72"/>
                <c:pt idx="0">
                  <c:v>14473.666666666666</c:v>
                </c:pt>
                <c:pt idx="1">
                  <c:v>14614</c:v>
                </c:pt>
                <c:pt idx="2">
                  <c:v>14530.666666666666</c:v>
                </c:pt>
                <c:pt idx="3">
                  <c:v>14652.666666666666</c:v>
                </c:pt>
                <c:pt idx="4">
                  <c:v>14574.666666666666</c:v>
                </c:pt>
                <c:pt idx="5">
                  <c:v>14438</c:v>
                </c:pt>
                <c:pt idx="6">
                  <c:v>14157</c:v>
                </c:pt>
                <c:pt idx="7">
                  <c:v>13872</c:v>
                </c:pt>
                <c:pt idx="8">
                  <c:v>13867.666666666666</c:v>
                </c:pt>
                <c:pt idx="9">
                  <c:v>14045.666666666666</c:v>
                </c:pt>
                <c:pt idx="10">
                  <c:v>14536.666666666666</c:v>
                </c:pt>
                <c:pt idx="11">
                  <c:v>14629</c:v>
                </c:pt>
                <c:pt idx="12">
                  <c:v>14606</c:v>
                </c:pt>
                <c:pt idx="13">
                  <c:v>14598</c:v>
                </c:pt>
                <c:pt idx="14">
                  <c:v>15014.333333333334</c:v>
                </c:pt>
                <c:pt idx="15">
                  <c:v>15281</c:v>
                </c:pt>
                <c:pt idx="16">
                  <c:v>15498.333333333334</c:v>
                </c:pt>
                <c:pt idx="17">
                  <c:v>15635.333333333334</c:v>
                </c:pt>
                <c:pt idx="18">
                  <c:v>15716</c:v>
                </c:pt>
                <c:pt idx="19">
                  <c:v>15953.333333333334</c:v>
                </c:pt>
                <c:pt idx="20">
                  <c:v>16174</c:v>
                </c:pt>
                <c:pt idx="21">
                  <c:v>16359.666666666666</c:v>
                </c:pt>
                <c:pt idx="22">
                  <c:v>16266.333333333334</c:v>
                </c:pt>
                <c:pt idx="23">
                  <c:v>15835.666666666666</c:v>
                </c:pt>
                <c:pt idx="24">
                  <c:v>15494.333333333334</c:v>
                </c:pt>
                <c:pt idx="25">
                  <c:v>15313</c:v>
                </c:pt>
                <c:pt idx="26">
                  <c:v>15381.333333333334</c:v>
                </c:pt>
                <c:pt idx="27">
                  <c:v>15600.333333333334</c:v>
                </c:pt>
                <c:pt idx="28">
                  <c:v>15626.333333333334</c:v>
                </c:pt>
                <c:pt idx="29">
                  <c:v>15603</c:v>
                </c:pt>
                <c:pt idx="30">
                  <c:v>15326</c:v>
                </c:pt>
                <c:pt idx="31">
                  <c:v>15361.666666666666</c:v>
                </c:pt>
                <c:pt idx="32">
                  <c:v>15170.666666666666</c:v>
                </c:pt>
                <c:pt idx="33">
                  <c:v>15000.333333333334</c:v>
                </c:pt>
                <c:pt idx="34">
                  <c:v>14636.333333333334</c:v>
                </c:pt>
                <c:pt idx="35">
                  <c:v>14905</c:v>
                </c:pt>
                <c:pt idx="36">
                  <c:v>14819.666666666666</c:v>
                </c:pt>
                <c:pt idx="37">
                  <c:v>13934.666666666666</c:v>
                </c:pt>
                <c:pt idx="38">
                  <c:v>12171</c:v>
                </c:pt>
                <c:pt idx="39">
                  <c:v>10930</c:v>
                </c:pt>
                <c:pt idx="40">
                  <c:v>11096</c:v>
                </c:pt>
                <c:pt idx="41">
                  <c:v>11977</c:v>
                </c:pt>
                <c:pt idx="42">
                  <c:v>12755</c:v>
                </c:pt>
                <c:pt idx="43">
                  <c:v>12943.333333333334</c:v>
                </c:pt>
                <c:pt idx="44">
                  <c:v>13109</c:v>
                </c:pt>
                <c:pt idx="45">
                  <c:v>13458.333333333334</c:v>
                </c:pt>
                <c:pt idx="46">
                  <c:v>13667.333333333334</c:v>
                </c:pt>
                <c:pt idx="47">
                  <c:v>13735</c:v>
                </c:pt>
                <c:pt idx="48">
                  <c:v>13845.666666666666</c:v>
                </c:pt>
                <c:pt idx="49">
                  <c:v>14437.333333333334</c:v>
                </c:pt>
                <c:pt idx="50">
                  <c:v>15303</c:v>
                </c:pt>
                <c:pt idx="51">
                  <c:v>15908.333333333334</c:v>
                </c:pt>
                <c:pt idx="52">
                  <c:v>16206.333333333334</c:v>
                </c:pt>
                <c:pt idx="53">
                  <c:v>16452.333333333332</c:v>
                </c:pt>
                <c:pt idx="54">
                  <c:v>17133.666666666668</c:v>
                </c:pt>
                <c:pt idx="55">
                  <c:v>17947.333333333332</c:v>
                </c:pt>
                <c:pt idx="56">
                  <c:v>18948.666666666668</c:v>
                </c:pt>
                <c:pt idx="57">
                  <c:v>19729</c:v>
                </c:pt>
                <c:pt idx="58">
                  <c:v>20777</c:v>
                </c:pt>
                <c:pt idx="59">
                  <c:v>21724.666666666668</c:v>
                </c:pt>
                <c:pt idx="60">
                  <c:v>22824</c:v>
                </c:pt>
                <c:pt idx="61">
                  <c:v>23860.333333333332</c:v>
                </c:pt>
                <c:pt idx="62">
                  <c:v>25104.333333333332</c:v>
                </c:pt>
                <c:pt idx="63">
                  <c:v>25867</c:v>
                </c:pt>
                <c:pt idx="64">
                  <c:v>27058</c:v>
                </c:pt>
                <c:pt idx="65">
                  <c:v>28099.333333333332</c:v>
                </c:pt>
                <c:pt idx="66">
                  <c:v>29473</c:v>
                </c:pt>
                <c:pt idx="67">
                  <c:v>30072.333333333332</c:v>
                </c:pt>
                <c:pt idx="68">
                  <c:v>29404</c:v>
                </c:pt>
              </c:numCache>
            </c:numRef>
          </c:val>
          <c:smooth val="0"/>
          <c:extLst>
            <c:ext xmlns:c16="http://schemas.microsoft.com/office/drawing/2014/chart" uri="{C3380CC4-5D6E-409C-BE32-E72D297353CC}">
              <c16:uniqueId val="{00000004-8597-40B0-9CDE-14832E81D4F6}"/>
            </c:ext>
          </c:extLst>
        </c:ser>
        <c:dLbls>
          <c:showLegendKey val="0"/>
          <c:showVal val="0"/>
          <c:showCatName val="0"/>
          <c:showSerName val="0"/>
          <c:showPercent val="0"/>
          <c:showBubbleSize val="0"/>
        </c:dLbls>
        <c:marker val="1"/>
        <c:smooth val="0"/>
        <c:axId val="208043568"/>
        <c:axId val="208044128"/>
      </c:lineChart>
      <c:catAx>
        <c:axId val="208043568"/>
        <c:scaling>
          <c:orientation val="minMax"/>
        </c:scaling>
        <c:delete val="0"/>
        <c:axPos val="b"/>
        <c:majorGridlines>
          <c:spPr>
            <a:ln w="6350" cap="flat" cmpd="sng" algn="ctr">
              <a:solidFill>
                <a:srgbClr val="FFFFFF"/>
              </a:solidFill>
              <a:prstDash val="solid"/>
              <a:round/>
              <a:headEnd type="none" w="med" len="med"/>
              <a:tailEnd type="none" w="med" len="med"/>
            </a:ln>
            <a:effectLst/>
          </c:spPr>
        </c:majorGridlines>
        <c:numFmt formatCode="General" sourceLinked="1"/>
        <c:majorTickMark val="none"/>
        <c:minorTickMark val="none"/>
        <c:tickLblPos val="low"/>
        <c:spPr>
          <a:noFill/>
          <a:ln w="9525" cap="flat" cmpd="sng" algn="ctr">
            <a:solidFill>
              <a:schemeClr val="bg1"/>
            </a:solidFill>
            <a:round/>
          </a:ln>
          <a:effectLst/>
        </c:spPr>
        <c:txPr>
          <a:bodyPr rot="-60000000" spcFirstLastPara="1" vertOverflow="ellipsis" vert="horz" wrap="square" anchor="ctr" anchorCtr="1"/>
          <a:lstStyle/>
          <a:p>
            <a:pPr>
              <a:defRPr sz="1000" b="1" i="0" u="none" strike="noStrike" kern="1200" baseline="0">
                <a:solidFill>
                  <a:srgbClr val="000000"/>
                </a:solidFill>
                <a:latin typeface="Arial Narrow"/>
                <a:ea typeface="Arial Narrow"/>
                <a:cs typeface="Arial Narrow"/>
              </a:defRPr>
            </a:pPr>
            <a:endParaRPr lang="it-IT"/>
          </a:p>
        </c:txPr>
        <c:crossAx val="208044128"/>
        <c:crosses val="autoZero"/>
        <c:auto val="1"/>
        <c:lblAlgn val="ctr"/>
        <c:lblOffset val="0"/>
        <c:tickMarkSkip val="3"/>
        <c:noMultiLvlLbl val="0"/>
      </c:catAx>
      <c:valAx>
        <c:axId val="208044128"/>
        <c:scaling>
          <c:orientation val="minMax"/>
          <c:min val="10000"/>
        </c:scaling>
        <c:delete val="0"/>
        <c:axPos val="l"/>
        <c:majorGridlines>
          <c:spPr>
            <a:ln w="9525" cap="flat" cmpd="sng" algn="ctr">
              <a:solidFill>
                <a:srgbClr val="FFFFFF">
                  <a:lumMod val="100000"/>
                </a:srgbClr>
              </a:solidFill>
              <a:round/>
            </a:ln>
            <a:effectLst/>
          </c:spPr>
        </c:majorGridlines>
        <c:numFmt formatCode="0" sourceLinked="1"/>
        <c:majorTickMark val="none"/>
        <c:minorTickMark val="none"/>
        <c:tickLblPos val="nextTo"/>
        <c:spPr>
          <a:noFill/>
          <a:ln>
            <a:noFill/>
          </a:ln>
          <a:effectLst/>
          <a:extLst>
            <a:ext uri="{91240B29-F687-4F45-9708-019B960494DF}">
              <a14:hiddenLine xmlns:a14="http://schemas.microsoft.com/office/drawing/2010/main">
                <a:noFill/>
              </a14:hiddenLine>
            </a:ext>
          </a:extLst>
        </c:spPr>
        <c:txPr>
          <a:bodyPr rot="-60000000" spcFirstLastPara="1" vertOverflow="ellipsis" vert="horz" wrap="square" anchor="ctr" anchorCtr="1"/>
          <a:lstStyle/>
          <a:p>
            <a:pPr>
              <a:defRPr sz="900" b="0" i="0" u="none" strike="noStrike" kern="1200" baseline="0">
                <a:solidFill>
                  <a:srgbClr val="000000"/>
                </a:solidFill>
                <a:latin typeface="Arial Narrow"/>
                <a:ea typeface="Arial Narrow"/>
                <a:cs typeface="Arial Narrow"/>
              </a:defRPr>
            </a:pPr>
            <a:endParaRPr lang="it-IT"/>
          </a:p>
        </c:txPr>
        <c:crossAx val="208043568"/>
        <c:crosses val="autoZero"/>
        <c:crossBetween val="between"/>
        <c:dispUnits>
          <c:builtInUnit val="thousands"/>
        </c:dispUnits>
      </c:valAx>
      <c:valAx>
        <c:axId val="208044688"/>
        <c:scaling>
          <c:orientation val="minMax"/>
          <c:max val="7000"/>
          <c:min val="-7000"/>
        </c:scaling>
        <c:delete val="0"/>
        <c:axPos val="r"/>
        <c:numFmt formatCode="0" sourceLinked="0"/>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rgbClr val="000000"/>
                </a:solidFill>
                <a:latin typeface="Arial Narrow"/>
                <a:ea typeface="Arial Narrow"/>
                <a:cs typeface="Arial Narrow"/>
              </a:defRPr>
            </a:pPr>
            <a:endParaRPr lang="it-IT"/>
          </a:p>
        </c:txPr>
        <c:crossAx val="208045248"/>
        <c:crosses val="max"/>
        <c:crossBetween val="between"/>
        <c:majorUnit val="1000"/>
        <c:dispUnits>
          <c:builtInUnit val="thousands"/>
        </c:dispUnits>
      </c:valAx>
      <c:catAx>
        <c:axId val="208045248"/>
        <c:scaling>
          <c:orientation val="minMax"/>
        </c:scaling>
        <c:delete val="1"/>
        <c:axPos val="b"/>
        <c:majorGridlines>
          <c:spPr>
            <a:ln w="15875" cap="flat" cmpd="sng" algn="ctr">
              <a:solidFill>
                <a:schemeClr val="bg1"/>
              </a:solidFill>
              <a:round/>
            </a:ln>
            <a:effectLst/>
          </c:spPr>
        </c:majorGridlines>
        <c:majorTickMark val="out"/>
        <c:minorTickMark val="none"/>
        <c:tickLblPos val="nextTo"/>
        <c:crossAx val="208044688"/>
        <c:crossesAt val="0"/>
        <c:auto val="1"/>
        <c:lblAlgn val="ctr"/>
        <c:lblOffset val="100"/>
        <c:tickMarkSkip val="12"/>
        <c:noMultiLvlLbl val="0"/>
      </c:catAx>
      <c:spPr>
        <a:solidFill>
          <a:srgbClr val="DDDDDD"/>
        </a:solidFill>
        <a:ln w="9525" cap="flat" cmpd="sng" algn="ctr">
          <a:solidFill>
            <a:schemeClr val="bg1"/>
          </a:solidFill>
          <a:prstDash val="solid"/>
          <a:round/>
          <a:headEnd type="none" w="med" len="med"/>
          <a:tailEnd type="none" w="med" len="med"/>
        </a:ln>
        <a:effectLst/>
      </c:spPr>
    </c:plotArea>
    <c:legend>
      <c:legendPos val="t"/>
      <c:layout>
        <c:manualLayout>
          <c:xMode val="edge"/>
          <c:yMode val="edge"/>
          <c:x val="0.05"/>
          <c:y val="1.5679012345679012E-2"/>
          <c:w val="0.9"/>
          <c:h val="6.306141975308642E-2"/>
        </c:manualLayout>
      </c:layout>
      <c:overlay val="0"/>
      <c:spPr>
        <a:noFill/>
        <a:ln>
          <a:noFill/>
        </a:ln>
        <a:effectLst/>
      </c:spPr>
      <c:txPr>
        <a:bodyPr rot="0" spcFirstLastPara="1" vertOverflow="ellipsis" vert="horz" wrap="square" anchor="ctr" anchorCtr="1"/>
        <a:lstStyle/>
        <a:p>
          <a:pPr>
            <a:defRPr sz="900" b="0" i="0" u="none" strike="noStrike" kern="1200" baseline="0">
              <a:solidFill>
                <a:srgbClr val="000000"/>
              </a:solidFill>
              <a:latin typeface="Arial Narrow"/>
              <a:ea typeface="Arial Narrow"/>
              <a:cs typeface="Arial Narrow"/>
            </a:defRPr>
          </a:pPr>
          <a:endParaRPr lang="it-IT"/>
        </a:p>
      </c:txPr>
    </c:legend>
    <c:plotVisOnly val="1"/>
    <c:dispBlanksAs val="gap"/>
    <c:showDLblsOverMax val="0"/>
  </c:chart>
  <c:spPr>
    <a:solidFill>
      <a:srgbClr val="DDDDDD"/>
    </a:solidFill>
    <a:ln w="9525" cap="flat" cmpd="sng" algn="ctr">
      <a:noFill/>
      <a:round/>
    </a:ln>
    <a:effectLst/>
    <a:extLst>
      <a:ext uri="{91240B29-F687-4F45-9708-019B960494DF}">
        <a14:hiddenLine xmlns:a14="http://schemas.microsoft.com/office/drawing/2010/main" w="9525" cap="flat" cmpd="sng" algn="ctr">
          <a:solidFill>
            <a:sysClr val="windowText" lastClr="000000">
              <a:lumMod val="15000"/>
              <a:lumOff val="85000"/>
            </a:sysClr>
          </a:solidFill>
          <a:round/>
        </a14:hiddenLine>
      </a:ext>
    </a:extLst>
  </c:spPr>
  <c:txPr>
    <a:bodyPr/>
    <a:lstStyle/>
    <a:p>
      <a:pPr>
        <a:defRPr sz="900">
          <a:solidFill>
            <a:srgbClr val="000000"/>
          </a:solidFill>
          <a:latin typeface="Arial Narrow"/>
          <a:ea typeface="Arial Narrow"/>
          <a:cs typeface="Arial Narrow"/>
        </a:defRPr>
      </a:pPr>
      <a:endParaRPr lang="it-IT"/>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9183694927270651E-2"/>
          <c:y val="0.11324074074074074"/>
          <c:w val="0.89221035935087312"/>
          <c:h val="0.79182222222222221"/>
        </c:manualLayout>
      </c:layout>
      <c:lineChart>
        <c:grouping val="standard"/>
        <c:varyColors val="0"/>
        <c:ser>
          <c:idx val="0"/>
          <c:order val="0"/>
          <c:tx>
            <c:strRef>
              <c:f>'[coe_extraue_102022.xlsx]Figura 2'!$F$4</c:f>
              <c:strCache>
                <c:ptCount val="1"/>
                <c:pt idx="0">
                  <c:v>Export</c:v>
                </c:pt>
              </c:strCache>
            </c:strRef>
          </c:tx>
          <c:spPr>
            <a:ln w="28575" cap="rnd">
              <a:solidFill>
                <a:srgbClr val="191B6D"/>
              </a:solidFill>
              <a:round/>
            </a:ln>
            <a:effectLst/>
          </c:spPr>
          <c:marker>
            <c:symbol val="none"/>
          </c:marker>
          <c:cat>
            <c:numRef>
              <c:f>'[coe_extraue_102022.xlsx]Figura 2'!$B$77:$B$136</c:f>
              <c:numCache>
                <c:formatCode>General</c:formatCode>
                <c:ptCount val="60"/>
                <c:pt idx="5">
                  <c:v>2018</c:v>
                </c:pt>
                <c:pt idx="17">
                  <c:v>2019</c:v>
                </c:pt>
                <c:pt idx="29">
                  <c:v>2020</c:v>
                </c:pt>
                <c:pt idx="41">
                  <c:v>2021</c:v>
                </c:pt>
                <c:pt idx="53">
                  <c:v>2022</c:v>
                </c:pt>
              </c:numCache>
            </c:numRef>
          </c:cat>
          <c:val>
            <c:numRef>
              <c:f>'[coe_extraue_102022.xlsx]Figura 2'!$F$77:$F$136</c:f>
              <c:numCache>
                <c:formatCode>0.0</c:formatCode>
                <c:ptCount val="60"/>
                <c:pt idx="0">
                  <c:v>5.3648617067304061</c:v>
                </c:pt>
                <c:pt idx="1">
                  <c:v>0.32218328521973483</c:v>
                </c:pt>
                <c:pt idx="2">
                  <c:v>-2.6916007738558956</c:v>
                </c:pt>
                <c:pt idx="3">
                  <c:v>5.1305159579702941</c:v>
                </c:pt>
                <c:pt idx="4">
                  <c:v>-2.6213186446689019</c:v>
                </c:pt>
                <c:pt idx="5">
                  <c:v>7.3837718655904938</c:v>
                </c:pt>
                <c:pt idx="6">
                  <c:v>5.3273634507350565</c:v>
                </c:pt>
                <c:pt idx="7">
                  <c:v>3.8820676733803072</c:v>
                </c:pt>
                <c:pt idx="8">
                  <c:v>-6.3455696503805337</c:v>
                </c:pt>
                <c:pt idx="9">
                  <c:v>11.069172177240393</c:v>
                </c:pt>
                <c:pt idx="10">
                  <c:v>0.67268619213003422</c:v>
                </c:pt>
                <c:pt idx="11">
                  <c:v>-4.1354531800746663</c:v>
                </c:pt>
                <c:pt idx="12">
                  <c:v>5.7917435159231312</c:v>
                </c:pt>
                <c:pt idx="13">
                  <c:v>7.3271858834594195</c:v>
                </c:pt>
                <c:pt idx="14">
                  <c:v>-0.33168454329975949</c:v>
                </c:pt>
                <c:pt idx="15">
                  <c:v>6.4257375854838372</c:v>
                </c:pt>
                <c:pt idx="16">
                  <c:v>7.5063540633652837</c:v>
                </c:pt>
                <c:pt idx="17">
                  <c:v>-2.4484759915154863</c:v>
                </c:pt>
                <c:pt idx="18">
                  <c:v>7.3035850350877896</c:v>
                </c:pt>
                <c:pt idx="19">
                  <c:v>-1.7258854999358975</c:v>
                </c:pt>
                <c:pt idx="20">
                  <c:v>9.100844488305837</c:v>
                </c:pt>
                <c:pt idx="21">
                  <c:v>8.4147356880291966</c:v>
                </c:pt>
                <c:pt idx="22">
                  <c:v>-4.0781785020235661</c:v>
                </c:pt>
                <c:pt idx="23">
                  <c:v>4.6934380036505852</c:v>
                </c:pt>
                <c:pt idx="24">
                  <c:v>3.8658239626795821</c:v>
                </c:pt>
                <c:pt idx="25">
                  <c:v>5.8587180972453412</c:v>
                </c:pt>
                <c:pt idx="26">
                  <c:v>-14.929446814390213</c:v>
                </c:pt>
                <c:pt idx="27">
                  <c:v>-44.239127429985679</c:v>
                </c:pt>
                <c:pt idx="28">
                  <c:v>-31.300789433710875</c:v>
                </c:pt>
                <c:pt idx="29">
                  <c:v>-14.848893412894537</c:v>
                </c:pt>
                <c:pt idx="30">
                  <c:v>-8.1399165401759959</c:v>
                </c:pt>
                <c:pt idx="31">
                  <c:v>-9.6571792060637041</c:v>
                </c:pt>
                <c:pt idx="32">
                  <c:v>2.9196267013243959</c:v>
                </c:pt>
                <c:pt idx="33">
                  <c:v>-9.7218764977904382</c:v>
                </c:pt>
                <c:pt idx="34">
                  <c:v>1.9764934363969866</c:v>
                </c:pt>
                <c:pt idx="35">
                  <c:v>4.0022126239266154</c:v>
                </c:pt>
                <c:pt idx="36">
                  <c:v>-12.853373612774089</c:v>
                </c:pt>
                <c:pt idx="37">
                  <c:v>-7.2655640228326268</c:v>
                </c:pt>
                <c:pt idx="38">
                  <c:v>23.196234809580218</c:v>
                </c:pt>
                <c:pt idx="39">
                  <c:v>104.37710606729271</c:v>
                </c:pt>
                <c:pt idx="40">
                  <c:v>43.707077384998151</c:v>
                </c:pt>
                <c:pt idx="41">
                  <c:v>23.152851917854655</c:v>
                </c:pt>
                <c:pt idx="42">
                  <c:v>17.180581305768293</c:v>
                </c:pt>
                <c:pt idx="43">
                  <c:v>15.465848340812261</c:v>
                </c:pt>
                <c:pt idx="44">
                  <c:v>5.0379008053023755</c:v>
                </c:pt>
                <c:pt idx="45">
                  <c:v>3.9795764145832635</c:v>
                </c:pt>
                <c:pt idx="46">
                  <c:v>13.212633212415126</c:v>
                </c:pt>
                <c:pt idx="47">
                  <c:v>12.477295681206702</c:v>
                </c:pt>
                <c:pt idx="48">
                  <c:v>19.352593144657625</c:v>
                </c:pt>
                <c:pt idx="49">
                  <c:v>21.41689548703798</c:v>
                </c:pt>
                <c:pt idx="50">
                  <c:v>22.352990046458167</c:v>
                </c:pt>
                <c:pt idx="51">
                  <c:v>11.939920789408841</c:v>
                </c:pt>
                <c:pt idx="52">
                  <c:v>26.271681675778403</c:v>
                </c:pt>
                <c:pt idx="53">
                  <c:v>21.161319794071119</c:v>
                </c:pt>
                <c:pt idx="54">
                  <c:v>14.380449353213031</c:v>
                </c:pt>
                <c:pt idx="55">
                  <c:v>22.258635973960406</c:v>
                </c:pt>
                <c:pt idx="56">
                  <c:v>27.157073700822764</c:v>
                </c:pt>
                <c:pt idx="57">
                  <c:v>16.631391082032664</c:v>
                </c:pt>
              </c:numCache>
            </c:numRef>
          </c:val>
          <c:smooth val="0"/>
          <c:extLst>
            <c:ext xmlns:c16="http://schemas.microsoft.com/office/drawing/2014/chart" uri="{C3380CC4-5D6E-409C-BE32-E72D297353CC}">
              <c16:uniqueId val="{00000000-A247-4275-AEEC-E5D216DE8E4D}"/>
            </c:ext>
          </c:extLst>
        </c:ser>
        <c:ser>
          <c:idx val="1"/>
          <c:order val="1"/>
          <c:tx>
            <c:strRef>
              <c:f>'[coe_extraue_102022.xlsx]Figura 2'!$G$4</c:f>
              <c:strCache>
                <c:ptCount val="1"/>
                <c:pt idx="0">
                  <c:v>Import</c:v>
                </c:pt>
              </c:strCache>
            </c:strRef>
          </c:tx>
          <c:spPr>
            <a:ln w="25400" cap="rnd">
              <a:solidFill>
                <a:srgbClr val="D22630"/>
              </a:solidFill>
              <a:round/>
            </a:ln>
            <a:effectLst/>
          </c:spPr>
          <c:marker>
            <c:symbol val="none"/>
          </c:marker>
          <c:cat>
            <c:numRef>
              <c:f>'[coe_extraue_102022.xlsx]Figura 2'!$B$77:$B$136</c:f>
              <c:numCache>
                <c:formatCode>General</c:formatCode>
                <c:ptCount val="60"/>
                <c:pt idx="5">
                  <c:v>2018</c:v>
                </c:pt>
                <c:pt idx="17">
                  <c:v>2019</c:v>
                </c:pt>
                <c:pt idx="29">
                  <c:v>2020</c:v>
                </c:pt>
                <c:pt idx="41">
                  <c:v>2021</c:v>
                </c:pt>
                <c:pt idx="53">
                  <c:v>2022</c:v>
                </c:pt>
              </c:numCache>
            </c:numRef>
          </c:cat>
          <c:val>
            <c:numRef>
              <c:f>'[coe_extraue_102022.xlsx]Figura 2'!$G$77:$G$136</c:f>
              <c:numCache>
                <c:formatCode>0.0</c:formatCode>
                <c:ptCount val="60"/>
                <c:pt idx="0">
                  <c:v>2.4983074578920794</c:v>
                </c:pt>
                <c:pt idx="1">
                  <c:v>-0.81067167662710604</c:v>
                </c:pt>
                <c:pt idx="2">
                  <c:v>0.12631126145523641</c:v>
                </c:pt>
                <c:pt idx="3">
                  <c:v>11.973857279210165</c:v>
                </c:pt>
                <c:pt idx="4">
                  <c:v>-1.142990961003898E-2</c:v>
                </c:pt>
                <c:pt idx="5">
                  <c:v>7.9892408612702859</c:v>
                </c:pt>
                <c:pt idx="6">
                  <c:v>16.818743253114988</c:v>
                </c:pt>
                <c:pt idx="7">
                  <c:v>11.970545621073159</c:v>
                </c:pt>
                <c:pt idx="8">
                  <c:v>17.140782128843867</c:v>
                </c:pt>
                <c:pt idx="9">
                  <c:v>24.763140027350939</c:v>
                </c:pt>
                <c:pt idx="10">
                  <c:v>8.7072869247540865</c:v>
                </c:pt>
                <c:pt idx="11">
                  <c:v>8.2502827430500858</c:v>
                </c:pt>
                <c:pt idx="12">
                  <c:v>4.2854108562494941</c:v>
                </c:pt>
                <c:pt idx="13">
                  <c:v>3.5130467940994947</c:v>
                </c:pt>
                <c:pt idx="14">
                  <c:v>-1.1663014031646601</c:v>
                </c:pt>
                <c:pt idx="15">
                  <c:v>4.7718662987782823</c:v>
                </c:pt>
                <c:pt idx="16">
                  <c:v>2.0661014807539679</c:v>
                </c:pt>
                <c:pt idx="17">
                  <c:v>-5.6320388773816621</c:v>
                </c:pt>
                <c:pt idx="18">
                  <c:v>1.9787911823728743</c:v>
                </c:pt>
                <c:pt idx="19">
                  <c:v>-6.4934164122690259</c:v>
                </c:pt>
                <c:pt idx="20">
                  <c:v>-1.4746618350931162</c:v>
                </c:pt>
                <c:pt idx="21">
                  <c:v>-9.359983662810178</c:v>
                </c:pt>
                <c:pt idx="22">
                  <c:v>-10.941416539818238</c:v>
                </c:pt>
                <c:pt idx="23">
                  <c:v>-6.8530526795900659</c:v>
                </c:pt>
                <c:pt idx="24">
                  <c:v>1.7247626228211743</c:v>
                </c:pt>
                <c:pt idx="25">
                  <c:v>-3.6046606351410215</c:v>
                </c:pt>
                <c:pt idx="26">
                  <c:v>-20.55912309732776</c:v>
                </c:pt>
                <c:pt idx="27">
                  <c:v>-32.490922090320772</c:v>
                </c:pt>
                <c:pt idx="28">
                  <c:v>-37.184184768752651</c:v>
                </c:pt>
                <c:pt idx="29">
                  <c:v>-17.189715951347605</c:v>
                </c:pt>
                <c:pt idx="30">
                  <c:v>-16.944493728968311</c:v>
                </c:pt>
                <c:pt idx="31">
                  <c:v>-15.713436156043869</c:v>
                </c:pt>
                <c:pt idx="32">
                  <c:v>-11.941219925591129</c:v>
                </c:pt>
                <c:pt idx="33">
                  <c:v>-11.41316265329062</c:v>
                </c:pt>
                <c:pt idx="34">
                  <c:v>-5.6335575097105401</c:v>
                </c:pt>
                <c:pt idx="35">
                  <c:v>-2.8363674970368957</c:v>
                </c:pt>
                <c:pt idx="36">
                  <c:v>-17.539843000177502</c:v>
                </c:pt>
                <c:pt idx="37">
                  <c:v>-2.5469590966528233</c:v>
                </c:pt>
                <c:pt idx="38">
                  <c:v>35.191634289789285</c:v>
                </c:pt>
                <c:pt idx="39">
                  <c:v>56.719774856433226</c:v>
                </c:pt>
                <c:pt idx="40">
                  <c:v>55.865728341956441</c:v>
                </c:pt>
                <c:pt idx="41">
                  <c:v>32.796660504811825</c:v>
                </c:pt>
                <c:pt idx="42">
                  <c:v>28.127302277322475</c:v>
                </c:pt>
                <c:pt idx="43">
                  <c:v>47.183519620310086</c:v>
                </c:pt>
                <c:pt idx="44">
                  <c:v>39.867624177578122</c:v>
                </c:pt>
                <c:pt idx="45">
                  <c:v>41.657349522390085</c:v>
                </c:pt>
                <c:pt idx="46">
                  <c:v>51.4318087922099</c:v>
                </c:pt>
                <c:pt idx="47">
                  <c:v>65.264343961331562</c:v>
                </c:pt>
                <c:pt idx="48">
                  <c:v>71.839452376876693</c:v>
                </c:pt>
                <c:pt idx="49">
                  <c:v>65.577539827341781</c:v>
                </c:pt>
                <c:pt idx="50">
                  <c:v>61.238900580892029</c:v>
                </c:pt>
                <c:pt idx="51">
                  <c:v>60.26887747694105</c:v>
                </c:pt>
                <c:pt idx="52">
                  <c:v>62.500383570387982</c:v>
                </c:pt>
                <c:pt idx="53">
                  <c:v>71.800193688749275</c:v>
                </c:pt>
                <c:pt idx="54">
                  <c:v>68.943511931922316</c:v>
                </c:pt>
                <c:pt idx="55">
                  <c:v>77.4854743295232</c:v>
                </c:pt>
                <c:pt idx="56">
                  <c:v>59.044070169482431</c:v>
                </c:pt>
                <c:pt idx="57">
                  <c:v>38.301968200600236</c:v>
                </c:pt>
              </c:numCache>
            </c:numRef>
          </c:val>
          <c:smooth val="0"/>
          <c:extLst>
            <c:ext xmlns:c16="http://schemas.microsoft.com/office/drawing/2014/chart" uri="{C3380CC4-5D6E-409C-BE32-E72D297353CC}">
              <c16:uniqueId val="{00000001-A247-4275-AEEC-E5D216DE8E4D}"/>
            </c:ext>
          </c:extLst>
        </c:ser>
        <c:dLbls>
          <c:showLegendKey val="0"/>
          <c:showVal val="0"/>
          <c:showCatName val="0"/>
          <c:showSerName val="0"/>
          <c:showPercent val="0"/>
          <c:showBubbleSize val="0"/>
        </c:dLbls>
        <c:marker val="1"/>
        <c:smooth val="0"/>
        <c:axId val="208390000"/>
        <c:axId val="208390560"/>
      </c:lineChart>
      <c:lineChart>
        <c:grouping val="standard"/>
        <c:varyColors val="0"/>
        <c:ser>
          <c:idx val="2"/>
          <c:order val="2"/>
          <c:spPr>
            <a:ln w="28575" cap="rnd">
              <a:solidFill>
                <a:srgbClr val="FFFFFF"/>
              </a:solidFill>
              <a:round/>
            </a:ln>
            <a:effectLst/>
          </c:spPr>
          <c:marker>
            <c:symbol val="none"/>
          </c:marker>
          <c:cat>
            <c:numLit>
              <c:formatCode>General</c:formatCode>
              <c:ptCount val="60"/>
              <c:pt idx="0">
                <c:v>0</c:v>
              </c:pt>
              <c:pt idx="1">
                <c:v>0</c:v>
              </c:pt>
              <c:pt idx="2">
                <c:v>0</c:v>
              </c:pt>
              <c:pt idx="3">
                <c:v>0</c:v>
              </c:pt>
              <c:pt idx="4">
                <c:v>0</c:v>
              </c:pt>
              <c:pt idx="5">
                <c:v>2013</c:v>
              </c:pt>
              <c:pt idx="6">
                <c:v>0</c:v>
              </c:pt>
              <c:pt idx="7">
                <c:v>0</c:v>
              </c:pt>
              <c:pt idx="8">
                <c:v>0</c:v>
              </c:pt>
              <c:pt idx="9">
                <c:v>0</c:v>
              </c:pt>
              <c:pt idx="10">
                <c:v>0</c:v>
              </c:pt>
              <c:pt idx="11">
                <c:v>0</c:v>
              </c:pt>
              <c:pt idx="12">
                <c:v>0</c:v>
              </c:pt>
              <c:pt idx="13">
                <c:v>0</c:v>
              </c:pt>
              <c:pt idx="14">
                <c:v>0</c:v>
              </c:pt>
              <c:pt idx="15">
                <c:v>0</c:v>
              </c:pt>
              <c:pt idx="16">
                <c:v>0</c:v>
              </c:pt>
              <c:pt idx="17">
                <c:v>2014</c:v>
              </c:pt>
              <c:pt idx="18">
                <c:v>0</c:v>
              </c:pt>
              <c:pt idx="19">
                <c:v>0</c:v>
              </c:pt>
              <c:pt idx="20">
                <c:v>0</c:v>
              </c:pt>
              <c:pt idx="21">
                <c:v>0</c:v>
              </c:pt>
              <c:pt idx="22">
                <c:v>0</c:v>
              </c:pt>
              <c:pt idx="23">
                <c:v>0</c:v>
              </c:pt>
              <c:pt idx="24">
                <c:v>0</c:v>
              </c:pt>
              <c:pt idx="25">
                <c:v>0</c:v>
              </c:pt>
              <c:pt idx="26">
                <c:v>0</c:v>
              </c:pt>
              <c:pt idx="27">
                <c:v>0</c:v>
              </c:pt>
              <c:pt idx="28">
                <c:v>0</c:v>
              </c:pt>
              <c:pt idx="29">
                <c:v>2015</c:v>
              </c:pt>
              <c:pt idx="30">
                <c:v>0</c:v>
              </c:pt>
              <c:pt idx="31">
                <c:v>0</c:v>
              </c:pt>
              <c:pt idx="32">
                <c:v>0</c:v>
              </c:pt>
              <c:pt idx="33">
                <c:v>0</c:v>
              </c:pt>
              <c:pt idx="34">
                <c:v>0</c:v>
              </c:pt>
              <c:pt idx="35">
                <c:v>0</c:v>
              </c:pt>
              <c:pt idx="36">
                <c:v>0</c:v>
              </c:pt>
              <c:pt idx="37">
                <c:v>0</c:v>
              </c:pt>
              <c:pt idx="38">
                <c:v>0</c:v>
              </c:pt>
              <c:pt idx="39">
                <c:v>0</c:v>
              </c:pt>
              <c:pt idx="40">
                <c:v>0</c:v>
              </c:pt>
              <c:pt idx="41">
                <c:v>2016</c:v>
              </c:pt>
              <c:pt idx="42">
                <c:v>0</c:v>
              </c:pt>
              <c:pt idx="43">
                <c:v>0</c:v>
              </c:pt>
              <c:pt idx="44">
                <c:v>0</c:v>
              </c:pt>
              <c:pt idx="45">
                <c:v>0</c:v>
              </c:pt>
              <c:pt idx="46">
                <c:v>0</c:v>
              </c:pt>
              <c:pt idx="47">
                <c:v>0</c:v>
              </c:pt>
              <c:pt idx="48">
                <c:v>0</c:v>
              </c:pt>
              <c:pt idx="49">
                <c:v>0</c:v>
              </c:pt>
              <c:pt idx="50">
                <c:v>0</c:v>
              </c:pt>
              <c:pt idx="51">
                <c:v>0</c:v>
              </c:pt>
              <c:pt idx="52">
                <c:v>0</c:v>
              </c:pt>
              <c:pt idx="53">
                <c:v>2017</c:v>
              </c:pt>
              <c:pt idx="54">
                <c:v>0</c:v>
              </c:pt>
              <c:pt idx="55">
                <c:v>0</c:v>
              </c:pt>
              <c:pt idx="56">
                <c:v>0</c:v>
              </c:pt>
              <c:pt idx="57">
                <c:v>0</c:v>
              </c:pt>
              <c:pt idx="59">
                <c:v>0</c:v>
              </c:pt>
            </c:numLit>
          </c:cat>
          <c:val>
            <c:numLit>
              <c:formatCode>General</c:formatCode>
              <c:ptCount val="60"/>
            </c:numLit>
          </c:val>
          <c:smooth val="0"/>
          <c:extLst>
            <c:ext xmlns:c16="http://schemas.microsoft.com/office/drawing/2014/chart" uri="{C3380CC4-5D6E-409C-BE32-E72D297353CC}">
              <c16:uniqueId val="{00000002-A247-4275-AEEC-E5D216DE8E4D}"/>
            </c:ext>
          </c:extLst>
        </c:ser>
        <c:dLbls>
          <c:showLegendKey val="0"/>
          <c:showVal val="0"/>
          <c:showCatName val="0"/>
          <c:showSerName val="0"/>
          <c:showPercent val="0"/>
          <c:showBubbleSize val="0"/>
        </c:dLbls>
        <c:marker val="1"/>
        <c:smooth val="0"/>
        <c:axId val="208462128"/>
        <c:axId val="208391120"/>
      </c:lineChart>
      <c:catAx>
        <c:axId val="208390000"/>
        <c:scaling>
          <c:orientation val="minMax"/>
        </c:scaling>
        <c:delete val="0"/>
        <c:axPos val="b"/>
        <c:majorGridlines>
          <c:spPr>
            <a:ln w="6350" cap="flat" cmpd="sng" algn="ctr">
              <a:solidFill>
                <a:srgbClr val="A6A6A6"/>
              </a:solidFill>
              <a:prstDash val="sysDash"/>
              <a:round/>
              <a:headEnd type="none" w="med" len="med"/>
              <a:tailEnd type="none" w="med" len="med"/>
            </a:ln>
            <a:effectLst/>
          </c:spPr>
        </c:majorGridlines>
        <c:numFmt formatCode="General" sourceLinked="1"/>
        <c:majorTickMark val="none"/>
        <c:minorTickMark val="none"/>
        <c:tickLblPos val="low"/>
        <c:spPr>
          <a:noFill/>
          <a:ln w="9525" cap="flat" cmpd="sng" algn="ctr">
            <a:solidFill>
              <a:schemeClr val="tx1"/>
            </a:solidFill>
            <a:round/>
          </a:ln>
          <a:effectLst/>
          <a:extLst/>
        </c:spPr>
        <c:txPr>
          <a:bodyPr rot="-60000000" spcFirstLastPara="1" vertOverflow="ellipsis" vert="horz" wrap="square" anchor="ctr" anchorCtr="1"/>
          <a:lstStyle/>
          <a:p>
            <a:pPr>
              <a:defRPr sz="1000" b="1" i="0" u="none" strike="noStrike" kern="1200" baseline="0">
                <a:solidFill>
                  <a:srgbClr val="000000"/>
                </a:solidFill>
                <a:latin typeface="Arial Narrow" panose="020B0606020202030204" pitchFamily="34" charset="0"/>
                <a:ea typeface="+mn-ea"/>
                <a:cs typeface="+mn-cs"/>
              </a:defRPr>
            </a:pPr>
            <a:endParaRPr lang="it-IT"/>
          </a:p>
        </c:txPr>
        <c:crossAx val="208390560"/>
        <c:crosses val="autoZero"/>
        <c:auto val="1"/>
        <c:lblAlgn val="l"/>
        <c:lblOffset val="0"/>
        <c:tickMarkSkip val="3"/>
        <c:noMultiLvlLbl val="0"/>
      </c:catAx>
      <c:valAx>
        <c:axId val="208390560"/>
        <c:scaling>
          <c:orientation val="minMax"/>
          <c:max val="120"/>
          <c:min val="-60"/>
        </c:scaling>
        <c:delete val="0"/>
        <c:axPos val="l"/>
        <c:majorGridlines>
          <c:spPr>
            <a:ln w="6350" cap="flat" cmpd="sng" algn="ctr">
              <a:solidFill>
                <a:srgbClr val="A6A6A6"/>
              </a:solidFill>
              <a:prstDash val="sysDash"/>
              <a:round/>
              <a:headEnd type="none" w="med" len="med"/>
              <a:tailEnd type="none" w="med" len="med"/>
            </a:ln>
            <a:effectLst/>
          </c:spPr>
        </c:majorGridlines>
        <c:title>
          <c:tx>
            <c:rich>
              <a:bodyPr rot="0" spcFirstLastPara="1" vertOverflow="ellipsis" wrap="square" anchor="ctr" anchorCtr="1"/>
              <a:lstStyle/>
              <a:p>
                <a:pPr>
                  <a:defRPr sz="900" b="0" i="0" u="none" strike="noStrike" kern="1200" baseline="0">
                    <a:solidFill>
                      <a:srgbClr val="000000"/>
                    </a:solidFill>
                    <a:latin typeface="Arial Narrow" panose="020B0606020202030204" pitchFamily="34" charset="0"/>
                    <a:ea typeface="+mn-ea"/>
                    <a:cs typeface="+mn-cs"/>
                  </a:defRPr>
                </a:pPr>
                <a:r>
                  <a:rPr lang="it-IT"/>
                  <a:t>%</a:t>
                </a:r>
              </a:p>
            </c:rich>
          </c:tx>
          <c:layout>
            <c:manualLayout>
              <c:xMode val="edge"/>
              <c:yMode val="edge"/>
              <c:x val="2.2965615615615616E-2"/>
              <c:y val="5.0319444444444448E-3"/>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rgbClr val="000000"/>
                </a:solidFill>
                <a:latin typeface="Arial Narrow" panose="020B0606020202030204" pitchFamily="34" charset="0"/>
                <a:ea typeface="+mn-ea"/>
                <a:cs typeface="+mn-cs"/>
              </a:defRPr>
            </a:pPr>
            <a:endParaRPr lang="it-IT"/>
          </a:p>
        </c:txPr>
        <c:crossAx val="208390000"/>
        <c:crosses val="autoZero"/>
        <c:crossBetween val="between"/>
        <c:majorUnit val="30"/>
      </c:valAx>
      <c:valAx>
        <c:axId val="208391120"/>
        <c:scaling>
          <c:orientation val="minMax"/>
        </c:scaling>
        <c:delete val="1"/>
        <c:axPos val="r"/>
        <c:numFmt formatCode="General" sourceLinked="1"/>
        <c:majorTickMark val="out"/>
        <c:minorTickMark val="none"/>
        <c:tickLblPos val="nextTo"/>
        <c:crossAx val="208462128"/>
        <c:crosses val="max"/>
        <c:crossBetween val="between"/>
      </c:valAx>
      <c:catAx>
        <c:axId val="208462128"/>
        <c:scaling>
          <c:orientation val="minMax"/>
        </c:scaling>
        <c:delete val="1"/>
        <c:axPos val="t"/>
        <c:majorGridlines>
          <c:spPr>
            <a:ln w="15875" cap="flat" cmpd="sng" algn="ctr">
              <a:solidFill>
                <a:srgbClr val="A6A6A6"/>
              </a:solidFill>
              <a:prstDash val="solid"/>
              <a:round/>
              <a:headEnd type="none" w="med" len="med"/>
              <a:tailEnd type="none" w="med" len="med"/>
            </a:ln>
            <a:effectLst/>
          </c:spPr>
        </c:majorGridlines>
        <c:numFmt formatCode="General" sourceLinked="1"/>
        <c:majorTickMark val="out"/>
        <c:minorTickMark val="none"/>
        <c:tickLblPos val="nextTo"/>
        <c:crossAx val="208391120"/>
        <c:crosses val="max"/>
        <c:auto val="1"/>
        <c:lblAlgn val="ctr"/>
        <c:lblOffset val="100"/>
        <c:tickMarkSkip val="12"/>
        <c:noMultiLvlLbl val="0"/>
      </c:catAx>
      <c:spPr>
        <a:solidFill>
          <a:srgbClr val="FFFFFF"/>
        </a:solidFill>
        <a:ln w="9525" cap="flat" cmpd="sng" algn="ctr">
          <a:solidFill>
            <a:schemeClr val="bg1">
              <a:lumMod val="85000"/>
            </a:schemeClr>
          </a:solidFill>
          <a:prstDash val="solid"/>
          <a:round/>
          <a:headEnd type="none" w="med" len="med"/>
          <a:tailEnd type="none" w="med" len="med"/>
        </a:ln>
        <a:effectLst/>
      </c:spPr>
    </c:plotArea>
    <c:legend>
      <c:legendPos val="t"/>
      <c:legendEntry>
        <c:idx val="2"/>
        <c:delete val="1"/>
      </c:legendEntry>
      <c:layout>
        <c:manualLayout>
          <c:xMode val="edge"/>
          <c:yMode val="edge"/>
          <c:x val="0.40577148384693484"/>
          <c:y val="0"/>
          <c:w val="0.20465482770961793"/>
          <c:h val="8.9929493558733281E-2"/>
        </c:manualLayout>
      </c:layout>
      <c:overlay val="0"/>
      <c:spPr>
        <a:noFill/>
        <a:ln>
          <a:noFill/>
        </a:ln>
        <a:effectLst/>
      </c:spPr>
      <c:txPr>
        <a:bodyPr rot="0" spcFirstLastPara="1" vertOverflow="ellipsis" vert="horz" wrap="square" anchor="ctr" anchorCtr="1"/>
        <a:lstStyle/>
        <a:p>
          <a:pPr>
            <a:defRPr sz="900" b="0" i="0" u="none" strike="noStrike" kern="1200" baseline="0">
              <a:solidFill>
                <a:srgbClr val="000000"/>
              </a:solidFill>
              <a:latin typeface="Arial Narrow" panose="020B0606020202030204" pitchFamily="34" charset="0"/>
              <a:ea typeface="+mn-ea"/>
              <a:cs typeface="+mn-cs"/>
            </a:defRPr>
          </a:pPr>
          <a:endParaRPr lang="it-IT"/>
        </a:p>
      </c:txPr>
    </c:legend>
    <c:plotVisOnly val="1"/>
    <c:dispBlanksAs val="gap"/>
    <c:showDLblsOverMax val="0"/>
  </c:chart>
  <c:spPr>
    <a:solidFill>
      <a:srgbClr val="FFFFFF"/>
    </a:solidFill>
    <a:ln w="6350" cap="flat" cmpd="sng" algn="ctr">
      <a:noFill/>
      <a:round/>
    </a:ln>
    <a:effectLst/>
  </c:spPr>
  <c:txPr>
    <a:bodyPr/>
    <a:lstStyle/>
    <a:p>
      <a:pPr>
        <a:defRPr sz="900">
          <a:solidFill>
            <a:srgbClr val="000000"/>
          </a:solidFill>
          <a:latin typeface="Arial Narrow" panose="020B0606020202030204" pitchFamily="34" charset="0"/>
        </a:defRPr>
      </a:pPr>
      <a:endParaRPr lang="it-IT"/>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3651638137696099E-2"/>
          <c:y val="0.12565231481481481"/>
          <c:w val="0.89947552894285987"/>
          <c:h val="0.60024027777777778"/>
        </c:manualLayout>
      </c:layout>
      <c:barChart>
        <c:barDir val="col"/>
        <c:grouping val="clustered"/>
        <c:varyColors val="0"/>
        <c:ser>
          <c:idx val="0"/>
          <c:order val="0"/>
          <c:tx>
            <c:strRef>
              <c:f>'[coe_extraue_102022.xlsx]Figura 3 - 4'!$D$35</c:f>
              <c:strCache>
                <c:ptCount val="1"/>
                <c:pt idx="0">
                  <c:v>Contributi alla variazione (punti percentuali - scala sinistra)</c:v>
                </c:pt>
              </c:strCache>
            </c:strRef>
          </c:tx>
          <c:spPr>
            <a:solidFill>
              <a:srgbClr val="003B5C"/>
            </a:solidFill>
            <a:ln w="9525" cap="flat" cmpd="sng" algn="ctr">
              <a:solidFill>
                <a:srgbClr val="FFFFFF"/>
              </a:solidFill>
              <a:prstDash val="solid"/>
              <a:round/>
              <a:headEnd type="none" w="med" len="med"/>
              <a:tailEnd type="none" w="med" len="med"/>
            </a:ln>
            <a:effectLst/>
          </c:spPr>
          <c:invertIfNegative val="0"/>
          <c:cat>
            <c:strRef>
              <c:f>'[coe_extraue_102022.xlsx]Figura 3 - 4'!$A$37:$A$46</c:f>
              <c:strCache>
                <c:ptCount val="10"/>
                <c:pt idx="0">
                  <c:v>Stati Uniti</c:v>
                </c:pt>
                <c:pt idx="1">
                  <c:v>OPEC</c:v>
                </c:pt>
                <c:pt idx="2">
                  <c:v>Turchia</c:v>
                </c:pt>
                <c:pt idx="3">
                  <c:v>Svizzera</c:v>
                </c:pt>
                <c:pt idx="4">
                  <c:v>ASEAN</c:v>
                </c:pt>
                <c:pt idx="5">
                  <c:v>Regno Unito</c:v>
                </c:pt>
                <c:pt idx="6">
                  <c:v>MERCOSUR</c:v>
                </c:pt>
                <c:pt idx="7">
                  <c:v>Cina</c:v>
                </c:pt>
                <c:pt idx="8">
                  <c:v>Giappone</c:v>
                </c:pt>
                <c:pt idx="9">
                  <c:v>Russia</c:v>
                </c:pt>
              </c:strCache>
            </c:strRef>
          </c:cat>
          <c:val>
            <c:numRef>
              <c:f>'[coe_extraue_102022.xlsx]Figura 3 - 4'!$D$37:$D$46</c:f>
              <c:numCache>
                <c:formatCode>0.0</c:formatCode>
                <c:ptCount val="10"/>
                <c:pt idx="0">
                  <c:v>6.6809669840756634</c:v>
                </c:pt>
                <c:pt idx="1">
                  <c:v>1.9857975550364044</c:v>
                </c:pt>
                <c:pt idx="2">
                  <c:v>1.8793641461550337</c:v>
                </c:pt>
                <c:pt idx="3">
                  <c:v>1.7484047635249684</c:v>
                </c:pt>
                <c:pt idx="4">
                  <c:v>0.76016114033912896</c:v>
                </c:pt>
                <c:pt idx="5">
                  <c:v>0.53597023924039944</c:v>
                </c:pt>
                <c:pt idx="6">
                  <c:v>0.507399898564728</c:v>
                </c:pt>
                <c:pt idx="7">
                  <c:v>0.3471971254085931</c:v>
                </c:pt>
                <c:pt idx="8">
                  <c:v>-0.35361765426778502</c:v>
                </c:pt>
                <c:pt idx="9">
                  <c:v>-0.92600897801918136</c:v>
                </c:pt>
              </c:numCache>
            </c:numRef>
          </c:val>
          <c:extLst>
            <c:ext xmlns:c16="http://schemas.microsoft.com/office/drawing/2014/chart" uri="{C3380CC4-5D6E-409C-BE32-E72D297353CC}">
              <c16:uniqueId val="{00000000-0C3B-4F54-B26A-95AE8C1859B3}"/>
            </c:ext>
          </c:extLst>
        </c:ser>
        <c:dLbls>
          <c:showLegendKey val="0"/>
          <c:showVal val="0"/>
          <c:showCatName val="0"/>
          <c:showSerName val="0"/>
          <c:showPercent val="0"/>
          <c:showBubbleSize val="0"/>
        </c:dLbls>
        <c:gapWidth val="0"/>
        <c:axId val="209600320"/>
        <c:axId val="209600880"/>
      </c:barChart>
      <c:lineChart>
        <c:grouping val="standard"/>
        <c:varyColors val="0"/>
        <c:ser>
          <c:idx val="1"/>
          <c:order val="1"/>
          <c:tx>
            <c:strRef>
              <c:f>'[coe_extraue_102022.xlsx]Figura 3 - 4'!$B$35</c:f>
              <c:strCache>
                <c:ptCount val="1"/>
                <c:pt idx="0">
                  <c:v>Variazioni percentuali (scala destra)</c:v>
                </c:pt>
              </c:strCache>
            </c:strRef>
          </c:tx>
          <c:spPr>
            <a:ln w="25400" cap="rnd">
              <a:noFill/>
              <a:round/>
            </a:ln>
            <a:effectLst/>
            <a:extLst>
              <a:ext uri="{91240B29-F687-4F45-9708-019B960494DF}">
                <a14:hiddenLine xmlns:a14="http://schemas.microsoft.com/office/drawing/2010/main" w="9525" cap="flat" cmpd="sng" algn="ctr">
                  <a:solidFill>
                    <a:srgbClr val="FFFFFF"/>
                  </a:solidFill>
                  <a:prstDash val="solid"/>
                  <a:round/>
                  <a:headEnd type="none" w="med" len="med"/>
                  <a:tailEnd type="none" w="med" len="med"/>
                </a14:hiddenLine>
              </a:ext>
            </a:extLst>
          </c:spPr>
          <c:marker>
            <c:symbol val="diamond"/>
            <c:size val="6"/>
            <c:spPr>
              <a:solidFill>
                <a:srgbClr val="FFFFFF"/>
              </a:solidFill>
              <a:ln w="3175">
                <a:solidFill>
                  <a:srgbClr val="141E28"/>
                </a:solidFill>
                <a:prstDash val="solid"/>
              </a:ln>
              <a:effectLst/>
            </c:spPr>
          </c:marker>
          <c:dLbls>
            <c:dLbl>
              <c:idx val="0"/>
              <c:layout>
                <c:manualLayout>
                  <c:x val="-3.2569843593311242E-2"/>
                  <c:y val="-8.81884259259259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0C3B-4F54-B26A-95AE8C1859B3}"/>
                </c:ext>
              </c:extLst>
            </c:dLbl>
            <c:dLbl>
              <c:idx val="1"/>
              <c:layout>
                <c:manualLayout>
                  <c:x val="-3.2570446967621729E-2"/>
                  <c:y val="-5.879629629629629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0C3B-4F54-B26A-95AE8C1859B3}"/>
                </c:ext>
              </c:extLst>
            </c:dLbl>
            <c:dLbl>
              <c:idx val="2"/>
              <c:layout>
                <c:manualLayout>
                  <c:x val="-3.4489629805725543E-2"/>
                  <c:y val="-6.87162037037037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0C3B-4F54-B26A-95AE8C1859B3}"/>
                </c:ext>
              </c:extLst>
            </c:dLbl>
            <c:dLbl>
              <c:idx val="3"/>
              <c:layout>
                <c:manualLayout>
                  <c:x val="-3.254193753145096E-2"/>
                  <c:y val="-6.942268518518518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0C3B-4F54-B26A-95AE8C1859B3}"/>
                </c:ext>
              </c:extLst>
            </c:dLbl>
            <c:dLbl>
              <c:idx val="4"/>
              <c:layout>
                <c:manualLayout>
                  <c:x val="-3.065141497309554E-2"/>
                  <c:y val="-6.472638888888891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0C3B-4F54-B26A-95AE8C1859B3}"/>
                </c:ext>
              </c:extLst>
            </c:dLbl>
            <c:dLbl>
              <c:idx val="5"/>
              <c:layout>
                <c:manualLayout>
                  <c:x val="-3.4499585481848762E-2"/>
                  <c:y val="-4.704351851851851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0C3B-4F54-B26A-95AE8C1859B3}"/>
                </c:ext>
              </c:extLst>
            </c:dLbl>
            <c:dLbl>
              <c:idx val="6"/>
              <c:layout>
                <c:manualLayout>
                  <c:x val="-2.8727254296930151E-2"/>
                  <c:y val="-5.292916666666666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0C3B-4F54-B26A-95AE8C1859B3}"/>
                </c:ext>
              </c:extLst>
            </c:dLbl>
            <c:dLbl>
              <c:idx val="7"/>
              <c:layout>
                <c:manualLayout>
                  <c:x val="-3.2567128408913869E-2"/>
                  <c:y val="-5.263888888888894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0C3B-4F54-B26A-95AE8C1859B3}"/>
                </c:ext>
              </c:extLst>
            </c:dLbl>
            <c:dLbl>
              <c:idx val="8"/>
              <c:layout>
                <c:manualLayout>
                  <c:x val="-3.4486311247017822E-2"/>
                  <c:y val="5.388749999999994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0C3B-4F54-B26A-95AE8C1859B3}"/>
                </c:ext>
              </c:extLst>
            </c:dLbl>
            <c:dLbl>
              <c:idx val="9"/>
              <c:layout>
                <c:manualLayout>
                  <c:x val="-3.2567128408914008E-2"/>
                  <c:y val="5.291666666666661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0C3B-4F54-B26A-95AE8C1859B3}"/>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'[coe_extraue_102022.xlsx]Figura 3 - 4'!$A$37:$A$46</c:f>
              <c:strCache>
                <c:ptCount val="10"/>
                <c:pt idx="0">
                  <c:v>Stati Uniti</c:v>
                </c:pt>
                <c:pt idx="1">
                  <c:v>OPEC</c:v>
                </c:pt>
                <c:pt idx="2">
                  <c:v>Turchia</c:v>
                </c:pt>
                <c:pt idx="3">
                  <c:v>Svizzera</c:v>
                </c:pt>
                <c:pt idx="4">
                  <c:v>ASEAN</c:v>
                </c:pt>
                <c:pt idx="5">
                  <c:v>Regno Unito</c:v>
                </c:pt>
                <c:pt idx="6">
                  <c:v>MERCOSUR</c:v>
                </c:pt>
                <c:pt idx="7">
                  <c:v>Cina</c:v>
                </c:pt>
                <c:pt idx="8">
                  <c:v>Giappone</c:v>
                </c:pt>
                <c:pt idx="9">
                  <c:v>Russia</c:v>
                </c:pt>
              </c:strCache>
            </c:strRef>
          </c:cat>
          <c:val>
            <c:numRef>
              <c:f>'[coe_extraue_102022.xlsx]Figura 3 - 4'!$B$37:$B$46</c:f>
              <c:numCache>
                <c:formatCode>0.0</c:formatCode>
                <c:ptCount val="10"/>
                <c:pt idx="0">
                  <c:v>34.239747060729968</c:v>
                </c:pt>
                <c:pt idx="1">
                  <c:v>32.03788876664666</c:v>
                </c:pt>
                <c:pt idx="2">
                  <c:v>47.663870993110464</c:v>
                </c:pt>
                <c:pt idx="3">
                  <c:v>17.083795700363751</c:v>
                </c:pt>
                <c:pt idx="4">
                  <c:v>25.182784342157134</c:v>
                </c:pt>
                <c:pt idx="5">
                  <c:v>5.5631629875872051</c:v>
                </c:pt>
                <c:pt idx="6">
                  <c:v>22.203882229471418</c:v>
                </c:pt>
                <c:pt idx="7">
                  <c:v>5.6199893228818354</c:v>
                </c:pt>
                <c:pt idx="8">
                  <c:v>-11.209191567391713</c:v>
                </c:pt>
                <c:pt idx="9">
                  <c:v>-30.862328365771972</c:v>
                </c:pt>
              </c:numCache>
            </c:numRef>
          </c:val>
          <c:smooth val="0"/>
          <c:extLst>
            <c:ext xmlns:c16="http://schemas.microsoft.com/office/drawing/2014/chart" uri="{C3380CC4-5D6E-409C-BE32-E72D297353CC}">
              <c16:uniqueId val="{0000000B-0C3B-4F54-B26A-95AE8C1859B3}"/>
            </c:ext>
          </c:extLst>
        </c:ser>
        <c:dLbls>
          <c:showLegendKey val="0"/>
          <c:showVal val="0"/>
          <c:showCatName val="0"/>
          <c:showSerName val="0"/>
          <c:showPercent val="0"/>
          <c:showBubbleSize val="0"/>
        </c:dLbls>
        <c:dropLines>
          <c:spPr>
            <a:ln w="9525" cap="flat" cmpd="sng" algn="ctr">
              <a:solidFill>
                <a:schemeClr val="tx1">
                  <a:lumMod val="35000"/>
                  <a:lumOff val="65000"/>
                </a:schemeClr>
              </a:solidFill>
              <a:round/>
            </a:ln>
            <a:effectLst/>
          </c:spPr>
        </c:dropLines>
        <c:marker val="1"/>
        <c:smooth val="0"/>
        <c:axId val="209602000"/>
        <c:axId val="209601440"/>
      </c:lineChart>
      <c:catAx>
        <c:axId val="209600320"/>
        <c:scaling>
          <c:orientation val="minMax"/>
        </c:scaling>
        <c:delete val="0"/>
        <c:axPos val="b"/>
        <c:majorGridlines>
          <c:spPr>
            <a:ln w="6350" cap="flat" cmpd="sng" algn="ctr">
              <a:solidFill>
                <a:srgbClr val="A6A6A6"/>
              </a:solidFill>
              <a:prstDash val="sysDash"/>
              <a:round/>
              <a:headEnd type="none" w="med" len="med"/>
              <a:tailEnd type="none" w="med" len="med"/>
            </a:ln>
            <a:effectLst/>
          </c:spPr>
        </c:majorGridlines>
        <c:numFmt formatCode="General" sourceLinked="1"/>
        <c:majorTickMark val="none"/>
        <c:minorTickMark val="none"/>
        <c:tickLblPos val="low"/>
        <c:spPr>
          <a:noFill/>
          <a:ln w="9525" cap="flat" cmpd="sng" algn="ctr">
            <a:solidFill>
              <a:schemeClr val="tx1"/>
            </a:solidFill>
            <a:round/>
          </a:ln>
          <a:effectLst/>
        </c:spPr>
        <c:txPr>
          <a:bodyPr rot="-2700000"/>
          <a:lstStyle/>
          <a:p>
            <a:pPr>
              <a:defRPr sz="1000" b="1"/>
            </a:pPr>
            <a:endParaRPr lang="it-IT"/>
          </a:p>
        </c:txPr>
        <c:crossAx val="209600880"/>
        <c:crosses val="autoZero"/>
        <c:auto val="1"/>
        <c:lblAlgn val="ctr"/>
        <c:lblOffset val="0"/>
        <c:tickLblSkip val="1"/>
        <c:noMultiLvlLbl val="0"/>
      </c:catAx>
      <c:valAx>
        <c:axId val="209600880"/>
        <c:scaling>
          <c:orientation val="minMax"/>
          <c:max val="20"/>
          <c:min val="-20"/>
        </c:scaling>
        <c:delete val="0"/>
        <c:axPos val="l"/>
        <c:majorGridlines>
          <c:spPr>
            <a:ln w="6350" cap="flat" cmpd="sng" algn="ctr">
              <a:solidFill>
                <a:srgbClr val="A6A6A6"/>
              </a:solidFill>
              <a:prstDash val="sysDash"/>
              <a:round/>
              <a:headEnd type="none" w="med" len="med"/>
              <a:tailEnd type="none" w="med" len="med"/>
            </a:ln>
            <a:effectLst/>
          </c:spPr>
        </c:majorGridlines>
        <c:numFmt formatCode="0" sourceLinked="0"/>
        <c:majorTickMark val="none"/>
        <c:minorTickMark val="none"/>
        <c:tickLblPos val="nextTo"/>
        <c:spPr>
          <a:noFill/>
          <a:ln>
            <a:noFill/>
          </a:ln>
          <a:effectLst/>
        </c:spPr>
        <c:txPr>
          <a:bodyPr rot="-60000000" vert="horz"/>
          <a:lstStyle/>
          <a:p>
            <a:pPr>
              <a:defRPr/>
            </a:pPr>
            <a:endParaRPr lang="it-IT"/>
          </a:p>
        </c:txPr>
        <c:crossAx val="209600320"/>
        <c:crosses val="autoZero"/>
        <c:crossBetween val="between"/>
        <c:majorUnit val="5"/>
      </c:valAx>
      <c:valAx>
        <c:axId val="209601440"/>
        <c:scaling>
          <c:orientation val="minMax"/>
          <c:max val="100"/>
          <c:min val="-100"/>
        </c:scaling>
        <c:delete val="0"/>
        <c:axPos val="r"/>
        <c:title>
          <c:tx>
            <c:rich>
              <a:bodyPr rot="0" vert="wordArtVert"/>
              <a:lstStyle/>
              <a:p>
                <a:pPr>
                  <a:defRPr b="0"/>
                </a:pPr>
                <a:r>
                  <a:rPr lang="en-US" b="0"/>
                  <a:t>%</a:t>
                </a:r>
              </a:p>
            </c:rich>
          </c:tx>
          <c:layout>
            <c:manualLayout>
              <c:xMode val="edge"/>
              <c:yMode val="edge"/>
              <c:x val="0.96277254003128843"/>
              <c:y val="1.4840935968361737E-4"/>
            </c:manualLayout>
          </c:layout>
          <c:overlay val="0"/>
        </c:title>
        <c:numFmt formatCode="0" sourceLinked="0"/>
        <c:majorTickMark val="out"/>
        <c:minorTickMark val="none"/>
        <c:tickLblPos val="nextTo"/>
        <c:spPr>
          <a:noFill/>
          <a:ln>
            <a:noFill/>
          </a:ln>
          <a:effectLst/>
        </c:spPr>
        <c:txPr>
          <a:bodyPr rot="-60000000" vert="horz"/>
          <a:lstStyle/>
          <a:p>
            <a:pPr>
              <a:defRPr/>
            </a:pPr>
            <a:endParaRPr lang="it-IT"/>
          </a:p>
        </c:txPr>
        <c:crossAx val="209602000"/>
        <c:crosses val="max"/>
        <c:crossBetween val="between"/>
        <c:majorUnit val="50"/>
      </c:valAx>
      <c:catAx>
        <c:axId val="209602000"/>
        <c:scaling>
          <c:orientation val="minMax"/>
        </c:scaling>
        <c:delete val="1"/>
        <c:axPos val="b"/>
        <c:numFmt formatCode="General" sourceLinked="1"/>
        <c:majorTickMark val="out"/>
        <c:minorTickMark val="none"/>
        <c:tickLblPos val="nextTo"/>
        <c:crossAx val="209601440"/>
        <c:crosses val="autoZero"/>
        <c:auto val="1"/>
        <c:lblAlgn val="ctr"/>
        <c:lblOffset val="100"/>
        <c:noMultiLvlLbl val="0"/>
      </c:catAx>
      <c:spPr>
        <a:solidFill>
          <a:srgbClr val="FFFFFF"/>
        </a:solidFill>
        <a:ln w="9525" cap="flat" cmpd="sng" algn="ctr">
          <a:solidFill>
            <a:srgbClr val="DDDDDD"/>
          </a:solidFill>
          <a:prstDash val="solid"/>
          <a:round/>
          <a:headEnd type="none" w="med" len="med"/>
          <a:tailEnd type="none" w="med" len="med"/>
        </a:ln>
        <a:effectLst/>
      </c:spPr>
    </c:plotArea>
    <c:legend>
      <c:legendPos val="t"/>
      <c:layout>
        <c:manualLayout>
          <c:xMode val="edge"/>
          <c:yMode val="edge"/>
          <c:x val="0.12765401234567902"/>
          <c:y val="0"/>
          <c:w val="0.77088595679012351"/>
          <c:h val="9.1890712840116934E-2"/>
        </c:manualLayout>
      </c:layout>
      <c:overlay val="0"/>
      <c:spPr>
        <a:noFill/>
        <a:ln>
          <a:noFill/>
        </a:ln>
        <a:effectLst/>
      </c:spPr>
      <c:txPr>
        <a:bodyPr rot="0" vert="horz"/>
        <a:lstStyle/>
        <a:p>
          <a:pPr>
            <a:defRPr/>
          </a:pPr>
          <a:endParaRPr lang="it-IT"/>
        </a:p>
      </c:txPr>
    </c:legend>
    <c:plotVisOnly val="1"/>
    <c:dispBlanksAs val="gap"/>
    <c:showDLblsOverMax val="0"/>
  </c:chart>
  <c:spPr>
    <a:solidFill>
      <a:srgbClr val="FFFFFF"/>
    </a:solidFill>
    <a:ln w="9525" cap="flat" cmpd="sng" algn="ctr">
      <a:noFill/>
      <a:round/>
    </a:ln>
    <a:effectLst/>
    <a:extLst>
      <a:ext uri="{91240B29-F687-4F45-9708-019B960494DF}">
        <a14:hiddenLine xmlns:a14="http://schemas.microsoft.com/office/drawing/2010/main" w="9525" cap="flat" cmpd="sng" algn="ctr">
          <a:solidFill>
            <a:sysClr val="windowText" lastClr="000000">
              <a:lumMod val="15000"/>
              <a:lumOff val="85000"/>
            </a:sysClr>
          </a:solidFill>
          <a:round/>
        </a14:hiddenLine>
      </a:ext>
    </a:extLst>
  </c:spPr>
  <c:txPr>
    <a:bodyPr/>
    <a:lstStyle/>
    <a:p>
      <a:pPr>
        <a:defRPr sz="900">
          <a:solidFill>
            <a:srgbClr val="000000"/>
          </a:solidFill>
          <a:latin typeface="Arial Narrow" panose="020B0606020202030204" pitchFamily="34" charset="0"/>
        </a:defRPr>
      </a:pPr>
      <a:endParaRPr lang="it-IT"/>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9837185941119022E-2"/>
          <c:y val="0.1124913332185518"/>
          <c:w val="0.89947552894285987"/>
          <c:h val="0.61199953703703702"/>
        </c:manualLayout>
      </c:layout>
      <c:barChart>
        <c:barDir val="col"/>
        <c:grouping val="clustered"/>
        <c:varyColors val="0"/>
        <c:ser>
          <c:idx val="0"/>
          <c:order val="0"/>
          <c:tx>
            <c:strRef>
              <c:f>'[coe_extraue_102022.xlsx]Figura 3 - 4'!$D$35</c:f>
              <c:strCache>
                <c:ptCount val="1"/>
                <c:pt idx="0">
                  <c:v>Contributi alla variazione (punti percentuali - scala sinistra)</c:v>
                </c:pt>
              </c:strCache>
            </c:strRef>
          </c:tx>
          <c:spPr>
            <a:solidFill>
              <a:srgbClr val="C00000"/>
            </a:solidFill>
            <a:ln w="9525" cap="flat" cmpd="sng" algn="ctr">
              <a:solidFill>
                <a:srgbClr val="FFFFFF"/>
              </a:solidFill>
              <a:prstDash val="solid"/>
              <a:round/>
              <a:headEnd type="none" w="med" len="med"/>
              <a:tailEnd type="none" w="med" len="med"/>
            </a:ln>
            <a:effectLst/>
          </c:spPr>
          <c:invertIfNegative val="0"/>
          <c:cat>
            <c:strRef>
              <c:f>'[coe_extraue_102022.xlsx]Figura 3 - 4'!$A$51:$A$60</c:f>
              <c:strCache>
                <c:ptCount val="10"/>
                <c:pt idx="0">
                  <c:v>Cina</c:v>
                </c:pt>
                <c:pt idx="1">
                  <c:v>OPEC</c:v>
                </c:pt>
                <c:pt idx="2">
                  <c:v>Stati Uniti</c:v>
                </c:pt>
                <c:pt idx="3">
                  <c:v>Svizzera</c:v>
                </c:pt>
                <c:pt idx="4">
                  <c:v>ASEAN</c:v>
                </c:pt>
                <c:pt idx="5">
                  <c:v>MERCOSUR</c:v>
                </c:pt>
                <c:pt idx="6">
                  <c:v>Turchia</c:v>
                </c:pt>
                <c:pt idx="7">
                  <c:v>India</c:v>
                </c:pt>
                <c:pt idx="8">
                  <c:v>Regno Unito</c:v>
                </c:pt>
                <c:pt idx="9">
                  <c:v>Russia</c:v>
                </c:pt>
              </c:strCache>
            </c:strRef>
          </c:cat>
          <c:val>
            <c:numRef>
              <c:f>'[coe_extraue_102022.xlsx]Figura 3 - 4'!$D$51:$D$60</c:f>
              <c:numCache>
                <c:formatCode>0.0</c:formatCode>
                <c:ptCount val="10"/>
                <c:pt idx="0">
                  <c:v>8.2548560157992963</c:v>
                </c:pt>
                <c:pt idx="1">
                  <c:v>7.5860510486305701</c:v>
                </c:pt>
                <c:pt idx="2">
                  <c:v>3.8601984908888536</c:v>
                </c:pt>
                <c:pt idx="3">
                  <c:v>2.9897272645875383</c:v>
                </c:pt>
                <c:pt idx="4">
                  <c:v>2.7921962010356407</c:v>
                </c:pt>
                <c:pt idx="5">
                  <c:v>1.3214488829953486</c:v>
                </c:pt>
                <c:pt idx="6">
                  <c:v>0.27944624959679498</c:v>
                </c:pt>
                <c:pt idx="7">
                  <c:v>0.26943866154434593</c:v>
                </c:pt>
                <c:pt idx="8">
                  <c:v>-0.11584545038344951</c:v>
                </c:pt>
                <c:pt idx="9">
                  <c:v>-4.6163328120367009</c:v>
                </c:pt>
              </c:numCache>
            </c:numRef>
          </c:val>
          <c:extLst>
            <c:ext xmlns:c16="http://schemas.microsoft.com/office/drawing/2014/chart" uri="{C3380CC4-5D6E-409C-BE32-E72D297353CC}">
              <c16:uniqueId val="{00000000-997E-4D4D-B19F-D2CEA15E0E21}"/>
            </c:ext>
          </c:extLst>
        </c:ser>
        <c:dLbls>
          <c:showLegendKey val="0"/>
          <c:showVal val="0"/>
          <c:showCatName val="0"/>
          <c:showSerName val="0"/>
          <c:showPercent val="0"/>
          <c:showBubbleSize val="0"/>
        </c:dLbls>
        <c:gapWidth val="0"/>
        <c:axId val="209613728"/>
        <c:axId val="209614288"/>
      </c:barChart>
      <c:lineChart>
        <c:grouping val="standard"/>
        <c:varyColors val="0"/>
        <c:ser>
          <c:idx val="1"/>
          <c:order val="1"/>
          <c:tx>
            <c:strRef>
              <c:f>'[coe_extraue_102022.xlsx]Figura 3 - 4'!$B$35</c:f>
              <c:strCache>
                <c:ptCount val="1"/>
                <c:pt idx="0">
                  <c:v>Variazioni percentuali (scala destra)</c:v>
                </c:pt>
              </c:strCache>
            </c:strRef>
          </c:tx>
          <c:spPr>
            <a:ln w="25400" cap="rnd">
              <a:noFill/>
              <a:round/>
            </a:ln>
            <a:effectLst/>
            <a:extLst>
              <a:ext uri="{91240B29-F687-4F45-9708-019B960494DF}">
                <a14:hiddenLine xmlns:a14="http://schemas.microsoft.com/office/drawing/2010/main" w="9525" cap="flat" cmpd="sng" algn="ctr">
                  <a:solidFill>
                    <a:srgbClr val="FFFFFF"/>
                  </a:solidFill>
                  <a:prstDash val="solid"/>
                  <a:round/>
                  <a:headEnd type="none" w="med" len="med"/>
                  <a:tailEnd type="none" w="med" len="med"/>
                </a14:hiddenLine>
              </a:ext>
            </a:extLst>
          </c:spPr>
          <c:marker>
            <c:symbol val="diamond"/>
            <c:size val="6"/>
            <c:spPr>
              <a:solidFill>
                <a:srgbClr val="FFFFFF"/>
              </a:solidFill>
              <a:ln w="3175">
                <a:solidFill>
                  <a:srgbClr val="141E28"/>
                </a:solidFill>
                <a:prstDash val="solid"/>
              </a:ln>
              <a:effectLst/>
            </c:spPr>
          </c:marker>
          <c:dLbls>
            <c:dLbl>
              <c:idx val="0"/>
              <c:layout>
                <c:manualLayout>
                  <c:x val="-3.8161335953583349E-2"/>
                  <c:y val="-5.284537037037036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97E-4D4D-B19F-D2CEA15E0E21}"/>
                </c:ext>
              </c:extLst>
            </c:dLbl>
            <c:dLbl>
              <c:idx val="1"/>
              <c:layout>
                <c:manualLayout>
                  <c:x val="-2.860845003487401E-2"/>
                  <c:y val="-7.685370370370375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997E-4D4D-B19F-D2CEA15E0E21}"/>
                </c:ext>
              </c:extLst>
            </c:dLbl>
            <c:dLbl>
              <c:idx val="2"/>
              <c:layout>
                <c:manualLayout>
                  <c:x val="-2.4747129490387106E-2"/>
                  <c:y val="-4.732685185185184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997E-4D4D-B19F-D2CEA15E0E21}"/>
                </c:ext>
              </c:extLst>
            </c:dLbl>
            <c:dLbl>
              <c:idx val="3"/>
              <c:layout>
                <c:manualLayout>
                  <c:x val="-3.4338010441396734E-2"/>
                  <c:y val="-6.383240740740740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997E-4D4D-B19F-D2CEA15E0E21}"/>
                </c:ext>
              </c:extLst>
            </c:dLbl>
            <c:dLbl>
              <c:idx val="4"/>
              <c:layout>
                <c:manualLayout>
                  <c:x val="-3.4345549138281715E-2"/>
                  <c:y val="-5.210324074074074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997E-4D4D-B19F-D2CEA15E0E21}"/>
                </c:ext>
              </c:extLst>
            </c:dLbl>
            <c:dLbl>
              <c:idx val="5"/>
              <c:layout>
                <c:manualLayout>
                  <c:x val="-2.859337264110412E-2"/>
                  <c:y val="-6.347037037037042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997E-4D4D-B19F-D2CEA15E0E21}"/>
                </c:ext>
              </c:extLst>
            </c:dLbl>
            <c:dLbl>
              <c:idx val="6"/>
              <c:layout>
                <c:manualLayout>
                  <c:x val="-3.0500813726941765E-2"/>
                  <c:y val="-4.674120370370371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997E-4D4D-B19F-D2CEA15E0E21}"/>
                </c:ext>
              </c:extLst>
            </c:dLbl>
            <c:dLbl>
              <c:idx val="7"/>
              <c:layout>
                <c:manualLayout>
                  <c:x val="-3.2423030658674037E-2"/>
                  <c:y val="-5.266898148148148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997E-4D4D-B19F-D2CEA15E0E21}"/>
                </c:ext>
              </c:extLst>
            </c:dLbl>
            <c:dLbl>
              <c:idx val="8"/>
              <c:layout>
                <c:manualLayout>
                  <c:x val="-3.0515891120711725E-2"/>
                  <c:y val="6.514722222222216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997E-4D4D-B19F-D2CEA15E0E21}"/>
                </c:ext>
              </c:extLst>
            </c:dLbl>
            <c:dLbl>
              <c:idx val="9"/>
              <c:layout>
                <c:manualLayout>
                  <c:x val="-3.4353087835166697E-2"/>
                  <c:y val="5.906712962962962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997E-4D4D-B19F-D2CEA15E0E21}"/>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'[coe_extraue_102022.xlsx]Figura 3 - 4'!$A$51:$A$60</c:f>
              <c:strCache>
                <c:ptCount val="10"/>
                <c:pt idx="0">
                  <c:v>Cina</c:v>
                </c:pt>
                <c:pt idx="1">
                  <c:v>OPEC</c:v>
                </c:pt>
                <c:pt idx="2">
                  <c:v>Stati Uniti</c:v>
                </c:pt>
                <c:pt idx="3">
                  <c:v>Svizzera</c:v>
                </c:pt>
                <c:pt idx="4">
                  <c:v>ASEAN</c:v>
                </c:pt>
                <c:pt idx="5">
                  <c:v>MERCOSUR</c:v>
                </c:pt>
                <c:pt idx="6">
                  <c:v>Turchia</c:v>
                </c:pt>
                <c:pt idx="7">
                  <c:v>India</c:v>
                </c:pt>
                <c:pt idx="8">
                  <c:v>Regno Unito</c:v>
                </c:pt>
                <c:pt idx="9">
                  <c:v>Russia</c:v>
                </c:pt>
              </c:strCache>
            </c:strRef>
          </c:cat>
          <c:val>
            <c:numRef>
              <c:f>'[coe_extraue_102022.xlsx]Figura 3 - 4'!$B$51:$B$60</c:f>
              <c:numCache>
                <c:formatCode>0.0</c:formatCode>
                <c:ptCount val="10"/>
                <c:pt idx="0">
                  <c:v>50.346931097351586</c:v>
                </c:pt>
                <c:pt idx="1">
                  <c:v>55.917700075899774</c:v>
                </c:pt>
                <c:pt idx="2">
                  <c:v>56.518082208336637</c:v>
                </c:pt>
                <c:pt idx="3">
                  <c:v>57.987561557988101</c:v>
                </c:pt>
                <c:pt idx="4">
                  <c:v>64.499103493062478</c:v>
                </c:pt>
                <c:pt idx="5">
                  <c:v>59.373006919052301</c:v>
                </c:pt>
                <c:pt idx="6">
                  <c:v>5.357612249812675</c:v>
                </c:pt>
                <c:pt idx="7">
                  <c:v>5.1509231446785151</c:v>
                </c:pt>
                <c:pt idx="8">
                  <c:v>-2.9587560355235212</c:v>
                </c:pt>
                <c:pt idx="9">
                  <c:v>-44.187649200952002</c:v>
                </c:pt>
              </c:numCache>
            </c:numRef>
          </c:val>
          <c:smooth val="0"/>
          <c:extLst>
            <c:ext xmlns:c16="http://schemas.microsoft.com/office/drawing/2014/chart" uri="{C3380CC4-5D6E-409C-BE32-E72D297353CC}">
              <c16:uniqueId val="{0000000B-997E-4D4D-B19F-D2CEA15E0E21}"/>
            </c:ext>
          </c:extLst>
        </c:ser>
        <c:dLbls>
          <c:showLegendKey val="0"/>
          <c:showVal val="0"/>
          <c:showCatName val="0"/>
          <c:showSerName val="0"/>
          <c:showPercent val="0"/>
          <c:showBubbleSize val="0"/>
        </c:dLbls>
        <c:dropLines>
          <c:spPr>
            <a:ln w="9525" cap="flat" cmpd="sng" algn="ctr">
              <a:solidFill>
                <a:schemeClr val="tx1">
                  <a:lumMod val="35000"/>
                  <a:lumOff val="65000"/>
                </a:schemeClr>
              </a:solidFill>
              <a:round/>
            </a:ln>
            <a:effectLst/>
          </c:spPr>
        </c:dropLines>
        <c:marker val="1"/>
        <c:smooth val="0"/>
        <c:axId val="209523424"/>
        <c:axId val="209614848"/>
      </c:lineChart>
      <c:catAx>
        <c:axId val="209613728"/>
        <c:scaling>
          <c:orientation val="minMax"/>
        </c:scaling>
        <c:delete val="0"/>
        <c:axPos val="b"/>
        <c:majorGridlines>
          <c:spPr>
            <a:ln w="6350" cap="flat" cmpd="sng" algn="ctr">
              <a:solidFill>
                <a:srgbClr val="A6A6A6"/>
              </a:solidFill>
              <a:prstDash val="sysDash"/>
              <a:round/>
              <a:headEnd type="none" w="med" len="med"/>
              <a:tailEnd type="none" w="med" len="med"/>
            </a:ln>
            <a:effectLst/>
          </c:spPr>
        </c:majorGridlines>
        <c:numFmt formatCode="General" sourceLinked="1"/>
        <c:majorTickMark val="none"/>
        <c:minorTickMark val="none"/>
        <c:tickLblPos val="low"/>
        <c:spPr>
          <a:noFill/>
          <a:ln w="9525" cap="flat" cmpd="sng" algn="ctr">
            <a:solidFill>
              <a:schemeClr val="tx1"/>
            </a:solidFill>
            <a:round/>
          </a:ln>
          <a:effectLst/>
        </c:spPr>
        <c:txPr>
          <a:bodyPr rot="-2700000" spcFirstLastPara="1" vertOverflow="ellipsis" wrap="square" anchor="ctr" anchorCtr="1"/>
          <a:lstStyle/>
          <a:p>
            <a:pPr>
              <a:defRPr sz="1000" b="1" i="0" u="none" strike="noStrike" kern="1200" baseline="0">
                <a:solidFill>
                  <a:srgbClr val="000000"/>
                </a:solidFill>
                <a:latin typeface="Arial Narrow" panose="020B0606020202030204" pitchFamily="34" charset="0"/>
                <a:ea typeface="+mn-ea"/>
                <a:cs typeface="+mn-cs"/>
              </a:defRPr>
            </a:pPr>
            <a:endParaRPr lang="it-IT"/>
          </a:p>
        </c:txPr>
        <c:crossAx val="209614288"/>
        <c:crosses val="autoZero"/>
        <c:auto val="1"/>
        <c:lblAlgn val="ctr"/>
        <c:lblOffset val="0"/>
        <c:tickLblSkip val="1"/>
        <c:noMultiLvlLbl val="0"/>
      </c:catAx>
      <c:valAx>
        <c:axId val="209614288"/>
        <c:scaling>
          <c:orientation val="minMax"/>
          <c:max val="20"/>
          <c:min val="-20"/>
        </c:scaling>
        <c:delete val="0"/>
        <c:axPos val="l"/>
        <c:majorGridlines>
          <c:spPr>
            <a:ln w="6350" cap="flat" cmpd="sng" algn="ctr">
              <a:solidFill>
                <a:srgbClr val="A6A6A6"/>
              </a:solidFill>
              <a:prstDash val="sysDash"/>
              <a:round/>
              <a:headEnd type="none" w="med" len="med"/>
              <a:tailEnd type="none" w="med" len="me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rgbClr val="000000"/>
                </a:solidFill>
                <a:latin typeface="Arial Narrow" panose="020B0606020202030204" pitchFamily="34" charset="0"/>
                <a:ea typeface="+mn-ea"/>
                <a:cs typeface="+mn-cs"/>
              </a:defRPr>
            </a:pPr>
            <a:endParaRPr lang="it-IT"/>
          </a:p>
        </c:txPr>
        <c:crossAx val="209613728"/>
        <c:crosses val="autoZero"/>
        <c:crossBetween val="between"/>
        <c:majorUnit val="5"/>
      </c:valAx>
      <c:valAx>
        <c:axId val="209614848"/>
        <c:scaling>
          <c:orientation val="minMax"/>
          <c:max val="100"/>
          <c:min val="-100"/>
        </c:scaling>
        <c:delete val="0"/>
        <c:axPos val="r"/>
        <c:title>
          <c:tx>
            <c:rich>
              <a:bodyPr rot="0" vert="horz"/>
              <a:lstStyle/>
              <a:p>
                <a:pPr>
                  <a:defRPr b="0"/>
                </a:pPr>
                <a:r>
                  <a:rPr lang="it-IT" b="0"/>
                  <a:t>%</a:t>
                </a:r>
              </a:p>
            </c:rich>
          </c:tx>
          <c:layout>
            <c:manualLayout>
              <c:xMode val="edge"/>
              <c:yMode val="edge"/>
              <c:x val="0.96166481481481481"/>
              <c:y val="3.1515873015872998E-3"/>
            </c:manualLayout>
          </c:layout>
          <c:overlay val="0"/>
        </c:title>
        <c:numFmt formatCode="0" sourceLinked="0"/>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rgbClr val="000000"/>
                </a:solidFill>
                <a:latin typeface="Arial Narrow" panose="020B0606020202030204" pitchFamily="34" charset="0"/>
                <a:ea typeface="+mn-ea"/>
                <a:cs typeface="+mn-cs"/>
              </a:defRPr>
            </a:pPr>
            <a:endParaRPr lang="it-IT"/>
          </a:p>
        </c:txPr>
        <c:crossAx val="209523424"/>
        <c:crosses val="max"/>
        <c:crossBetween val="between"/>
        <c:majorUnit val="50"/>
      </c:valAx>
      <c:catAx>
        <c:axId val="209523424"/>
        <c:scaling>
          <c:orientation val="minMax"/>
        </c:scaling>
        <c:delete val="1"/>
        <c:axPos val="b"/>
        <c:numFmt formatCode="General" sourceLinked="1"/>
        <c:majorTickMark val="out"/>
        <c:minorTickMark val="none"/>
        <c:tickLblPos val="nextTo"/>
        <c:crossAx val="209614848"/>
        <c:crosses val="autoZero"/>
        <c:auto val="1"/>
        <c:lblAlgn val="ctr"/>
        <c:lblOffset val="100"/>
        <c:noMultiLvlLbl val="0"/>
      </c:catAx>
      <c:spPr>
        <a:solidFill>
          <a:srgbClr val="FFFFFF"/>
        </a:solidFill>
        <a:ln w="9525" cap="flat" cmpd="sng" algn="ctr">
          <a:solidFill>
            <a:srgbClr val="DDDDDD"/>
          </a:solidFill>
          <a:prstDash val="solid"/>
          <a:round/>
          <a:headEnd type="none" w="med" len="med"/>
          <a:tailEnd type="none" w="med" len="med"/>
        </a:ln>
        <a:effectLst/>
      </c:spPr>
    </c:plotArea>
    <c:legend>
      <c:legendPos val="t"/>
      <c:layout>
        <c:manualLayout>
          <c:xMode val="edge"/>
          <c:yMode val="edge"/>
          <c:x val="0.12747378568932186"/>
          <c:y val="0"/>
          <c:w val="0.76322656829772895"/>
          <c:h val="9.1890712840116934E-2"/>
        </c:manualLayout>
      </c:layout>
      <c:overlay val="0"/>
      <c:spPr>
        <a:noFill/>
        <a:ln>
          <a:noFill/>
        </a:ln>
        <a:effectLst/>
      </c:spPr>
      <c:txPr>
        <a:bodyPr rot="0" spcFirstLastPara="1" vertOverflow="ellipsis" vert="horz" wrap="square" anchor="ctr" anchorCtr="1"/>
        <a:lstStyle/>
        <a:p>
          <a:pPr>
            <a:defRPr sz="900" b="0" i="0" u="none" strike="noStrike" kern="1200" baseline="0">
              <a:solidFill>
                <a:srgbClr val="000000"/>
              </a:solidFill>
              <a:latin typeface="Arial Narrow" panose="020B0606020202030204" pitchFamily="34" charset="0"/>
              <a:ea typeface="+mn-ea"/>
              <a:cs typeface="+mn-cs"/>
            </a:defRPr>
          </a:pPr>
          <a:endParaRPr lang="it-IT"/>
        </a:p>
      </c:txPr>
    </c:legend>
    <c:plotVisOnly val="1"/>
    <c:dispBlanksAs val="gap"/>
    <c:showDLblsOverMax val="0"/>
  </c:chart>
  <c:spPr>
    <a:solidFill>
      <a:srgbClr val="FFFFFF"/>
    </a:solidFill>
    <a:ln w="9525" cap="flat" cmpd="sng" algn="ctr">
      <a:noFill/>
      <a:round/>
    </a:ln>
    <a:effectLst/>
    <a:extLst>
      <a:ext uri="{91240B29-F687-4F45-9708-019B960494DF}">
        <a14:hiddenLine xmlns:a14="http://schemas.microsoft.com/office/drawing/2010/main" w="9525" cap="flat" cmpd="sng" algn="ctr">
          <a:solidFill>
            <a:sysClr val="windowText" lastClr="000000">
              <a:lumMod val="15000"/>
              <a:lumOff val="85000"/>
            </a:sysClr>
          </a:solidFill>
          <a:round/>
        </a14:hiddenLine>
      </a:ext>
    </a:extLst>
  </c:spPr>
  <c:txPr>
    <a:bodyPr/>
    <a:lstStyle/>
    <a:p>
      <a:pPr>
        <a:defRPr sz="900">
          <a:solidFill>
            <a:srgbClr val="000000"/>
          </a:solidFill>
          <a:latin typeface="Arial Narrow" panose="020B0606020202030204" pitchFamily="34" charset="0"/>
        </a:defRPr>
      </a:pPr>
      <a:endParaRPr lang="it-IT"/>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3651638137696099E-2"/>
          <c:y val="0.10801342592592593"/>
          <c:w val="0.89947552894285987"/>
          <c:h val="0.61787916666666665"/>
        </c:manualLayout>
      </c:layout>
      <c:barChart>
        <c:barDir val="col"/>
        <c:grouping val="clustered"/>
        <c:varyColors val="0"/>
        <c:ser>
          <c:idx val="0"/>
          <c:order val="0"/>
          <c:tx>
            <c:strRef>
              <c:f>'[coe_extraue_102022.xlsx]Figura 5'!$B$34</c:f>
              <c:strCache>
                <c:ptCount val="1"/>
                <c:pt idx="0">
                  <c:v>Saldi ott.2022</c:v>
                </c:pt>
              </c:strCache>
            </c:strRef>
          </c:tx>
          <c:spPr>
            <a:solidFill>
              <a:srgbClr val="008264"/>
            </a:solidFill>
            <a:ln w="9525" cap="flat" cmpd="sng" algn="ctr">
              <a:solidFill>
                <a:srgbClr val="FFFFFF"/>
              </a:solidFill>
              <a:prstDash val="solid"/>
              <a:round/>
              <a:headEnd type="none" w="med" len="med"/>
              <a:tailEnd type="none" w="med" len="med"/>
            </a:ln>
            <a:effectLst/>
          </c:spPr>
          <c:invertIfNegative val="0"/>
          <c:dLbls>
            <c:dLbl>
              <c:idx val="0"/>
              <c:layout>
                <c:manualLayout>
                  <c:x val="0"/>
                  <c:y val="1.798251306800080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B47C-454F-92B7-D43FA2E952D1}"/>
                </c:ext>
              </c:extLst>
            </c:dLbl>
            <c:dLbl>
              <c:idx val="4"/>
              <c:layout>
                <c:manualLayout>
                  <c:x val="1.9151888044396188E-3"/>
                  <c:y val="1.763888888888883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47C-454F-92B7-D43FA2E952D1}"/>
                </c:ext>
              </c:extLst>
            </c:dLbl>
            <c:dLbl>
              <c:idx val="5"/>
              <c:layout>
                <c:manualLayout>
                  <c:x val="0"/>
                  <c:y val="5.933334548031745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B47C-454F-92B7-D43FA2E952D1}"/>
                </c:ext>
              </c:extLst>
            </c:dLbl>
            <c:dLbl>
              <c:idx val="9"/>
              <c:layout>
                <c:manualLayout>
                  <c:x val="-1.4092629816719728E-16"/>
                  <c:y val="2.997085511333466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B47C-454F-92B7-D43FA2E952D1}"/>
                </c:ext>
              </c:extLst>
            </c:dLbl>
            <c:dLbl>
              <c:idx val="37"/>
              <c:tx>
                <c:strRef>
                  <c:f>Foglio1!#REF!</c:f>
                  <c:strCache>
                    <c:ptCount val="1"/>
                    <c:pt idx="0">
                      <c:v>#REF!</c:v>
                    </c:pt>
                  </c:strCache>
                </c:strRef>
              </c:tx>
              <c:dLblPos val="outEnd"/>
              <c:showLegendKey val="0"/>
              <c:showVal val="1"/>
              <c:showCatName val="0"/>
              <c:showSerName val="0"/>
              <c:showPercent val="0"/>
              <c:showBubbleSize val="0"/>
              <c:extLst>
                <c:ext xmlns:c15="http://schemas.microsoft.com/office/drawing/2012/chart" uri="{CE6537A1-D6FC-4f65-9D91-7224C49458BB}">
                  <c15:dlblFieldTable>
                    <c15:dlblFTEntry>
                      <c15:txfldGUID>{B0EC9B53-0B91-4AAD-BFB2-B83470124FB3}</c15:txfldGUID>
                      <c15:f>Foglio1!#REF!</c15:f>
                      <c15:dlblFieldTableCache>
                        <c:ptCount val="1"/>
                        <c:pt idx="0">
                          <c:v>#REF!</c:v>
                        </c:pt>
                      </c15:dlblFieldTableCache>
                    </c15:dlblFTEntry>
                  </c15:dlblFieldTable>
                  <c15:showDataLabelsRange val="0"/>
                </c:ext>
                <c:ext xmlns:c16="http://schemas.microsoft.com/office/drawing/2014/chart" uri="{C3380CC4-5D6E-409C-BE32-E72D297353CC}">
                  <c16:uniqueId val="{00000004-B47C-454F-92B7-D43FA2E952D1}"/>
                </c:ext>
              </c:extLst>
            </c:dLbl>
            <c:spPr>
              <a:solidFill>
                <a:schemeClr val="bg1"/>
              </a:soli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rgbClr val="000000"/>
                    </a:solidFill>
                    <a:latin typeface="Arial Narrow" panose="020B0606020202030204" pitchFamily="34" charset="0"/>
                    <a:ea typeface="+mn-ea"/>
                    <a:cs typeface="+mn-cs"/>
                  </a:defRPr>
                </a:pPr>
                <a:endParaRPr lang="it-I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'[coe_extraue_102022.xlsx]Figura 5'!$A$36:$A$45</c:f>
              <c:strCache>
                <c:ptCount val="10"/>
                <c:pt idx="0">
                  <c:v>Stati Uniti</c:v>
                </c:pt>
                <c:pt idx="1">
                  <c:v>Regno Unito</c:v>
                </c:pt>
                <c:pt idx="2">
                  <c:v>Svizzera</c:v>
                </c:pt>
                <c:pt idx="3">
                  <c:v>Turchia</c:v>
                </c:pt>
                <c:pt idx="4">
                  <c:v>MERCOSUR</c:v>
                </c:pt>
                <c:pt idx="5">
                  <c:v>ASEAN</c:v>
                </c:pt>
                <c:pt idx="6">
                  <c:v>India</c:v>
                </c:pt>
                <c:pt idx="7">
                  <c:v>Russia</c:v>
                </c:pt>
                <c:pt idx="8">
                  <c:v>OPEC</c:v>
                </c:pt>
                <c:pt idx="9">
                  <c:v>Cina</c:v>
                </c:pt>
              </c:strCache>
            </c:strRef>
          </c:cat>
          <c:val>
            <c:numRef>
              <c:f>'[coe_extraue_102022.xlsx]Figura 5'!$B$36:$B$45</c:f>
              <c:numCache>
                <c:formatCode>#,##0</c:formatCode>
                <c:ptCount val="10"/>
                <c:pt idx="0">
                  <c:v>3610.3703529999998</c:v>
                </c:pt>
                <c:pt idx="1">
                  <c:v>1471.9835929999999</c:v>
                </c:pt>
                <c:pt idx="2">
                  <c:v>1001.490584</c:v>
                </c:pt>
                <c:pt idx="3">
                  <c:v>179.533232</c:v>
                </c:pt>
                <c:pt idx="4">
                  <c:v>-95.924351000000001</c:v>
                </c:pt>
                <c:pt idx="5">
                  <c:v>-593.48971500000005</c:v>
                </c:pt>
                <c:pt idx="6">
                  <c:v>-648.44593499999996</c:v>
                </c:pt>
                <c:pt idx="7">
                  <c:v>-709.58058100000005</c:v>
                </c:pt>
                <c:pt idx="8">
                  <c:v>-2429.7127460000002</c:v>
                </c:pt>
                <c:pt idx="9">
                  <c:v>-3492.3524940000002</c:v>
                </c:pt>
              </c:numCache>
            </c:numRef>
          </c:val>
          <c:extLst>
            <c:ext xmlns:c16="http://schemas.microsoft.com/office/drawing/2014/chart" uri="{C3380CC4-5D6E-409C-BE32-E72D297353CC}">
              <c16:uniqueId val="{00000005-B47C-454F-92B7-D43FA2E952D1}"/>
            </c:ext>
          </c:extLst>
        </c:ser>
        <c:dLbls>
          <c:showLegendKey val="0"/>
          <c:showVal val="0"/>
          <c:showCatName val="0"/>
          <c:showSerName val="0"/>
          <c:showPercent val="0"/>
          <c:showBubbleSize val="0"/>
        </c:dLbls>
        <c:gapWidth val="0"/>
        <c:axId val="209947824"/>
        <c:axId val="209948384"/>
      </c:barChart>
      <c:catAx>
        <c:axId val="209947824"/>
        <c:scaling>
          <c:orientation val="minMax"/>
        </c:scaling>
        <c:delete val="0"/>
        <c:axPos val="b"/>
        <c:majorGridlines>
          <c:spPr>
            <a:ln w="6350" cap="flat" cmpd="sng" algn="ctr">
              <a:solidFill>
                <a:srgbClr val="A6A6A6"/>
              </a:solidFill>
              <a:prstDash val="sysDash"/>
              <a:round/>
              <a:headEnd type="none" w="med" len="med"/>
              <a:tailEnd type="none" w="med" len="med"/>
            </a:ln>
            <a:effectLst/>
          </c:spPr>
        </c:majorGridlines>
        <c:numFmt formatCode="General" sourceLinked="1"/>
        <c:majorTickMark val="none"/>
        <c:minorTickMark val="none"/>
        <c:tickLblPos val="low"/>
        <c:spPr>
          <a:noFill/>
          <a:ln w="9525" cap="flat" cmpd="sng" algn="ctr">
            <a:solidFill>
              <a:sysClr val="windowText" lastClr="000000"/>
            </a:solidFill>
            <a:round/>
          </a:ln>
          <a:effectLst/>
          <a:extLst/>
        </c:spPr>
        <c:txPr>
          <a:bodyPr rot="-2700000" spcFirstLastPara="1" vertOverflow="ellipsis" wrap="square" anchor="ctr" anchorCtr="1"/>
          <a:lstStyle/>
          <a:p>
            <a:pPr>
              <a:defRPr sz="1000" b="1" i="0" u="none" strike="noStrike" kern="1200" baseline="0">
                <a:solidFill>
                  <a:srgbClr val="000000"/>
                </a:solidFill>
                <a:latin typeface="Arial Narrow" panose="020B0606020202030204" pitchFamily="34" charset="0"/>
                <a:ea typeface="+mn-ea"/>
                <a:cs typeface="+mn-cs"/>
              </a:defRPr>
            </a:pPr>
            <a:endParaRPr lang="it-IT"/>
          </a:p>
        </c:txPr>
        <c:crossAx val="209948384"/>
        <c:crosses val="autoZero"/>
        <c:auto val="1"/>
        <c:lblAlgn val="ctr"/>
        <c:lblOffset val="0"/>
        <c:noMultiLvlLbl val="0"/>
      </c:catAx>
      <c:valAx>
        <c:axId val="209948384"/>
        <c:scaling>
          <c:orientation val="minMax"/>
          <c:max val="6000"/>
          <c:min val="-6000"/>
        </c:scaling>
        <c:delete val="0"/>
        <c:axPos val="l"/>
        <c:majorGridlines>
          <c:spPr>
            <a:ln w="6350" cap="flat" cmpd="sng" algn="ctr">
              <a:solidFill>
                <a:srgbClr val="A6A6A6"/>
              </a:solidFill>
              <a:prstDash val="sysDash"/>
              <a:round/>
              <a:headEnd type="none" w="med" len="med"/>
              <a:tailEnd type="none" w="med" len="me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rgbClr val="000000"/>
                </a:solidFill>
                <a:latin typeface="Arial Narrow" panose="020B0606020202030204" pitchFamily="34" charset="0"/>
                <a:ea typeface="+mn-ea"/>
                <a:cs typeface="+mn-cs"/>
              </a:defRPr>
            </a:pPr>
            <a:endParaRPr lang="it-IT"/>
          </a:p>
        </c:txPr>
        <c:crossAx val="209947824"/>
        <c:crosses val="autoZero"/>
        <c:crossBetween val="between"/>
        <c:majorUnit val="2000"/>
      </c:valAx>
      <c:spPr>
        <a:solidFill>
          <a:srgbClr val="FFFFFF"/>
        </a:solidFill>
        <a:ln w="9525" cap="flat" cmpd="sng" algn="ctr">
          <a:solidFill>
            <a:srgbClr val="DDDDDD"/>
          </a:solidFill>
          <a:prstDash val="solid"/>
          <a:round/>
          <a:headEnd type="none" w="med" len="med"/>
          <a:tailEnd type="none" w="med" len="med"/>
        </a:ln>
        <a:effectLst/>
      </c:spPr>
    </c:plotArea>
    <c:legend>
      <c:legendPos val="t"/>
      <c:layout>
        <c:manualLayout>
          <c:xMode val="edge"/>
          <c:yMode val="edge"/>
          <c:x val="0.38869375567024556"/>
          <c:y val="0"/>
          <c:w val="0.20886360768810194"/>
          <c:h val="9.1890712840116934E-2"/>
        </c:manualLayout>
      </c:layout>
      <c:overlay val="0"/>
      <c:spPr>
        <a:noFill/>
        <a:ln>
          <a:noFill/>
        </a:ln>
        <a:effectLst/>
      </c:spPr>
      <c:txPr>
        <a:bodyPr rot="0" spcFirstLastPara="1" vertOverflow="ellipsis" vert="horz" wrap="square" anchor="ctr" anchorCtr="1"/>
        <a:lstStyle/>
        <a:p>
          <a:pPr>
            <a:defRPr sz="900" b="0" i="0" u="none" strike="noStrike" kern="1200" baseline="0">
              <a:solidFill>
                <a:srgbClr val="000000"/>
              </a:solidFill>
              <a:latin typeface="Arial Narrow" panose="020B0606020202030204" pitchFamily="34" charset="0"/>
              <a:ea typeface="+mn-ea"/>
              <a:cs typeface="+mn-cs"/>
            </a:defRPr>
          </a:pPr>
          <a:endParaRPr lang="it-IT"/>
        </a:p>
      </c:txPr>
    </c:legend>
    <c:plotVisOnly val="1"/>
    <c:dispBlanksAs val="gap"/>
    <c:showDLblsOverMax val="0"/>
  </c:chart>
  <c:spPr>
    <a:solidFill>
      <a:srgbClr val="FFFFFF"/>
    </a:solidFill>
    <a:ln w="9525" cap="flat" cmpd="sng" algn="ctr">
      <a:noFill/>
      <a:round/>
    </a:ln>
    <a:effectLst/>
    <a:extLst>
      <a:ext uri="{91240B29-F687-4F45-9708-019B960494DF}">
        <a14:hiddenLine xmlns:a14="http://schemas.microsoft.com/office/drawing/2010/main" w="9525" cap="flat" cmpd="sng" algn="ctr">
          <a:solidFill>
            <a:sysClr val="windowText" lastClr="000000">
              <a:lumMod val="15000"/>
              <a:lumOff val="85000"/>
            </a:sysClr>
          </a:solidFill>
          <a:round/>
        </a14:hiddenLine>
      </a:ext>
    </a:extLst>
  </c:spPr>
  <c:txPr>
    <a:bodyPr/>
    <a:lstStyle/>
    <a:p>
      <a:pPr>
        <a:defRPr sz="900">
          <a:solidFill>
            <a:srgbClr val="000000"/>
          </a:solidFill>
          <a:latin typeface="Arial Narrow" panose="020B0606020202030204" pitchFamily="34" charset="0"/>
        </a:defRPr>
      </a:pPr>
      <a:endParaRPr lang="it-IT"/>
    </a:p>
  </c:tx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cdr:x>
      <cdr:y>0.03106</cdr:y>
    </cdr:from>
    <cdr:to>
      <cdr:x>0.06614</cdr:x>
      <cdr:y>0.09514</cdr:y>
    </cdr:to>
    <cdr:sp macro="" textlink="">
      <cdr:nvSpPr>
        <cdr:cNvPr id="2" name="CasellaDiTesto 5"/>
        <cdr:cNvSpPr txBox="1"/>
      </cdr:nvSpPr>
      <cdr:spPr>
        <a:xfrm xmlns:a="http://schemas.openxmlformats.org/drawingml/2006/main">
          <a:off x="0" y="100619"/>
          <a:ext cx="428587" cy="207619"/>
        </a:xfrm>
        <a:prstGeom xmlns:a="http://schemas.openxmlformats.org/drawingml/2006/main" prst="rect">
          <a:avLst/>
        </a:prstGeom>
        <a:noFill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a:bodyPr xmlns:a="http://schemas.openxmlformats.org/drawingml/2006/main" wrap="none" rtlCol="0" anchor="t">
          <a:spAutoFit/>
        </a:bodyPr>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r>
            <a:rPr lang="it-IT" sz="900">
              <a:latin typeface="Arial Narrow" panose="020B0606020202030204" pitchFamily="34" charset="0"/>
            </a:rPr>
            <a:t>Flussi</a:t>
          </a:r>
        </a:p>
      </cdr:txBody>
    </cdr:sp>
  </cdr:relSizeAnchor>
  <cdr:relSizeAnchor xmlns:cdr="http://schemas.openxmlformats.org/drawingml/2006/chartDrawing">
    <cdr:from>
      <cdr:x>0.93949</cdr:x>
      <cdr:y>0.03903</cdr:y>
    </cdr:from>
    <cdr:to>
      <cdr:x>1</cdr:x>
      <cdr:y>0.10311</cdr:y>
    </cdr:to>
    <cdr:sp macro="" textlink="">
      <cdr:nvSpPr>
        <cdr:cNvPr id="3" name="CasellaDiTesto 6"/>
        <cdr:cNvSpPr txBox="1"/>
      </cdr:nvSpPr>
      <cdr:spPr>
        <a:xfrm xmlns:a="http://schemas.openxmlformats.org/drawingml/2006/main">
          <a:off x="6087895" y="126442"/>
          <a:ext cx="392105" cy="207619"/>
        </a:xfrm>
        <a:prstGeom xmlns:a="http://schemas.openxmlformats.org/drawingml/2006/main" prst="rect">
          <a:avLst/>
        </a:prstGeom>
        <a:noFill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a:bodyPr xmlns:a="http://schemas.openxmlformats.org/drawingml/2006/main" wrap="none" rtlCol="0" anchor="t">
          <a:spAutoFit/>
        </a:bodyPr>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r>
            <a:rPr lang="it-IT" sz="900">
              <a:latin typeface="Arial Narrow" panose="020B0606020202030204" pitchFamily="34" charset="0"/>
            </a:rPr>
            <a:t>Saldi</a:t>
          </a:r>
        </a:p>
      </cdr:txBody>
    </cdr:sp>
  </cdr:relSizeAnchor>
</c:userShape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Nota o comunicato" ma:contentTypeID="0x010100B795A82E90F7744F8BBD5BCEA1E47B9D00412BB8B24175FB4599016A296A388103" ma:contentTypeVersion="2" ma:contentTypeDescription="" ma:contentTypeScope="" ma:versionID="fef993d87c238cc71779350178681a56">
  <xsd:schema xmlns:xsd="http://www.w3.org/2001/XMLSchema" xmlns:xs="http://www.w3.org/2001/XMLSchema" xmlns:p="http://schemas.microsoft.com/office/2006/metadata/properties" xmlns:ns2="2886d22a-1eb9-406b-961e-e52bb60f5915" targetNamespace="http://schemas.microsoft.com/office/2006/metadata/properties" ma:root="true" ma:fieldsID="6a986a9c8108b3d7a67e5da413ff238a" ns2:_="">
    <xsd:import namespace="2886d22a-1eb9-406b-961e-e52bb60f5915"/>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86d22a-1eb9-406b-961e-e52bb60f5915" elementFormDefault="qualified">
    <xsd:import namespace="http://schemas.microsoft.com/office/2006/documentManagement/types"/>
    <xsd:import namespace="http://schemas.microsoft.com/office/infopath/2007/PartnerControls"/>
    <xsd:element name="_dlc_DocId" ma:index="8" nillable="true" ma:displayName="Valore ID documento" ma:description="Valore dell'ID documento assegnato all'elemento." ma:internalName="_dlc_DocId" ma:readOnly="true">
      <xsd:simpleType>
        <xsd:restriction base="dms:Text"/>
      </xsd:simpleType>
    </xsd:element>
    <xsd:element name="_dlc_DocIdUrl" ma:index="9" nillable="true" ma:displayName="ID documento" ma:description="Collegamento permanente al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9B82D3-774F-45B9-9412-3FAAF08C497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98F325F-EA70-436F-8D86-72521ECB0E2D}">
  <ds:schemaRefs>
    <ds:schemaRef ds:uri="http://schemas.microsoft.com/sharepoint/events"/>
  </ds:schemaRefs>
</ds:datastoreItem>
</file>

<file path=customXml/itemProps3.xml><?xml version="1.0" encoding="utf-8"?>
<ds:datastoreItem xmlns:ds="http://schemas.openxmlformats.org/officeDocument/2006/customXml" ds:itemID="{BC18B7C5-48CB-4D8F-B2CA-BDF055C20707}">
  <ds:schemaRefs>
    <ds:schemaRef ds:uri="http://schemas.microsoft.com/sharepoint/v3/contenttype/forms"/>
  </ds:schemaRefs>
</ds:datastoreItem>
</file>

<file path=customXml/itemProps4.xml><?xml version="1.0" encoding="utf-8"?>
<ds:datastoreItem xmlns:ds="http://schemas.openxmlformats.org/officeDocument/2006/customXml" ds:itemID="{F31540C7-411D-4144-955F-3350F56993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86d22a-1eb9-406b-961e-e52bb60f59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00D97CF-20CD-4046-A670-09B1A9EBF51A}">
  <ds:schemaRefs>
    <ds:schemaRef ds:uri="http://schemas.microsoft.com/office/2006/metadata/longProperties"/>
  </ds:schemaRefs>
</ds:datastoreItem>
</file>

<file path=customXml/itemProps6.xml><?xml version="1.0" encoding="utf-8"?>
<ds:datastoreItem xmlns:ds="http://schemas.openxmlformats.org/officeDocument/2006/customXml" ds:itemID="{B9042D0A-9647-4148-B28F-7BC9572AF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3928</Words>
  <Characters>22395</Characters>
  <Application>Microsoft Office Word</Application>
  <DocSecurity>0</DocSecurity>
  <Lines>186</Lines>
  <Paragraphs>52</Paragraphs>
  <ScaleCrop>false</ScaleCrop>
  <HeadingPairs>
    <vt:vector size="2" baseType="variant">
      <vt:variant>
        <vt:lpstr>Titolo</vt:lpstr>
      </vt:variant>
      <vt:variant>
        <vt:i4>1</vt:i4>
      </vt:variant>
    </vt:vector>
  </HeadingPairs>
  <TitlesOfParts>
    <vt:vector size="1" baseType="lpstr">
      <vt:lpstr>Giugno 2010</vt:lpstr>
    </vt:vector>
  </TitlesOfParts>
  <Manager/>
  <Company>HP</Company>
  <LinksUpToDate>false</LinksUpToDate>
  <CharactersWithSpaces>26271</CharactersWithSpaces>
  <SharedDoc>false</SharedDoc>
  <HyperlinkBase/>
  <HLinks>
    <vt:vector size="72" baseType="variant">
      <vt:variant>
        <vt:i4>5898331</vt:i4>
      </vt:variant>
      <vt:variant>
        <vt:i4>33</vt:i4>
      </vt:variant>
      <vt:variant>
        <vt:i4>0</vt:i4>
      </vt:variant>
      <vt:variant>
        <vt:i4>5</vt:i4>
      </vt:variant>
      <vt:variant>
        <vt:lpwstr>http://www.istat.it/it/archivio/45225</vt:lpwstr>
      </vt:variant>
      <vt:variant>
        <vt:lpwstr/>
      </vt:variant>
      <vt:variant>
        <vt:i4>3604535</vt:i4>
      </vt:variant>
      <vt:variant>
        <vt:i4>30</vt:i4>
      </vt:variant>
      <vt:variant>
        <vt:i4>0</vt:i4>
      </vt:variant>
      <vt:variant>
        <vt:i4>5</vt:i4>
      </vt:variant>
      <vt:variant>
        <vt:lpwstr>http://www.istat.it/it/archivio/esportazioni+delle+regioni</vt:lpwstr>
      </vt:variant>
      <vt:variant>
        <vt:lpwstr/>
      </vt:variant>
      <vt:variant>
        <vt:i4>1245267</vt:i4>
      </vt:variant>
      <vt:variant>
        <vt:i4>27</vt:i4>
      </vt:variant>
      <vt:variant>
        <vt:i4>0</vt:i4>
      </vt:variant>
      <vt:variant>
        <vt:i4>5</vt:i4>
      </vt:variant>
      <vt:variant>
        <vt:lpwstr>http://www.istat.it/it/archivio/commercio+estero+extra+ue</vt:lpwstr>
      </vt:variant>
      <vt:variant>
        <vt:lpwstr/>
      </vt:variant>
      <vt:variant>
        <vt:i4>4259923</vt:i4>
      </vt:variant>
      <vt:variant>
        <vt:i4>24</vt:i4>
      </vt:variant>
      <vt:variant>
        <vt:i4>0</vt:i4>
      </vt:variant>
      <vt:variant>
        <vt:i4>5</vt:i4>
      </vt:variant>
      <vt:variant>
        <vt:lpwstr>http://www.istat.it/it/archivio/commercio+estero+e+prezzi+import</vt:lpwstr>
      </vt:variant>
      <vt:variant>
        <vt:lpwstr/>
      </vt:variant>
      <vt:variant>
        <vt:i4>1900613</vt:i4>
      </vt:variant>
      <vt:variant>
        <vt:i4>21</vt:i4>
      </vt:variant>
      <vt:variant>
        <vt:i4>0</vt:i4>
      </vt:variant>
      <vt:variant>
        <vt:i4>5</vt:i4>
      </vt:variant>
      <vt:variant>
        <vt:lpwstr>https://www.coeweb.istat.it/</vt:lpwstr>
      </vt:variant>
      <vt:variant>
        <vt:lpwstr/>
      </vt:variant>
      <vt:variant>
        <vt:i4>1900613</vt:i4>
      </vt:variant>
      <vt:variant>
        <vt:i4>18</vt:i4>
      </vt:variant>
      <vt:variant>
        <vt:i4>0</vt:i4>
      </vt:variant>
      <vt:variant>
        <vt:i4>5</vt:i4>
      </vt:variant>
      <vt:variant>
        <vt:lpwstr>https://www.coeweb.istat.it/</vt:lpwstr>
      </vt:variant>
      <vt:variant>
        <vt:lpwstr/>
      </vt:variant>
      <vt:variant>
        <vt:i4>5308420</vt:i4>
      </vt:variant>
      <vt:variant>
        <vt:i4>15</vt:i4>
      </vt:variant>
      <vt:variant>
        <vt:i4>0</vt:i4>
      </vt:variant>
      <vt:variant>
        <vt:i4>5</vt:i4>
      </vt:variant>
      <vt:variant>
        <vt:lpwstr>https://www.coeweb.istat.it/note_metodologiche/note_diffusione.htm</vt:lpwstr>
      </vt:variant>
      <vt:variant>
        <vt:lpwstr/>
      </vt:variant>
      <vt:variant>
        <vt:i4>3735592</vt:i4>
      </vt:variant>
      <vt:variant>
        <vt:i4>12</vt:i4>
      </vt:variant>
      <vt:variant>
        <vt:i4>0</vt:i4>
      </vt:variant>
      <vt:variant>
        <vt:i4>5</vt:i4>
      </vt:variant>
      <vt:variant>
        <vt:lpwstr>http://www.istat.it/it/files/2016/07/scheda-CommercioEsteroextraUE.pdf</vt:lpwstr>
      </vt:variant>
      <vt:variant>
        <vt:lpwstr/>
      </vt:variant>
      <vt:variant>
        <vt:i4>2031617</vt:i4>
      </vt:variant>
      <vt:variant>
        <vt:i4>9</vt:i4>
      </vt:variant>
      <vt:variant>
        <vt:i4>0</vt:i4>
      </vt:variant>
      <vt:variant>
        <vt:i4>5</vt:i4>
      </vt:variant>
      <vt:variant>
        <vt:lpwstr>http://www.istat.it/it/congiuntura/revisioni</vt:lpwstr>
      </vt:variant>
      <vt:variant>
        <vt:lpwstr/>
      </vt:variant>
      <vt:variant>
        <vt:i4>5898331</vt:i4>
      </vt:variant>
      <vt:variant>
        <vt:i4>6</vt:i4>
      </vt:variant>
      <vt:variant>
        <vt:i4>0</vt:i4>
      </vt:variant>
      <vt:variant>
        <vt:i4>5</vt:i4>
      </vt:variant>
      <vt:variant>
        <vt:lpwstr>http://www.istat.it/it/archivio/45225</vt:lpwstr>
      </vt:variant>
      <vt:variant>
        <vt:lpwstr/>
      </vt:variant>
      <vt:variant>
        <vt:i4>7208997</vt:i4>
      </vt:variant>
      <vt:variant>
        <vt:i4>3</vt:i4>
      </vt:variant>
      <vt:variant>
        <vt:i4>0</vt:i4>
      </vt:variant>
      <vt:variant>
        <vt:i4>5</vt:i4>
      </vt:variant>
      <vt:variant>
        <vt:lpwstr>http://www.istat.it/it/congiuntura</vt:lpwstr>
      </vt:variant>
      <vt:variant>
        <vt:lpwstr/>
      </vt:variant>
      <vt:variant>
        <vt:i4>6094849</vt:i4>
      </vt:variant>
      <vt:variant>
        <vt:i4>0</vt:i4>
      </vt:variant>
      <vt:variant>
        <vt:i4>0</vt:i4>
      </vt:variant>
      <vt:variant>
        <vt:i4>5</vt:i4>
      </vt:variant>
      <vt:variant>
        <vt:lpwstr>http://dati.istat.it/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Giugno 2010</dc:title>
  <dc:subject/>
  <dc:creator>ISTAT</dc:creator>
  <cp:keywords/>
  <dc:description/>
  <cp:lastModifiedBy>Enza Lucia Rocca Agnese Vaccaro</cp:lastModifiedBy>
  <cp:revision>3</cp:revision>
  <cp:lastPrinted>2022-11-23T12:13:00Z</cp:lastPrinted>
  <dcterms:created xsi:type="dcterms:W3CDTF">2022-11-24T08:59:00Z</dcterms:created>
  <dcterms:modified xsi:type="dcterms:W3CDTF">2022-11-25T08:48:00Z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2QYKZWF4TN2A-29-1481</vt:lpwstr>
  </property>
  <property fmtid="{D5CDD505-2E9C-101B-9397-08002B2CF9AE}" pid="3" name="_dlc_DocIdItemGuid">
    <vt:lpwstr>a854da55-5598-4bc3-a3c1-17f98066c950</vt:lpwstr>
  </property>
  <property fmtid="{D5CDD505-2E9C-101B-9397-08002B2CF9AE}" pid="4" name="_dlc_DocIdUrl">
    <vt:lpwstr>https://collaborazione.istat.it/siti/ed/ufficio_stampa/_layouts/DocIdRedir.aspx?ID=2QYKZWF4TN2A-29-1481, 2QYKZWF4TN2A-29-1481</vt:lpwstr>
  </property>
</Properties>
</file>