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772" w:rsidRPr="00FF2772" w:rsidRDefault="00FF2772" w:rsidP="001235DB">
      <w:pPr>
        <w:spacing w:before="0" w:after="0" w:line="140" w:lineRule="exact"/>
        <w:rPr>
          <w:rFonts w:ascii="Arial" w:hAnsi="Arial" w:cs="Arial"/>
          <w:color w:val="5F5F5F"/>
          <w:sz w:val="16"/>
          <w:szCs w:val="28"/>
        </w:rPr>
      </w:pPr>
    </w:p>
    <w:p w:rsidR="001D330A" w:rsidRPr="00AA1831" w:rsidRDefault="001D330A" w:rsidP="0009734F">
      <w:pPr>
        <w:spacing w:before="0" w:after="0"/>
        <w:ind w:left="1814"/>
        <w:rPr>
          <w:rFonts w:ascii="Arial" w:hAnsi="Arial" w:cs="Arial"/>
          <w:color w:val="5F5F5F"/>
          <w:sz w:val="2"/>
          <w:szCs w:val="28"/>
        </w:rPr>
      </w:pPr>
    </w:p>
    <w:p w:rsidR="002F27C1" w:rsidRPr="00316725" w:rsidRDefault="002F27C1" w:rsidP="00316725">
      <w:pPr>
        <w:pStyle w:val="Paragrafoelenco"/>
        <w:tabs>
          <w:tab w:val="left" w:pos="10206"/>
        </w:tabs>
        <w:spacing w:line="230" w:lineRule="exact"/>
        <w:ind w:left="284"/>
        <w:contextualSpacing w:val="0"/>
        <w:jc w:val="both"/>
        <w:rPr>
          <w:rFonts w:ascii="Arial" w:hAnsi="Arial" w:cs="Arial"/>
          <w:sz w:val="18"/>
          <w:szCs w:val="21"/>
        </w:rPr>
      </w:pPr>
    </w:p>
    <w:p w:rsidR="00382674" w:rsidRPr="0060260E" w:rsidRDefault="00FD38B0" w:rsidP="0009734F">
      <w:pPr>
        <w:spacing w:before="0" w:after="0"/>
        <w:ind w:left="1814"/>
        <w:rPr>
          <w:rFonts w:ascii="Arial" w:hAnsi="Arial" w:cs="Arial"/>
          <w:color w:val="5F5F5F"/>
          <w:sz w:val="28"/>
          <w:szCs w:val="28"/>
        </w:rPr>
      </w:pPr>
      <w:r>
        <w:rPr>
          <w:rFonts w:ascii="Arial" w:hAnsi="Arial" w:cs="Arial"/>
          <w:color w:val="5F5F5F"/>
          <w:sz w:val="28"/>
          <w:szCs w:val="28"/>
        </w:rPr>
        <w:t>Novembre</w:t>
      </w:r>
      <w:r w:rsidR="008E4B64" w:rsidRPr="008E4B64">
        <w:rPr>
          <w:rFonts w:ascii="Arial" w:hAnsi="Arial" w:cs="Arial"/>
          <w:color w:val="5F5F5F"/>
          <w:sz w:val="28"/>
          <w:szCs w:val="28"/>
        </w:rPr>
        <w:t xml:space="preserve"> </w:t>
      </w:r>
      <w:r w:rsidR="005307C4">
        <w:rPr>
          <w:rFonts w:ascii="Arial" w:hAnsi="Arial" w:cs="Arial"/>
          <w:color w:val="5F5F5F"/>
          <w:sz w:val="28"/>
          <w:szCs w:val="28"/>
        </w:rPr>
        <w:t>2022</w:t>
      </w:r>
    </w:p>
    <w:p w:rsidR="00382674" w:rsidRPr="00816166" w:rsidRDefault="00382674" w:rsidP="00816166">
      <w:pPr>
        <w:tabs>
          <w:tab w:val="left" w:pos="142"/>
        </w:tabs>
        <w:spacing w:before="0" w:after="0"/>
        <w:ind w:left="1814"/>
        <w:rPr>
          <w:rFonts w:ascii="Calibri" w:hAnsi="Calibri" w:cs="Arial"/>
          <w:b/>
          <w:bCs/>
          <w:caps/>
          <w:color w:val="5F5F5F"/>
          <w:sz w:val="52"/>
          <w:szCs w:val="52"/>
        </w:rPr>
      </w:pPr>
      <w:r w:rsidRPr="00816166">
        <w:rPr>
          <w:rFonts w:ascii="Calibri" w:hAnsi="Calibri" w:cs="Arial"/>
          <w:b/>
          <w:bCs/>
          <w:caps/>
          <w:color w:val="5F5F5F"/>
          <w:sz w:val="52"/>
          <w:szCs w:val="52"/>
        </w:rPr>
        <w:t xml:space="preserve">PREZZI </w:t>
      </w:r>
      <w:r w:rsidR="00140552" w:rsidRPr="00816166">
        <w:rPr>
          <w:rFonts w:ascii="Calibri" w:hAnsi="Calibri" w:cs="Arial"/>
          <w:b/>
          <w:bCs/>
          <w:caps/>
          <w:color w:val="5F5F5F"/>
          <w:sz w:val="52"/>
          <w:szCs w:val="52"/>
        </w:rPr>
        <w:t>AL CONSUMO</w:t>
      </w:r>
    </w:p>
    <w:p w:rsidR="00A646A5" w:rsidRDefault="00382674" w:rsidP="00382674">
      <w:pPr>
        <w:spacing w:before="0" w:after="0"/>
        <w:ind w:left="1814"/>
        <w:rPr>
          <w:rFonts w:ascii="Arial" w:hAnsi="Arial" w:cs="Arial"/>
          <w:color w:val="808080"/>
          <w:sz w:val="28"/>
          <w:szCs w:val="28"/>
        </w:rPr>
      </w:pPr>
      <w:r w:rsidRPr="00382674">
        <w:rPr>
          <w:rFonts w:ascii="Arial" w:hAnsi="Arial" w:cs="Arial"/>
          <w:color w:val="808080"/>
          <w:sz w:val="28"/>
          <w:szCs w:val="28"/>
        </w:rPr>
        <w:t xml:space="preserve">Dati </w:t>
      </w:r>
      <w:r w:rsidRPr="00E93C9F">
        <w:rPr>
          <w:rFonts w:ascii="Arial" w:hAnsi="Arial" w:cs="Arial"/>
          <w:color w:val="808080"/>
          <w:sz w:val="28"/>
          <w:szCs w:val="28"/>
        </w:rPr>
        <w:t>provvisori</w:t>
      </w:r>
    </w:p>
    <w:p w:rsidR="00CB377D" w:rsidRPr="00B221C0" w:rsidRDefault="00CB377D" w:rsidP="00395E84">
      <w:pPr>
        <w:tabs>
          <w:tab w:val="left" w:pos="10206"/>
        </w:tabs>
        <w:spacing w:before="0" w:line="230" w:lineRule="exact"/>
        <w:jc w:val="both"/>
        <w:rPr>
          <w:rFonts w:ascii="Arial" w:hAnsi="Arial" w:cs="Arial"/>
          <w:sz w:val="18"/>
          <w:szCs w:val="21"/>
        </w:rPr>
      </w:pPr>
    </w:p>
    <w:p w:rsidR="00861B31" w:rsidRPr="00C522A7" w:rsidRDefault="00D23AC7" w:rsidP="00F757FA">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sidRPr="002E2387">
        <w:rPr>
          <w:rFonts w:ascii="Arial" w:hAnsi="Arial" w:cs="Arial"/>
          <w:sz w:val="21"/>
          <w:szCs w:val="21"/>
        </w:rPr>
        <w:t xml:space="preserve">Secondo le stime preliminari, nel mese di </w:t>
      </w:r>
      <w:r w:rsidR="00B574DD">
        <w:rPr>
          <w:rFonts w:ascii="Arial" w:hAnsi="Arial" w:cs="Arial"/>
          <w:sz w:val="21"/>
          <w:szCs w:val="21"/>
        </w:rPr>
        <w:t>n</w:t>
      </w:r>
      <w:r w:rsidR="00FD38B0">
        <w:rPr>
          <w:rFonts w:ascii="Arial" w:hAnsi="Arial" w:cs="Arial"/>
          <w:sz w:val="21"/>
          <w:szCs w:val="21"/>
        </w:rPr>
        <w:t>ovembre</w:t>
      </w:r>
      <w:r>
        <w:rPr>
          <w:rFonts w:ascii="Arial" w:hAnsi="Arial" w:cs="Arial"/>
          <w:sz w:val="21"/>
          <w:szCs w:val="21"/>
        </w:rPr>
        <w:t xml:space="preserve"> 2022</w:t>
      </w:r>
      <w:r w:rsidRPr="002E2387">
        <w:rPr>
          <w:rFonts w:ascii="Arial" w:hAnsi="Arial" w:cs="Arial"/>
          <w:sz w:val="21"/>
          <w:szCs w:val="21"/>
        </w:rPr>
        <w:t xml:space="preserve"> l’indice nazionale dei prezzi al consumo per l’intera collettività (NIC), al lordo dei tabacchi, registra un a</w:t>
      </w:r>
      <w:r w:rsidR="00A70E79">
        <w:rPr>
          <w:rFonts w:ascii="Arial" w:hAnsi="Arial" w:cs="Arial"/>
          <w:sz w:val="21"/>
          <w:szCs w:val="21"/>
        </w:rPr>
        <w:t>umento del</w:t>
      </w:r>
      <w:r w:rsidR="00B574DD">
        <w:rPr>
          <w:rFonts w:ascii="Arial" w:hAnsi="Arial" w:cs="Arial"/>
          <w:sz w:val="21"/>
          <w:szCs w:val="21"/>
        </w:rPr>
        <w:t>lo</w:t>
      </w:r>
      <w:r>
        <w:rPr>
          <w:rFonts w:ascii="Arial" w:hAnsi="Arial" w:cs="Arial"/>
          <w:sz w:val="21"/>
          <w:szCs w:val="21"/>
        </w:rPr>
        <w:t xml:space="preserve"> </w:t>
      </w:r>
      <w:r w:rsidR="008319C9">
        <w:rPr>
          <w:rFonts w:ascii="Arial" w:hAnsi="Arial" w:cs="Arial"/>
          <w:sz w:val="21"/>
          <w:szCs w:val="21"/>
        </w:rPr>
        <w:t>0,5</w:t>
      </w:r>
      <w:r w:rsidRPr="002E2387">
        <w:rPr>
          <w:rFonts w:ascii="Arial" w:hAnsi="Arial" w:cs="Arial"/>
          <w:sz w:val="21"/>
          <w:szCs w:val="21"/>
        </w:rPr>
        <w:t>% su base mensile e del</w:t>
      </w:r>
      <w:r w:rsidR="00120B97">
        <w:rPr>
          <w:rFonts w:ascii="Arial" w:hAnsi="Arial" w:cs="Arial"/>
          <w:sz w:val="21"/>
          <w:szCs w:val="21"/>
        </w:rPr>
        <w:t>l’</w:t>
      </w:r>
      <w:r w:rsidR="008319C9">
        <w:rPr>
          <w:rFonts w:ascii="Arial" w:hAnsi="Arial" w:cs="Arial"/>
          <w:sz w:val="21"/>
          <w:szCs w:val="21"/>
        </w:rPr>
        <w:t>11,8</w:t>
      </w:r>
      <w:r w:rsidRPr="002E2387">
        <w:rPr>
          <w:rFonts w:ascii="Arial" w:hAnsi="Arial" w:cs="Arial"/>
          <w:sz w:val="21"/>
          <w:szCs w:val="21"/>
        </w:rPr>
        <w:t>% su base annua (</w:t>
      </w:r>
      <w:r w:rsidR="00B574DD">
        <w:rPr>
          <w:rFonts w:ascii="Arial" w:hAnsi="Arial" w:cs="Arial"/>
          <w:sz w:val="21"/>
          <w:szCs w:val="21"/>
        </w:rPr>
        <w:t>come n</w:t>
      </w:r>
      <w:r w:rsidRPr="002E2387">
        <w:rPr>
          <w:rFonts w:ascii="Arial" w:hAnsi="Arial" w:cs="Arial"/>
          <w:sz w:val="21"/>
          <w:szCs w:val="21"/>
        </w:rPr>
        <w:t>el mese precedente).</w:t>
      </w:r>
    </w:p>
    <w:p w:rsidR="00667029" w:rsidRPr="00B574DD" w:rsidRDefault="00667029" w:rsidP="00667029">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sidRPr="005A2D2A">
        <w:rPr>
          <w:rFonts w:ascii="Arial" w:hAnsi="Arial" w:cs="Arial"/>
          <w:sz w:val="21"/>
          <w:szCs w:val="21"/>
        </w:rPr>
        <w:t>L’inflazione rimane stabile su base tendenziale a causa</w:t>
      </w:r>
      <w:r>
        <w:rPr>
          <w:rFonts w:ascii="Arial" w:hAnsi="Arial" w:cs="Arial"/>
          <w:sz w:val="21"/>
          <w:szCs w:val="21"/>
        </w:rPr>
        <w:t>, principalmente,</w:t>
      </w:r>
      <w:r w:rsidRPr="005A2D2A">
        <w:rPr>
          <w:rFonts w:ascii="Arial" w:hAnsi="Arial" w:cs="Arial"/>
          <w:sz w:val="21"/>
          <w:szCs w:val="21"/>
        </w:rPr>
        <w:t xml:space="preserve"> </w:t>
      </w:r>
      <w:r>
        <w:rPr>
          <w:rFonts w:ascii="Arial" w:hAnsi="Arial" w:cs="Arial"/>
          <w:sz w:val="21"/>
          <w:szCs w:val="21"/>
        </w:rPr>
        <w:t xml:space="preserve">degli andamenti </w:t>
      </w:r>
      <w:r w:rsidRPr="005A2D2A">
        <w:rPr>
          <w:rFonts w:ascii="Arial" w:hAnsi="Arial" w:cs="Arial"/>
          <w:sz w:val="21"/>
          <w:szCs w:val="21"/>
        </w:rPr>
        <w:t>contrapposti</w:t>
      </w:r>
      <w:r>
        <w:rPr>
          <w:rFonts w:ascii="Arial" w:hAnsi="Arial" w:cs="Arial"/>
          <w:sz w:val="21"/>
          <w:szCs w:val="21"/>
        </w:rPr>
        <w:t xml:space="preserve"> di alcuni aggregati di spesa: da un lato</w:t>
      </w:r>
      <w:r w:rsidRPr="005A2D2A">
        <w:rPr>
          <w:rFonts w:ascii="Arial" w:hAnsi="Arial" w:cs="Arial"/>
          <w:sz w:val="21"/>
          <w:szCs w:val="21"/>
        </w:rPr>
        <w:t xml:space="preserve"> rallenta</w:t>
      </w:r>
      <w:r>
        <w:rPr>
          <w:rFonts w:ascii="Arial" w:hAnsi="Arial" w:cs="Arial"/>
          <w:sz w:val="21"/>
          <w:szCs w:val="21"/>
        </w:rPr>
        <w:t>no i prezzi</w:t>
      </w:r>
      <w:r w:rsidRPr="005A2D2A">
        <w:rPr>
          <w:rFonts w:ascii="Arial" w:hAnsi="Arial" w:cs="Arial"/>
          <w:sz w:val="21"/>
          <w:szCs w:val="21"/>
        </w:rPr>
        <w:t xml:space="preserve"> dei</w:t>
      </w:r>
      <w:r>
        <w:rPr>
          <w:rFonts w:ascii="Arial" w:hAnsi="Arial" w:cs="Arial"/>
          <w:sz w:val="21"/>
          <w:szCs w:val="21"/>
        </w:rPr>
        <w:t xml:space="preserve"> Beni energetici</w:t>
      </w:r>
      <w:r w:rsidRPr="005A2D2A">
        <w:rPr>
          <w:rFonts w:ascii="Arial" w:hAnsi="Arial" w:cs="Arial"/>
          <w:sz w:val="21"/>
          <w:szCs w:val="21"/>
        </w:rPr>
        <w:t xml:space="preserve"> non regolamentati (da +79,4% a +69,9</w:t>
      </w:r>
      <w:r>
        <w:rPr>
          <w:rFonts w:ascii="Arial" w:hAnsi="Arial" w:cs="Arial"/>
          <w:sz w:val="21"/>
          <w:szCs w:val="21"/>
        </w:rPr>
        <w:t xml:space="preserve">%), degli Alimentari </w:t>
      </w:r>
      <w:r w:rsidRPr="005A2D2A">
        <w:rPr>
          <w:rFonts w:ascii="Arial" w:hAnsi="Arial" w:cs="Arial"/>
          <w:sz w:val="21"/>
          <w:szCs w:val="21"/>
        </w:rPr>
        <w:t>non lavorati (da +12,9% a +11,3%)</w:t>
      </w:r>
      <w:r>
        <w:rPr>
          <w:rFonts w:ascii="Arial" w:hAnsi="Arial" w:cs="Arial"/>
          <w:sz w:val="21"/>
          <w:szCs w:val="21"/>
        </w:rPr>
        <w:t xml:space="preserve"> e </w:t>
      </w:r>
      <w:r w:rsidRPr="005A2D2A">
        <w:rPr>
          <w:rFonts w:ascii="Arial" w:hAnsi="Arial" w:cs="Arial"/>
          <w:sz w:val="21"/>
          <w:szCs w:val="21"/>
        </w:rPr>
        <w:t>dei Servizi relativi ai trasporti (da +7,2% a +6,8%)</w:t>
      </w:r>
      <w:r>
        <w:rPr>
          <w:rFonts w:ascii="Arial" w:hAnsi="Arial" w:cs="Arial"/>
          <w:sz w:val="21"/>
          <w:szCs w:val="21"/>
        </w:rPr>
        <w:t xml:space="preserve">; dall’altro accelerano i prezzi degli Energetici </w:t>
      </w:r>
      <w:r w:rsidRPr="005A2D2A">
        <w:rPr>
          <w:rFonts w:ascii="Arial" w:hAnsi="Arial" w:cs="Arial"/>
          <w:sz w:val="21"/>
          <w:szCs w:val="21"/>
        </w:rPr>
        <w:t>regolamentati (da +51,6% a +56,1%),</w:t>
      </w:r>
      <w:r>
        <w:rPr>
          <w:rFonts w:ascii="Arial" w:hAnsi="Arial" w:cs="Arial"/>
          <w:sz w:val="21"/>
          <w:szCs w:val="21"/>
        </w:rPr>
        <w:t xml:space="preserve"> dei Beni alimentari </w:t>
      </w:r>
      <w:r w:rsidRPr="005A2D2A">
        <w:rPr>
          <w:rFonts w:ascii="Arial" w:hAnsi="Arial" w:cs="Arial"/>
          <w:sz w:val="21"/>
          <w:szCs w:val="21"/>
        </w:rPr>
        <w:t>lavorati (da +13,3% a +14,4%)</w:t>
      </w:r>
      <w:r>
        <w:rPr>
          <w:rFonts w:ascii="Arial" w:hAnsi="Arial" w:cs="Arial"/>
          <w:sz w:val="21"/>
          <w:szCs w:val="21"/>
        </w:rPr>
        <w:t xml:space="preserve">, </w:t>
      </w:r>
      <w:r w:rsidRPr="005A2D2A">
        <w:rPr>
          <w:rFonts w:ascii="Arial" w:hAnsi="Arial" w:cs="Arial"/>
          <w:sz w:val="21"/>
          <w:szCs w:val="21"/>
        </w:rPr>
        <w:t>degli Altri beni (da +4,6% a +5,0</w:t>
      </w:r>
      <w:r>
        <w:rPr>
          <w:rFonts w:ascii="Arial" w:hAnsi="Arial" w:cs="Arial"/>
          <w:sz w:val="21"/>
          <w:szCs w:val="21"/>
        </w:rPr>
        <w:t xml:space="preserve">%) e </w:t>
      </w:r>
      <w:r w:rsidRPr="00B574DD">
        <w:rPr>
          <w:rFonts w:ascii="Arial" w:hAnsi="Arial" w:cs="Arial"/>
          <w:sz w:val="21"/>
          <w:szCs w:val="21"/>
        </w:rPr>
        <w:t>dei Servizi ricreativi, culturali e per la cura della persona (da +5,2% a +5,5%)</w:t>
      </w:r>
      <w:r>
        <w:rPr>
          <w:rFonts w:ascii="Arial" w:hAnsi="Arial" w:cs="Arial"/>
          <w:sz w:val="21"/>
          <w:szCs w:val="21"/>
        </w:rPr>
        <w:t>.</w:t>
      </w:r>
    </w:p>
    <w:p w:rsidR="00667029" w:rsidRDefault="00667029" w:rsidP="00667029">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Pr>
          <w:rFonts w:ascii="Arial" w:hAnsi="Arial" w:cs="Arial"/>
          <w:sz w:val="21"/>
          <w:szCs w:val="21"/>
        </w:rPr>
        <w:t>L</w:t>
      </w:r>
      <w:r w:rsidRPr="00BB0BDC">
        <w:rPr>
          <w:rFonts w:ascii="Arial" w:hAnsi="Arial" w:cs="Arial"/>
          <w:sz w:val="21"/>
          <w:szCs w:val="21"/>
        </w:rPr>
        <w:t>’“inflazione di fondo”, al netto degli energe</w:t>
      </w:r>
      <w:r>
        <w:rPr>
          <w:rFonts w:ascii="Arial" w:hAnsi="Arial" w:cs="Arial"/>
          <w:sz w:val="21"/>
          <w:szCs w:val="21"/>
        </w:rPr>
        <w:t xml:space="preserve">tici e degli alimentari freschi, accelera da +5,3% a +5,7%; </w:t>
      </w:r>
      <w:r w:rsidRPr="00BB0BDC">
        <w:rPr>
          <w:rFonts w:ascii="Arial" w:hAnsi="Arial" w:cs="Arial"/>
          <w:sz w:val="21"/>
          <w:szCs w:val="21"/>
        </w:rPr>
        <w:t xml:space="preserve">quella al netto dei soli beni energetici </w:t>
      </w:r>
      <w:r>
        <w:rPr>
          <w:rFonts w:ascii="Arial" w:hAnsi="Arial" w:cs="Arial"/>
          <w:sz w:val="21"/>
          <w:szCs w:val="21"/>
        </w:rPr>
        <w:t>sale da +5,9% a +6,1%.</w:t>
      </w:r>
    </w:p>
    <w:p w:rsidR="00667029" w:rsidRDefault="00667029" w:rsidP="00667029">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Pr>
          <w:rFonts w:ascii="Arial" w:hAnsi="Arial" w:cs="Arial"/>
          <w:sz w:val="21"/>
          <w:szCs w:val="21"/>
        </w:rPr>
        <w:t>Su base annua, i prezzi dei beni</w:t>
      </w:r>
      <w:r w:rsidRPr="00570391">
        <w:rPr>
          <w:rFonts w:ascii="Arial" w:hAnsi="Arial" w:cs="Arial"/>
          <w:sz w:val="21"/>
          <w:szCs w:val="21"/>
        </w:rPr>
        <w:t xml:space="preserve"> </w:t>
      </w:r>
      <w:r>
        <w:rPr>
          <w:rFonts w:ascii="Arial" w:hAnsi="Arial" w:cs="Arial"/>
          <w:sz w:val="21"/>
          <w:szCs w:val="21"/>
        </w:rPr>
        <w:t xml:space="preserve">mostrano un lieve rallentamento </w:t>
      </w:r>
      <w:r w:rsidRPr="00570391">
        <w:rPr>
          <w:rFonts w:ascii="Arial" w:hAnsi="Arial" w:cs="Arial"/>
          <w:sz w:val="21"/>
          <w:szCs w:val="21"/>
        </w:rPr>
        <w:t xml:space="preserve">(da </w:t>
      </w:r>
      <w:r>
        <w:rPr>
          <w:rFonts w:ascii="Arial" w:hAnsi="Arial" w:cs="Arial"/>
          <w:sz w:val="21"/>
          <w:szCs w:val="21"/>
        </w:rPr>
        <w:t>+17,6%</w:t>
      </w:r>
      <w:r w:rsidRPr="00570391">
        <w:rPr>
          <w:rFonts w:ascii="Arial" w:hAnsi="Arial" w:cs="Arial"/>
          <w:sz w:val="21"/>
          <w:szCs w:val="21"/>
        </w:rPr>
        <w:t xml:space="preserve"> a </w:t>
      </w:r>
      <w:r>
        <w:rPr>
          <w:rFonts w:ascii="Arial" w:hAnsi="Arial" w:cs="Arial"/>
          <w:sz w:val="21"/>
          <w:szCs w:val="21"/>
        </w:rPr>
        <w:t>+17,5</w:t>
      </w:r>
      <w:r w:rsidRPr="00570391">
        <w:rPr>
          <w:rFonts w:ascii="Arial" w:hAnsi="Arial" w:cs="Arial"/>
          <w:sz w:val="21"/>
          <w:szCs w:val="21"/>
        </w:rPr>
        <w:t>%)</w:t>
      </w:r>
      <w:r>
        <w:rPr>
          <w:rFonts w:ascii="Arial" w:hAnsi="Arial" w:cs="Arial"/>
          <w:sz w:val="21"/>
          <w:szCs w:val="21"/>
        </w:rPr>
        <w:t>, mentre rimangono stabili quelli dei</w:t>
      </w:r>
      <w:r w:rsidRPr="00570391">
        <w:rPr>
          <w:rFonts w:ascii="Arial" w:hAnsi="Arial" w:cs="Arial"/>
          <w:sz w:val="21"/>
          <w:szCs w:val="21"/>
        </w:rPr>
        <w:t xml:space="preserve"> servizi </w:t>
      </w:r>
      <w:r>
        <w:rPr>
          <w:rFonts w:ascii="Arial" w:hAnsi="Arial" w:cs="Arial"/>
          <w:sz w:val="21"/>
          <w:szCs w:val="21"/>
        </w:rPr>
        <w:t>(+3,8%)</w:t>
      </w:r>
      <w:r w:rsidRPr="00570391">
        <w:rPr>
          <w:rFonts w:ascii="Arial" w:hAnsi="Arial" w:cs="Arial"/>
          <w:sz w:val="21"/>
          <w:szCs w:val="21"/>
        </w:rPr>
        <w:t xml:space="preserve">; </w:t>
      </w:r>
      <w:r>
        <w:rPr>
          <w:rFonts w:ascii="Arial" w:hAnsi="Arial" w:cs="Arial"/>
          <w:sz w:val="21"/>
          <w:szCs w:val="21"/>
        </w:rPr>
        <w:t xml:space="preserve">si ridimensiona, quindi, di poco, </w:t>
      </w:r>
      <w:r w:rsidRPr="00570391">
        <w:rPr>
          <w:rFonts w:ascii="Arial" w:hAnsi="Arial" w:cs="Arial"/>
          <w:sz w:val="21"/>
          <w:szCs w:val="21"/>
        </w:rPr>
        <w:t xml:space="preserve">il differenziale inflazionistico </w:t>
      </w:r>
      <w:r>
        <w:rPr>
          <w:rFonts w:ascii="Arial" w:hAnsi="Arial" w:cs="Arial"/>
          <w:sz w:val="21"/>
          <w:szCs w:val="21"/>
        </w:rPr>
        <w:t xml:space="preserve">negativo </w:t>
      </w:r>
      <w:r w:rsidRPr="00D11F91">
        <w:rPr>
          <w:rFonts w:ascii="Arial" w:hAnsi="Arial" w:cs="Arial"/>
          <w:sz w:val="21"/>
          <w:szCs w:val="21"/>
        </w:rPr>
        <w:t>tra questi ultimi e i prezz</w:t>
      </w:r>
      <w:r>
        <w:rPr>
          <w:rFonts w:ascii="Arial" w:hAnsi="Arial" w:cs="Arial"/>
          <w:sz w:val="21"/>
          <w:szCs w:val="21"/>
        </w:rPr>
        <w:t xml:space="preserve">i dei beni (da -13,8 di ottobre a -13,7 </w:t>
      </w:r>
      <w:r w:rsidRPr="00D11F91">
        <w:rPr>
          <w:rFonts w:ascii="Arial" w:hAnsi="Arial" w:cs="Arial"/>
          <w:sz w:val="21"/>
          <w:szCs w:val="21"/>
        </w:rPr>
        <w:t>punti percentuali)</w:t>
      </w:r>
      <w:r>
        <w:rPr>
          <w:rFonts w:ascii="Arial" w:hAnsi="Arial" w:cs="Arial"/>
          <w:sz w:val="21"/>
          <w:szCs w:val="21"/>
        </w:rPr>
        <w:t xml:space="preserve">. </w:t>
      </w:r>
    </w:p>
    <w:p w:rsidR="00667029" w:rsidRPr="00B73DEE" w:rsidRDefault="00667029" w:rsidP="00667029">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Pr>
          <w:rFonts w:ascii="Arial" w:hAnsi="Arial" w:cs="Arial"/>
          <w:sz w:val="21"/>
          <w:szCs w:val="21"/>
        </w:rPr>
        <w:t>I</w:t>
      </w:r>
      <w:r w:rsidRPr="00B73DEE">
        <w:rPr>
          <w:rFonts w:ascii="Arial" w:hAnsi="Arial" w:cs="Arial"/>
          <w:sz w:val="21"/>
          <w:szCs w:val="21"/>
        </w:rPr>
        <w:t xml:space="preserve"> prezzi dei Beni alimentari, per la cura della casa e della persona </w:t>
      </w:r>
      <w:r>
        <w:rPr>
          <w:rFonts w:ascii="Arial" w:hAnsi="Arial" w:cs="Arial"/>
          <w:sz w:val="21"/>
          <w:szCs w:val="21"/>
        </w:rPr>
        <w:t xml:space="preserve">registrano una modesta accelerazione su base tendenziale </w:t>
      </w:r>
      <w:r w:rsidRPr="00B73DEE">
        <w:rPr>
          <w:rFonts w:ascii="Arial" w:hAnsi="Arial" w:cs="Arial"/>
          <w:sz w:val="21"/>
          <w:szCs w:val="21"/>
        </w:rPr>
        <w:t>(da +</w:t>
      </w:r>
      <w:r>
        <w:rPr>
          <w:rFonts w:ascii="Arial" w:hAnsi="Arial" w:cs="Arial"/>
          <w:sz w:val="21"/>
          <w:szCs w:val="21"/>
        </w:rPr>
        <w:t>12,6</w:t>
      </w:r>
      <w:r w:rsidRPr="00B73DEE">
        <w:rPr>
          <w:rFonts w:ascii="Arial" w:hAnsi="Arial" w:cs="Arial"/>
          <w:sz w:val="21"/>
          <w:szCs w:val="21"/>
        </w:rPr>
        <w:t>% a +</w:t>
      </w:r>
      <w:r>
        <w:rPr>
          <w:rFonts w:ascii="Arial" w:hAnsi="Arial" w:cs="Arial"/>
          <w:sz w:val="21"/>
          <w:szCs w:val="21"/>
        </w:rPr>
        <w:t>12,8</w:t>
      </w:r>
      <w:r w:rsidRPr="00B73DEE">
        <w:rPr>
          <w:rFonts w:ascii="Arial" w:hAnsi="Arial" w:cs="Arial"/>
          <w:sz w:val="21"/>
          <w:szCs w:val="21"/>
        </w:rPr>
        <w:t>%)</w:t>
      </w:r>
      <w:r>
        <w:rPr>
          <w:rFonts w:ascii="Arial" w:hAnsi="Arial" w:cs="Arial"/>
          <w:sz w:val="21"/>
          <w:szCs w:val="21"/>
        </w:rPr>
        <w:t>; rallentano, al contrario, quelli dei</w:t>
      </w:r>
      <w:r w:rsidRPr="00B73DEE">
        <w:rPr>
          <w:rFonts w:ascii="Arial" w:hAnsi="Arial" w:cs="Arial"/>
          <w:sz w:val="21"/>
          <w:szCs w:val="21"/>
        </w:rPr>
        <w:t xml:space="preserve"> prodotti ad </w:t>
      </w:r>
      <w:r>
        <w:rPr>
          <w:rFonts w:ascii="Arial" w:hAnsi="Arial" w:cs="Arial"/>
          <w:sz w:val="21"/>
          <w:szCs w:val="21"/>
        </w:rPr>
        <w:t>alta frequenza d’acquisto (da +8,9</w:t>
      </w:r>
      <w:r w:rsidRPr="00B73DEE">
        <w:rPr>
          <w:rFonts w:ascii="Arial" w:hAnsi="Arial" w:cs="Arial"/>
          <w:sz w:val="21"/>
          <w:szCs w:val="21"/>
        </w:rPr>
        <w:t>% a +</w:t>
      </w:r>
      <w:r>
        <w:rPr>
          <w:rFonts w:ascii="Arial" w:hAnsi="Arial" w:cs="Arial"/>
          <w:sz w:val="21"/>
          <w:szCs w:val="21"/>
        </w:rPr>
        <w:t>8,8</w:t>
      </w:r>
      <w:r w:rsidRPr="00B73DEE">
        <w:rPr>
          <w:rFonts w:ascii="Arial" w:hAnsi="Arial" w:cs="Arial"/>
          <w:sz w:val="21"/>
          <w:szCs w:val="21"/>
        </w:rPr>
        <w:t>%).</w:t>
      </w:r>
    </w:p>
    <w:p w:rsidR="00667029" w:rsidRPr="005A2D2A" w:rsidRDefault="00667029" w:rsidP="00667029">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sidRPr="005A2D2A">
        <w:rPr>
          <w:rFonts w:ascii="Arial" w:hAnsi="Arial" w:cs="Arial"/>
          <w:sz w:val="21"/>
          <w:szCs w:val="21"/>
        </w:rPr>
        <w:t>L’aumento congiunturale dell’indice generale è dovuto prevalentemente ai prezzi dei Beni energetici regolamentati (+3,0%), degli Energetici non regolamentati (+2,2%)</w:t>
      </w:r>
      <w:r>
        <w:rPr>
          <w:rFonts w:ascii="Arial" w:hAnsi="Arial" w:cs="Arial"/>
          <w:sz w:val="21"/>
          <w:szCs w:val="21"/>
        </w:rPr>
        <w:t>,</w:t>
      </w:r>
      <w:r w:rsidRPr="005A2D2A">
        <w:rPr>
          <w:rFonts w:ascii="Arial" w:hAnsi="Arial" w:cs="Arial"/>
          <w:sz w:val="21"/>
          <w:szCs w:val="21"/>
        </w:rPr>
        <w:t xml:space="preserve"> degli Alimentari lavorati (+1,5%) e dei Beni non durevoli (+0,6%); in calo invece, a causa per lo più di fattori stagionali, i prezzi dei Servizi ricreativi, culturali e per la cura della persona (-0,4%) e dei </w:t>
      </w:r>
      <w:r w:rsidR="00035793">
        <w:rPr>
          <w:rFonts w:ascii="Arial" w:hAnsi="Arial" w:cs="Arial"/>
          <w:sz w:val="21"/>
          <w:szCs w:val="21"/>
        </w:rPr>
        <w:t>Servizi relativi ai trasporti (</w:t>
      </w:r>
      <w:r w:rsidRPr="005A2D2A">
        <w:rPr>
          <w:rFonts w:ascii="Arial" w:hAnsi="Arial" w:cs="Arial"/>
          <w:sz w:val="21"/>
          <w:szCs w:val="21"/>
        </w:rPr>
        <w:t>-0,2%).</w:t>
      </w:r>
    </w:p>
    <w:p w:rsidR="00BB34DD" w:rsidRDefault="00BB34DD" w:rsidP="00395E84">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sidRPr="00C4222E">
        <w:rPr>
          <w:rFonts w:ascii="Arial" w:hAnsi="Arial" w:cs="Arial"/>
          <w:sz w:val="21"/>
          <w:szCs w:val="21"/>
        </w:rPr>
        <w:t xml:space="preserve">L’inflazione acquisita per </w:t>
      </w:r>
      <w:r>
        <w:rPr>
          <w:rFonts w:ascii="Arial" w:hAnsi="Arial" w:cs="Arial"/>
          <w:sz w:val="21"/>
          <w:szCs w:val="21"/>
        </w:rPr>
        <w:t xml:space="preserve">il 2022 è </w:t>
      </w:r>
      <w:r w:rsidRPr="00605FC8">
        <w:rPr>
          <w:rFonts w:ascii="Arial" w:hAnsi="Arial" w:cs="Arial"/>
          <w:sz w:val="21"/>
          <w:szCs w:val="21"/>
        </w:rPr>
        <w:t xml:space="preserve">pari </w:t>
      </w:r>
      <w:r w:rsidRPr="00DB2D2A">
        <w:rPr>
          <w:rFonts w:ascii="Arial" w:hAnsi="Arial" w:cs="Arial"/>
          <w:sz w:val="21"/>
          <w:szCs w:val="21"/>
        </w:rPr>
        <w:t xml:space="preserve">a </w:t>
      </w:r>
      <w:r>
        <w:rPr>
          <w:rFonts w:ascii="Arial" w:hAnsi="Arial" w:cs="Arial"/>
          <w:sz w:val="21"/>
          <w:szCs w:val="21"/>
        </w:rPr>
        <w:t>+</w:t>
      </w:r>
      <w:r w:rsidR="008319C9">
        <w:rPr>
          <w:rFonts w:ascii="Arial" w:hAnsi="Arial" w:cs="Arial"/>
          <w:sz w:val="21"/>
          <w:szCs w:val="21"/>
        </w:rPr>
        <w:t>8,1</w:t>
      </w:r>
      <w:r w:rsidRPr="00DB2D2A">
        <w:rPr>
          <w:rFonts w:ascii="Arial" w:hAnsi="Arial" w:cs="Arial"/>
          <w:sz w:val="21"/>
          <w:szCs w:val="21"/>
        </w:rPr>
        <w:t>% per l’indice generale e a +</w:t>
      </w:r>
      <w:r w:rsidR="008319C9">
        <w:rPr>
          <w:rFonts w:ascii="Arial" w:hAnsi="Arial" w:cs="Arial"/>
          <w:sz w:val="21"/>
          <w:szCs w:val="21"/>
        </w:rPr>
        <w:t>3,7</w:t>
      </w:r>
      <w:r w:rsidRPr="00DB2D2A">
        <w:rPr>
          <w:rFonts w:ascii="Arial" w:hAnsi="Arial" w:cs="Arial"/>
          <w:sz w:val="21"/>
          <w:szCs w:val="21"/>
        </w:rPr>
        <w:t>% per</w:t>
      </w:r>
      <w:r w:rsidRPr="00605FC8">
        <w:rPr>
          <w:rFonts w:ascii="Arial" w:hAnsi="Arial" w:cs="Arial"/>
          <w:sz w:val="21"/>
          <w:szCs w:val="21"/>
        </w:rPr>
        <w:t xml:space="preserve"> la componente di fondo.</w:t>
      </w:r>
    </w:p>
    <w:p w:rsidR="00BB34DD" w:rsidRDefault="00F539AB" w:rsidP="00395E84">
      <w:pPr>
        <w:pStyle w:val="Paragrafoelenco"/>
        <w:numPr>
          <w:ilvl w:val="0"/>
          <w:numId w:val="30"/>
        </w:numPr>
        <w:tabs>
          <w:tab w:val="left" w:pos="10206"/>
        </w:tabs>
        <w:spacing w:after="100" w:line="230" w:lineRule="exact"/>
        <w:ind w:left="284" w:hanging="284"/>
        <w:contextualSpacing w:val="0"/>
        <w:jc w:val="both"/>
        <w:rPr>
          <w:rFonts w:ascii="Arial" w:hAnsi="Arial" w:cs="Arial"/>
          <w:sz w:val="21"/>
          <w:szCs w:val="21"/>
        </w:rPr>
      </w:pPr>
      <w:r w:rsidRPr="00C86B09">
        <w:rPr>
          <w:rFonts w:ascii="Arial" w:hAnsi="Arial" w:cs="Arial"/>
          <w:sz w:val="21"/>
          <w:szCs w:val="21"/>
        </w:rPr>
        <w:t xml:space="preserve">Secondo le stime preliminari, </w:t>
      </w:r>
      <w:r>
        <w:rPr>
          <w:rFonts w:ascii="Arial" w:hAnsi="Arial" w:cs="Arial"/>
          <w:sz w:val="21"/>
          <w:szCs w:val="21"/>
        </w:rPr>
        <w:t>l</w:t>
      </w:r>
      <w:r w:rsidR="00BB34DD" w:rsidRPr="00F91EBE">
        <w:rPr>
          <w:rFonts w:ascii="Arial" w:hAnsi="Arial" w:cs="Arial"/>
          <w:iCs/>
          <w:sz w:val="21"/>
          <w:szCs w:val="21"/>
        </w:rPr>
        <w:t>’indice</w:t>
      </w:r>
      <w:r w:rsidR="00BB34DD" w:rsidRPr="00F91EBE">
        <w:rPr>
          <w:rFonts w:ascii="Arial" w:hAnsi="Arial" w:cs="Arial"/>
          <w:sz w:val="21"/>
          <w:szCs w:val="21"/>
        </w:rPr>
        <w:t xml:space="preserve"> armonizzato dei prezzi al consumo (IPCA) </w:t>
      </w:r>
      <w:r w:rsidR="00CF060C">
        <w:rPr>
          <w:rFonts w:ascii="Arial" w:hAnsi="Arial" w:cs="Arial"/>
          <w:sz w:val="21"/>
          <w:szCs w:val="21"/>
        </w:rPr>
        <w:t>aumenta</w:t>
      </w:r>
      <w:r w:rsidR="00380232">
        <w:rPr>
          <w:rFonts w:ascii="Arial" w:hAnsi="Arial" w:cs="Arial"/>
          <w:sz w:val="21"/>
          <w:szCs w:val="21"/>
        </w:rPr>
        <w:t xml:space="preserve"> del</w:t>
      </w:r>
      <w:r w:rsidR="00854608">
        <w:rPr>
          <w:rFonts w:ascii="Arial" w:hAnsi="Arial" w:cs="Arial"/>
          <w:sz w:val="21"/>
          <w:szCs w:val="21"/>
        </w:rPr>
        <w:t>lo</w:t>
      </w:r>
      <w:r w:rsidR="008319C9">
        <w:rPr>
          <w:rFonts w:ascii="Arial" w:hAnsi="Arial" w:cs="Arial"/>
          <w:sz w:val="21"/>
          <w:szCs w:val="21"/>
        </w:rPr>
        <w:t xml:space="preserve"> 0,6</w:t>
      </w:r>
      <w:r w:rsidR="00BB34DD">
        <w:rPr>
          <w:rFonts w:ascii="Arial" w:hAnsi="Arial" w:cs="Arial"/>
          <w:sz w:val="21"/>
          <w:szCs w:val="21"/>
        </w:rPr>
        <w:t>%</w:t>
      </w:r>
      <w:r w:rsidRPr="00C86B09">
        <w:rPr>
          <w:rFonts w:ascii="Arial" w:hAnsi="Arial" w:cs="Arial"/>
          <w:sz w:val="21"/>
          <w:szCs w:val="21"/>
        </w:rPr>
        <w:t xml:space="preserve"> </w:t>
      </w:r>
      <w:r w:rsidR="00CF060C">
        <w:rPr>
          <w:rFonts w:ascii="Arial" w:hAnsi="Arial" w:cs="Arial"/>
          <w:sz w:val="21"/>
          <w:szCs w:val="21"/>
        </w:rPr>
        <w:t>su base mensile</w:t>
      </w:r>
      <w:r w:rsidR="00844544" w:rsidRPr="00844544">
        <w:rPr>
          <w:rFonts w:ascii="Arial" w:hAnsi="Arial" w:cs="Arial"/>
          <w:sz w:val="21"/>
          <w:szCs w:val="21"/>
        </w:rPr>
        <w:t xml:space="preserve"> </w:t>
      </w:r>
      <w:r w:rsidR="00CF060C">
        <w:rPr>
          <w:rFonts w:ascii="Arial" w:hAnsi="Arial" w:cs="Arial"/>
          <w:sz w:val="21"/>
          <w:szCs w:val="21"/>
        </w:rPr>
        <w:t>e</w:t>
      </w:r>
      <w:r>
        <w:rPr>
          <w:rFonts w:ascii="Arial" w:hAnsi="Arial" w:cs="Arial"/>
          <w:sz w:val="21"/>
          <w:szCs w:val="21"/>
        </w:rPr>
        <w:t xml:space="preserve"> </w:t>
      </w:r>
      <w:r w:rsidR="00881079">
        <w:rPr>
          <w:rFonts w:ascii="Arial" w:hAnsi="Arial" w:cs="Arial"/>
          <w:sz w:val="21"/>
          <w:szCs w:val="21"/>
        </w:rPr>
        <w:t xml:space="preserve">del </w:t>
      </w:r>
      <w:r w:rsidR="008319C9">
        <w:rPr>
          <w:rFonts w:ascii="Arial" w:hAnsi="Arial" w:cs="Arial"/>
          <w:sz w:val="21"/>
          <w:szCs w:val="21"/>
        </w:rPr>
        <w:t>12,5</w:t>
      </w:r>
      <w:r w:rsidR="00CF060C">
        <w:rPr>
          <w:rFonts w:ascii="Arial" w:hAnsi="Arial" w:cs="Arial"/>
          <w:sz w:val="21"/>
          <w:szCs w:val="21"/>
        </w:rPr>
        <w:t>% su base annua (da +</w:t>
      </w:r>
      <w:r w:rsidR="00380232">
        <w:rPr>
          <w:rFonts w:ascii="Arial" w:hAnsi="Arial" w:cs="Arial"/>
          <w:sz w:val="21"/>
          <w:szCs w:val="21"/>
        </w:rPr>
        <w:t>12,6</w:t>
      </w:r>
      <w:r w:rsidR="00BB34DD" w:rsidRPr="007B1698">
        <w:rPr>
          <w:rFonts w:ascii="Arial" w:hAnsi="Arial" w:cs="Arial"/>
          <w:sz w:val="21"/>
          <w:szCs w:val="21"/>
        </w:rPr>
        <w:t>% nel mese precedente</w:t>
      </w:r>
      <w:r>
        <w:rPr>
          <w:rFonts w:ascii="Arial" w:hAnsi="Arial" w:cs="Arial"/>
          <w:sz w:val="21"/>
          <w:szCs w:val="21"/>
        </w:rPr>
        <w:t>)</w:t>
      </w:r>
      <w:r w:rsidR="00BB34DD" w:rsidRPr="00FC1229">
        <w:rPr>
          <w:rFonts w:ascii="Arial" w:hAnsi="Arial" w:cs="Arial"/>
          <w:sz w:val="21"/>
          <w:szCs w:val="21"/>
        </w:rPr>
        <w:t>.</w:t>
      </w:r>
      <w:r>
        <w:rPr>
          <w:rFonts w:ascii="Arial" w:hAnsi="Arial" w:cs="Arial"/>
          <w:sz w:val="21"/>
          <w:szCs w:val="21"/>
        </w:rPr>
        <w:t xml:space="preserve"> </w:t>
      </w:r>
    </w:p>
    <w:p w:rsidR="00FF0512" w:rsidRDefault="00FF0512" w:rsidP="00F660C3">
      <w:pPr>
        <w:pStyle w:val="Paragrafoelenco"/>
        <w:tabs>
          <w:tab w:val="left" w:pos="10206"/>
        </w:tabs>
        <w:spacing w:line="230" w:lineRule="exact"/>
        <w:ind w:left="284"/>
        <w:contextualSpacing w:val="0"/>
        <w:jc w:val="both"/>
        <w:rPr>
          <w:rFonts w:ascii="Arial" w:hAnsi="Arial" w:cs="Arial"/>
          <w:sz w:val="21"/>
          <w:szCs w:val="21"/>
        </w:rPr>
      </w:pPr>
    </w:p>
    <w:p w:rsidR="00CF060C" w:rsidRPr="00FC5E9D" w:rsidRDefault="00CF060C" w:rsidP="00CF060C">
      <w:pPr>
        <w:pStyle w:val="Paragrafoelenco"/>
        <w:tabs>
          <w:tab w:val="left" w:pos="10206"/>
        </w:tabs>
        <w:spacing w:after="100" w:line="230" w:lineRule="exact"/>
        <w:ind w:left="284"/>
        <w:contextualSpacing w:val="0"/>
        <w:jc w:val="both"/>
        <w:rPr>
          <w:rFonts w:ascii="Arial" w:hAnsi="Arial" w:cs="Arial"/>
          <w:sz w:val="21"/>
          <w:szCs w:val="21"/>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6"/>
        <w:gridCol w:w="3290"/>
      </w:tblGrid>
      <w:tr w:rsidR="00870437" w:rsidRPr="002578CE" w:rsidTr="00BA11A0">
        <w:trPr>
          <w:trHeight w:val="115"/>
        </w:trPr>
        <w:tc>
          <w:tcPr>
            <w:tcW w:w="6916" w:type="dxa"/>
            <w:vMerge w:val="restart"/>
            <w:tcBorders>
              <w:top w:val="nil"/>
              <w:left w:val="single" w:sz="4" w:space="0" w:color="FFFFFF"/>
              <w:right w:val="single" w:sz="48" w:space="0" w:color="FFFFFF"/>
            </w:tcBorders>
            <w:shd w:val="clear" w:color="auto" w:fill="D9D9D9"/>
          </w:tcPr>
          <w:p w:rsidR="00870437" w:rsidRPr="004A3353" w:rsidRDefault="00CF060C" w:rsidP="00F3618A">
            <w:pPr>
              <w:pStyle w:val="Paragrafobase"/>
              <w:spacing w:before="120" w:line="140" w:lineRule="atLeast"/>
              <w:ind w:left="284" w:hanging="284"/>
              <w:rPr>
                <w:rFonts w:ascii="Calibri" w:hAnsi="Calibri" w:cs="Arial"/>
                <w:color w:val="E42618"/>
                <w:sz w:val="56"/>
                <w:szCs w:val="56"/>
              </w:rPr>
            </w:pPr>
            <w:r>
              <w:rPr>
                <w:noProof/>
              </w:rPr>
              <w:drawing>
                <wp:anchor distT="0" distB="0" distL="114300" distR="114300" simplePos="0" relativeHeight="251716608" behindDoc="0" locked="0" layoutInCell="1" allowOverlap="1" wp14:anchorId="6A81E130" wp14:editId="13A8ED5E">
                  <wp:simplePos x="0" y="0"/>
                  <wp:positionH relativeFrom="column">
                    <wp:posOffset>-408305</wp:posOffset>
                  </wp:positionH>
                  <wp:positionV relativeFrom="paragraph">
                    <wp:posOffset>-200577</wp:posOffset>
                  </wp:positionV>
                  <wp:extent cx="932180" cy="932180"/>
                  <wp:effectExtent l="0" t="0" r="1270" b="1270"/>
                  <wp:wrapNone/>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2180" cy="932180"/>
                          </a:xfrm>
                          <a:prstGeom prst="rect">
                            <a:avLst/>
                          </a:prstGeom>
                          <a:noFill/>
                        </pic:spPr>
                      </pic:pic>
                    </a:graphicData>
                  </a:graphic>
                  <wp14:sizeRelH relativeFrom="margin">
                    <wp14:pctWidth>0</wp14:pctWidth>
                  </wp14:sizeRelH>
                  <wp14:sizeRelV relativeFrom="margin">
                    <wp14:pctHeight>0</wp14:pctHeight>
                  </wp14:sizeRelV>
                </wp:anchor>
              </w:drawing>
            </w:r>
            <w:r w:rsidR="0074096D">
              <w:rPr>
                <w:iCs/>
                <w:noProof/>
              </w:rPr>
              <w:drawing>
                <wp:anchor distT="0" distB="0" distL="114300" distR="114300" simplePos="0" relativeHeight="251712512" behindDoc="0" locked="0" layoutInCell="1" allowOverlap="1" wp14:anchorId="666491F3" wp14:editId="3B4016A8">
                  <wp:simplePos x="0" y="0"/>
                  <wp:positionH relativeFrom="column">
                    <wp:posOffset>6057636</wp:posOffset>
                  </wp:positionH>
                  <wp:positionV relativeFrom="paragraph">
                    <wp:posOffset>93980</wp:posOffset>
                  </wp:positionV>
                  <wp:extent cx="657225" cy="638175"/>
                  <wp:effectExtent l="0" t="0" r="9525" b="9525"/>
                  <wp:wrapNone/>
                  <wp:docPr id="24" name="Immagine 3" descr="Descrizione: iconeComunicati-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magine 3" descr="Descrizione: iconeComunicati-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870437">
              <w:rPr>
                <w:noProof/>
              </w:rPr>
              <w:drawing>
                <wp:anchor distT="0" distB="0" distL="114300" distR="114300" simplePos="0" relativeHeight="251715584" behindDoc="0" locked="0" layoutInCell="1" allowOverlap="1" wp14:anchorId="24B1FCC8" wp14:editId="5B3B3EA6">
                  <wp:simplePos x="0" y="0"/>
                  <wp:positionH relativeFrom="column">
                    <wp:posOffset>398145</wp:posOffset>
                  </wp:positionH>
                  <wp:positionV relativeFrom="paragraph">
                    <wp:posOffset>6514465</wp:posOffset>
                  </wp:positionV>
                  <wp:extent cx="920750" cy="920750"/>
                  <wp:effectExtent l="0" t="0" r="0" b="0"/>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00870437">
              <w:rPr>
                <w:rFonts w:ascii="Arial" w:hAnsi="Arial" w:cs="Arial"/>
                <w:iCs/>
                <w:noProof/>
                <w:sz w:val="21"/>
                <w:szCs w:val="21"/>
              </w:rPr>
              <w:drawing>
                <wp:anchor distT="0" distB="0" distL="114300" distR="114300" simplePos="0" relativeHeight="251714560" behindDoc="0" locked="0" layoutInCell="1" allowOverlap="1" wp14:anchorId="0ADF56C7" wp14:editId="3510B60F">
                  <wp:simplePos x="0" y="0"/>
                  <wp:positionH relativeFrom="column">
                    <wp:posOffset>398145</wp:posOffset>
                  </wp:positionH>
                  <wp:positionV relativeFrom="paragraph">
                    <wp:posOffset>6514465</wp:posOffset>
                  </wp:positionV>
                  <wp:extent cx="920750" cy="920750"/>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00870437" w:rsidRPr="00EA401A">
              <w:rPr>
                <w:rFonts w:ascii="Arial" w:hAnsi="Arial" w:cs="Arial"/>
                <w:iCs/>
                <w:noProof/>
                <w:sz w:val="21"/>
                <w:szCs w:val="21"/>
              </w:rPr>
              <w:t xml:space="preserve"> </w:t>
            </w:r>
            <w:r w:rsidR="00870437">
              <w:rPr>
                <w:rFonts w:ascii="Arial" w:hAnsi="Arial" w:cs="Arial"/>
                <w:noProof/>
                <w:color w:val="E42618"/>
                <w:sz w:val="22"/>
                <w:szCs w:val="22"/>
              </w:rPr>
              <w:drawing>
                <wp:anchor distT="0" distB="0" distL="114300" distR="114300" simplePos="0" relativeHeight="251713536" behindDoc="0" locked="0" layoutInCell="1" allowOverlap="1" wp14:anchorId="5D2525E7" wp14:editId="752C018E">
                  <wp:simplePos x="0" y="0"/>
                  <wp:positionH relativeFrom="column">
                    <wp:posOffset>398145</wp:posOffset>
                  </wp:positionH>
                  <wp:positionV relativeFrom="paragraph">
                    <wp:posOffset>6514465</wp:posOffset>
                  </wp:positionV>
                  <wp:extent cx="920750" cy="920750"/>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r w:rsidR="00870437">
              <w:rPr>
                <w:rFonts w:ascii="Arial" w:hAnsi="Arial" w:cs="Arial"/>
                <w:noProof/>
                <w:color w:val="E42618"/>
                <w:sz w:val="22"/>
                <w:szCs w:val="22"/>
              </w:rPr>
              <mc:AlternateContent>
                <mc:Choice Requires="wpg">
                  <w:drawing>
                    <wp:anchor distT="0" distB="0" distL="114300" distR="114300" simplePos="0" relativeHeight="251710464" behindDoc="0" locked="0" layoutInCell="1" allowOverlap="1" wp14:anchorId="3444A158" wp14:editId="47EE7114">
                      <wp:simplePos x="0" y="0"/>
                      <wp:positionH relativeFrom="column">
                        <wp:posOffset>403225</wp:posOffset>
                      </wp:positionH>
                      <wp:positionV relativeFrom="paragraph">
                        <wp:posOffset>6517005</wp:posOffset>
                      </wp:positionV>
                      <wp:extent cx="6760210" cy="3480435"/>
                      <wp:effectExtent l="0" t="1270" r="0" b="4445"/>
                      <wp:wrapNone/>
                      <wp:docPr id="10"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0210" cy="3480435"/>
                                <a:chOff x="635" y="10263"/>
                                <a:chExt cx="10646" cy="5481"/>
                              </a:xfrm>
                            </wpg:grpSpPr>
                            <pic:pic xmlns:pic="http://schemas.openxmlformats.org/drawingml/2006/picture">
                              <pic:nvPicPr>
                                <pic:cNvPr id="2" name="Immagine 9" descr="Descrizione: iconeComunicati-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261" y="11995"/>
                                  <a:ext cx="1020"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magine 8" descr="Descrizione: iconeComunicati-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271" y="14769"/>
                                  <a:ext cx="1005" cy="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mmagine 15" descr="Descrizione: iconeComunicati-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5" y="10263"/>
                                  <a:ext cx="1410"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magine 3" descr="Descrizione: iconeComunicati-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246" y="10525"/>
                                  <a:ext cx="1035"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76C5315" id="Gruppo 10" o:spid="_x0000_s1026" style="position:absolute;margin-left:31.75pt;margin-top:513.15pt;width:532.3pt;height:274.05pt;z-index:251710464" coordorigin="635,10263" coordsize="10646,5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">
                      <v:shape id="Immagine 9" o:spid="_x0000_s1027" type="#_x0000_t75" alt="Descrizione: iconeComunicati-03" style="position:absolute;left:10261;top:11995;width:1020;height:9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">
                        <v:imagedata r:id="rId18" o:title=" iconeComunicati-03"/>
                      </v:shape>
                      <v:shape id="Immagine 8" o:spid="_x0000_s1028" type="#_x0000_t75" alt="Descrizione: iconeComunicati-06" style="position:absolute;left:10271;top:14769;width:1005;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">
                        <v:imagedata r:id="rId19" o:title=" iconeComunicati-06"/>
                      </v:shape>
                      <v:shape id="Immagine 15" o:spid="_x0000_s1029" type="#_x0000_t75" alt="Descrizione: iconeComunicati-02" style="position:absolute;left:635;top:10263;width:1410;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">
                        <v:imagedata r:id="rId20" o:title=" iconeComunicati-02"/>
                      </v:shape>
                      <v:shape id="Immagine 3" o:spid="_x0000_s1030" type="#_x0000_t75" alt="Descrizione: iconeComunicati-05" style="position:absolute;left:10246;top:10525;width:1035;height: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">
                        <v:imagedata r:id="rId21" o:title=" iconeComunicati-05"/>
                      </v:shape>
                    </v:group>
                  </w:pict>
                </mc:Fallback>
              </mc:AlternateContent>
            </w:r>
            <w:r w:rsidR="00870437" w:rsidRPr="004A3353">
              <w:rPr>
                <w:rFonts w:ascii="Arial" w:hAnsi="Arial" w:cs="Arial"/>
                <w:color w:val="E42618"/>
                <w:sz w:val="22"/>
                <w:szCs w:val="22"/>
              </w:rPr>
              <w:t xml:space="preserve">                     </w:t>
            </w:r>
            <w:r w:rsidR="00870437" w:rsidRPr="004A3353">
              <w:rPr>
                <w:rFonts w:ascii="Calibri" w:hAnsi="Calibri" w:cs="Arial"/>
                <w:color w:val="E42618"/>
                <w:sz w:val="56"/>
                <w:szCs w:val="56"/>
              </w:rPr>
              <w:t>Il commento</w:t>
            </w:r>
          </w:p>
          <w:p w:rsidR="00395E84" w:rsidRDefault="00395E84" w:rsidP="0047772F">
            <w:pPr>
              <w:pStyle w:val="Paragrafobase"/>
              <w:tabs>
                <w:tab w:val="left" w:pos="6526"/>
              </w:tabs>
              <w:spacing w:after="100" w:line="260" w:lineRule="exact"/>
              <w:ind w:left="340" w:right="176"/>
              <w:jc w:val="both"/>
              <w:rPr>
                <w:rFonts w:ascii="Arial" w:hAnsi="Arial" w:cs="Arial"/>
                <w:sz w:val="21"/>
                <w:szCs w:val="21"/>
              </w:rPr>
            </w:pPr>
          </w:p>
          <w:p w:rsidR="00BB495B" w:rsidRPr="002578CE" w:rsidRDefault="00E8219F" w:rsidP="00E8219F">
            <w:pPr>
              <w:pStyle w:val="Paragrafobase"/>
              <w:tabs>
                <w:tab w:val="left" w:pos="6526"/>
              </w:tabs>
              <w:spacing w:after="240" w:line="260" w:lineRule="exact"/>
              <w:ind w:left="340" w:right="176"/>
              <w:jc w:val="both"/>
              <w:rPr>
                <w:rFonts w:ascii="Arial" w:hAnsi="Arial" w:cs="Arial"/>
                <w:sz w:val="21"/>
                <w:szCs w:val="21"/>
              </w:rPr>
            </w:pPr>
            <w:r>
              <w:rPr>
                <w:rFonts w:ascii="Arial" w:hAnsi="Arial" w:cs="Arial"/>
                <w:sz w:val="21"/>
                <w:szCs w:val="21"/>
              </w:rPr>
              <w:t>Dopo la brusca accelerazione di ottobre, a novembre 2022 l’inflazione, che rimane a livelli che non si vedevano da marzo 1984</w:t>
            </w:r>
            <w:r w:rsidR="00541091">
              <w:rPr>
                <w:rFonts w:ascii="Arial" w:hAnsi="Arial" w:cs="Arial"/>
                <w:sz w:val="21"/>
                <w:szCs w:val="21"/>
              </w:rPr>
              <w:t xml:space="preserve"> (quando fu +11,9%)</w:t>
            </w:r>
            <w:r>
              <w:rPr>
                <w:rFonts w:ascii="Arial" w:hAnsi="Arial" w:cs="Arial"/>
                <w:sz w:val="21"/>
                <w:szCs w:val="21"/>
              </w:rPr>
              <w:t>, è stabile. I prezzi di alcune componenti, che ne avevano sostenuto l’ascesa, tra cui gli energetici non regolamentati e in misura minore gli alimentari non lavorati, rallentano su base annua, mentre quelli di altre componenti continuano ad accelerare, tra cui gli energetici regolamentati e in misura minore gli alimentari lavorati. Anche i prezzi del “carrello della spesa” accelerano ma di poco. Se nei prossimi mesi continuasse la discesa in corso dei prezzi all’ingrosso del gas e di altre materie prime, il fuoco dell’inflazione, che ha caratterizzato sin qui l’anno in corso, potrebbe iniziare a ritirarsi.</w:t>
            </w:r>
          </w:p>
        </w:tc>
        <w:tc>
          <w:tcPr>
            <w:tcW w:w="3290" w:type="dxa"/>
            <w:tcBorders>
              <w:top w:val="nil"/>
              <w:left w:val="single" w:sz="48" w:space="0" w:color="FFFFFF"/>
              <w:bottom w:val="single" w:sz="36" w:space="0" w:color="FFFFFF"/>
              <w:right w:val="single" w:sz="36" w:space="0" w:color="FFFFFF"/>
            </w:tcBorders>
            <w:shd w:val="clear" w:color="auto" w:fill="E31C18"/>
          </w:tcPr>
          <w:p w:rsidR="00870437" w:rsidRPr="00163D97" w:rsidRDefault="00870437" w:rsidP="00B6416F">
            <w:pPr>
              <w:pStyle w:val="Paragrafobase"/>
              <w:spacing w:before="200" w:line="320" w:lineRule="exact"/>
              <w:ind w:left="176"/>
              <w:rPr>
                <w:rFonts w:ascii="Calibri" w:hAnsi="Calibri" w:cs="Arial"/>
                <w:b/>
                <w:color w:val="FFFFFF"/>
                <w:sz w:val="28"/>
                <w:szCs w:val="28"/>
              </w:rPr>
            </w:pPr>
            <w:r w:rsidRPr="00163D97">
              <w:rPr>
                <w:rFonts w:ascii="Calibri" w:hAnsi="Calibri" w:cs="Arial"/>
                <w:b/>
                <w:color w:val="FFFFFF"/>
                <w:sz w:val="28"/>
                <w:szCs w:val="28"/>
              </w:rPr>
              <w:t>PROSSIMA</w:t>
            </w:r>
          </w:p>
          <w:p w:rsidR="00870437" w:rsidRPr="00163D97" w:rsidRDefault="00870437" w:rsidP="00B6416F">
            <w:pPr>
              <w:pStyle w:val="Paragrafobase"/>
              <w:spacing w:line="320" w:lineRule="exact"/>
              <w:ind w:left="176"/>
              <w:rPr>
                <w:rFonts w:ascii="Arial Narrow" w:hAnsi="Arial Narrow" w:cs="Arial"/>
                <w:b/>
                <w:color w:val="FFFFFF"/>
                <w:sz w:val="28"/>
                <w:szCs w:val="28"/>
              </w:rPr>
            </w:pPr>
            <w:r w:rsidRPr="00163D97">
              <w:rPr>
                <w:rFonts w:ascii="Calibri" w:hAnsi="Calibri" w:cs="Arial"/>
                <w:b/>
                <w:color w:val="FFFFFF"/>
                <w:sz w:val="28"/>
                <w:szCs w:val="28"/>
              </w:rPr>
              <w:t>DIFFUSIONE</w:t>
            </w:r>
          </w:p>
          <w:p w:rsidR="00870437" w:rsidRPr="002578CE" w:rsidRDefault="0074096D" w:rsidP="00306151">
            <w:pPr>
              <w:pStyle w:val="Paragrafobase"/>
              <w:spacing w:before="120" w:after="120" w:line="160" w:lineRule="atLeast"/>
              <w:ind w:left="176"/>
              <w:rPr>
                <w:rFonts w:ascii="Arial" w:hAnsi="Arial" w:cs="Arial"/>
                <w:sz w:val="21"/>
                <w:szCs w:val="21"/>
              </w:rPr>
            </w:pPr>
            <w:r>
              <w:rPr>
                <w:rFonts w:ascii="Arial" w:hAnsi="Arial" w:cs="Arial"/>
                <w:noProof/>
                <w:sz w:val="21"/>
                <w:szCs w:val="21"/>
              </w:rPr>
              <w:drawing>
                <wp:anchor distT="0" distB="0" distL="114300" distR="114300" simplePos="0" relativeHeight="251718656" behindDoc="0" locked="0" layoutInCell="1" allowOverlap="1" wp14:anchorId="2CA90D00" wp14:editId="6C647BC2">
                  <wp:simplePos x="0" y="0"/>
                  <wp:positionH relativeFrom="column">
                    <wp:posOffset>1557284</wp:posOffset>
                  </wp:positionH>
                  <wp:positionV relativeFrom="paragraph">
                    <wp:posOffset>328930</wp:posOffset>
                  </wp:positionV>
                  <wp:extent cx="647700" cy="628650"/>
                  <wp:effectExtent l="0" t="0" r="0" b="0"/>
                  <wp:wrapNone/>
                  <wp:docPr id="52" name="Immagine 52" descr="Descrizione: iconeComunicati-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Descrizione: iconeComunicati-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 cy="628650"/>
                          </a:xfrm>
                          <a:prstGeom prst="rect">
                            <a:avLst/>
                          </a:prstGeom>
                          <a:noFill/>
                          <a:ln>
                            <a:noFill/>
                          </a:ln>
                        </pic:spPr>
                      </pic:pic>
                    </a:graphicData>
                  </a:graphic>
                </wp:anchor>
              </w:drawing>
            </w:r>
            <w:r w:rsidR="0027555C">
              <w:rPr>
                <w:rFonts w:ascii="Arial Narrow" w:hAnsi="Arial Narrow" w:cs="Arial"/>
                <w:color w:val="FFFFFF"/>
                <w:sz w:val="22"/>
                <w:szCs w:val="22"/>
              </w:rPr>
              <w:t>1</w:t>
            </w:r>
            <w:r w:rsidR="00D607BA">
              <w:rPr>
                <w:rFonts w:ascii="Arial Narrow" w:hAnsi="Arial Narrow" w:cs="Arial"/>
                <w:color w:val="FFFFFF"/>
                <w:sz w:val="22"/>
                <w:szCs w:val="22"/>
              </w:rPr>
              <w:t xml:space="preserve">6 </w:t>
            </w:r>
            <w:r w:rsidR="00306151">
              <w:rPr>
                <w:rFonts w:ascii="Arial Narrow" w:hAnsi="Arial Narrow" w:cs="Arial"/>
                <w:color w:val="FFFFFF"/>
                <w:sz w:val="22"/>
                <w:szCs w:val="22"/>
              </w:rPr>
              <w:t>dice</w:t>
            </w:r>
            <w:r w:rsidR="003B7DCF">
              <w:rPr>
                <w:rFonts w:ascii="Arial Narrow" w:hAnsi="Arial Narrow" w:cs="Arial"/>
                <w:color w:val="FFFFFF"/>
                <w:sz w:val="22"/>
                <w:szCs w:val="22"/>
              </w:rPr>
              <w:t>mbre</w:t>
            </w:r>
            <w:r w:rsidR="00E35AE6">
              <w:rPr>
                <w:rFonts w:ascii="Arial Narrow" w:hAnsi="Arial Narrow" w:cs="Arial"/>
                <w:color w:val="FFFFFF"/>
                <w:sz w:val="22"/>
                <w:szCs w:val="22"/>
              </w:rPr>
              <w:t xml:space="preserve"> 202</w:t>
            </w:r>
            <w:r w:rsidR="000E42DF">
              <w:rPr>
                <w:rFonts w:ascii="Arial Narrow" w:hAnsi="Arial Narrow" w:cs="Arial"/>
                <w:color w:val="FFFFFF"/>
                <w:sz w:val="22"/>
                <w:szCs w:val="22"/>
              </w:rPr>
              <w:t>2</w:t>
            </w:r>
          </w:p>
        </w:tc>
      </w:tr>
      <w:tr w:rsidR="00870437" w:rsidRPr="00EB61B1" w:rsidTr="00BA11A0">
        <w:trPr>
          <w:trHeight w:val="115"/>
        </w:trPr>
        <w:tc>
          <w:tcPr>
            <w:tcW w:w="6916" w:type="dxa"/>
            <w:vMerge/>
            <w:tcBorders>
              <w:left w:val="single" w:sz="4" w:space="0" w:color="FFFFFF"/>
              <w:right w:val="single" w:sz="48" w:space="0" w:color="FFFFFF"/>
            </w:tcBorders>
            <w:shd w:val="clear" w:color="auto" w:fill="D9D9D9"/>
          </w:tcPr>
          <w:p w:rsidR="00870437" w:rsidRPr="002578CE" w:rsidRDefault="00870437" w:rsidP="00BA11A0">
            <w:pPr>
              <w:widowControl/>
              <w:tabs>
                <w:tab w:val="left" w:pos="284"/>
                <w:tab w:val="left" w:pos="709"/>
              </w:tabs>
              <w:overflowPunct/>
              <w:autoSpaceDE/>
              <w:autoSpaceDN/>
              <w:adjustRightInd/>
              <w:spacing w:before="0" w:after="120" w:line="230" w:lineRule="exact"/>
              <w:jc w:val="both"/>
              <w:rPr>
                <w:rFonts w:ascii="Arial" w:hAnsi="Arial" w:cs="Arial"/>
                <w:sz w:val="21"/>
                <w:szCs w:val="21"/>
              </w:rPr>
            </w:pPr>
          </w:p>
        </w:tc>
        <w:tc>
          <w:tcPr>
            <w:tcW w:w="3290" w:type="dxa"/>
            <w:tcBorders>
              <w:top w:val="single" w:sz="36" w:space="0" w:color="FFFFFF"/>
              <w:left w:val="single" w:sz="48" w:space="0" w:color="FFFFFF"/>
              <w:bottom w:val="single" w:sz="36" w:space="0" w:color="FFFFFF"/>
              <w:right w:val="single" w:sz="36" w:space="0" w:color="FFFFFF"/>
            </w:tcBorders>
            <w:shd w:val="clear" w:color="auto" w:fill="E31C18"/>
          </w:tcPr>
          <w:p w:rsidR="00870437" w:rsidRPr="00F757FA" w:rsidRDefault="00870437" w:rsidP="00BA11A0">
            <w:pPr>
              <w:pStyle w:val="Paragrafobase"/>
              <w:spacing w:before="200" w:line="320" w:lineRule="exact"/>
              <w:ind w:left="176"/>
              <w:rPr>
                <w:rFonts w:ascii="Calibri" w:hAnsi="Calibri" w:cs="Arial"/>
                <w:b/>
                <w:color w:val="FFFFFF"/>
                <w:sz w:val="28"/>
                <w:szCs w:val="28"/>
                <w:lang w:val="en-US"/>
              </w:rPr>
            </w:pPr>
            <w:r w:rsidRPr="00F757FA">
              <w:rPr>
                <w:rFonts w:ascii="Calibri" w:hAnsi="Calibri" w:cs="Arial"/>
                <w:b/>
                <w:color w:val="FFFFFF"/>
                <w:sz w:val="28"/>
                <w:szCs w:val="28"/>
                <w:lang w:val="en-US"/>
              </w:rPr>
              <w:t>Link utili</w:t>
            </w:r>
          </w:p>
          <w:p w:rsidR="00870437" w:rsidRPr="00F757FA" w:rsidRDefault="00EB61B1" w:rsidP="00BA11A0">
            <w:pPr>
              <w:pStyle w:val="Paragrafobase"/>
              <w:spacing w:before="120" w:line="240" w:lineRule="exact"/>
              <w:ind w:left="176"/>
              <w:rPr>
                <w:rStyle w:val="Collegamentoipertestuale"/>
                <w:rFonts w:cs="Arial"/>
                <w:color w:val="FFFFFF"/>
                <w:lang w:val="en-US"/>
              </w:rPr>
            </w:pPr>
            <w:hyperlink r:id="rId22" w:history="1">
              <w:r w:rsidR="00870437" w:rsidRPr="00F757FA">
                <w:rPr>
                  <w:rStyle w:val="Collegamentoipertestuale"/>
                  <w:rFonts w:ascii="Arial" w:hAnsi="Arial" w:cs="Arial"/>
                  <w:color w:val="FFFFFF"/>
                  <w:sz w:val="20"/>
                  <w:szCs w:val="20"/>
                  <w:lang w:val="en-US"/>
                </w:rPr>
                <w:t>http://dati.istat.it/</w:t>
              </w:r>
            </w:hyperlink>
          </w:p>
          <w:p w:rsidR="00870437" w:rsidRDefault="00EB61B1" w:rsidP="00BA11A0">
            <w:pPr>
              <w:widowControl/>
              <w:overflowPunct/>
              <w:autoSpaceDE/>
              <w:autoSpaceDN/>
              <w:adjustRightInd/>
              <w:spacing w:before="120" w:after="120" w:line="160" w:lineRule="atLeast"/>
              <w:ind w:left="176"/>
              <w:rPr>
                <w:rStyle w:val="Collegamentoipertestuale"/>
                <w:rFonts w:ascii="Arial" w:hAnsi="Arial" w:cs="Arial"/>
                <w:color w:val="FFFFFF"/>
                <w:lang w:val="en-US"/>
              </w:rPr>
            </w:pPr>
            <w:hyperlink r:id="rId23" w:history="1">
              <w:r w:rsidR="00870437" w:rsidRPr="0021265C">
                <w:rPr>
                  <w:rStyle w:val="Collegamentoipertestuale"/>
                  <w:rFonts w:ascii="Arial" w:hAnsi="Arial" w:cs="Arial"/>
                  <w:color w:val="FFFFFF"/>
                  <w:lang w:val="en-US"/>
                </w:rPr>
                <w:t>http://www.istat.it/it/congiuntura</w:t>
              </w:r>
            </w:hyperlink>
          </w:p>
          <w:p w:rsidR="00870437" w:rsidRPr="00387CE8" w:rsidRDefault="00EB61B1" w:rsidP="00BA11A0">
            <w:pPr>
              <w:widowControl/>
              <w:overflowPunct/>
              <w:autoSpaceDE/>
              <w:autoSpaceDN/>
              <w:adjustRightInd/>
              <w:spacing w:before="120" w:after="120" w:line="160" w:lineRule="atLeast"/>
              <w:ind w:left="176"/>
              <w:rPr>
                <w:rFonts w:ascii="Arial Narrow" w:hAnsi="Arial Narrow" w:cs="Arial"/>
                <w:color w:val="FFFFFF"/>
                <w:kern w:val="0"/>
                <w:sz w:val="22"/>
                <w:szCs w:val="22"/>
                <w:lang w:val="en-US"/>
              </w:rPr>
            </w:pPr>
            <w:hyperlink r:id="rId24" w:history="1">
              <w:r w:rsidR="00870437" w:rsidRPr="003C52BC">
                <w:rPr>
                  <w:rStyle w:val="Collegamentoipertestuale"/>
                  <w:rFonts w:ascii="Arial" w:hAnsi="Arial" w:cs="Arial"/>
                  <w:color w:val="FFFFFF"/>
                  <w:lang w:val="en-US"/>
                </w:rPr>
                <w:t>http://rivaluta.istat.it/Rivaluta/</w:t>
              </w:r>
            </w:hyperlink>
          </w:p>
        </w:tc>
      </w:tr>
      <w:tr w:rsidR="00870437" w:rsidRPr="002578CE" w:rsidTr="00BA11A0">
        <w:trPr>
          <w:trHeight w:val="686"/>
        </w:trPr>
        <w:tc>
          <w:tcPr>
            <w:tcW w:w="6916" w:type="dxa"/>
            <w:vMerge/>
            <w:tcBorders>
              <w:left w:val="single" w:sz="4" w:space="0" w:color="FFFFFF"/>
              <w:bottom w:val="nil"/>
              <w:right w:val="single" w:sz="48" w:space="0" w:color="FFFFFF"/>
            </w:tcBorders>
            <w:shd w:val="clear" w:color="auto" w:fill="D9D9D9"/>
          </w:tcPr>
          <w:p w:rsidR="00870437" w:rsidRPr="00387CE8" w:rsidRDefault="00870437" w:rsidP="00BA11A0">
            <w:pPr>
              <w:widowControl/>
              <w:tabs>
                <w:tab w:val="left" w:pos="284"/>
                <w:tab w:val="left" w:pos="709"/>
              </w:tabs>
              <w:overflowPunct/>
              <w:autoSpaceDE/>
              <w:autoSpaceDN/>
              <w:adjustRightInd/>
              <w:spacing w:before="0" w:after="120" w:line="230" w:lineRule="exact"/>
              <w:jc w:val="both"/>
              <w:rPr>
                <w:rFonts w:ascii="Arial" w:hAnsi="Arial" w:cs="Arial"/>
                <w:sz w:val="21"/>
                <w:szCs w:val="21"/>
                <w:lang w:val="en-US"/>
              </w:rPr>
            </w:pPr>
          </w:p>
        </w:tc>
        <w:tc>
          <w:tcPr>
            <w:tcW w:w="3290" w:type="dxa"/>
            <w:tcBorders>
              <w:top w:val="single" w:sz="36" w:space="0" w:color="FFFFFF"/>
              <w:left w:val="single" w:sz="48" w:space="0" w:color="FFFFFF"/>
              <w:bottom w:val="single" w:sz="36" w:space="0" w:color="FFFFFF"/>
              <w:right w:val="single" w:sz="36" w:space="0" w:color="FFFFFF"/>
            </w:tcBorders>
            <w:shd w:val="clear" w:color="auto" w:fill="E31C18"/>
          </w:tcPr>
          <w:p w:rsidR="00870437" w:rsidRPr="00E61ECE" w:rsidRDefault="00870437" w:rsidP="00BA11A0">
            <w:pPr>
              <w:pStyle w:val="Paragrafobase"/>
              <w:spacing w:before="160" w:line="320" w:lineRule="exact"/>
              <w:ind w:left="175"/>
              <w:rPr>
                <w:rFonts w:ascii="Calibri" w:hAnsi="Calibri" w:cs="Arial"/>
                <w:b/>
                <w:color w:val="FFFFFF"/>
                <w:sz w:val="28"/>
                <w:szCs w:val="28"/>
              </w:rPr>
            </w:pPr>
            <w:r>
              <w:rPr>
                <w:rFonts w:ascii="Calibri" w:hAnsi="Calibri" w:cs="Arial"/>
                <w:b/>
                <w:noProof/>
                <w:color w:val="FFFFFF"/>
                <w:sz w:val="28"/>
                <w:szCs w:val="28"/>
              </w:rPr>
              <w:drawing>
                <wp:anchor distT="0" distB="0" distL="114300" distR="114300" simplePos="0" relativeHeight="251711488" behindDoc="0" locked="0" layoutInCell="1" allowOverlap="1" wp14:anchorId="222DC157" wp14:editId="505EE7A4">
                  <wp:simplePos x="0" y="0"/>
                  <wp:positionH relativeFrom="column">
                    <wp:posOffset>1510401</wp:posOffset>
                  </wp:positionH>
                  <wp:positionV relativeFrom="paragraph">
                    <wp:posOffset>215900</wp:posOffset>
                  </wp:positionV>
                  <wp:extent cx="638175" cy="619125"/>
                  <wp:effectExtent l="0" t="0" r="9525" b="9525"/>
                  <wp:wrapNone/>
                  <wp:docPr id="29" name="Immagine 8" descr="Descrizione: iconeComunicati-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magine 8" descr="Descrizione: iconeComunicati-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E61ECE">
              <w:rPr>
                <w:rFonts w:ascii="Calibri" w:hAnsi="Calibri" w:cs="Arial"/>
                <w:b/>
                <w:color w:val="FFFFFF"/>
                <w:sz w:val="28"/>
                <w:szCs w:val="28"/>
              </w:rPr>
              <w:t>L’approfondimento</w:t>
            </w:r>
          </w:p>
          <w:p w:rsidR="00870437" w:rsidRPr="002578CE" w:rsidRDefault="00DC6B90" w:rsidP="00877EBC">
            <w:pPr>
              <w:pStyle w:val="Paragrafobase"/>
              <w:spacing w:before="120" w:after="120" w:line="240" w:lineRule="exact"/>
              <w:ind w:left="176" w:right="-391"/>
              <w:rPr>
                <w:rFonts w:ascii="Arial" w:hAnsi="Arial" w:cs="Arial"/>
                <w:sz w:val="21"/>
                <w:szCs w:val="21"/>
              </w:rPr>
            </w:pPr>
            <w:r>
              <w:rPr>
                <w:rFonts w:ascii="Arial Narrow" w:hAnsi="Arial Narrow" w:cs="Arial"/>
                <w:color w:val="FFFFFF"/>
                <w:sz w:val="22"/>
                <w:szCs w:val="22"/>
                <w:u w:val="single"/>
              </w:rPr>
              <w:t>pagina</w:t>
            </w:r>
            <w:r w:rsidR="00870437">
              <w:rPr>
                <w:rFonts w:ascii="Arial Narrow" w:hAnsi="Arial Narrow" w:cs="Arial"/>
                <w:color w:val="FFFFFF"/>
                <w:sz w:val="22"/>
                <w:szCs w:val="22"/>
                <w:u w:val="single"/>
              </w:rPr>
              <w:t xml:space="preserve"> 7</w:t>
            </w:r>
          </w:p>
        </w:tc>
      </w:tr>
    </w:tbl>
    <w:p w:rsidR="002B1B35" w:rsidRDefault="002B1B35" w:rsidP="0043285D">
      <w:pPr>
        <w:widowControl/>
        <w:tabs>
          <w:tab w:val="left" w:pos="10206"/>
        </w:tabs>
        <w:overflowPunct/>
        <w:spacing w:before="0" w:line="230" w:lineRule="exact"/>
        <w:ind w:left="284"/>
        <w:jc w:val="both"/>
        <w:rPr>
          <w:rFonts w:ascii="Arial" w:hAnsi="Arial" w:cs="Arial"/>
          <w:sz w:val="21"/>
          <w:szCs w:val="21"/>
        </w:rPr>
      </w:pPr>
    </w:p>
    <w:p w:rsidR="0043285D" w:rsidRPr="00957753" w:rsidRDefault="0043285D" w:rsidP="00870437">
      <w:pPr>
        <w:widowControl/>
        <w:tabs>
          <w:tab w:val="left" w:pos="10206"/>
        </w:tabs>
        <w:overflowPunct/>
        <w:spacing w:before="0" w:line="230" w:lineRule="exact"/>
        <w:ind w:left="284"/>
        <w:jc w:val="both"/>
        <w:rPr>
          <w:rFonts w:ascii="Arial" w:hAnsi="Arial" w:cs="Arial"/>
          <w:b/>
          <w:sz w:val="8"/>
          <w:szCs w:val="8"/>
          <w:lang w:val="en-US"/>
        </w:rPr>
        <w:sectPr w:rsidR="0043285D" w:rsidRPr="00957753" w:rsidSect="003728D3">
          <w:headerReference w:type="default" r:id="rId25"/>
          <w:headerReference w:type="first" r:id="rId26"/>
          <w:pgSz w:w="11907" w:h="16840" w:code="9"/>
          <w:pgMar w:top="2238" w:right="851" w:bottom="680" w:left="851" w:header="567" w:footer="204" w:gutter="0"/>
          <w:cols w:space="720"/>
          <w:noEndnote/>
          <w:docGrid w:linePitch="272"/>
        </w:sectPr>
      </w:pPr>
    </w:p>
    <w:p w:rsidR="00E5745F" w:rsidRDefault="00E5745F" w:rsidP="00EB5D65">
      <w:pPr>
        <w:pStyle w:val="001TitoGra"/>
        <w:spacing w:after="120" w:line="240" w:lineRule="auto"/>
      </w:pPr>
    </w:p>
    <w:p w:rsidR="00B73DEE" w:rsidRDefault="00B73DEE" w:rsidP="00EB5D65">
      <w:pPr>
        <w:pStyle w:val="001TitoGra"/>
        <w:spacing w:after="120" w:line="240" w:lineRule="auto"/>
      </w:pPr>
    </w:p>
    <w:p w:rsidR="00EB5D65" w:rsidRDefault="00EB5D65" w:rsidP="00EB5D65">
      <w:pPr>
        <w:pStyle w:val="001TitoGra"/>
      </w:pPr>
      <w:r w:rsidRPr="00B5016A">
        <w:rPr>
          <w:color w:val="E42618"/>
        </w:rPr>
        <w:t>FIGURA 1</w:t>
      </w:r>
      <w:r w:rsidRPr="002E0A17">
        <w:rPr>
          <w:color w:val="D90B13"/>
        </w:rPr>
        <w:t>.</w:t>
      </w:r>
      <w:r>
        <w:t xml:space="preserve"> INDICE DEI PREZZI AL CONSUMO NIC</w:t>
      </w:r>
    </w:p>
    <w:p w:rsidR="00EB5D65" w:rsidRDefault="000E42DF" w:rsidP="00EB5D65">
      <w:pPr>
        <w:pStyle w:val="001TitoGra"/>
        <w:spacing w:after="120" w:line="240" w:lineRule="auto"/>
        <w:rPr>
          <w:b w:val="0"/>
          <w:sz w:val="20"/>
          <w:szCs w:val="20"/>
        </w:rPr>
      </w:pPr>
      <w:r>
        <w:rPr>
          <w:b w:val="0"/>
          <w:sz w:val="20"/>
          <w:szCs w:val="20"/>
        </w:rPr>
        <w:t>Gennaio 201</w:t>
      </w:r>
      <w:r w:rsidR="005307C4">
        <w:rPr>
          <w:b w:val="0"/>
          <w:sz w:val="20"/>
          <w:szCs w:val="20"/>
        </w:rPr>
        <w:t>7</w:t>
      </w:r>
      <w:r w:rsidR="00EB5D65">
        <w:rPr>
          <w:b w:val="0"/>
          <w:sz w:val="20"/>
          <w:szCs w:val="20"/>
        </w:rPr>
        <w:t xml:space="preserve"> </w:t>
      </w:r>
      <w:r w:rsidR="005307C4">
        <w:rPr>
          <w:b w:val="0"/>
          <w:sz w:val="20"/>
          <w:szCs w:val="20"/>
        </w:rPr>
        <w:t>–</w:t>
      </w:r>
      <w:r w:rsidR="00EB5D65">
        <w:rPr>
          <w:b w:val="0"/>
          <w:sz w:val="20"/>
          <w:szCs w:val="20"/>
        </w:rPr>
        <w:t xml:space="preserve"> </w:t>
      </w:r>
      <w:r w:rsidR="00854608">
        <w:rPr>
          <w:b w:val="0"/>
          <w:sz w:val="20"/>
          <w:szCs w:val="20"/>
        </w:rPr>
        <w:t>n</w:t>
      </w:r>
      <w:r w:rsidR="00FD38B0">
        <w:rPr>
          <w:b w:val="0"/>
          <w:sz w:val="20"/>
          <w:szCs w:val="20"/>
        </w:rPr>
        <w:t>ovembre</w:t>
      </w:r>
      <w:r w:rsidR="00F36E1D" w:rsidRPr="00F36E1D">
        <w:rPr>
          <w:b w:val="0"/>
          <w:sz w:val="20"/>
          <w:szCs w:val="20"/>
        </w:rPr>
        <w:t xml:space="preserve"> </w:t>
      </w:r>
      <w:r w:rsidR="005307C4">
        <w:rPr>
          <w:b w:val="0"/>
          <w:sz w:val="20"/>
          <w:szCs w:val="20"/>
        </w:rPr>
        <w:t>2022</w:t>
      </w:r>
      <w:r w:rsidR="00EB5D65">
        <w:rPr>
          <w:b w:val="0"/>
          <w:sz w:val="20"/>
          <w:szCs w:val="20"/>
        </w:rPr>
        <w:t xml:space="preserve">, </w:t>
      </w:r>
      <w:r w:rsidR="00EB5D65" w:rsidRPr="00B2699B">
        <w:rPr>
          <w:b w:val="0"/>
          <w:sz w:val="20"/>
          <w:szCs w:val="20"/>
        </w:rPr>
        <w:t>variazioni percentuali congiunturali e tendenziali</w:t>
      </w:r>
      <w:r w:rsidR="00EB5D65" w:rsidRPr="006C51CD">
        <w:rPr>
          <w:b w:val="0"/>
          <w:sz w:val="20"/>
          <w:szCs w:val="20"/>
        </w:rPr>
        <w:t xml:space="preserve"> (base 2015=100)</w:t>
      </w:r>
      <w:r w:rsidR="00EB5D65">
        <w:rPr>
          <w:b w:val="0"/>
          <w:sz w:val="20"/>
          <w:szCs w:val="20"/>
        </w:rPr>
        <w:t xml:space="preserve"> </w:t>
      </w:r>
    </w:p>
    <w:p w:rsidR="00EB5D65" w:rsidRDefault="00243D25" w:rsidP="00EB5D65">
      <w:pPr>
        <w:pStyle w:val="001TitoGra"/>
        <w:spacing w:after="120" w:line="240" w:lineRule="auto"/>
      </w:pPr>
      <w:r>
        <w:rPr>
          <w:noProof/>
        </w:rPr>
        <w:drawing>
          <wp:inline distT="0" distB="0" distL="0" distR="0" wp14:anchorId="264E4AC3">
            <wp:extent cx="6443980" cy="322516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43980" cy="3225165"/>
                    </a:xfrm>
                    <a:prstGeom prst="rect">
                      <a:avLst/>
                    </a:prstGeom>
                    <a:noFill/>
                  </pic:spPr>
                </pic:pic>
              </a:graphicData>
            </a:graphic>
          </wp:inline>
        </w:drawing>
      </w:r>
    </w:p>
    <w:p w:rsidR="00EB5D65" w:rsidRDefault="00EB5D65" w:rsidP="00EB5D65">
      <w:pPr>
        <w:pStyle w:val="001TitoGra"/>
        <w:spacing w:after="120" w:line="240" w:lineRule="auto"/>
      </w:pPr>
    </w:p>
    <w:p w:rsidR="00D607BA" w:rsidRDefault="00D607BA" w:rsidP="00EB5D65">
      <w:pPr>
        <w:pStyle w:val="001TitoGra"/>
        <w:spacing w:after="120" w:line="240" w:lineRule="auto"/>
      </w:pPr>
    </w:p>
    <w:p w:rsidR="00804335" w:rsidRPr="00820101" w:rsidRDefault="00804335" w:rsidP="00804335">
      <w:pPr>
        <w:pStyle w:val="001TitoGra"/>
        <w:spacing w:line="240" w:lineRule="auto"/>
      </w:pPr>
      <w:r w:rsidRPr="00820101">
        <w:rPr>
          <w:color w:val="E42618"/>
        </w:rPr>
        <w:t>PROSPETTO 1</w:t>
      </w:r>
      <w:r w:rsidRPr="00820101">
        <w:rPr>
          <w:color w:val="D90B13"/>
        </w:rPr>
        <w:t>.</w:t>
      </w:r>
      <w:r w:rsidRPr="00820101">
        <w:t xml:space="preserve"> INDICI DEI PREZZI AL CONSUMO NIC E IPCA</w:t>
      </w:r>
    </w:p>
    <w:p w:rsidR="000E42DF" w:rsidRPr="008A1DA4" w:rsidRDefault="00FD38B0" w:rsidP="000E42DF">
      <w:pPr>
        <w:spacing w:before="0" w:after="120"/>
        <w:jc w:val="both"/>
        <w:rPr>
          <w:rFonts w:ascii="Arial Narrow" w:hAnsi="Arial Narrow" w:cs="Arial"/>
          <w:color w:val="5F5F5F"/>
        </w:rPr>
      </w:pPr>
      <w:r>
        <w:rPr>
          <w:rFonts w:ascii="Arial Narrow" w:hAnsi="Arial Narrow" w:cs="Arial"/>
          <w:color w:val="5F5F5F"/>
        </w:rPr>
        <w:t>Novembre</w:t>
      </w:r>
      <w:r w:rsidR="003B28E9" w:rsidRPr="003B28E9">
        <w:rPr>
          <w:rFonts w:ascii="Arial Narrow" w:hAnsi="Arial Narrow" w:cs="Arial"/>
          <w:color w:val="5F5F5F"/>
        </w:rPr>
        <w:t xml:space="preserve"> </w:t>
      </w:r>
      <w:r w:rsidR="000E42DF" w:rsidRPr="00BD738C">
        <w:rPr>
          <w:rFonts w:ascii="Arial Narrow" w:hAnsi="Arial Narrow" w:cs="Arial"/>
          <w:color w:val="5F5F5F"/>
        </w:rPr>
        <w:t>20</w:t>
      </w:r>
      <w:r w:rsidR="001F6F52">
        <w:rPr>
          <w:rFonts w:ascii="Arial Narrow" w:hAnsi="Arial Narrow" w:cs="Arial"/>
          <w:color w:val="5F5F5F"/>
        </w:rPr>
        <w:t>21</w:t>
      </w:r>
      <w:r w:rsidR="000E42DF">
        <w:rPr>
          <w:rFonts w:ascii="Arial Narrow" w:hAnsi="Arial Narrow" w:cs="Arial"/>
          <w:color w:val="5F5F5F"/>
        </w:rPr>
        <w:t xml:space="preserve"> </w:t>
      </w:r>
      <w:r w:rsidR="000E42DF" w:rsidRPr="008A1DA4">
        <w:rPr>
          <w:rFonts w:ascii="Arial Narrow" w:hAnsi="Arial Narrow" w:cs="Arial"/>
          <w:color w:val="5F5F5F"/>
        </w:rPr>
        <w:t>-</w:t>
      </w:r>
      <w:r w:rsidR="000E42DF">
        <w:rPr>
          <w:rFonts w:ascii="Arial Narrow" w:hAnsi="Arial Narrow" w:cs="Arial"/>
          <w:color w:val="5F5F5F"/>
        </w:rPr>
        <w:t xml:space="preserve"> </w:t>
      </w:r>
      <w:r>
        <w:rPr>
          <w:rFonts w:ascii="Arial Narrow" w:hAnsi="Arial Narrow" w:cs="Arial"/>
          <w:color w:val="5F5F5F"/>
        </w:rPr>
        <w:t>novembre</w:t>
      </w:r>
      <w:r w:rsidR="003B28E9" w:rsidRPr="003B28E9">
        <w:rPr>
          <w:rFonts w:ascii="Arial Narrow" w:hAnsi="Arial Narrow" w:cs="Arial"/>
          <w:color w:val="5F5F5F"/>
        </w:rPr>
        <w:t xml:space="preserve"> </w:t>
      </w:r>
      <w:r w:rsidR="001F6F52">
        <w:rPr>
          <w:rFonts w:ascii="Arial Narrow" w:hAnsi="Arial Narrow" w:cs="Arial"/>
          <w:color w:val="5F5F5F"/>
        </w:rPr>
        <w:t>2022</w:t>
      </w:r>
      <w:r w:rsidR="000E42DF">
        <w:rPr>
          <w:rFonts w:ascii="Arial Narrow" w:hAnsi="Arial Narrow" w:cs="Arial"/>
          <w:color w:val="5F5F5F"/>
        </w:rPr>
        <w:t>, i</w:t>
      </w:r>
      <w:r w:rsidR="000E42DF" w:rsidRPr="008A1DA4">
        <w:rPr>
          <w:rFonts w:ascii="Arial Narrow" w:hAnsi="Arial Narrow" w:cs="Arial"/>
          <w:color w:val="5F5F5F"/>
        </w:rPr>
        <w:t>ndici e variazioni percentuali congiunturali e tendenziali (base 2015=100)</w:t>
      </w:r>
    </w:p>
    <w:tbl>
      <w:tblPr>
        <w:tblW w:w="10389"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701"/>
        <w:gridCol w:w="1448"/>
        <w:gridCol w:w="1448"/>
        <w:gridCol w:w="1448"/>
        <w:gridCol w:w="1448"/>
        <w:gridCol w:w="1448"/>
        <w:gridCol w:w="1448"/>
      </w:tblGrid>
      <w:tr w:rsidR="001829E3" w:rsidRPr="009709E9" w:rsidTr="009C63EA">
        <w:trPr>
          <w:trHeight w:val="255"/>
          <w:jc w:val="center"/>
        </w:trPr>
        <w:tc>
          <w:tcPr>
            <w:tcW w:w="1701" w:type="dxa"/>
            <w:vMerge w:val="restart"/>
            <w:vAlign w:val="center"/>
            <w:hideMark/>
          </w:tcPr>
          <w:p w:rsidR="001829E3" w:rsidRPr="009709E9" w:rsidRDefault="001829E3" w:rsidP="009C63EA">
            <w:pPr>
              <w:spacing w:before="40" w:after="20"/>
              <w:rPr>
                <w:rFonts w:ascii="Arial Narrow" w:hAnsi="Arial Narrow" w:cs="Arial"/>
                <w:b/>
                <w:bCs/>
                <w:sz w:val="18"/>
                <w:szCs w:val="18"/>
              </w:rPr>
            </w:pPr>
            <w:r w:rsidRPr="009709E9">
              <w:rPr>
                <w:rFonts w:ascii="Arial Narrow" w:hAnsi="Arial Narrow" w:cs="Arial"/>
                <w:b/>
                <w:bCs/>
                <w:sz w:val="18"/>
                <w:szCs w:val="18"/>
              </w:rPr>
              <w:t>PERIODO</w:t>
            </w:r>
          </w:p>
        </w:tc>
        <w:tc>
          <w:tcPr>
            <w:tcW w:w="4344" w:type="dxa"/>
            <w:gridSpan w:val="3"/>
            <w:shd w:val="clear" w:color="auto" w:fill="D9D9D9" w:themeFill="background1" w:themeFillShade="D9"/>
            <w:vAlign w:val="center"/>
            <w:hideMark/>
          </w:tcPr>
          <w:p w:rsidR="001829E3" w:rsidRPr="00783851" w:rsidRDefault="001829E3" w:rsidP="009C63EA">
            <w:pPr>
              <w:widowControl/>
              <w:overflowPunct/>
              <w:autoSpaceDE/>
              <w:autoSpaceDN/>
              <w:adjustRightInd/>
              <w:spacing w:before="0" w:after="0"/>
              <w:jc w:val="center"/>
              <w:rPr>
                <w:rFonts w:ascii="Arial Narrow" w:hAnsi="Arial Narrow" w:cs="Arial"/>
                <w:b/>
                <w:bCs/>
                <w:kern w:val="0"/>
                <w:sz w:val="18"/>
                <w:szCs w:val="18"/>
              </w:rPr>
            </w:pPr>
            <w:r w:rsidRPr="00783851">
              <w:rPr>
                <w:rFonts w:ascii="Arial Narrow" w:hAnsi="Arial Narrow" w:cs="Arial"/>
                <w:b/>
                <w:bCs/>
                <w:kern w:val="0"/>
                <w:sz w:val="18"/>
                <w:szCs w:val="18"/>
              </w:rPr>
              <w:t>Indice nazionale per l’intera collettività NIC</w:t>
            </w:r>
          </w:p>
        </w:tc>
        <w:tc>
          <w:tcPr>
            <w:tcW w:w="4344" w:type="dxa"/>
            <w:gridSpan w:val="3"/>
            <w:vAlign w:val="center"/>
            <w:hideMark/>
          </w:tcPr>
          <w:p w:rsidR="001829E3" w:rsidRPr="009709E9" w:rsidRDefault="001829E3" w:rsidP="009C63EA">
            <w:pPr>
              <w:spacing w:before="40" w:after="20"/>
              <w:jc w:val="center"/>
              <w:rPr>
                <w:rFonts w:ascii="Arial Narrow" w:hAnsi="Arial Narrow" w:cs="Arial"/>
                <w:b/>
                <w:bCs/>
                <w:sz w:val="18"/>
                <w:szCs w:val="18"/>
              </w:rPr>
            </w:pPr>
            <w:r w:rsidRPr="00C10FF1">
              <w:rPr>
                <w:rFonts w:ascii="Arial Narrow" w:hAnsi="Arial Narrow" w:cs="Arial"/>
                <w:b/>
                <w:bCs/>
                <w:sz w:val="18"/>
                <w:szCs w:val="18"/>
              </w:rPr>
              <w:t>Indice armonizzato IPCA</w:t>
            </w:r>
          </w:p>
        </w:tc>
      </w:tr>
      <w:tr w:rsidR="001829E3" w:rsidRPr="008A1DA4" w:rsidTr="009C63EA">
        <w:trPr>
          <w:trHeight w:val="255"/>
          <w:jc w:val="center"/>
        </w:trPr>
        <w:tc>
          <w:tcPr>
            <w:tcW w:w="1701" w:type="dxa"/>
            <w:vMerge/>
            <w:vAlign w:val="center"/>
            <w:hideMark/>
          </w:tcPr>
          <w:p w:rsidR="001829E3" w:rsidRPr="008A1DA4" w:rsidRDefault="001829E3" w:rsidP="009C63EA">
            <w:pPr>
              <w:spacing w:before="0" w:after="120"/>
              <w:jc w:val="both"/>
              <w:rPr>
                <w:rFonts w:ascii="Arial" w:hAnsi="Arial" w:cs="Arial"/>
                <w:b/>
                <w:bCs/>
              </w:rPr>
            </w:pPr>
          </w:p>
        </w:tc>
        <w:tc>
          <w:tcPr>
            <w:tcW w:w="1448" w:type="dxa"/>
            <w:vAlign w:val="center"/>
            <w:hideMark/>
          </w:tcPr>
          <w:p w:rsidR="001829E3" w:rsidRPr="004C7AA6" w:rsidRDefault="001829E3" w:rsidP="009C63EA">
            <w:pPr>
              <w:tabs>
                <w:tab w:val="left" w:pos="5093"/>
              </w:tabs>
              <w:spacing w:before="40" w:after="20"/>
              <w:ind w:right="57"/>
              <w:jc w:val="center"/>
              <w:rPr>
                <w:rFonts w:ascii="Arial Narrow" w:hAnsi="Arial Narrow" w:cs="Arial"/>
                <w:bCs/>
                <w:sz w:val="18"/>
                <w:szCs w:val="18"/>
              </w:rPr>
            </w:pPr>
            <w:r w:rsidRPr="004C7AA6">
              <w:rPr>
                <w:rFonts w:ascii="Arial Narrow" w:hAnsi="Arial Narrow" w:cs="Arial"/>
                <w:bCs/>
                <w:sz w:val="18"/>
                <w:szCs w:val="18"/>
              </w:rPr>
              <w:t>Indici</w:t>
            </w:r>
          </w:p>
        </w:tc>
        <w:tc>
          <w:tcPr>
            <w:tcW w:w="1448" w:type="dxa"/>
            <w:vAlign w:val="center"/>
            <w:hideMark/>
          </w:tcPr>
          <w:p w:rsidR="001829E3" w:rsidRPr="004C7AA6" w:rsidRDefault="001829E3" w:rsidP="009C63EA">
            <w:pPr>
              <w:tabs>
                <w:tab w:val="left" w:pos="5093"/>
              </w:tabs>
              <w:spacing w:before="40" w:after="20"/>
              <w:ind w:right="57"/>
              <w:jc w:val="center"/>
              <w:rPr>
                <w:rFonts w:ascii="Arial Narrow" w:hAnsi="Arial Narrow" w:cs="Arial"/>
                <w:bCs/>
                <w:sz w:val="18"/>
                <w:szCs w:val="18"/>
              </w:rPr>
            </w:pPr>
            <w:r w:rsidRPr="004C7AA6">
              <w:rPr>
                <w:rFonts w:ascii="Arial Narrow" w:hAnsi="Arial Narrow" w:cs="Arial"/>
                <w:bCs/>
                <w:sz w:val="18"/>
                <w:szCs w:val="18"/>
              </w:rPr>
              <w:t>Variazioni congiunturali</w:t>
            </w:r>
          </w:p>
        </w:tc>
        <w:tc>
          <w:tcPr>
            <w:tcW w:w="1448" w:type="dxa"/>
            <w:vAlign w:val="center"/>
            <w:hideMark/>
          </w:tcPr>
          <w:p w:rsidR="001829E3" w:rsidRPr="004C7AA6" w:rsidRDefault="001829E3" w:rsidP="009C63EA">
            <w:pPr>
              <w:tabs>
                <w:tab w:val="left" w:pos="5093"/>
              </w:tabs>
              <w:spacing w:before="40" w:after="20"/>
              <w:ind w:right="57"/>
              <w:jc w:val="center"/>
              <w:rPr>
                <w:rFonts w:ascii="Arial Narrow" w:hAnsi="Arial Narrow" w:cs="Arial"/>
                <w:bCs/>
                <w:sz w:val="18"/>
                <w:szCs w:val="18"/>
              </w:rPr>
            </w:pPr>
            <w:r w:rsidRPr="004C7AA6">
              <w:rPr>
                <w:rFonts w:ascii="Arial Narrow" w:hAnsi="Arial Narrow" w:cs="Arial"/>
                <w:bCs/>
                <w:sz w:val="18"/>
                <w:szCs w:val="18"/>
              </w:rPr>
              <w:t>Variazioni tendenziali</w:t>
            </w:r>
          </w:p>
        </w:tc>
        <w:tc>
          <w:tcPr>
            <w:tcW w:w="1448" w:type="dxa"/>
            <w:vAlign w:val="center"/>
            <w:hideMark/>
          </w:tcPr>
          <w:p w:rsidR="001829E3" w:rsidRPr="004C7AA6" w:rsidRDefault="001829E3" w:rsidP="009C63EA">
            <w:pPr>
              <w:tabs>
                <w:tab w:val="left" w:pos="5093"/>
              </w:tabs>
              <w:spacing w:before="40" w:after="20"/>
              <w:ind w:right="57"/>
              <w:jc w:val="center"/>
              <w:rPr>
                <w:rFonts w:ascii="Arial Narrow" w:hAnsi="Arial Narrow" w:cs="Arial"/>
                <w:bCs/>
                <w:sz w:val="18"/>
                <w:szCs w:val="18"/>
              </w:rPr>
            </w:pPr>
            <w:r w:rsidRPr="004C7AA6">
              <w:rPr>
                <w:rFonts w:ascii="Arial Narrow" w:hAnsi="Arial Narrow" w:cs="Arial"/>
                <w:bCs/>
                <w:sz w:val="18"/>
                <w:szCs w:val="18"/>
              </w:rPr>
              <w:t>Indici</w:t>
            </w:r>
          </w:p>
        </w:tc>
        <w:tc>
          <w:tcPr>
            <w:tcW w:w="1448" w:type="dxa"/>
            <w:vAlign w:val="center"/>
            <w:hideMark/>
          </w:tcPr>
          <w:p w:rsidR="001829E3" w:rsidRPr="004C7AA6" w:rsidRDefault="001829E3" w:rsidP="009C63EA">
            <w:pPr>
              <w:tabs>
                <w:tab w:val="left" w:pos="5093"/>
              </w:tabs>
              <w:spacing w:before="40" w:after="20"/>
              <w:ind w:right="57"/>
              <w:jc w:val="center"/>
              <w:rPr>
                <w:rFonts w:ascii="Arial Narrow" w:hAnsi="Arial Narrow" w:cs="Arial"/>
                <w:bCs/>
                <w:sz w:val="18"/>
                <w:szCs w:val="18"/>
              </w:rPr>
            </w:pPr>
            <w:r w:rsidRPr="004C7AA6">
              <w:rPr>
                <w:rFonts w:ascii="Arial Narrow" w:hAnsi="Arial Narrow" w:cs="Arial"/>
                <w:bCs/>
                <w:sz w:val="18"/>
                <w:szCs w:val="18"/>
              </w:rPr>
              <w:t>Variazioni congiunturali</w:t>
            </w:r>
          </w:p>
        </w:tc>
        <w:tc>
          <w:tcPr>
            <w:tcW w:w="1448" w:type="dxa"/>
            <w:vAlign w:val="center"/>
            <w:hideMark/>
          </w:tcPr>
          <w:p w:rsidR="001829E3" w:rsidRPr="004C7AA6" w:rsidRDefault="001829E3" w:rsidP="009C63EA">
            <w:pPr>
              <w:tabs>
                <w:tab w:val="left" w:pos="5093"/>
              </w:tabs>
              <w:spacing w:before="40" w:after="20"/>
              <w:ind w:right="57"/>
              <w:jc w:val="center"/>
              <w:rPr>
                <w:rFonts w:ascii="Arial Narrow" w:hAnsi="Arial Narrow" w:cs="Arial"/>
                <w:bCs/>
                <w:sz w:val="18"/>
                <w:szCs w:val="18"/>
              </w:rPr>
            </w:pPr>
            <w:r w:rsidRPr="004C7AA6">
              <w:rPr>
                <w:rFonts w:ascii="Arial Narrow" w:hAnsi="Arial Narrow" w:cs="Arial"/>
                <w:bCs/>
                <w:sz w:val="18"/>
                <w:szCs w:val="18"/>
              </w:rPr>
              <w:t>Variazioni tendenziali</w:t>
            </w:r>
          </w:p>
        </w:tc>
      </w:tr>
      <w:tr w:rsidR="001829E3" w:rsidRPr="009709E9" w:rsidTr="009C63EA">
        <w:trPr>
          <w:trHeight w:val="255"/>
          <w:jc w:val="center"/>
        </w:trPr>
        <w:tc>
          <w:tcPr>
            <w:tcW w:w="1701" w:type="dxa"/>
            <w:shd w:val="clear" w:color="auto" w:fill="FF0000"/>
            <w:vAlign w:val="center"/>
            <w:hideMark/>
          </w:tcPr>
          <w:p w:rsidR="001829E3" w:rsidRPr="009709E9" w:rsidRDefault="001829E3" w:rsidP="009C63EA">
            <w:pPr>
              <w:spacing w:before="40" w:after="20"/>
              <w:rPr>
                <w:rFonts w:ascii="Arial Narrow" w:hAnsi="Arial Narrow" w:cs="Arial"/>
                <w:b/>
                <w:bCs/>
                <w:color w:val="FFFFFF"/>
                <w:sz w:val="18"/>
                <w:szCs w:val="18"/>
              </w:rPr>
            </w:pPr>
            <w:r w:rsidRPr="009709E9">
              <w:rPr>
                <w:rFonts w:ascii="Arial Narrow" w:hAnsi="Arial Narrow" w:cs="Arial"/>
                <w:b/>
                <w:bCs/>
                <w:color w:val="FFFFFF"/>
                <w:sz w:val="18"/>
                <w:szCs w:val="18"/>
              </w:rPr>
              <w:t>20</w:t>
            </w:r>
            <w:r>
              <w:rPr>
                <w:rFonts w:ascii="Arial Narrow" w:hAnsi="Arial Narrow" w:cs="Arial"/>
                <w:b/>
                <w:bCs/>
                <w:color w:val="FFFFFF"/>
                <w:sz w:val="18"/>
                <w:szCs w:val="18"/>
              </w:rPr>
              <w:t>21</w:t>
            </w:r>
          </w:p>
        </w:tc>
        <w:tc>
          <w:tcPr>
            <w:tcW w:w="4344" w:type="dxa"/>
            <w:gridSpan w:val="3"/>
            <w:shd w:val="clear" w:color="auto" w:fill="FF0000"/>
            <w:vAlign w:val="center"/>
            <w:hideMark/>
          </w:tcPr>
          <w:p w:rsidR="001829E3" w:rsidRPr="009709E9" w:rsidRDefault="001829E3" w:rsidP="009C63EA">
            <w:pPr>
              <w:spacing w:before="40" w:after="20"/>
              <w:jc w:val="center"/>
              <w:rPr>
                <w:rFonts w:ascii="Arial Narrow" w:hAnsi="Arial Narrow" w:cs="Arial"/>
                <w:b/>
                <w:bCs/>
                <w:color w:val="FFFFFF"/>
                <w:sz w:val="18"/>
                <w:szCs w:val="18"/>
              </w:rPr>
            </w:pPr>
            <w:r w:rsidRPr="009709E9">
              <w:rPr>
                <w:rFonts w:ascii="Arial Narrow" w:hAnsi="Arial Narrow" w:cs="Arial"/>
                <w:b/>
                <w:bCs/>
                <w:color w:val="FFFFFF"/>
                <w:sz w:val="18"/>
                <w:szCs w:val="18"/>
              </w:rPr>
              <w:t>Base 2015=100</w:t>
            </w:r>
          </w:p>
        </w:tc>
        <w:tc>
          <w:tcPr>
            <w:tcW w:w="4344" w:type="dxa"/>
            <w:gridSpan w:val="3"/>
            <w:shd w:val="clear" w:color="auto" w:fill="FF0000"/>
            <w:vAlign w:val="center"/>
            <w:hideMark/>
          </w:tcPr>
          <w:p w:rsidR="001829E3" w:rsidRPr="009709E9" w:rsidRDefault="001829E3" w:rsidP="009C63EA">
            <w:pPr>
              <w:spacing w:before="40" w:after="20"/>
              <w:jc w:val="center"/>
              <w:rPr>
                <w:rFonts w:ascii="Arial Narrow" w:hAnsi="Arial Narrow" w:cs="Arial"/>
                <w:b/>
                <w:bCs/>
                <w:color w:val="FFFFFF"/>
                <w:sz w:val="18"/>
                <w:szCs w:val="18"/>
              </w:rPr>
            </w:pPr>
            <w:r w:rsidRPr="009709E9">
              <w:rPr>
                <w:rFonts w:ascii="Arial Narrow" w:hAnsi="Arial Narrow" w:cs="Arial"/>
                <w:b/>
                <w:bCs/>
                <w:color w:val="FFFFFF"/>
                <w:sz w:val="18"/>
                <w:szCs w:val="18"/>
              </w:rPr>
              <w:t>Base 2015=100</w:t>
            </w:r>
          </w:p>
        </w:tc>
      </w:tr>
      <w:tr w:rsidR="001829E3" w:rsidRPr="005210AC" w:rsidTr="009C63EA">
        <w:trPr>
          <w:trHeight w:val="255"/>
          <w:jc w:val="center"/>
        </w:trPr>
        <w:tc>
          <w:tcPr>
            <w:tcW w:w="1701" w:type="dxa"/>
          </w:tcPr>
          <w:p w:rsidR="001829E3" w:rsidRDefault="001829E3" w:rsidP="009C63EA">
            <w:pPr>
              <w:spacing w:before="40" w:after="20"/>
              <w:rPr>
                <w:rFonts w:ascii="Arial Narrow" w:hAnsi="Arial Narrow" w:cs="Arial"/>
                <w:bCs/>
                <w:sz w:val="18"/>
                <w:szCs w:val="18"/>
              </w:rPr>
            </w:pPr>
            <w:r>
              <w:rPr>
                <w:rFonts w:ascii="Arial Narrow" w:hAnsi="Arial Narrow" w:cs="Arial"/>
                <w:bCs/>
                <w:sz w:val="18"/>
                <w:szCs w:val="18"/>
              </w:rPr>
              <w:t>Novem</w:t>
            </w:r>
            <w:r w:rsidRPr="00A05F7D">
              <w:rPr>
                <w:rFonts w:ascii="Arial Narrow" w:hAnsi="Arial Narrow" w:cs="Arial"/>
                <w:bCs/>
                <w:sz w:val="18"/>
                <w:szCs w:val="18"/>
              </w:rPr>
              <w:t>bre</w:t>
            </w:r>
          </w:p>
        </w:tc>
        <w:tc>
          <w:tcPr>
            <w:tcW w:w="1448" w:type="dxa"/>
            <w:shd w:val="clear" w:color="auto" w:fill="E6E6E6"/>
          </w:tcPr>
          <w:p w:rsidR="001829E3" w:rsidRDefault="001829E3" w:rsidP="009C63EA">
            <w:pPr>
              <w:spacing w:before="40" w:after="20"/>
              <w:jc w:val="right"/>
              <w:rPr>
                <w:rFonts w:ascii="Arial Narrow" w:hAnsi="Arial Narrow" w:cs="Arial"/>
                <w:bCs/>
                <w:sz w:val="18"/>
                <w:szCs w:val="18"/>
              </w:rPr>
            </w:pPr>
            <w:r>
              <w:rPr>
                <w:rFonts w:ascii="Arial Narrow" w:hAnsi="Arial Narrow" w:cs="Arial"/>
                <w:bCs/>
                <w:sz w:val="18"/>
                <w:szCs w:val="18"/>
              </w:rPr>
              <w:t>106,2</w:t>
            </w:r>
          </w:p>
        </w:tc>
        <w:tc>
          <w:tcPr>
            <w:tcW w:w="1448" w:type="dxa"/>
          </w:tcPr>
          <w:p w:rsidR="001829E3" w:rsidRDefault="001829E3" w:rsidP="009C63EA">
            <w:pPr>
              <w:spacing w:before="40" w:after="20"/>
              <w:jc w:val="right"/>
              <w:rPr>
                <w:rFonts w:ascii="Arial Narrow" w:hAnsi="Arial Narrow" w:cs="Arial"/>
                <w:bCs/>
                <w:sz w:val="18"/>
                <w:szCs w:val="18"/>
              </w:rPr>
            </w:pPr>
            <w:r>
              <w:rPr>
                <w:rFonts w:ascii="Arial Narrow" w:hAnsi="Arial Narrow" w:cs="Arial"/>
                <w:bCs/>
                <w:sz w:val="18"/>
                <w:szCs w:val="18"/>
              </w:rPr>
              <w:t>+0,6</w:t>
            </w:r>
          </w:p>
        </w:tc>
        <w:tc>
          <w:tcPr>
            <w:tcW w:w="1448" w:type="dxa"/>
          </w:tcPr>
          <w:p w:rsidR="001829E3" w:rsidRDefault="001829E3" w:rsidP="009C63EA">
            <w:pPr>
              <w:spacing w:before="40" w:after="20"/>
              <w:jc w:val="right"/>
              <w:rPr>
                <w:rFonts w:ascii="Arial Narrow" w:hAnsi="Arial Narrow" w:cs="Arial"/>
                <w:bCs/>
                <w:sz w:val="18"/>
                <w:szCs w:val="18"/>
              </w:rPr>
            </w:pPr>
            <w:r>
              <w:rPr>
                <w:rFonts w:ascii="Arial Narrow" w:hAnsi="Arial Narrow" w:cs="Arial"/>
                <w:bCs/>
                <w:sz w:val="18"/>
                <w:szCs w:val="18"/>
              </w:rPr>
              <w:t>+3,7</w:t>
            </w:r>
          </w:p>
        </w:tc>
        <w:tc>
          <w:tcPr>
            <w:tcW w:w="1448" w:type="dxa"/>
            <w:shd w:val="clear" w:color="auto" w:fill="E6E6E6"/>
          </w:tcPr>
          <w:p w:rsidR="001829E3" w:rsidRDefault="001829E3" w:rsidP="009C63EA">
            <w:pPr>
              <w:spacing w:before="40" w:after="20"/>
              <w:jc w:val="right"/>
              <w:rPr>
                <w:rFonts w:ascii="Arial Narrow" w:hAnsi="Arial Narrow" w:cs="Arial"/>
                <w:bCs/>
                <w:sz w:val="18"/>
                <w:szCs w:val="18"/>
              </w:rPr>
            </w:pPr>
            <w:r>
              <w:rPr>
                <w:rFonts w:ascii="Arial Narrow" w:hAnsi="Arial Narrow" w:cs="Arial"/>
                <w:bCs/>
                <w:sz w:val="18"/>
                <w:szCs w:val="18"/>
              </w:rPr>
              <w:t>107,3</w:t>
            </w:r>
          </w:p>
        </w:tc>
        <w:tc>
          <w:tcPr>
            <w:tcW w:w="1448" w:type="dxa"/>
          </w:tcPr>
          <w:p w:rsidR="001829E3" w:rsidRDefault="001829E3" w:rsidP="009C63EA">
            <w:pPr>
              <w:spacing w:before="40" w:after="20"/>
              <w:jc w:val="right"/>
              <w:rPr>
                <w:rFonts w:ascii="Arial Narrow" w:hAnsi="Arial Narrow" w:cs="Arial"/>
                <w:bCs/>
                <w:sz w:val="18"/>
                <w:szCs w:val="18"/>
              </w:rPr>
            </w:pPr>
            <w:r>
              <w:rPr>
                <w:rFonts w:ascii="Arial Narrow" w:hAnsi="Arial Narrow" w:cs="Arial"/>
                <w:bCs/>
                <w:sz w:val="18"/>
                <w:szCs w:val="18"/>
              </w:rPr>
              <w:t>+0,7</w:t>
            </w:r>
          </w:p>
        </w:tc>
        <w:tc>
          <w:tcPr>
            <w:tcW w:w="1448" w:type="dxa"/>
          </w:tcPr>
          <w:p w:rsidR="001829E3" w:rsidRDefault="001829E3" w:rsidP="009C63EA">
            <w:pPr>
              <w:spacing w:before="40" w:after="20"/>
              <w:jc w:val="right"/>
              <w:rPr>
                <w:rFonts w:ascii="Arial Narrow" w:hAnsi="Arial Narrow" w:cs="Arial"/>
                <w:bCs/>
                <w:sz w:val="18"/>
                <w:szCs w:val="18"/>
              </w:rPr>
            </w:pPr>
            <w:r>
              <w:rPr>
                <w:rFonts w:ascii="Arial Narrow" w:hAnsi="Arial Narrow" w:cs="Arial"/>
                <w:bCs/>
                <w:sz w:val="18"/>
                <w:szCs w:val="18"/>
              </w:rPr>
              <w:t>+3,9</w:t>
            </w:r>
          </w:p>
        </w:tc>
      </w:tr>
      <w:tr w:rsidR="001829E3" w:rsidRPr="005210AC" w:rsidTr="009C63EA">
        <w:trPr>
          <w:trHeight w:val="255"/>
          <w:jc w:val="center"/>
        </w:trPr>
        <w:tc>
          <w:tcPr>
            <w:tcW w:w="1701" w:type="dxa"/>
          </w:tcPr>
          <w:p w:rsidR="001829E3" w:rsidRDefault="001829E3" w:rsidP="009C63EA">
            <w:pPr>
              <w:spacing w:before="40" w:after="20"/>
              <w:rPr>
                <w:rFonts w:ascii="Arial Narrow" w:hAnsi="Arial Narrow" w:cs="Arial"/>
                <w:bCs/>
                <w:sz w:val="18"/>
                <w:szCs w:val="18"/>
              </w:rPr>
            </w:pPr>
            <w:r>
              <w:rPr>
                <w:rFonts w:ascii="Arial Narrow" w:hAnsi="Arial Narrow" w:cs="Arial"/>
                <w:bCs/>
                <w:sz w:val="18"/>
                <w:szCs w:val="18"/>
              </w:rPr>
              <w:t>Dicem</w:t>
            </w:r>
            <w:r w:rsidRPr="00A05F7D">
              <w:rPr>
                <w:rFonts w:ascii="Arial Narrow" w:hAnsi="Arial Narrow" w:cs="Arial"/>
                <w:bCs/>
                <w:sz w:val="18"/>
                <w:szCs w:val="18"/>
              </w:rPr>
              <w:t>bre</w:t>
            </w:r>
          </w:p>
        </w:tc>
        <w:tc>
          <w:tcPr>
            <w:tcW w:w="1448" w:type="dxa"/>
            <w:shd w:val="clear" w:color="auto" w:fill="E6E6E6"/>
          </w:tcPr>
          <w:p w:rsidR="001829E3" w:rsidRDefault="001829E3" w:rsidP="009C63EA">
            <w:pPr>
              <w:spacing w:before="40" w:after="20"/>
              <w:jc w:val="right"/>
              <w:rPr>
                <w:rFonts w:ascii="Arial Narrow" w:hAnsi="Arial Narrow" w:cs="Arial"/>
                <w:bCs/>
                <w:sz w:val="18"/>
                <w:szCs w:val="18"/>
              </w:rPr>
            </w:pPr>
            <w:r>
              <w:rPr>
                <w:rFonts w:ascii="Arial Narrow" w:hAnsi="Arial Narrow" w:cs="Arial"/>
                <w:bCs/>
                <w:sz w:val="18"/>
                <w:szCs w:val="18"/>
              </w:rPr>
              <w:t>106,6</w:t>
            </w:r>
          </w:p>
        </w:tc>
        <w:tc>
          <w:tcPr>
            <w:tcW w:w="1448" w:type="dxa"/>
          </w:tcPr>
          <w:p w:rsidR="001829E3" w:rsidRDefault="001829E3" w:rsidP="009C63EA">
            <w:pPr>
              <w:spacing w:before="40" w:after="20"/>
              <w:jc w:val="right"/>
              <w:rPr>
                <w:rFonts w:ascii="Arial Narrow" w:hAnsi="Arial Narrow" w:cs="Arial"/>
                <w:bCs/>
                <w:sz w:val="18"/>
                <w:szCs w:val="18"/>
              </w:rPr>
            </w:pPr>
            <w:r>
              <w:rPr>
                <w:rFonts w:ascii="Arial Narrow" w:hAnsi="Arial Narrow" w:cs="Arial"/>
                <w:bCs/>
                <w:sz w:val="18"/>
                <w:szCs w:val="18"/>
              </w:rPr>
              <w:t>+0,4</w:t>
            </w:r>
          </w:p>
        </w:tc>
        <w:tc>
          <w:tcPr>
            <w:tcW w:w="1448" w:type="dxa"/>
          </w:tcPr>
          <w:p w:rsidR="001829E3" w:rsidRDefault="001829E3" w:rsidP="009C63EA">
            <w:pPr>
              <w:spacing w:before="40" w:after="20"/>
              <w:jc w:val="right"/>
              <w:rPr>
                <w:rFonts w:ascii="Arial Narrow" w:hAnsi="Arial Narrow" w:cs="Arial"/>
                <w:bCs/>
                <w:sz w:val="18"/>
                <w:szCs w:val="18"/>
              </w:rPr>
            </w:pPr>
            <w:r>
              <w:rPr>
                <w:rFonts w:ascii="Arial Narrow" w:hAnsi="Arial Narrow" w:cs="Arial"/>
                <w:bCs/>
                <w:sz w:val="18"/>
                <w:szCs w:val="18"/>
              </w:rPr>
              <w:t>+3,9</w:t>
            </w:r>
          </w:p>
        </w:tc>
        <w:tc>
          <w:tcPr>
            <w:tcW w:w="1448" w:type="dxa"/>
            <w:shd w:val="clear" w:color="auto" w:fill="E6E6E6"/>
          </w:tcPr>
          <w:p w:rsidR="001829E3" w:rsidRDefault="001829E3" w:rsidP="009C63EA">
            <w:pPr>
              <w:spacing w:before="40" w:after="20"/>
              <w:jc w:val="right"/>
              <w:rPr>
                <w:rFonts w:ascii="Arial Narrow" w:hAnsi="Arial Narrow" w:cs="Arial"/>
                <w:bCs/>
                <w:sz w:val="18"/>
                <w:szCs w:val="18"/>
              </w:rPr>
            </w:pPr>
            <w:r>
              <w:rPr>
                <w:rFonts w:ascii="Arial Narrow" w:hAnsi="Arial Narrow" w:cs="Arial"/>
                <w:bCs/>
                <w:sz w:val="18"/>
                <w:szCs w:val="18"/>
              </w:rPr>
              <w:t>107,8</w:t>
            </w:r>
          </w:p>
        </w:tc>
        <w:tc>
          <w:tcPr>
            <w:tcW w:w="1448" w:type="dxa"/>
          </w:tcPr>
          <w:p w:rsidR="001829E3" w:rsidRDefault="001829E3" w:rsidP="009C63EA">
            <w:pPr>
              <w:spacing w:before="40" w:after="20"/>
              <w:jc w:val="right"/>
              <w:rPr>
                <w:rFonts w:ascii="Arial Narrow" w:hAnsi="Arial Narrow" w:cs="Arial"/>
                <w:bCs/>
                <w:sz w:val="18"/>
                <w:szCs w:val="18"/>
              </w:rPr>
            </w:pPr>
            <w:r>
              <w:rPr>
                <w:rFonts w:ascii="Arial Narrow" w:hAnsi="Arial Narrow" w:cs="Arial"/>
                <w:bCs/>
                <w:sz w:val="18"/>
                <w:szCs w:val="18"/>
              </w:rPr>
              <w:t>+0,5</w:t>
            </w:r>
          </w:p>
        </w:tc>
        <w:tc>
          <w:tcPr>
            <w:tcW w:w="1448" w:type="dxa"/>
          </w:tcPr>
          <w:p w:rsidR="001829E3" w:rsidRDefault="001829E3" w:rsidP="009C63EA">
            <w:pPr>
              <w:spacing w:before="40" w:after="20"/>
              <w:jc w:val="right"/>
              <w:rPr>
                <w:rFonts w:ascii="Arial Narrow" w:hAnsi="Arial Narrow" w:cs="Arial"/>
                <w:bCs/>
                <w:sz w:val="18"/>
                <w:szCs w:val="18"/>
              </w:rPr>
            </w:pPr>
            <w:r>
              <w:rPr>
                <w:rFonts w:ascii="Arial Narrow" w:hAnsi="Arial Narrow" w:cs="Arial"/>
                <w:bCs/>
                <w:sz w:val="18"/>
                <w:szCs w:val="18"/>
              </w:rPr>
              <w:t>+4,2</w:t>
            </w:r>
          </w:p>
        </w:tc>
      </w:tr>
      <w:tr w:rsidR="001829E3" w:rsidRPr="009709E9" w:rsidTr="009C63EA">
        <w:trPr>
          <w:trHeight w:val="255"/>
          <w:jc w:val="center"/>
        </w:trPr>
        <w:tc>
          <w:tcPr>
            <w:tcW w:w="1701" w:type="dxa"/>
            <w:shd w:val="clear" w:color="auto" w:fill="FF0000"/>
            <w:vAlign w:val="center"/>
            <w:hideMark/>
          </w:tcPr>
          <w:p w:rsidR="001829E3" w:rsidRPr="009709E9" w:rsidRDefault="001829E3" w:rsidP="009C63EA">
            <w:pPr>
              <w:spacing w:before="40" w:after="20"/>
              <w:rPr>
                <w:rFonts w:ascii="Arial Narrow" w:hAnsi="Arial Narrow" w:cs="Arial"/>
                <w:b/>
                <w:bCs/>
                <w:color w:val="FFFFFF"/>
                <w:sz w:val="18"/>
                <w:szCs w:val="18"/>
              </w:rPr>
            </w:pPr>
            <w:r w:rsidRPr="009709E9">
              <w:rPr>
                <w:rFonts w:ascii="Arial Narrow" w:hAnsi="Arial Narrow" w:cs="Arial"/>
                <w:b/>
                <w:bCs/>
                <w:color w:val="FFFFFF"/>
                <w:sz w:val="18"/>
                <w:szCs w:val="18"/>
              </w:rPr>
              <w:t>20</w:t>
            </w:r>
            <w:r>
              <w:rPr>
                <w:rFonts w:ascii="Arial Narrow" w:hAnsi="Arial Narrow" w:cs="Arial"/>
                <w:b/>
                <w:bCs/>
                <w:color w:val="FFFFFF"/>
                <w:sz w:val="18"/>
                <w:szCs w:val="18"/>
              </w:rPr>
              <w:t>22</w:t>
            </w:r>
          </w:p>
        </w:tc>
        <w:tc>
          <w:tcPr>
            <w:tcW w:w="4344" w:type="dxa"/>
            <w:gridSpan w:val="3"/>
            <w:shd w:val="clear" w:color="auto" w:fill="FF0000"/>
            <w:vAlign w:val="center"/>
            <w:hideMark/>
          </w:tcPr>
          <w:p w:rsidR="001829E3" w:rsidRPr="009709E9" w:rsidRDefault="001829E3" w:rsidP="009C63EA">
            <w:pPr>
              <w:spacing w:before="40" w:after="20"/>
              <w:jc w:val="center"/>
              <w:rPr>
                <w:rFonts w:ascii="Arial Narrow" w:hAnsi="Arial Narrow" w:cs="Arial"/>
                <w:b/>
                <w:bCs/>
                <w:color w:val="FFFFFF"/>
                <w:sz w:val="18"/>
                <w:szCs w:val="18"/>
              </w:rPr>
            </w:pPr>
            <w:r w:rsidRPr="009709E9">
              <w:rPr>
                <w:rFonts w:ascii="Arial Narrow" w:hAnsi="Arial Narrow" w:cs="Arial"/>
                <w:b/>
                <w:bCs/>
                <w:color w:val="FFFFFF"/>
                <w:sz w:val="18"/>
                <w:szCs w:val="18"/>
              </w:rPr>
              <w:t>Base 2015=100</w:t>
            </w:r>
          </w:p>
        </w:tc>
        <w:tc>
          <w:tcPr>
            <w:tcW w:w="4344" w:type="dxa"/>
            <w:gridSpan w:val="3"/>
            <w:shd w:val="clear" w:color="auto" w:fill="FF0000"/>
            <w:vAlign w:val="center"/>
            <w:hideMark/>
          </w:tcPr>
          <w:p w:rsidR="001829E3" w:rsidRPr="009709E9" w:rsidRDefault="001829E3" w:rsidP="009C63EA">
            <w:pPr>
              <w:spacing w:before="40" w:after="20"/>
              <w:jc w:val="center"/>
              <w:rPr>
                <w:rFonts w:ascii="Arial Narrow" w:hAnsi="Arial Narrow" w:cs="Arial"/>
                <w:b/>
                <w:bCs/>
                <w:color w:val="FFFFFF"/>
                <w:sz w:val="18"/>
                <w:szCs w:val="18"/>
              </w:rPr>
            </w:pPr>
            <w:r w:rsidRPr="009709E9">
              <w:rPr>
                <w:rFonts w:ascii="Arial Narrow" w:hAnsi="Arial Narrow" w:cs="Arial"/>
                <w:b/>
                <w:bCs/>
                <w:color w:val="FFFFFF"/>
                <w:sz w:val="18"/>
                <w:szCs w:val="18"/>
              </w:rPr>
              <w:t>Base 2015=100</w:t>
            </w:r>
          </w:p>
        </w:tc>
      </w:tr>
      <w:tr w:rsidR="001829E3" w:rsidRPr="005210AC" w:rsidTr="00245C6D">
        <w:trPr>
          <w:trHeight w:val="255"/>
          <w:jc w:val="center"/>
        </w:trPr>
        <w:tc>
          <w:tcPr>
            <w:tcW w:w="1701" w:type="dxa"/>
          </w:tcPr>
          <w:p w:rsidR="001829E3" w:rsidRPr="00733046" w:rsidRDefault="001829E3" w:rsidP="009C63EA">
            <w:pPr>
              <w:spacing w:before="40" w:after="20"/>
              <w:rPr>
                <w:rFonts w:ascii="Arial Narrow" w:hAnsi="Arial Narrow" w:cs="Arial"/>
                <w:bCs/>
                <w:sz w:val="18"/>
                <w:szCs w:val="18"/>
              </w:rPr>
            </w:pPr>
            <w:r>
              <w:rPr>
                <w:rFonts w:ascii="Arial Narrow" w:hAnsi="Arial Narrow" w:cs="Arial"/>
                <w:bCs/>
                <w:sz w:val="18"/>
                <w:szCs w:val="18"/>
              </w:rPr>
              <w:t>Gennaio</w:t>
            </w:r>
          </w:p>
        </w:tc>
        <w:tc>
          <w:tcPr>
            <w:tcW w:w="1448" w:type="dxa"/>
            <w:shd w:val="clear" w:color="auto" w:fill="E6E6E6"/>
            <w:vAlign w:val="center"/>
          </w:tcPr>
          <w:p w:rsidR="001829E3" w:rsidRPr="00733046" w:rsidRDefault="001829E3" w:rsidP="00245C6D">
            <w:pPr>
              <w:spacing w:before="40" w:after="20"/>
              <w:jc w:val="right"/>
              <w:rPr>
                <w:rFonts w:ascii="Arial Narrow" w:hAnsi="Arial Narrow" w:cs="Arial"/>
                <w:bCs/>
                <w:sz w:val="18"/>
                <w:szCs w:val="18"/>
              </w:rPr>
            </w:pPr>
            <w:r w:rsidRPr="00733046">
              <w:rPr>
                <w:rFonts w:ascii="Arial Narrow" w:hAnsi="Arial Narrow" w:cs="Arial"/>
                <w:bCs/>
                <w:sz w:val="18"/>
                <w:szCs w:val="18"/>
              </w:rPr>
              <w:t>108,3</w:t>
            </w:r>
          </w:p>
        </w:tc>
        <w:tc>
          <w:tcPr>
            <w:tcW w:w="1448" w:type="dxa"/>
            <w:vAlign w:val="center"/>
          </w:tcPr>
          <w:p w:rsidR="001829E3" w:rsidRPr="00733046" w:rsidRDefault="001829E3" w:rsidP="00245C6D">
            <w:pPr>
              <w:spacing w:before="40" w:after="20"/>
              <w:jc w:val="right"/>
              <w:rPr>
                <w:rFonts w:ascii="Arial Narrow" w:hAnsi="Arial Narrow" w:cs="Arial"/>
                <w:bCs/>
                <w:sz w:val="18"/>
                <w:szCs w:val="18"/>
              </w:rPr>
            </w:pPr>
            <w:r w:rsidRPr="00733046">
              <w:rPr>
                <w:rFonts w:ascii="Arial Narrow" w:hAnsi="Arial Narrow" w:cs="Arial"/>
                <w:bCs/>
                <w:sz w:val="18"/>
                <w:szCs w:val="18"/>
              </w:rPr>
              <w:t>+1,6</w:t>
            </w:r>
          </w:p>
        </w:tc>
        <w:tc>
          <w:tcPr>
            <w:tcW w:w="1448" w:type="dxa"/>
            <w:vAlign w:val="center"/>
          </w:tcPr>
          <w:p w:rsidR="001829E3" w:rsidRPr="00733046" w:rsidRDefault="001829E3" w:rsidP="00245C6D">
            <w:pPr>
              <w:spacing w:before="40" w:after="20"/>
              <w:jc w:val="right"/>
              <w:rPr>
                <w:rFonts w:ascii="Arial Narrow" w:hAnsi="Arial Narrow" w:cs="Arial"/>
                <w:bCs/>
                <w:sz w:val="18"/>
                <w:szCs w:val="18"/>
              </w:rPr>
            </w:pPr>
            <w:r w:rsidRPr="00733046">
              <w:rPr>
                <w:rFonts w:ascii="Arial Narrow" w:hAnsi="Arial Narrow" w:cs="Arial"/>
                <w:bCs/>
                <w:sz w:val="18"/>
                <w:szCs w:val="18"/>
              </w:rPr>
              <w:t>+4,8</w:t>
            </w:r>
          </w:p>
        </w:tc>
        <w:tc>
          <w:tcPr>
            <w:tcW w:w="1448" w:type="dxa"/>
            <w:shd w:val="clear" w:color="auto" w:fill="E6E6E6"/>
            <w:vAlign w:val="center"/>
          </w:tcPr>
          <w:p w:rsidR="001829E3" w:rsidRPr="00733046" w:rsidRDefault="001829E3" w:rsidP="00245C6D">
            <w:pPr>
              <w:spacing w:before="40" w:after="20"/>
              <w:jc w:val="right"/>
              <w:rPr>
                <w:rFonts w:ascii="Arial Narrow" w:hAnsi="Arial Narrow" w:cs="Arial"/>
                <w:bCs/>
                <w:sz w:val="18"/>
                <w:szCs w:val="18"/>
              </w:rPr>
            </w:pPr>
            <w:r>
              <w:rPr>
                <w:rFonts w:ascii="Arial Narrow" w:hAnsi="Arial Narrow" w:cs="Arial"/>
                <w:bCs/>
                <w:sz w:val="18"/>
                <w:szCs w:val="18"/>
              </w:rPr>
              <w:t>107,8</w:t>
            </w:r>
          </w:p>
        </w:tc>
        <w:tc>
          <w:tcPr>
            <w:tcW w:w="1448" w:type="dxa"/>
            <w:vAlign w:val="center"/>
          </w:tcPr>
          <w:p w:rsidR="001829E3" w:rsidRPr="00733046" w:rsidRDefault="001829E3" w:rsidP="00245C6D">
            <w:pPr>
              <w:spacing w:before="40" w:after="20"/>
              <w:jc w:val="right"/>
              <w:rPr>
                <w:rFonts w:ascii="Arial Narrow" w:hAnsi="Arial Narrow" w:cs="Arial"/>
                <w:bCs/>
                <w:sz w:val="18"/>
                <w:szCs w:val="18"/>
              </w:rPr>
            </w:pPr>
            <w:r w:rsidRPr="00733046">
              <w:rPr>
                <w:rFonts w:ascii="Arial Narrow" w:hAnsi="Arial Narrow" w:cs="Arial"/>
                <w:bCs/>
                <w:sz w:val="18"/>
                <w:szCs w:val="18"/>
              </w:rPr>
              <w:t>0,</w:t>
            </w:r>
            <w:r>
              <w:rPr>
                <w:rFonts w:ascii="Arial Narrow" w:hAnsi="Arial Narrow" w:cs="Arial"/>
                <w:bCs/>
                <w:sz w:val="18"/>
                <w:szCs w:val="18"/>
              </w:rPr>
              <w:t>0</w:t>
            </w:r>
          </w:p>
        </w:tc>
        <w:tc>
          <w:tcPr>
            <w:tcW w:w="1448" w:type="dxa"/>
            <w:vAlign w:val="center"/>
          </w:tcPr>
          <w:p w:rsidR="001829E3" w:rsidRPr="00733046" w:rsidRDefault="001829E3" w:rsidP="00245C6D">
            <w:pPr>
              <w:spacing w:before="40" w:after="20"/>
              <w:jc w:val="right"/>
              <w:rPr>
                <w:rFonts w:ascii="Arial Narrow" w:hAnsi="Arial Narrow" w:cs="Arial"/>
                <w:bCs/>
                <w:sz w:val="18"/>
                <w:szCs w:val="18"/>
              </w:rPr>
            </w:pPr>
            <w:r w:rsidRPr="00733046">
              <w:rPr>
                <w:rFonts w:ascii="Arial Narrow" w:hAnsi="Arial Narrow" w:cs="Arial"/>
                <w:bCs/>
                <w:sz w:val="18"/>
                <w:szCs w:val="18"/>
              </w:rPr>
              <w:t>+5,</w:t>
            </w:r>
            <w:r>
              <w:rPr>
                <w:rFonts w:ascii="Arial Narrow" w:hAnsi="Arial Narrow" w:cs="Arial"/>
                <w:bCs/>
                <w:sz w:val="18"/>
                <w:szCs w:val="18"/>
              </w:rPr>
              <w:t>1</w:t>
            </w:r>
          </w:p>
        </w:tc>
      </w:tr>
      <w:tr w:rsidR="001829E3" w:rsidRPr="005210AC" w:rsidTr="00245C6D">
        <w:trPr>
          <w:trHeight w:val="255"/>
          <w:jc w:val="center"/>
        </w:trPr>
        <w:tc>
          <w:tcPr>
            <w:tcW w:w="1701" w:type="dxa"/>
          </w:tcPr>
          <w:p w:rsidR="001829E3" w:rsidRPr="00733046" w:rsidRDefault="001829E3" w:rsidP="009C63EA">
            <w:pPr>
              <w:spacing w:before="40" w:after="20"/>
              <w:rPr>
                <w:rFonts w:ascii="Arial Narrow" w:hAnsi="Arial Narrow" w:cs="Arial"/>
                <w:bCs/>
                <w:sz w:val="18"/>
                <w:szCs w:val="18"/>
              </w:rPr>
            </w:pPr>
            <w:r>
              <w:rPr>
                <w:rFonts w:ascii="Arial Narrow" w:hAnsi="Arial Narrow" w:cs="Arial"/>
                <w:bCs/>
                <w:sz w:val="18"/>
                <w:szCs w:val="18"/>
              </w:rPr>
              <w:t>Febbr</w:t>
            </w:r>
            <w:r w:rsidRPr="00733046">
              <w:rPr>
                <w:rFonts w:ascii="Arial Narrow" w:hAnsi="Arial Narrow" w:cs="Arial"/>
                <w:bCs/>
                <w:sz w:val="18"/>
                <w:szCs w:val="18"/>
              </w:rPr>
              <w:t xml:space="preserve">aio </w:t>
            </w:r>
          </w:p>
        </w:tc>
        <w:tc>
          <w:tcPr>
            <w:tcW w:w="1448" w:type="dxa"/>
            <w:shd w:val="clear" w:color="auto" w:fill="E6E6E6"/>
            <w:vAlign w:val="center"/>
          </w:tcPr>
          <w:p w:rsidR="001829E3" w:rsidRPr="00733046" w:rsidRDefault="001829E3" w:rsidP="00245C6D">
            <w:pPr>
              <w:spacing w:before="40" w:after="20"/>
              <w:jc w:val="right"/>
              <w:rPr>
                <w:rFonts w:ascii="Arial Narrow" w:hAnsi="Arial Narrow" w:cs="Arial"/>
                <w:bCs/>
                <w:sz w:val="18"/>
                <w:szCs w:val="18"/>
              </w:rPr>
            </w:pPr>
            <w:r>
              <w:rPr>
                <w:rFonts w:ascii="Arial Narrow" w:hAnsi="Arial Narrow" w:cs="Arial"/>
                <w:bCs/>
                <w:sz w:val="18"/>
                <w:szCs w:val="18"/>
              </w:rPr>
              <w:t>109</w:t>
            </w:r>
            <w:r w:rsidRPr="00733046">
              <w:rPr>
                <w:rFonts w:ascii="Arial Narrow" w:hAnsi="Arial Narrow" w:cs="Arial"/>
                <w:bCs/>
                <w:sz w:val="18"/>
                <w:szCs w:val="18"/>
              </w:rPr>
              <w:t>,3</w:t>
            </w:r>
          </w:p>
        </w:tc>
        <w:tc>
          <w:tcPr>
            <w:tcW w:w="1448" w:type="dxa"/>
            <w:vAlign w:val="center"/>
          </w:tcPr>
          <w:p w:rsidR="001829E3" w:rsidRPr="00733046" w:rsidRDefault="001829E3" w:rsidP="00245C6D">
            <w:pPr>
              <w:spacing w:before="40" w:after="20"/>
              <w:jc w:val="right"/>
              <w:rPr>
                <w:rFonts w:ascii="Arial Narrow" w:hAnsi="Arial Narrow" w:cs="Arial"/>
                <w:bCs/>
                <w:sz w:val="18"/>
                <w:szCs w:val="18"/>
              </w:rPr>
            </w:pPr>
            <w:r>
              <w:rPr>
                <w:rFonts w:ascii="Arial Narrow" w:hAnsi="Arial Narrow" w:cs="Arial"/>
                <w:bCs/>
                <w:sz w:val="18"/>
                <w:szCs w:val="18"/>
              </w:rPr>
              <w:t>+0,9</w:t>
            </w:r>
          </w:p>
        </w:tc>
        <w:tc>
          <w:tcPr>
            <w:tcW w:w="1448" w:type="dxa"/>
            <w:vAlign w:val="center"/>
          </w:tcPr>
          <w:p w:rsidR="001829E3" w:rsidRPr="00733046" w:rsidRDefault="001829E3" w:rsidP="00245C6D">
            <w:pPr>
              <w:spacing w:before="40" w:after="20"/>
              <w:jc w:val="right"/>
              <w:rPr>
                <w:rFonts w:ascii="Arial Narrow" w:hAnsi="Arial Narrow" w:cs="Arial"/>
                <w:bCs/>
                <w:sz w:val="18"/>
                <w:szCs w:val="18"/>
              </w:rPr>
            </w:pPr>
            <w:r>
              <w:rPr>
                <w:rFonts w:ascii="Arial Narrow" w:hAnsi="Arial Narrow" w:cs="Arial"/>
                <w:bCs/>
                <w:sz w:val="18"/>
                <w:szCs w:val="18"/>
              </w:rPr>
              <w:t>+5,7</w:t>
            </w:r>
          </w:p>
        </w:tc>
        <w:tc>
          <w:tcPr>
            <w:tcW w:w="1448" w:type="dxa"/>
            <w:shd w:val="clear" w:color="auto" w:fill="E6E6E6"/>
            <w:vAlign w:val="center"/>
          </w:tcPr>
          <w:p w:rsidR="001829E3" w:rsidRPr="00733046" w:rsidRDefault="001829E3" w:rsidP="00245C6D">
            <w:pPr>
              <w:spacing w:before="40" w:after="20"/>
              <w:jc w:val="right"/>
              <w:rPr>
                <w:rFonts w:ascii="Arial Narrow" w:hAnsi="Arial Narrow" w:cs="Arial"/>
                <w:bCs/>
                <w:sz w:val="18"/>
                <w:szCs w:val="18"/>
              </w:rPr>
            </w:pPr>
            <w:r>
              <w:rPr>
                <w:rFonts w:ascii="Arial Narrow" w:hAnsi="Arial Narrow" w:cs="Arial"/>
                <w:bCs/>
                <w:sz w:val="18"/>
                <w:szCs w:val="18"/>
              </w:rPr>
              <w:t>108,7</w:t>
            </w:r>
          </w:p>
        </w:tc>
        <w:tc>
          <w:tcPr>
            <w:tcW w:w="1448" w:type="dxa"/>
            <w:vAlign w:val="center"/>
          </w:tcPr>
          <w:p w:rsidR="001829E3" w:rsidRPr="00733046" w:rsidRDefault="001829E3" w:rsidP="00245C6D">
            <w:pPr>
              <w:spacing w:before="40" w:after="20"/>
              <w:jc w:val="right"/>
              <w:rPr>
                <w:rFonts w:ascii="Arial Narrow" w:hAnsi="Arial Narrow" w:cs="Arial"/>
                <w:bCs/>
                <w:sz w:val="18"/>
                <w:szCs w:val="18"/>
              </w:rPr>
            </w:pPr>
            <w:r>
              <w:rPr>
                <w:rFonts w:ascii="Arial Narrow" w:hAnsi="Arial Narrow" w:cs="Arial"/>
                <w:bCs/>
                <w:sz w:val="18"/>
                <w:szCs w:val="18"/>
              </w:rPr>
              <w:t>+0,8</w:t>
            </w:r>
          </w:p>
        </w:tc>
        <w:tc>
          <w:tcPr>
            <w:tcW w:w="1448" w:type="dxa"/>
            <w:vAlign w:val="center"/>
          </w:tcPr>
          <w:p w:rsidR="001829E3" w:rsidRPr="00733046" w:rsidRDefault="001829E3" w:rsidP="00245C6D">
            <w:pPr>
              <w:spacing w:before="40" w:after="20"/>
              <w:jc w:val="right"/>
              <w:rPr>
                <w:rFonts w:ascii="Arial Narrow" w:hAnsi="Arial Narrow" w:cs="Arial"/>
                <w:bCs/>
                <w:sz w:val="18"/>
                <w:szCs w:val="18"/>
              </w:rPr>
            </w:pPr>
            <w:r>
              <w:rPr>
                <w:rFonts w:ascii="Arial Narrow" w:hAnsi="Arial Narrow" w:cs="Arial"/>
                <w:bCs/>
                <w:sz w:val="18"/>
                <w:szCs w:val="18"/>
              </w:rPr>
              <w:t>+6,2</w:t>
            </w:r>
          </w:p>
        </w:tc>
      </w:tr>
      <w:tr w:rsidR="001829E3" w:rsidRPr="005210AC" w:rsidTr="00245C6D">
        <w:trPr>
          <w:trHeight w:val="255"/>
          <w:jc w:val="center"/>
        </w:trPr>
        <w:tc>
          <w:tcPr>
            <w:tcW w:w="1701" w:type="dxa"/>
          </w:tcPr>
          <w:p w:rsidR="001829E3" w:rsidRPr="003B28E9" w:rsidRDefault="001829E3" w:rsidP="009C63EA">
            <w:pPr>
              <w:spacing w:before="40" w:after="20"/>
              <w:rPr>
                <w:rFonts w:ascii="Arial Narrow" w:hAnsi="Arial Narrow" w:cs="Arial"/>
                <w:bCs/>
                <w:sz w:val="18"/>
                <w:szCs w:val="18"/>
              </w:rPr>
            </w:pPr>
            <w:r w:rsidRPr="003B28E9">
              <w:rPr>
                <w:rFonts w:ascii="Arial Narrow" w:hAnsi="Arial Narrow" w:cs="Arial"/>
                <w:bCs/>
                <w:sz w:val="18"/>
                <w:szCs w:val="18"/>
              </w:rPr>
              <w:t xml:space="preserve">Marzo </w:t>
            </w:r>
          </w:p>
        </w:tc>
        <w:tc>
          <w:tcPr>
            <w:tcW w:w="1448" w:type="dxa"/>
            <w:shd w:val="clear" w:color="auto" w:fill="E6E6E6"/>
            <w:vAlign w:val="center"/>
          </w:tcPr>
          <w:p w:rsidR="001829E3" w:rsidRPr="003B28E9" w:rsidRDefault="001829E3" w:rsidP="00245C6D">
            <w:pPr>
              <w:spacing w:before="40" w:after="20"/>
              <w:jc w:val="right"/>
              <w:rPr>
                <w:rFonts w:ascii="Arial Narrow" w:hAnsi="Arial Narrow" w:cs="Arial"/>
                <w:bCs/>
                <w:sz w:val="18"/>
                <w:szCs w:val="18"/>
              </w:rPr>
            </w:pPr>
            <w:r w:rsidRPr="003B28E9">
              <w:rPr>
                <w:rFonts w:ascii="Arial Narrow" w:hAnsi="Arial Narrow" w:cs="Arial"/>
                <w:bCs/>
                <w:sz w:val="18"/>
                <w:szCs w:val="18"/>
              </w:rPr>
              <w:t>1</w:t>
            </w:r>
            <w:r>
              <w:rPr>
                <w:rFonts w:ascii="Arial Narrow" w:hAnsi="Arial Narrow" w:cs="Arial"/>
                <w:bCs/>
                <w:sz w:val="18"/>
                <w:szCs w:val="18"/>
              </w:rPr>
              <w:t>10,4</w:t>
            </w:r>
          </w:p>
        </w:tc>
        <w:tc>
          <w:tcPr>
            <w:tcW w:w="1448" w:type="dxa"/>
            <w:vAlign w:val="center"/>
          </w:tcPr>
          <w:p w:rsidR="001829E3" w:rsidRPr="003B28E9" w:rsidRDefault="001829E3" w:rsidP="00245C6D">
            <w:pPr>
              <w:spacing w:before="40" w:after="20"/>
              <w:jc w:val="right"/>
              <w:rPr>
                <w:rFonts w:ascii="Arial Narrow" w:hAnsi="Arial Narrow" w:cs="Arial"/>
                <w:bCs/>
                <w:sz w:val="18"/>
                <w:szCs w:val="18"/>
              </w:rPr>
            </w:pPr>
            <w:r w:rsidRPr="003B28E9">
              <w:rPr>
                <w:rFonts w:ascii="Arial Narrow" w:hAnsi="Arial Narrow" w:cs="Arial"/>
                <w:bCs/>
                <w:sz w:val="18"/>
                <w:szCs w:val="18"/>
              </w:rPr>
              <w:t>+1,</w:t>
            </w:r>
            <w:r>
              <w:rPr>
                <w:rFonts w:ascii="Arial Narrow" w:hAnsi="Arial Narrow" w:cs="Arial"/>
                <w:bCs/>
                <w:sz w:val="18"/>
                <w:szCs w:val="18"/>
              </w:rPr>
              <w:t>0</w:t>
            </w:r>
          </w:p>
        </w:tc>
        <w:tc>
          <w:tcPr>
            <w:tcW w:w="1448" w:type="dxa"/>
            <w:vAlign w:val="center"/>
          </w:tcPr>
          <w:p w:rsidR="001829E3" w:rsidRPr="003B28E9" w:rsidRDefault="001829E3" w:rsidP="00245C6D">
            <w:pPr>
              <w:spacing w:before="40" w:after="20"/>
              <w:jc w:val="right"/>
              <w:rPr>
                <w:rFonts w:ascii="Arial Narrow" w:hAnsi="Arial Narrow" w:cs="Arial"/>
                <w:bCs/>
                <w:sz w:val="18"/>
                <w:szCs w:val="18"/>
              </w:rPr>
            </w:pPr>
            <w:r w:rsidRPr="003B28E9">
              <w:rPr>
                <w:rFonts w:ascii="Arial Narrow" w:hAnsi="Arial Narrow" w:cs="Arial"/>
                <w:bCs/>
                <w:sz w:val="18"/>
                <w:szCs w:val="18"/>
              </w:rPr>
              <w:t>+6,</w:t>
            </w:r>
            <w:r>
              <w:rPr>
                <w:rFonts w:ascii="Arial Narrow" w:hAnsi="Arial Narrow" w:cs="Arial"/>
                <w:bCs/>
                <w:sz w:val="18"/>
                <w:szCs w:val="18"/>
              </w:rPr>
              <w:t>5</w:t>
            </w:r>
          </w:p>
        </w:tc>
        <w:tc>
          <w:tcPr>
            <w:tcW w:w="1448" w:type="dxa"/>
            <w:shd w:val="clear" w:color="auto" w:fill="E6E6E6"/>
            <w:vAlign w:val="center"/>
          </w:tcPr>
          <w:p w:rsidR="001829E3" w:rsidRPr="003B28E9" w:rsidRDefault="001829E3" w:rsidP="00245C6D">
            <w:pPr>
              <w:spacing w:before="40" w:after="20"/>
              <w:jc w:val="right"/>
              <w:rPr>
                <w:rFonts w:ascii="Arial Narrow" w:hAnsi="Arial Narrow" w:cs="Arial"/>
                <w:bCs/>
                <w:sz w:val="18"/>
                <w:szCs w:val="18"/>
              </w:rPr>
            </w:pPr>
            <w:r w:rsidRPr="003B28E9">
              <w:rPr>
                <w:rFonts w:ascii="Arial Narrow" w:hAnsi="Arial Narrow" w:cs="Arial"/>
                <w:bCs/>
                <w:sz w:val="18"/>
                <w:szCs w:val="18"/>
              </w:rPr>
              <w:t>1</w:t>
            </w:r>
            <w:r>
              <w:rPr>
                <w:rFonts w:ascii="Arial Narrow" w:hAnsi="Arial Narrow" w:cs="Arial"/>
                <w:bCs/>
                <w:sz w:val="18"/>
                <w:szCs w:val="18"/>
              </w:rPr>
              <w:t>11,3</w:t>
            </w:r>
          </w:p>
        </w:tc>
        <w:tc>
          <w:tcPr>
            <w:tcW w:w="1448" w:type="dxa"/>
            <w:vAlign w:val="center"/>
          </w:tcPr>
          <w:p w:rsidR="001829E3" w:rsidRPr="003B28E9" w:rsidRDefault="001829E3" w:rsidP="00245C6D">
            <w:pPr>
              <w:spacing w:before="40" w:after="20"/>
              <w:jc w:val="right"/>
              <w:rPr>
                <w:rFonts w:ascii="Arial Narrow" w:hAnsi="Arial Narrow" w:cs="Arial"/>
                <w:bCs/>
                <w:sz w:val="18"/>
                <w:szCs w:val="18"/>
              </w:rPr>
            </w:pPr>
            <w:r w:rsidRPr="003B28E9">
              <w:rPr>
                <w:rFonts w:ascii="Arial Narrow" w:hAnsi="Arial Narrow" w:cs="Arial"/>
                <w:bCs/>
                <w:sz w:val="18"/>
                <w:szCs w:val="18"/>
              </w:rPr>
              <w:t>+2,</w:t>
            </w:r>
            <w:r>
              <w:rPr>
                <w:rFonts w:ascii="Arial Narrow" w:hAnsi="Arial Narrow" w:cs="Arial"/>
                <w:bCs/>
                <w:sz w:val="18"/>
                <w:szCs w:val="18"/>
              </w:rPr>
              <w:t>4</w:t>
            </w:r>
          </w:p>
        </w:tc>
        <w:tc>
          <w:tcPr>
            <w:tcW w:w="1448" w:type="dxa"/>
            <w:vAlign w:val="center"/>
          </w:tcPr>
          <w:p w:rsidR="001829E3" w:rsidRPr="003B28E9" w:rsidRDefault="001829E3" w:rsidP="00245C6D">
            <w:pPr>
              <w:spacing w:before="40" w:after="20"/>
              <w:jc w:val="right"/>
              <w:rPr>
                <w:rFonts w:ascii="Arial Narrow" w:hAnsi="Arial Narrow" w:cs="Arial"/>
                <w:bCs/>
                <w:sz w:val="18"/>
                <w:szCs w:val="18"/>
              </w:rPr>
            </w:pPr>
            <w:r w:rsidRPr="003B28E9">
              <w:rPr>
                <w:rFonts w:ascii="Arial Narrow" w:hAnsi="Arial Narrow" w:cs="Arial"/>
                <w:bCs/>
                <w:sz w:val="18"/>
                <w:szCs w:val="18"/>
              </w:rPr>
              <w:t>+</w:t>
            </w:r>
            <w:r>
              <w:rPr>
                <w:rFonts w:ascii="Arial Narrow" w:hAnsi="Arial Narrow" w:cs="Arial"/>
                <w:bCs/>
                <w:sz w:val="18"/>
                <w:szCs w:val="18"/>
              </w:rPr>
              <w:t>6,8</w:t>
            </w:r>
          </w:p>
        </w:tc>
      </w:tr>
      <w:tr w:rsidR="001829E3" w:rsidRPr="001936CA" w:rsidTr="00245C6D">
        <w:trPr>
          <w:trHeight w:val="255"/>
          <w:jc w:val="center"/>
        </w:trPr>
        <w:tc>
          <w:tcPr>
            <w:tcW w:w="1701" w:type="dxa"/>
          </w:tcPr>
          <w:p w:rsidR="001829E3" w:rsidRPr="001936CA" w:rsidRDefault="001829E3" w:rsidP="009C63EA">
            <w:pPr>
              <w:spacing w:before="40" w:after="20"/>
              <w:rPr>
                <w:rFonts w:ascii="Arial Narrow" w:hAnsi="Arial Narrow" w:cs="Arial"/>
                <w:bCs/>
                <w:sz w:val="18"/>
                <w:szCs w:val="18"/>
              </w:rPr>
            </w:pPr>
            <w:r>
              <w:rPr>
                <w:rFonts w:ascii="Arial Narrow" w:hAnsi="Arial Narrow" w:cs="Arial"/>
                <w:bCs/>
                <w:sz w:val="18"/>
                <w:szCs w:val="18"/>
              </w:rPr>
              <w:t>Aprile</w:t>
            </w:r>
          </w:p>
        </w:tc>
        <w:tc>
          <w:tcPr>
            <w:tcW w:w="1448" w:type="dxa"/>
            <w:shd w:val="clear" w:color="auto" w:fill="E6E6E6"/>
            <w:vAlign w:val="center"/>
          </w:tcPr>
          <w:p w:rsidR="001829E3" w:rsidRPr="000E0F3F" w:rsidRDefault="001829E3" w:rsidP="00245C6D">
            <w:pPr>
              <w:tabs>
                <w:tab w:val="left" w:pos="5093"/>
              </w:tabs>
              <w:spacing w:before="40" w:after="20"/>
              <w:ind w:left="-57"/>
              <w:jc w:val="right"/>
              <w:rPr>
                <w:rFonts w:ascii="Arial Narrow" w:hAnsi="Arial Narrow" w:cs="Arial"/>
                <w:bCs/>
                <w:snapToGrid w:val="0"/>
                <w:sz w:val="18"/>
                <w:szCs w:val="18"/>
              </w:rPr>
            </w:pPr>
            <w:r w:rsidRPr="000E0F3F">
              <w:rPr>
                <w:rFonts w:ascii="Arial Narrow" w:hAnsi="Arial Narrow" w:cs="Arial"/>
                <w:bCs/>
                <w:snapToGrid w:val="0"/>
                <w:sz w:val="18"/>
                <w:szCs w:val="18"/>
              </w:rPr>
              <w:t>110,3</w:t>
            </w:r>
          </w:p>
        </w:tc>
        <w:tc>
          <w:tcPr>
            <w:tcW w:w="1448" w:type="dxa"/>
            <w:vAlign w:val="center"/>
          </w:tcPr>
          <w:p w:rsidR="001829E3" w:rsidRPr="000E0F3F" w:rsidRDefault="001829E3" w:rsidP="00245C6D">
            <w:pPr>
              <w:tabs>
                <w:tab w:val="left" w:pos="5093"/>
              </w:tabs>
              <w:spacing w:before="40" w:after="20"/>
              <w:jc w:val="right"/>
              <w:rPr>
                <w:rFonts w:ascii="Arial Narrow" w:hAnsi="Arial Narrow" w:cs="Arial"/>
                <w:bCs/>
                <w:snapToGrid w:val="0"/>
                <w:sz w:val="18"/>
                <w:szCs w:val="18"/>
              </w:rPr>
            </w:pPr>
            <w:r w:rsidRPr="000E0F3F">
              <w:rPr>
                <w:rFonts w:ascii="Arial Narrow" w:hAnsi="Arial Narrow" w:cs="Arial"/>
                <w:bCs/>
                <w:snapToGrid w:val="0"/>
                <w:sz w:val="18"/>
                <w:szCs w:val="18"/>
              </w:rPr>
              <w:t>-0,1</w:t>
            </w:r>
          </w:p>
        </w:tc>
        <w:tc>
          <w:tcPr>
            <w:tcW w:w="1448" w:type="dxa"/>
            <w:vAlign w:val="center"/>
          </w:tcPr>
          <w:p w:rsidR="001829E3" w:rsidRPr="000E0F3F" w:rsidRDefault="001829E3" w:rsidP="00245C6D">
            <w:pPr>
              <w:tabs>
                <w:tab w:val="left" w:pos="5093"/>
              </w:tabs>
              <w:spacing w:before="40" w:after="20"/>
              <w:jc w:val="right"/>
              <w:rPr>
                <w:rFonts w:ascii="Arial Narrow" w:hAnsi="Arial Narrow" w:cs="Arial"/>
                <w:bCs/>
                <w:snapToGrid w:val="0"/>
                <w:sz w:val="18"/>
                <w:szCs w:val="18"/>
              </w:rPr>
            </w:pPr>
            <w:r w:rsidRPr="000E0F3F">
              <w:rPr>
                <w:rFonts w:ascii="Arial Narrow" w:hAnsi="Arial Narrow" w:cs="Arial"/>
                <w:bCs/>
                <w:snapToGrid w:val="0"/>
                <w:sz w:val="18"/>
                <w:szCs w:val="18"/>
              </w:rPr>
              <w:t>+6,0</w:t>
            </w:r>
          </w:p>
        </w:tc>
        <w:tc>
          <w:tcPr>
            <w:tcW w:w="1448" w:type="dxa"/>
            <w:shd w:val="clear" w:color="auto" w:fill="E6E6E6"/>
            <w:vAlign w:val="center"/>
          </w:tcPr>
          <w:p w:rsidR="001829E3" w:rsidRPr="000E0F3F" w:rsidRDefault="001829E3" w:rsidP="00245C6D">
            <w:pPr>
              <w:tabs>
                <w:tab w:val="left" w:pos="5093"/>
              </w:tabs>
              <w:spacing w:before="40" w:after="20"/>
              <w:jc w:val="right"/>
              <w:rPr>
                <w:rFonts w:ascii="Arial Narrow" w:hAnsi="Arial Narrow" w:cs="Arial"/>
                <w:bCs/>
                <w:snapToGrid w:val="0"/>
                <w:sz w:val="18"/>
                <w:szCs w:val="18"/>
              </w:rPr>
            </w:pPr>
            <w:r w:rsidRPr="000E0F3F">
              <w:rPr>
                <w:rFonts w:ascii="Arial Narrow" w:hAnsi="Arial Narrow" w:cs="Arial"/>
                <w:bCs/>
                <w:snapToGrid w:val="0"/>
                <w:sz w:val="18"/>
                <w:szCs w:val="18"/>
              </w:rPr>
              <w:t>111,7</w:t>
            </w:r>
          </w:p>
        </w:tc>
        <w:tc>
          <w:tcPr>
            <w:tcW w:w="1448" w:type="dxa"/>
            <w:vAlign w:val="center"/>
          </w:tcPr>
          <w:p w:rsidR="001829E3" w:rsidRPr="000E0F3F" w:rsidRDefault="001829E3" w:rsidP="00245C6D">
            <w:pPr>
              <w:tabs>
                <w:tab w:val="left" w:pos="5093"/>
              </w:tabs>
              <w:spacing w:before="40" w:after="20"/>
              <w:jc w:val="right"/>
              <w:rPr>
                <w:rFonts w:ascii="Arial Narrow" w:hAnsi="Arial Narrow" w:cs="Arial"/>
                <w:bCs/>
                <w:snapToGrid w:val="0"/>
                <w:sz w:val="18"/>
                <w:szCs w:val="18"/>
              </w:rPr>
            </w:pPr>
            <w:r w:rsidRPr="000E0F3F">
              <w:rPr>
                <w:rFonts w:ascii="Arial Narrow" w:hAnsi="Arial Narrow" w:cs="Arial"/>
                <w:bCs/>
                <w:snapToGrid w:val="0"/>
                <w:sz w:val="18"/>
                <w:szCs w:val="18"/>
              </w:rPr>
              <w:t>+0,4</w:t>
            </w:r>
          </w:p>
        </w:tc>
        <w:tc>
          <w:tcPr>
            <w:tcW w:w="1448" w:type="dxa"/>
            <w:vAlign w:val="center"/>
          </w:tcPr>
          <w:p w:rsidR="001829E3" w:rsidRPr="000E0F3F" w:rsidRDefault="001829E3" w:rsidP="00245C6D">
            <w:pPr>
              <w:tabs>
                <w:tab w:val="left" w:pos="5093"/>
              </w:tabs>
              <w:spacing w:before="40" w:after="20"/>
              <w:ind w:left="-57"/>
              <w:jc w:val="right"/>
              <w:rPr>
                <w:rFonts w:ascii="Arial Narrow" w:hAnsi="Arial Narrow" w:cs="Arial"/>
                <w:bCs/>
                <w:snapToGrid w:val="0"/>
                <w:sz w:val="18"/>
                <w:szCs w:val="18"/>
              </w:rPr>
            </w:pPr>
            <w:r w:rsidRPr="000E0F3F">
              <w:rPr>
                <w:rFonts w:ascii="Arial Narrow" w:hAnsi="Arial Narrow" w:cs="Arial"/>
                <w:bCs/>
                <w:snapToGrid w:val="0"/>
                <w:sz w:val="18"/>
                <w:szCs w:val="18"/>
              </w:rPr>
              <w:t>+6,3</w:t>
            </w:r>
          </w:p>
        </w:tc>
      </w:tr>
      <w:tr w:rsidR="001829E3" w:rsidRPr="001936CA" w:rsidTr="00245C6D">
        <w:trPr>
          <w:trHeight w:val="255"/>
          <w:jc w:val="center"/>
        </w:trPr>
        <w:tc>
          <w:tcPr>
            <w:tcW w:w="1701" w:type="dxa"/>
          </w:tcPr>
          <w:p w:rsidR="001829E3" w:rsidRPr="001936CA" w:rsidRDefault="001829E3" w:rsidP="009C63EA">
            <w:pPr>
              <w:spacing w:before="40" w:after="20"/>
              <w:rPr>
                <w:rFonts w:ascii="Arial Narrow" w:hAnsi="Arial Narrow" w:cs="Arial"/>
                <w:bCs/>
                <w:sz w:val="18"/>
                <w:szCs w:val="18"/>
              </w:rPr>
            </w:pPr>
            <w:r>
              <w:rPr>
                <w:rFonts w:ascii="Arial Narrow" w:hAnsi="Arial Narrow" w:cs="Arial"/>
                <w:bCs/>
                <w:sz w:val="18"/>
                <w:szCs w:val="18"/>
              </w:rPr>
              <w:t>Maggio</w:t>
            </w:r>
          </w:p>
        </w:tc>
        <w:tc>
          <w:tcPr>
            <w:tcW w:w="1448" w:type="dxa"/>
            <w:shd w:val="clear" w:color="auto" w:fill="E6E6E6"/>
            <w:vAlign w:val="center"/>
          </w:tcPr>
          <w:p w:rsidR="001829E3" w:rsidRPr="00FB460C" w:rsidRDefault="001829E3" w:rsidP="00245C6D">
            <w:pPr>
              <w:tabs>
                <w:tab w:val="left" w:pos="5093"/>
              </w:tabs>
              <w:spacing w:before="40" w:after="20"/>
              <w:ind w:left="-57"/>
              <w:jc w:val="right"/>
              <w:rPr>
                <w:rFonts w:ascii="Arial Narrow" w:hAnsi="Arial Narrow" w:cs="Arial"/>
                <w:bCs/>
                <w:snapToGrid w:val="0"/>
                <w:sz w:val="18"/>
                <w:szCs w:val="18"/>
              </w:rPr>
            </w:pPr>
            <w:r w:rsidRPr="00FB460C">
              <w:rPr>
                <w:rFonts w:ascii="Arial Narrow" w:hAnsi="Arial Narrow" w:cs="Arial"/>
                <w:bCs/>
                <w:snapToGrid w:val="0"/>
                <w:sz w:val="18"/>
                <w:szCs w:val="18"/>
              </w:rPr>
              <w:t>111,</w:t>
            </w:r>
            <w:r>
              <w:rPr>
                <w:rFonts w:ascii="Arial Narrow" w:hAnsi="Arial Narrow" w:cs="Arial"/>
                <w:bCs/>
                <w:snapToGrid w:val="0"/>
                <w:sz w:val="18"/>
                <w:szCs w:val="18"/>
              </w:rPr>
              <w:t>2</w:t>
            </w:r>
          </w:p>
        </w:tc>
        <w:tc>
          <w:tcPr>
            <w:tcW w:w="1448" w:type="dxa"/>
            <w:vAlign w:val="center"/>
          </w:tcPr>
          <w:p w:rsidR="001829E3" w:rsidRPr="00FB460C" w:rsidRDefault="001829E3" w:rsidP="00245C6D">
            <w:pPr>
              <w:tabs>
                <w:tab w:val="left" w:pos="5093"/>
              </w:tabs>
              <w:spacing w:before="40" w:after="20"/>
              <w:jc w:val="right"/>
              <w:rPr>
                <w:rFonts w:ascii="Arial Narrow" w:hAnsi="Arial Narrow" w:cs="Arial"/>
                <w:bCs/>
                <w:snapToGrid w:val="0"/>
                <w:sz w:val="18"/>
                <w:szCs w:val="18"/>
              </w:rPr>
            </w:pPr>
            <w:r w:rsidRPr="00FB460C">
              <w:rPr>
                <w:rFonts w:ascii="Arial Narrow" w:hAnsi="Arial Narrow" w:cs="Arial"/>
                <w:bCs/>
                <w:snapToGrid w:val="0"/>
                <w:sz w:val="18"/>
                <w:szCs w:val="18"/>
              </w:rPr>
              <w:t>+0,</w:t>
            </w:r>
            <w:r>
              <w:rPr>
                <w:rFonts w:ascii="Arial Narrow" w:hAnsi="Arial Narrow" w:cs="Arial"/>
                <w:bCs/>
                <w:snapToGrid w:val="0"/>
                <w:sz w:val="18"/>
                <w:szCs w:val="18"/>
              </w:rPr>
              <w:t>8</w:t>
            </w:r>
          </w:p>
        </w:tc>
        <w:tc>
          <w:tcPr>
            <w:tcW w:w="1448" w:type="dxa"/>
            <w:vAlign w:val="center"/>
          </w:tcPr>
          <w:p w:rsidR="001829E3" w:rsidRPr="00FB460C" w:rsidRDefault="001829E3" w:rsidP="00245C6D">
            <w:pPr>
              <w:tabs>
                <w:tab w:val="left" w:pos="5093"/>
              </w:tabs>
              <w:spacing w:before="40" w:after="20"/>
              <w:jc w:val="right"/>
              <w:rPr>
                <w:rFonts w:ascii="Arial Narrow" w:hAnsi="Arial Narrow" w:cs="Arial"/>
                <w:bCs/>
                <w:snapToGrid w:val="0"/>
                <w:sz w:val="18"/>
                <w:szCs w:val="18"/>
              </w:rPr>
            </w:pPr>
            <w:r w:rsidRPr="00FB460C">
              <w:rPr>
                <w:rFonts w:ascii="Arial Narrow" w:hAnsi="Arial Narrow" w:cs="Arial"/>
                <w:bCs/>
                <w:snapToGrid w:val="0"/>
                <w:sz w:val="18"/>
                <w:szCs w:val="18"/>
              </w:rPr>
              <w:t>+6,</w:t>
            </w:r>
            <w:r>
              <w:rPr>
                <w:rFonts w:ascii="Arial Narrow" w:hAnsi="Arial Narrow" w:cs="Arial"/>
                <w:bCs/>
                <w:snapToGrid w:val="0"/>
                <w:sz w:val="18"/>
                <w:szCs w:val="18"/>
              </w:rPr>
              <w:t>8</w:t>
            </w:r>
          </w:p>
        </w:tc>
        <w:tc>
          <w:tcPr>
            <w:tcW w:w="1448" w:type="dxa"/>
            <w:shd w:val="clear" w:color="auto" w:fill="E6E6E6"/>
            <w:vAlign w:val="center"/>
          </w:tcPr>
          <w:p w:rsidR="001829E3" w:rsidRPr="00FB460C" w:rsidRDefault="001829E3" w:rsidP="00245C6D">
            <w:pPr>
              <w:tabs>
                <w:tab w:val="left" w:pos="5093"/>
              </w:tabs>
              <w:spacing w:before="40" w:after="20"/>
              <w:jc w:val="right"/>
              <w:rPr>
                <w:rFonts w:ascii="Arial Narrow" w:hAnsi="Arial Narrow" w:cs="Arial"/>
                <w:bCs/>
                <w:snapToGrid w:val="0"/>
                <w:sz w:val="18"/>
                <w:szCs w:val="18"/>
              </w:rPr>
            </w:pPr>
            <w:r w:rsidRPr="00FB460C">
              <w:rPr>
                <w:rFonts w:ascii="Arial Narrow" w:hAnsi="Arial Narrow" w:cs="Arial"/>
                <w:bCs/>
                <w:snapToGrid w:val="0"/>
                <w:sz w:val="18"/>
                <w:szCs w:val="18"/>
              </w:rPr>
              <w:t>112,7</w:t>
            </w:r>
          </w:p>
        </w:tc>
        <w:tc>
          <w:tcPr>
            <w:tcW w:w="1448" w:type="dxa"/>
            <w:vAlign w:val="center"/>
          </w:tcPr>
          <w:p w:rsidR="001829E3" w:rsidRPr="00FB460C" w:rsidRDefault="001829E3" w:rsidP="00245C6D">
            <w:pPr>
              <w:tabs>
                <w:tab w:val="left" w:pos="5093"/>
              </w:tabs>
              <w:spacing w:before="40" w:after="20"/>
              <w:jc w:val="right"/>
              <w:rPr>
                <w:rFonts w:ascii="Arial Narrow" w:hAnsi="Arial Narrow" w:cs="Arial"/>
                <w:bCs/>
                <w:snapToGrid w:val="0"/>
                <w:sz w:val="18"/>
                <w:szCs w:val="18"/>
              </w:rPr>
            </w:pPr>
            <w:r w:rsidRPr="00FB460C">
              <w:rPr>
                <w:rFonts w:ascii="Arial Narrow" w:hAnsi="Arial Narrow" w:cs="Arial"/>
                <w:bCs/>
                <w:snapToGrid w:val="0"/>
                <w:sz w:val="18"/>
                <w:szCs w:val="18"/>
              </w:rPr>
              <w:t>+0,9</w:t>
            </w:r>
          </w:p>
        </w:tc>
        <w:tc>
          <w:tcPr>
            <w:tcW w:w="1448" w:type="dxa"/>
            <w:vAlign w:val="center"/>
          </w:tcPr>
          <w:p w:rsidR="001829E3" w:rsidRPr="00FB460C" w:rsidRDefault="001829E3" w:rsidP="00245C6D">
            <w:pPr>
              <w:tabs>
                <w:tab w:val="left" w:pos="5093"/>
              </w:tabs>
              <w:spacing w:before="40" w:after="20"/>
              <w:ind w:left="-57"/>
              <w:jc w:val="right"/>
              <w:rPr>
                <w:rFonts w:ascii="Arial Narrow" w:hAnsi="Arial Narrow" w:cs="Arial"/>
                <w:bCs/>
                <w:snapToGrid w:val="0"/>
                <w:sz w:val="18"/>
                <w:szCs w:val="18"/>
              </w:rPr>
            </w:pPr>
            <w:r w:rsidRPr="00FB460C">
              <w:rPr>
                <w:rFonts w:ascii="Arial Narrow" w:hAnsi="Arial Narrow" w:cs="Arial"/>
                <w:bCs/>
                <w:snapToGrid w:val="0"/>
                <w:sz w:val="18"/>
                <w:szCs w:val="18"/>
              </w:rPr>
              <w:t>+7,3</w:t>
            </w:r>
          </w:p>
        </w:tc>
      </w:tr>
      <w:tr w:rsidR="001829E3" w:rsidRPr="001936CA" w:rsidTr="00245C6D">
        <w:trPr>
          <w:trHeight w:val="255"/>
          <w:jc w:val="center"/>
        </w:trPr>
        <w:tc>
          <w:tcPr>
            <w:tcW w:w="1701" w:type="dxa"/>
          </w:tcPr>
          <w:p w:rsidR="001829E3" w:rsidRDefault="001829E3" w:rsidP="001829E3">
            <w:pPr>
              <w:spacing w:before="40" w:after="20"/>
              <w:rPr>
                <w:rFonts w:ascii="Arial Narrow" w:hAnsi="Arial Narrow" w:cs="Arial"/>
                <w:bCs/>
                <w:sz w:val="18"/>
                <w:szCs w:val="18"/>
              </w:rPr>
            </w:pPr>
            <w:r>
              <w:rPr>
                <w:rFonts w:ascii="Arial Narrow" w:hAnsi="Arial Narrow" w:cs="Arial"/>
                <w:bCs/>
                <w:sz w:val="18"/>
                <w:szCs w:val="18"/>
              </w:rPr>
              <w:t>Giugno</w:t>
            </w:r>
          </w:p>
        </w:tc>
        <w:tc>
          <w:tcPr>
            <w:tcW w:w="1448" w:type="dxa"/>
            <w:shd w:val="clear" w:color="auto" w:fill="E6E6E6"/>
            <w:vAlign w:val="center"/>
          </w:tcPr>
          <w:p w:rsidR="001829E3" w:rsidRPr="00FB460C" w:rsidRDefault="001829E3" w:rsidP="00245C6D">
            <w:pPr>
              <w:tabs>
                <w:tab w:val="left" w:pos="5093"/>
              </w:tabs>
              <w:spacing w:before="40" w:after="20"/>
              <w:ind w:left="-57"/>
              <w:jc w:val="right"/>
              <w:rPr>
                <w:rFonts w:ascii="Arial Narrow" w:hAnsi="Arial Narrow" w:cs="Arial"/>
                <w:bCs/>
                <w:snapToGrid w:val="0"/>
                <w:sz w:val="18"/>
                <w:szCs w:val="18"/>
              </w:rPr>
            </w:pPr>
            <w:r>
              <w:rPr>
                <w:rFonts w:ascii="Arial Narrow" w:hAnsi="Arial Narrow" w:cs="Arial"/>
                <w:bCs/>
                <w:snapToGrid w:val="0"/>
                <w:sz w:val="18"/>
                <w:szCs w:val="18"/>
              </w:rPr>
              <w:t>112,5</w:t>
            </w:r>
          </w:p>
        </w:tc>
        <w:tc>
          <w:tcPr>
            <w:tcW w:w="1448" w:type="dxa"/>
            <w:vAlign w:val="center"/>
          </w:tcPr>
          <w:p w:rsidR="001829E3" w:rsidRPr="00FB460C" w:rsidRDefault="001829E3" w:rsidP="00245C6D">
            <w:pPr>
              <w:tabs>
                <w:tab w:val="left" w:pos="5093"/>
              </w:tabs>
              <w:spacing w:before="40" w:after="20"/>
              <w:jc w:val="right"/>
              <w:rPr>
                <w:rFonts w:ascii="Arial Narrow" w:hAnsi="Arial Narrow" w:cs="Arial"/>
                <w:bCs/>
                <w:snapToGrid w:val="0"/>
                <w:sz w:val="18"/>
                <w:szCs w:val="18"/>
              </w:rPr>
            </w:pPr>
            <w:r>
              <w:rPr>
                <w:rFonts w:ascii="Arial Narrow" w:hAnsi="Arial Narrow" w:cs="Arial"/>
                <w:bCs/>
                <w:snapToGrid w:val="0"/>
                <w:sz w:val="18"/>
                <w:szCs w:val="18"/>
              </w:rPr>
              <w:t>+1,2</w:t>
            </w:r>
          </w:p>
        </w:tc>
        <w:tc>
          <w:tcPr>
            <w:tcW w:w="1448" w:type="dxa"/>
            <w:vAlign w:val="center"/>
          </w:tcPr>
          <w:p w:rsidR="001829E3" w:rsidRPr="00FB460C" w:rsidRDefault="001829E3" w:rsidP="00245C6D">
            <w:pPr>
              <w:tabs>
                <w:tab w:val="left" w:pos="5093"/>
              </w:tabs>
              <w:spacing w:before="40" w:after="20"/>
              <w:jc w:val="right"/>
              <w:rPr>
                <w:rFonts w:ascii="Arial Narrow" w:hAnsi="Arial Narrow" w:cs="Arial"/>
                <w:bCs/>
                <w:snapToGrid w:val="0"/>
                <w:sz w:val="18"/>
                <w:szCs w:val="18"/>
              </w:rPr>
            </w:pPr>
            <w:r>
              <w:rPr>
                <w:rFonts w:ascii="Arial Narrow" w:hAnsi="Arial Narrow" w:cs="Arial"/>
                <w:bCs/>
                <w:snapToGrid w:val="0"/>
                <w:sz w:val="18"/>
                <w:szCs w:val="18"/>
              </w:rPr>
              <w:t>+8,0</w:t>
            </w:r>
          </w:p>
        </w:tc>
        <w:tc>
          <w:tcPr>
            <w:tcW w:w="1448" w:type="dxa"/>
            <w:shd w:val="clear" w:color="auto" w:fill="E6E6E6"/>
            <w:vAlign w:val="center"/>
          </w:tcPr>
          <w:p w:rsidR="001829E3" w:rsidRPr="00FB460C" w:rsidRDefault="001829E3" w:rsidP="00245C6D">
            <w:pPr>
              <w:tabs>
                <w:tab w:val="left" w:pos="5093"/>
              </w:tabs>
              <w:spacing w:before="40" w:after="20"/>
              <w:jc w:val="right"/>
              <w:rPr>
                <w:rFonts w:ascii="Arial Narrow" w:hAnsi="Arial Narrow" w:cs="Arial"/>
                <w:bCs/>
                <w:snapToGrid w:val="0"/>
                <w:sz w:val="18"/>
                <w:szCs w:val="18"/>
              </w:rPr>
            </w:pPr>
            <w:r>
              <w:rPr>
                <w:rFonts w:ascii="Arial Narrow" w:hAnsi="Arial Narrow" w:cs="Arial"/>
                <w:bCs/>
                <w:snapToGrid w:val="0"/>
                <w:sz w:val="18"/>
                <w:szCs w:val="18"/>
              </w:rPr>
              <w:t>114,1</w:t>
            </w:r>
          </w:p>
        </w:tc>
        <w:tc>
          <w:tcPr>
            <w:tcW w:w="1448" w:type="dxa"/>
            <w:vAlign w:val="center"/>
          </w:tcPr>
          <w:p w:rsidR="001829E3" w:rsidRPr="00FB460C" w:rsidRDefault="001829E3" w:rsidP="00245C6D">
            <w:pPr>
              <w:tabs>
                <w:tab w:val="left" w:pos="5093"/>
              </w:tabs>
              <w:spacing w:before="40" w:after="20"/>
              <w:jc w:val="right"/>
              <w:rPr>
                <w:rFonts w:ascii="Arial Narrow" w:hAnsi="Arial Narrow" w:cs="Arial"/>
                <w:bCs/>
                <w:snapToGrid w:val="0"/>
                <w:sz w:val="18"/>
                <w:szCs w:val="18"/>
              </w:rPr>
            </w:pPr>
            <w:r>
              <w:rPr>
                <w:rFonts w:ascii="Arial Narrow" w:hAnsi="Arial Narrow" w:cs="Arial"/>
                <w:bCs/>
                <w:snapToGrid w:val="0"/>
                <w:sz w:val="18"/>
                <w:szCs w:val="18"/>
              </w:rPr>
              <w:t>+1,2</w:t>
            </w:r>
          </w:p>
        </w:tc>
        <w:tc>
          <w:tcPr>
            <w:tcW w:w="1448" w:type="dxa"/>
            <w:vAlign w:val="center"/>
          </w:tcPr>
          <w:p w:rsidR="001829E3" w:rsidRPr="00FB460C" w:rsidRDefault="001829E3" w:rsidP="00245C6D">
            <w:pPr>
              <w:tabs>
                <w:tab w:val="left" w:pos="5093"/>
              </w:tabs>
              <w:spacing w:before="40" w:after="20"/>
              <w:ind w:left="-57"/>
              <w:jc w:val="right"/>
              <w:rPr>
                <w:rFonts w:ascii="Arial Narrow" w:hAnsi="Arial Narrow" w:cs="Arial"/>
                <w:bCs/>
                <w:snapToGrid w:val="0"/>
                <w:sz w:val="18"/>
                <w:szCs w:val="18"/>
              </w:rPr>
            </w:pPr>
            <w:r>
              <w:rPr>
                <w:rFonts w:ascii="Arial Narrow" w:hAnsi="Arial Narrow" w:cs="Arial"/>
                <w:bCs/>
                <w:snapToGrid w:val="0"/>
                <w:sz w:val="18"/>
                <w:szCs w:val="18"/>
              </w:rPr>
              <w:t>+8,5</w:t>
            </w:r>
          </w:p>
        </w:tc>
      </w:tr>
      <w:tr w:rsidR="00D179A1" w:rsidRPr="001936CA" w:rsidTr="00245C6D">
        <w:trPr>
          <w:trHeight w:val="255"/>
          <w:jc w:val="center"/>
        </w:trPr>
        <w:tc>
          <w:tcPr>
            <w:tcW w:w="1701" w:type="dxa"/>
          </w:tcPr>
          <w:p w:rsidR="00D179A1" w:rsidRDefault="00C16FDD" w:rsidP="00C16FDD">
            <w:pPr>
              <w:spacing w:before="40" w:after="20"/>
              <w:rPr>
                <w:rFonts w:ascii="Arial Narrow" w:hAnsi="Arial Narrow" w:cs="Arial"/>
                <w:bCs/>
                <w:sz w:val="18"/>
                <w:szCs w:val="18"/>
              </w:rPr>
            </w:pPr>
            <w:r>
              <w:rPr>
                <w:rFonts w:ascii="Arial Narrow" w:hAnsi="Arial Narrow" w:cs="Arial"/>
                <w:bCs/>
                <w:sz w:val="18"/>
                <w:szCs w:val="18"/>
              </w:rPr>
              <w:t>Luglio</w:t>
            </w:r>
          </w:p>
        </w:tc>
        <w:tc>
          <w:tcPr>
            <w:tcW w:w="1448" w:type="dxa"/>
            <w:shd w:val="clear" w:color="auto" w:fill="E6E6E6"/>
            <w:vAlign w:val="center"/>
          </w:tcPr>
          <w:p w:rsidR="00D179A1" w:rsidRPr="00D179A1" w:rsidRDefault="00D179A1" w:rsidP="00245C6D">
            <w:pPr>
              <w:tabs>
                <w:tab w:val="left" w:pos="5093"/>
              </w:tabs>
              <w:spacing w:before="40" w:after="20"/>
              <w:ind w:left="-57"/>
              <w:jc w:val="right"/>
              <w:rPr>
                <w:rFonts w:ascii="Arial Narrow" w:hAnsi="Arial Narrow" w:cs="Arial"/>
                <w:bCs/>
                <w:snapToGrid w:val="0"/>
                <w:sz w:val="18"/>
                <w:szCs w:val="18"/>
              </w:rPr>
            </w:pPr>
            <w:r w:rsidRPr="00D179A1">
              <w:rPr>
                <w:rFonts w:ascii="Arial Narrow" w:hAnsi="Arial Narrow" w:cs="Arial"/>
                <w:bCs/>
                <w:snapToGrid w:val="0"/>
                <w:sz w:val="18"/>
                <w:szCs w:val="18"/>
              </w:rPr>
              <w:t>113</w:t>
            </w:r>
            <w:r w:rsidR="005F6475">
              <w:rPr>
                <w:rFonts w:ascii="Arial Narrow" w:hAnsi="Arial Narrow" w:cs="Arial"/>
                <w:bCs/>
                <w:snapToGrid w:val="0"/>
                <w:sz w:val="18"/>
                <w:szCs w:val="18"/>
              </w:rPr>
              <w:t>,0</w:t>
            </w:r>
          </w:p>
        </w:tc>
        <w:tc>
          <w:tcPr>
            <w:tcW w:w="1448" w:type="dxa"/>
            <w:vAlign w:val="center"/>
          </w:tcPr>
          <w:p w:rsidR="00D179A1" w:rsidRPr="00D179A1" w:rsidRDefault="00D179A1" w:rsidP="00245C6D">
            <w:pPr>
              <w:tabs>
                <w:tab w:val="left" w:pos="5093"/>
              </w:tabs>
              <w:spacing w:before="40" w:after="20"/>
              <w:jc w:val="right"/>
              <w:rPr>
                <w:rFonts w:ascii="Arial Narrow" w:hAnsi="Arial Narrow" w:cs="Arial"/>
                <w:bCs/>
                <w:snapToGrid w:val="0"/>
                <w:sz w:val="18"/>
                <w:szCs w:val="18"/>
              </w:rPr>
            </w:pPr>
            <w:r w:rsidRPr="00D179A1">
              <w:rPr>
                <w:rFonts w:ascii="Arial Narrow" w:hAnsi="Arial Narrow" w:cs="Arial"/>
                <w:bCs/>
                <w:snapToGrid w:val="0"/>
                <w:sz w:val="18"/>
                <w:szCs w:val="18"/>
              </w:rPr>
              <w:t>+0,4</w:t>
            </w:r>
          </w:p>
        </w:tc>
        <w:tc>
          <w:tcPr>
            <w:tcW w:w="1448" w:type="dxa"/>
            <w:vAlign w:val="center"/>
          </w:tcPr>
          <w:p w:rsidR="00D179A1" w:rsidRPr="00D179A1" w:rsidRDefault="00D179A1" w:rsidP="00245C6D">
            <w:pPr>
              <w:tabs>
                <w:tab w:val="left" w:pos="5093"/>
              </w:tabs>
              <w:spacing w:before="40" w:after="20"/>
              <w:jc w:val="right"/>
              <w:rPr>
                <w:rFonts w:ascii="Arial Narrow" w:hAnsi="Arial Narrow" w:cs="Arial"/>
                <w:bCs/>
                <w:snapToGrid w:val="0"/>
                <w:sz w:val="18"/>
                <w:szCs w:val="18"/>
              </w:rPr>
            </w:pPr>
            <w:r w:rsidRPr="00D179A1">
              <w:rPr>
                <w:rFonts w:ascii="Arial Narrow" w:hAnsi="Arial Narrow" w:cs="Arial"/>
                <w:bCs/>
                <w:snapToGrid w:val="0"/>
                <w:sz w:val="18"/>
                <w:szCs w:val="18"/>
              </w:rPr>
              <w:t>+7,9</w:t>
            </w:r>
          </w:p>
        </w:tc>
        <w:tc>
          <w:tcPr>
            <w:tcW w:w="1448" w:type="dxa"/>
            <w:shd w:val="clear" w:color="auto" w:fill="E6E6E6"/>
            <w:vAlign w:val="center"/>
          </w:tcPr>
          <w:p w:rsidR="00D179A1" w:rsidRPr="00D179A1" w:rsidRDefault="00D179A1" w:rsidP="00245C6D">
            <w:pPr>
              <w:tabs>
                <w:tab w:val="left" w:pos="5093"/>
              </w:tabs>
              <w:spacing w:before="40" w:after="20"/>
              <w:jc w:val="right"/>
              <w:rPr>
                <w:rFonts w:ascii="Arial Narrow" w:hAnsi="Arial Narrow" w:cs="Arial"/>
                <w:bCs/>
                <w:snapToGrid w:val="0"/>
                <w:sz w:val="18"/>
                <w:szCs w:val="18"/>
              </w:rPr>
            </w:pPr>
            <w:r w:rsidRPr="00D179A1">
              <w:rPr>
                <w:rFonts w:ascii="Arial Narrow" w:hAnsi="Arial Narrow" w:cs="Arial"/>
                <w:bCs/>
                <w:snapToGrid w:val="0"/>
                <w:sz w:val="18"/>
                <w:szCs w:val="18"/>
              </w:rPr>
              <w:t>112,8</w:t>
            </w:r>
          </w:p>
        </w:tc>
        <w:tc>
          <w:tcPr>
            <w:tcW w:w="1448" w:type="dxa"/>
            <w:vAlign w:val="center"/>
          </w:tcPr>
          <w:p w:rsidR="00D179A1" w:rsidRPr="00D179A1" w:rsidRDefault="00D179A1" w:rsidP="00245C6D">
            <w:pPr>
              <w:tabs>
                <w:tab w:val="left" w:pos="5093"/>
              </w:tabs>
              <w:spacing w:before="40" w:after="20"/>
              <w:jc w:val="right"/>
              <w:rPr>
                <w:rFonts w:ascii="Arial Narrow" w:hAnsi="Arial Narrow" w:cs="Arial"/>
                <w:bCs/>
                <w:snapToGrid w:val="0"/>
                <w:sz w:val="18"/>
                <w:szCs w:val="18"/>
              </w:rPr>
            </w:pPr>
            <w:r w:rsidRPr="00D179A1">
              <w:rPr>
                <w:rFonts w:ascii="Arial Narrow" w:hAnsi="Arial Narrow" w:cs="Arial"/>
                <w:bCs/>
                <w:snapToGrid w:val="0"/>
                <w:sz w:val="18"/>
                <w:szCs w:val="18"/>
              </w:rPr>
              <w:t>-1,1</w:t>
            </w:r>
          </w:p>
        </w:tc>
        <w:tc>
          <w:tcPr>
            <w:tcW w:w="1448" w:type="dxa"/>
            <w:vAlign w:val="center"/>
          </w:tcPr>
          <w:p w:rsidR="00D179A1" w:rsidRPr="00D179A1" w:rsidRDefault="00D179A1" w:rsidP="00245C6D">
            <w:pPr>
              <w:tabs>
                <w:tab w:val="left" w:pos="5093"/>
              </w:tabs>
              <w:spacing w:before="40" w:after="20"/>
              <w:ind w:left="-57"/>
              <w:jc w:val="right"/>
              <w:rPr>
                <w:rFonts w:ascii="Arial Narrow" w:hAnsi="Arial Narrow" w:cs="Arial"/>
                <w:bCs/>
                <w:snapToGrid w:val="0"/>
                <w:sz w:val="18"/>
                <w:szCs w:val="18"/>
              </w:rPr>
            </w:pPr>
            <w:r w:rsidRPr="00D179A1">
              <w:rPr>
                <w:rFonts w:ascii="Arial Narrow" w:hAnsi="Arial Narrow" w:cs="Arial"/>
                <w:bCs/>
                <w:snapToGrid w:val="0"/>
                <w:sz w:val="18"/>
                <w:szCs w:val="18"/>
              </w:rPr>
              <w:t>+8,4</w:t>
            </w:r>
          </w:p>
        </w:tc>
      </w:tr>
      <w:tr w:rsidR="00DE1EE1" w:rsidRPr="001936CA" w:rsidTr="00245C6D">
        <w:trPr>
          <w:trHeight w:val="255"/>
          <w:jc w:val="center"/>
        </w:trPr>
        <w:tc>
          <w:tcPr>
            <w:tcW w:w="1701" w:type="dxa"/>
          </w:tcPr>
          <w:p w:rsidR="00DE1EE1" w:rsidRDefault="00DE1EE1" w:rsidP="00DE1EE1">
            <w:pPr>
              <w:spacing w:before="40" w:after="20"/>
              <w:rPr>
                <w:rFonts w:ascii="Arial Narrow" w:hAnsi="Arial Narrow" w:cs="Arial"/>
                <w:bCs/>
                <w:sz w:val="18"/>
                <w:szCs w:val="18"/>
              </w:rPr>
            </w:pPr>
            <w:r>
              <w:rPr>
                <w:rFonts w:ascii="Arial Narrow" w:hAnsi="Arial Narrow" w:cs="Arial"/>
                <w:bCs/>
                <w:sz w:val="18"/>
                <w:szCs w:val="18"/>
              </w:rPr>
              <w:t>Agosto</w:t>
            </w:r>
          </w:p>
        </w:tc>
        <w:tc>
          <w:tcPr>
            <w:tcW w:w="1448" w:type="dxa"/>
            <w:shd w:val="clear" w:color="auto" w:fill="E6E6E6"/>
            <w:vAlign w:val="center"/>
          </w:tcPr>
          <w:p w:rsidR="00DE1EE1" w:rsidRPr="000E5F82" w:rsidRDefault="00DE1EE1" w:rsidP="00245C6D">
            <w:pPr>
              <w:spacing w:before="40" w:after="20"/>
              <w:jc w:val="right"/>
              <w:rPr>
                <w:rFonts w:ascii="Arial Narrow" w:hAnsi="Arial Narrow" w:cs="Arial"/>
                <w:sz w:val="18"/>
                <w:szCs w:val="18"/>
              </w:rPr>
            </w:pPr>
            <w:r w:rsidRPr="000E5F82">
              <w:rPr>
                <w:rFonts w:ascii="Arial Narrow" w:hAnsi="Arial Narrow" w:cs="Arial"/>
                <w:sz w:val="18"/>
                <w:szCs w:val="18"/>
              </w:rPr>
              <w:t>113,9</w:t>
            </w:r>
          </w:p>
        </w:tc>
        <w:tc>
          <w:tcPr>
            <w:tcW w:w="1448" w:type="dxa"/>
            <w:vAlign w:val="center"/>
          </w:tcPr>
          <w:p w:rsidR="00DE1EE1" w:rsidRPr="000E5F82" w:rsidRDefault="00DE1EE1" w:rsidP="00245C6D">
            <w:pPr>
              <w:spacing w:before="40" w:after="20"/>
              <w:jc w:val="right"/>
              <w:rPr>
                <w:rFonts w:ascii="Arial Narrow" w:hAnsi="Arial Narrow" w:cs="Arial"/>
                <w:sz w:val="18"/>
                <w:szCs w:val="18"/>
              </w:rPr>
            </w:pPr>
            <w:r w:rsidRPr="000E5F82">
              <w:rPr>
                <w:rFonts w:ascii="Arial Narrow" w:hAnsi="Arial Narrow" w:cs="Arial"/>
                <w:sz w:val="18"/>
                <w:szCs w:val="18"/>
              </w:rPr>
              <w:t>+0,8</w:t>
            </w:r>
          </w:p>
        </w:tc>
        <w:tc>
          <w:tcPr>
            <w:tcW w:w="1448" w:type="dxa"/>
            <w:vAlign w:val="center"/>
          </w:tcPr>
          <w:p w:rsidR="00DE1EE1" w:rsidRPr="000E5F82" w:rsidRDefault="00DE1EE1" w:rsidP="00245C6D">
            <w:pPr>
              <w:spacing w:before="40" w:after="20"/>
              <w:jc w:val="right"/>
              <w:rPr>
                <w:rFonts w:ascii="Arial Narrow" w:hAnsi="Arial Narrow" w:cs="Arial"/>
                <w:sz w:val="18"/>
                <w:szCs w:val="18"/>
              </w:rPr>
            </w:pPr>
            <w:r w:rsidRPr="000E5F82">
              <w:rPr>
                <w:rFonts w:ascii="Arial Narrow" w:hAnsi="Arial Narrow" w:cs="Arial"/>
                <w:sz w:val="18"/>
                <w:szCs w:val="18"/>
              </w:rPr>
              <w:t>+8,4</w:t>
            </w:r>
          </w:p>
        </w:tc>
        <w:tc>
          <w:tcPr>
            <w:tcW w:w="1448" w:type="dxa"/>
            <w:shd w:val="clear" w:color="auto" w:fill="E6E6E6"/>
            <w:vAlign w:val="center"/>
          </w:tcPr>
          <w:p w:rsidR="00DE1EE1" w:rsidRPr="000E5F82" w:rsidRDefault="00DE1EE1" w:rsidP="00245C6D">
            <w:pPr>
              <w:spacing w:before="40" w:after="20"/>
              <w:jc w:val="right"/>
              <w:rPr>
                <w:rFonts w:ascii="Arial Narrow" w:hAnsi="Arial Narrow" w:cs="Arial"/>
                <w:sz w:val="18"/>
                <w:szCs w:val="18"/>
              </w:rPr>
            </w:pPr>
            <w:r w:rsidRPr="000E5F82">
              <w:rPr>
                <w:rFonts w:ascii="Arial Narrow" w:hAnsi="Arial Narrow" w:cs="Arial"/>
                <w:sz w:val="18"/>
                <w:szCs w:val="18"/>
              </w:rPr>
              <w:t>113,8</w:t>
            </w:r>
          </w:p>
        </w:tc>
        <w:tc>
          <w:tcPr>
            <w:tcW w:w="1448" w:type="dxa"/>
            <w:vAlign w:val="center"/>
          </w:tcPr>
          <w:p w:rsidR="00DE1EE1" w:rsidRPr="000E5F82" w:rsidRDefault="00DE1EE1" w:rsidP="00245C6D">
            <w:pPr>
              <w:spacing w:before="40" w:after="20"/>
              <w:jc w:val="right"/>
              <w:rPr>
                <w:rFonts w:ascii="Arial Narrow" w:hAnsi="Arial Narrow" w:cs="Arial"/>
                <w:sz w:val="18"/>
                <w:szCs w:val="18"/>
              </w:rPr>
            </w:pPr>
            <w:r w:rsidRPr="000E5F82">
              <w:rPr>
                <w:rFonts w:ascii="Arial Narrow" w:hAnsi="Arial Narrow" w:cs="Arial"/>
                <w:sz w:val="18"/>
                <w:szCs w:val="18"/>
              </w:rPr>
              <w:t>+0,9</w:t>
            </w:r>
          </w:p>
        </w:tc>
        <w:tc>
          <w:tcPr>
            <w:tcW w:w="1448" w:type="dxa"/>
            <w:vAlign w:val="center"/>
          </w:tcPr>
          <w:p w:rsidR="00DE1EE1" w:rsidRPr="000E5F82" w:rsidRDefault="00DE1EE1" w:rsidP="00245C6D">
            <w:pPr>
              <w:spacing w:before="40" w:after="20"/>
              <w:ind w:left="-57"/>
              <w:jc w:val="right"/>
              <w:rPr>
                <w:rFonts w:ascii="Arial Narrow" w:hAnsi="Arial Narrow" w:cs="Arial"/>
                <w:sz w:val="18"/>
                <w:szCs w:val="18"/>
              </w:rPr>
            </w:pPr>
            <w:r w:rsidRPr="000E5F82">
              <w:rPr>
                <w:rFonts w:ascii="Arial Narrow" w:hAnsi="Arial Narrow" w:cs="Arial"/>
                <w:sz w:val="18"/>
                <w:szCs w:val="18"/>
              </w:rPr>
              <w:t>+9,1</w:t>
            </w:r>
          </w:p>
        </w:tc>
      </w:tr>
      <w:tr w:rsidR="003B7DCF" w:rsidRPr="003B7DCF" w:rsidTr="00245C6D">
        <w:trPr>
          <w:trHeight w:val="255"/>
          <w:jc w:val="center"/>
        </w:trPr>
        <w:tc>
          <w:tcPr>
            <w:tcW w:w="1701" w:type="dxa"/>
          </w:tcPr>
          <w:p w:rsidR="003B7DCF" w:rsidRDefault="003B7DCF" w:rsidP="003B7DCF">
            <w:pPr>
              <w:spacing w:before="40" w:after="20"/>
              <w:rPr>
                <w:rFonts w:ascii="Arial Narrow" w:hAnsi="Arial Narrow" w:cs="Arial"/>
                <w:bCs/>
                <w:sz w:val="18"/>
                <w:szCs w:val="18"/>
              </w:rPr>
            </w:pPr>
            <w:r>
              <w:rPr>
                <w:rFonts w:ascii="Arial Narrow" w:hAnsi="Arial Narrow" w:cs="Arial"/>
                <w:bCs/>
                <w:sz w:val="18"/>
                <w:szCs w:val="18"/>
              </w:rPr>
              <w:t xml:space="preserve">Settembre </w:t>
            </w:r>
          </w:p>
        </w:tc>
        <w:tc>
          <w:tcPr>
            <w:tcW w:w="1448" w:type="dxa"/>
            <w:shd w:val="clear" w:color="auto" w:fill="E6E6E6"/>
            <w:vAlign w:val="center"/>
          </w:tcPr>
          <w:p w:rsidR="003B7DCF" w:rsidRPr="003B7DCF" w:rsidRDefault="003B7DCF" w:rsidP="00245C6D">
            <w:pPr>
              <w:spacing w:before="40" w:after="20"/>
              <w:jc w:val="right"/>
              <w:rPr>
                <w:rFonts w:ascii="Arial Narrow" w:hAnsi="Arial Narrow" w:cs="Arial"/>
                <w:bCs/>
                <w:sz w:val="18"/>
                <w:szCs w:val="18"/>
              </w:rPr>
            </w:pPr>
            <w:r w:rsidRPr="003B7DCF">
              <w:rPr>
                <w:rFonts w:ascii="Arial Narrow" w:hAnsi="Arial Narrow" w:cs="Arial"/>
                <w:bCs/>
                <w:sz w:val="18"/>
                <w:szCs w:val="18"/>
              </w:rPr>
              <w:t>114,2</w:t>
            </w:r>
          </w:p>
        </w:tc>
        <w:tc>
          <w:tcPr>
            <w:tcW w:w="1448" w:type="dxa"/>
            <w:vAlign w:val="center"/>
          </w:tcPr>
          <w:p w:rsidR="003B7DCF" w:rsidRPr="003B7DCF" w:rsidRDefault="003B7DCF" w:rsidP="00245C6D">
            <w:pPr>
              <w:spacing w:before="40" w:after="20"/>
              <w:jc w:val="right"/>
              <w:rPr>
                <w:rFonts w:ascii="Arial Narrow" w:hAnsi="Arial Narrow" w:cs="Arial"/>
                <w:bCs/>
                <w:sz w:val="18"/>
                <w:szCs w:val="18"/>
              </w:rPr>
            </w:pPr>
            <w:r w:rsidRPr="003B7DCF">
              <w:rPr>
                <w:rFonts w:ascii="Arial Narrow" w:hAnsi="Arial Narrow" w:cs="Arial"/>
                <w:bCs/>
                <w:sz w:val="18"/>
                <w:szCs w:val="18"/>
              </w:rPr>
              <w:t>+0,3</w:t>
            </w:r>
          </w:p>
        </w:tc>
        <w:tc>
          <w:tcPr>
            <w:tcW w:w="1448" w:type="dxa"/>
            <w:vAlign w:val="center"/>
          </w:tcPr>
          <w:p w:rsidR="003B7DCF" w:rsidRPr="003B7DCF" w:rsidRDefault="003B7DCF" w:rsidP="00245C6D">
            <w:pPr>
              <w:spacing w:before="40" w:after="20"/>
              <w:jc w:val="right"/>
              <w:rPr>
                <w:rFonts w:ascii="Arial Narrow" w:hAnsi="Arial Narrow" w:cs="Arial"/>
                <w:bCs/>
                <w:sz w:val="18"/>
                <w:szCs w:val="18"/>
              </w:rPr>
            </w:pPr>
            <w:r w:rsidRPr="003B7DCF">
              <w:rPr>
                <w:rFonts w:ascii="Arial Narrow" w:hAnsi="Arial Narrow" w:cs="Arial"/>
                <w:bCs/>
                <w:sz w:val="18"/>
                <w:szCs w:val="18"/>
              </w:rPr>
              <w:t>+8,9</w:t>
            </w:r>
          </w:p>
        </w:tc>
        <w:tc>
          <w:tcPr>
            <w:tcW w:w="1448" w:type="dxa"/>
            <w:shd w:val="clear" w:color="auto" w:fill="E6E6E6"/>
            <w:vAlign w:val="center"/>
          </w:tcPr>
          <w:p w:rsidR="003B7DCF" w:rsidRPr="003B7DCF" w:rsidRDefault="003B7DCF" w:rsidP="00245C6D">
            <w:pPr>
              <w:spacing w:before="40" w:after="20"/>
              <w:jc w:val="right"/>
              <w:rPr>
                <w:rFonts w:ascii="Arial Narrow" w:hAnsi="Arial Narrow" w:cs="Arial"/>
                <w:bCs/>
                <w:sz w:val="18"/>
                <w:szCs w:val="18"/>
              </w:rPr>
            </w:pPr>
            <w:r w:rsidRPr="003B7DCF">
              <w:rPr>
                <w:rFonts w:ascii="Arial Narrow" w:hAnsi="Arial Narrow" w:cs="Arial"/>
                <w:bCs/>
                <w:sz w:val="18"/>
                <w:szCs w:val="18"/>
              </w:rPr>
              <w:t>115,6</w:t>
            </w:r>
          </w:p>
        </w:tc>
        <w:tc>
          <w:tcPr>
            <w:tcW w:w="1448" w:type="dxa"/>
            <w:vAlign w:val="center"/>
          </w:tcPr>
          <w:p w:rsidR="003B7DCF" w:rsidRPr="003B7DCF" w:rsidRDefault="003B7DCF" w:rsidP="00245C6D">
            <w:pPr>
              <w:spacing w:before="40" w:after="20"/>
              <w:jc w:val="right"/>
              <w:rPr>
                <w:rFonts w:ascii="Arial Narrow" w:hAnsi="Arial Narrow" w:cs="Arial"/>
                <w:bCs/>
                <w:sz w:val="18"/>
                <w:szCs w:val="18"/>
              </w:rPr>
            </w:pPr>
            <w:r w:rsidRPr="003B7DCF">
              <w:rPr>
                <w:rFonts w:ascii="Arial Narrow" w:hAnsi="Arial Narrow" w:cs="Arial"/>
                <w:bCs/>
                <w:sz w:val="18"/>
                <w:szCs w:val="18"/>
              </w:rPr>
              <w:t>+1,6</w:t>
            </w:r>
          </w:p>
        </w:tc>
        <w:tc>
          <w:tcPr>
            <w:tcW w:w="1448" w:type="dxa"/>
            <w:vAlign w:val="center"/>
          </w:tcPr>
          <w:p w:rsidR="003B7DCF" w:rsidRPr="003B7DCF" w:rsidRDefault="003B7DCF" w:rsidP="00245C6D">
            <w:pPr>
              <w:spacing w:before="40" w:after="20"/>
              <w:jc w:val="right"/>
              <w:rPr>
                <w:rFonts w:ascii="Arial Narrow" w:hAnsi="Arial Narrow" w:cs="Arial"/>
                <w:bCs/>
                <w:sz w:val="18"/>
                <w:szCs w:val="18"/>
              </w:rPr>
            </w:pPr>
            <w:r w:rsidRPr="003B7DCF">
              <w:rPr>
                <w:rFonts w:ascii="Arial Narrow" w:hAnsi="Arial Narrow" w:cs="Arial"/>
                <w:bCs/>
                <w:sz w:val="18"/>
                <w:szCs w:val="18"/>
              </w:rPr>
              <w:t>+9,4</w:t>
            </w:r>
          </w:p>
        </w:tc>
      </w:tr>
      <w:tr w:rsidR="00306151" w:rsidRPr="00EE3BCC" w:rsidTr="006263D7">
        <w:trPr>
          <w:trHeight w:val="255"/>
          <w:jc w:val="center"/>
        </w:trPr>
        <w:tc>
          <w:tcPr>
            <w:tcW w:w="1701" w:type="dxa"/>
          </w:tcPr>
          <w:p w:rsidR="00306151" w:rsidRDefault="00306151" w:rsidP="00306151">
            <w:pPr>
              <w:spacing w:before="40" w:after="20"/>
              <w:rPr>
                <w:rFonts w:ascii="Arial Narrow" w:hAnsi="Arial Narrow" w:cs="Arial"/>
                <w:bCs/>
                <w:sz w:val="18"/>
                <w:szCs w:val="18"/>
              </w:rPr>
            </w:pPr>
            <w:r>
              <w:rPr>
                <w:rFonts w:ascii="Arial Narrow" w:hAnsi="Arial Narrow" w:cs="Arial"/>
                <w:bCs/>
                <w:sz w:val="18"/>
                <w:szCs w:val="18"/>
              </w:rPr>
              <w:t xml:space="preserve">Ottobre </w:t>
            </w:r>
          </w:p>
        </w:tc>
        <w:tc>
          <w:tcPr>
            <w:tcW w:w="1448" w:type="dxa"/>
            <w:shd w:val="clear" w:color="auto" w:fill="E6E6E6"/>
            <w:vAlign w:val="bottom"/>
          </w:tcPr>
          <w:p w:rsidR="00306151" w:rsidRPr="002C552E" w:rsidRDefault="00306151" w:rsidP="00306151">
            <w:pPr>
              <w:tabs>
                <w:tab w:val="left" w:pos="5093"/>
              </w:tabs>
              <w:spacing w:before="40" w:after="20"/>
              <w:jc w:val="right"/>
              <w:rPr>
                <w:rFonts w:ascii="Arial Narrow" w:hAnsi="Arial Narrow" w:cs="Arial"/>
                <w:bCs/>
                <w:sz w:val="18"/>
                <w:szCs w:val="18"/>
              </w:rPr>
            </w:pPr>
            <w:r w:rsidRPr="002C552E">
              <w:rPr>
                <w:rFonts w:ascii="Arial Narrow" w:hAnsi="Arial Narrow" w:cs="Arial"/>
                <w:bCs/>
                <w:sz w:val="18"/>
                <w:szCs w:val="18"/>
              </w:rPr>
              <w:t>118,1</w:t>
            </w:r>
          </w:p>
        </w:tc>
        <w:tc>
          <w:tcPr>
            <w:tcW w:w="1448" w:type="dxa"/>
            <w:vAlign w:val="center"/>
          </w:tcPr>
          <w:p w:rsidR="00306151" w:rsidRPr="002C552E" w:rsidRDefault="00306151" w:rsidP="00306151">
            <w:pPr>
              <w:tabs>
                <w:tab w:val="left" w:pos="5093"/>
              </w:tabs>
              <w:spacing w:before="40" w:after="20"/>
              <w:jc w:val="right"/>
              <w:rPr>
                <w:rFonts w:ascii="Arial Narrow" w:hAnsi="Arial Narrow" w:cs="Arial"/>
                <w:bCs/>
                <w:sz w:val="18"/>
                <w:szCs w:val="18"/>
              </w:rPr>
            </w:pPr>
            <w:r w:rsidRPr="002C552E">
              <w:rPr>
                <w:rFonts w:ascii="Arial Narrow" w:hAnsi="Arial Narrow" w:cs="Arial"/>
                <w:bCs/>
                <w:sz w:val="18"/>
                <w:szCs w:val="18"/>
              </w:rPr>
              <w:t>+3,4</w:t>
            </w:r>
          </w:p>
        </w:tc>
        <w:tc>
          <w:tcPr>
            <w:tcW w:w="1448" w:type="dxa"/>
            <w:vAlign w:val="center"/>
          </w:tcPr>
          <w:p w:rsidR="00306151" w:rsidRPr="002C552E" w:rsidRDefault="00306151" w:rsidP="00306151">
            <w:pPr>
              <w:tabs>
                <w:tab w:val="left" w:pos="5093"/>
              </w:tabs>
              <w:spacing w:before="40" w:after="20"/>
              <w:jc w:val="right"/>
              <w:rPr>
                <w:rFonts w:ascii="Arial Narrow" w:hAnsi="Arial Narrow" w:cs="Arial"/>
                <w:bCs/>
                <w:sz w:val="18"/>
                <w:szCs w:val="18"/>
              </w:rPr>
            </w:pPr>
            <w:r w:rsidRPr="002C552E">
              <w:rPr>
                <w:rFonts w:ascii="Arial Narrow" w:hAnsi="Arial Narrow" w:cs="Arial"/>
                <w:bCs/>
                <w:sz w:val="18"/>
                <w:szCs w:val="18"/>
              </w:rPr>
              <w:t>+11,8</w:t>
            </w:r>
          </w:p>
        </w:tc>
        <w:tc>
          <w:tcPr>
            <w:tcW w:w="1448" w:type="dxa"/>
            <w:shd w:val="clear" w:color="auto" w:fill="E6E6E6"/>
            <w:vAlign w:val="bottom"/>
          </w:tcPr>
          <w:p w:rsidR="00306151" w:rsidRPr="002C552E" w:rsidRDefault="00306151" w:rsidP="00306151">
            <w:pPr>
              <w:tabs>
                <w:tab w:val="left" w:pos="5093"/>
              </w:tabs>
              <w:spacing w:before="40" w:after="20"/>
              <w:jc w:val="right"/>
              <w:rPr>
                <w:rFonts w:ascii="Arial Narrow" w:hAnsi="Arial Narrow" w:cs="Arial"/>
                <w:bCs/>
                <w:sz w:val="18"/>
                <w:szCs w:val="18"/>
              </w:rPr>
            </w:pPr>
            <w:r w:rsidRPr="002C552E">
              <w:rPr>
                <w:rFonts w:ascii="Arial Narrow" w:hAnsi="Arial Narrow" w:cs="Arial"/>
                <w:bCs/>
                <w:sz w:val="18"/>
                <w:szCs w:val="18"/>
              </w:rPr>
              <w:t>120,0</w:t>
            </w:r>
          </w:p>
        </w:tc>
        <w:tc>
          <w:tcPr>
            <w:tcW w:w="1448" w:type="dxa"/>
            <w:vAlign w:val="center"/>
          </w:tcPr>
          <w:p w:rsidR="00306151" w:rsidRPr="002C552E" w:rsidRDefault="00306151" w:rsidP="00306151">
            <w:pPr>
              <w:tabs>
                <w:tab w:val="left" w:pos="5093"/>
              </w:tabs>
              <w:spacing w:before="40" w:after="20"/>
              <w:jc w:val="right"/>
              <w:rPr>
                <w:rFonts w:ascii="Arial Narrow" w:hAnsi="Arial Narrow" w:cs="Arial"/>
                <w:bCs/>
                <w:sz w:val="18"/>
                <w:szCs w:val="18"/>
              </w:rPr>
            </w:pPr>
            <w:r w:rsidRPr="002C552E">
              <w:rPr>
                <w:rFonts w:ascii="Arial Narrow" w:hAnsi="Arial Narrow" w:cs="Arial"/>
                <w:bCs/>
                <w:sz w:val="18"/>
                <w:szCs w:val="18"/>
              </w:rPr>
              <w:t>+3,8</w:t>
            </w:r>
          </w:p>
        </w:tc>
        <w:tc>
          <w:tcPr>
            <w:tcW w:w="1448" w:type="dxa"/>
            <w:vAlign w:val="center"/>
          </w:tcPr>
          <w:p w:rsidR="00306151" w:rsidRPr="002C552E" w:rsidRDefault="00306151" w:rsidP="00306151">
            <w:pPr>
              <w:tabs>
                <w:tab w:val="left" w:pos="5093"/>
              </w:tabs>
              <w:spacing w:before="40" w:after="20"/>
              <w:jc w:val="right"/>
              <w:rPr>
                <w:rFonts w:ascii="Arial Narrow" w:hAnsi="Arial Narrow" w:cs="Arial"/>
                <w:bCs/>
                <w:sz w:val="18"/>
                <w:szCs w:val="18"/>
              </w:rPr>
            </w:pPr>
            <w:r w:rsidRPr="002C552E">
              <w:rPr>
                <w:rFonts w:ascii="Arial Narrow" w:hAnsi="Arial Narrow" w:cs="Arial"/>
                <w:bCs/>
                <w:sz w:val="18"/>
                <w:szCs w:val="18"/>
              </w:rPr>
              <w:t>+12,6</w:t>
            </w:r>
          </w:p>
        </w:tc>
      </w:tr>
      <w:tr w:rsidR="008319C9" w:rsidRPr="00EE3BCC" w:rsidTr="008319C9">
        <w:trPr>
          <w:trHeight w:val="255"/>
          <w:jc w:val="center"/>
        </w:trPr>
        <w:tc>
          <w:tcPr>
            <w:tcW w:w="1701" w:type="dxa"/>
          </w:tcPr>
          <w:p w:rsidR="008319C9" w:rsidRDefault="008319C9" w:rsidP="00854608">
            <w:pPr>
              <w:spacing w:before="40" w:after="20"/>
              <w:rPr>
                <w:rFonts w:ascii="Arial Narrow" w:hAnsi="Arial Narrow" w:cs="Arial"/>
                <w:bCs/>
                <w:sz w:val="18"/>
                <w:szCs w:val="18"/>
              </w:rPr>
            </w:pPr>
            <w:r>
              <w:rPr>
                <w:rFonts w:ascii="Arial Narrow" w:hAnsi="Arial Narrow" w:cs="Arial"/>
                <w:bCs/>
                <w:sz w:val="18"/>
                <w:szCs w:val="18"/>
              </w:rPr>
              <w:t>Novembre (provv</w:t>
            </w:r>
            <w:r w:rsidR="00854608">
              <w:rPr>
                <w:rFonts w:ascii="Arial Narrow" w:hAnsi="Arial Narrow" w:cs="Arial"/>
                <w:bCs/>
                <w:sz w:val="18"/>
                <w:szCs w:val="18"/>
              </w:rPr>
              <w:t>isorio</w:t>
            </w:r>
            <w:r>
              <w:rPr>
                <w:rFonts w:ascii="Arial Narrow" w:hAnsi="Arial Narrow" w:cs="Arial"/>
                <w:bCs/>
                <w:sz w:val="18"/>
                <w:szCs w:val="18"/>
              </w:rPr>
              <w:t>)</w:t>
            </w:r>
          </w:p>
        </w:tc>
        <w:tc>
          <w:tcPr>
            <w:tcW w:w="1448" w:type="dxa"/>
            <w:shd w:val="clear" w:color="auto" w:fill="E6E6E6"/>
            <w:vAlign w:val="bottom"/>
          </w:tcPr>
          <w:p w:rsidR="008319C9" w:rsidRPr="008319C9" w:rsidRDefault="008319C9" w:rsidP="008319C9">
            <w:pPr>
              <w:tabs>
                <w:tab w:val="left" w:pos="5093"/>
              </w:tabs>
              <w:spacing w:before="40" w:after="20"/>
              <w:jc w:val="right"/>
              <w:rPr>
                <w:rFonts w:ascii="Arial Narrow" w:hAnsi="Arial Narrow" w:cs="Arial"/>
                <w:bCs/>
                <w:sz w:val="18"/>
                <w:szCs w:val="18"/>
              </w:rPr>
            </w:pPr>
            <w:r w:rsidRPr="008319C9">
              <w:rPr>
                <w:rFonts w:ascii="Arial Narrow" w:hAnsi="Arial Narrow" w:cs="Arial"/>
                <w:bCs/>
                <w:sz w:val="18"/>
                <w:szCs w:val="18"/>
              </w:rPr>
              <w:t>118,7</w:t>
            </w:r>
          </w:p>
        </w:tc>
        <w:tc>
          <w:tcPr>
            <w:tcW w:w="1448" w:type="dxa"/>
            <w:vAlign w:val="center"/>
          </w:tcPr>
          <w:p w:rsidR="008319C9" w:rsidRPr="008319C9" w:rsidRDefault="008319C9" w:rsidP="008319C9">
            <w:pPr>
              <w:tabs>
                <w:tab w:val="left" w:pos="5093"/>
              </w:tabs>
              <w:spacing w:before="40" w:after="20"/>
              <w:jc w:val="right"/>
              <w:rPr>
                <w:rFonts w:ascii="Arial Narrow" w:hAnsi="Arial Narrow" w:cs="Arial"/>
                <w:bCs/>
                <w:sz w:val="18"/>
                <w:szCs w:val="18"/>
              </w:rPr>
            </w:pPr>
            <w:r w:rsidRPr="008319C9">
              <w:rPr>
                <w:rFonts w:ascii="Arial Narrow" w:hAnsi="Arial Narrow" w:cs="Arial"/>
                <w:bCs/>
                <w:sz w:val="18"/>
                <w:szCs w:val="18"/>
              </w:rPr>
              <w:t>+0,5</w:t>
            </w:r>
          </w:p>
        </w:tc>
        <w:tc>
          <w:tcPr>
            <w:tcW w:w="1448" w:type="dxa"/>
            <w:vAlign w:val="center"/>
          </w:tcPr>
          <w:p w:rsidR="008319C9" w:rsidRPr="008319C9" w:rsidRDefault="008319C9" w:rsidP="008319C9">
            <w:pPr>
              <w:tabs>
                <w:tab w:val="left" w:pos="5093"/>
              </w:tabs>
              <w:spacing w:before="40" w:after="20"/>
              <w:jc w:val="right"/>
              <w:rPr>
                <w:rFonts w:ascii="Arial Narrow" w:hAnsi="Arial Narrow" w:cs="Arial"/>
                <w:bCs/>
                <w:sz w:val="18"/>
                <w:szCs w:val="18"/>
              </w:rPr>
            </w:pPr>
            <w:r w:rsidRPr="008319C9">
              <w:rPr>
                <w:rFonts w:ascii="Arial Narrow" w:hAnsi="Arial Narrow" w:cs="Arial"/>
                <w:bCs/>
                <w:sz w:val="18"/>
                <w:szCs w:val="18"/>
              </w:rPr>
              <w:t>+11,8</w:t>
            </w:r>
          </w:p>
        </w:tc>
        <w:tc>
          <w:tcPr>
            <w:tcW w:w="1448" w:type="dxa"/>
            <w:shd w:val="clear" w:color="auto" w:fill="E6E6E6"/>
            <w:vAlign w:val="bottom"/>
          </w:tcPr>
          <w:p w:rsidR="008319C9" w:rsidRPr="008319C9" w:rsidRDefault="008319C9" w:rsidP="008319C9">
            <w:pPr>
              <w:tabs>
                <w:tab w:val="left" w:pos="5093"/>
              </w:tabs>
              <w:spacing w:before="40" w:after="20"/>
              <w:jc w:val="right"/>
              <w:rPr>
                <w:rFonts w:ascii="Arial Narrow" w:hAnsi="Arial Narrow" w:cs="Arial"/>
                <w:bCs/>
                <w:sz w:val="18"/>
                <w:szCs w:val="18"/>
              </w:rPr>
            </w:pPr>
            <w:r w:rsidRPr="008319C9">
              <w:rPr>
                <w:rFonts w:ascii="Arial Narrow" w:hAnsi="Arial Narrow" w:cs="Arial"/>
                <w:bCs/>
                <w:sz w:val="18"/>
                <w:szCs w:val="18"/>
              </w:rPr>
              <w:t>120,7</w:t>
            </w:r>
          </w:p>
        </w:tc>
        <w:tc>
          <w:tcPr>
            <w:tcW w:w="1448" w:type="dxa"/>
            <w:vAlign w:val="center"/>
          </w:tcPr>
          <w:p w:rsidR="008319C9" w:rsidRPr="008319C9" w:rsidRDefault="008319C9" w:rsidP="008319C9">
            <w:pPr>
              <w:tabs>
                <w:tab w:val="left" w:pos="5093"/>
              </w:tabs>
              <w:spacing w:before="40" w:after="20"/>
              <w:jc w:val="right"/>
              <w:rPr>
                <w:rFonts w:ascii="Arial Narrow" w:hAnsi="Arial Narrow" w:cs="Arial"/>
                <w:bCs/>
                <w:sz w:val="18"/>
                <w:szCs w:val="18"/>
              </w:rPr>
            </w:pPr>
            <w:r w:rsidRPr="008319C9">
              <w:rPr>
                <w:rFonts w:ascii="Arial Narrow" w:hAnsi="Arial Narrow" w:cs="Arial"/>
                <w:bCs/>
                <w:sz w:val="18"/>
                <w:szCs w:val="18"/>
              </w:rPr>
              <w:t>+0,6</w:t>
            </w:r>
          </w:p>
        </w:tc>
        <w:tc>
          <w:tcPr>
            <w:tcW w:w="1448" w:type="dxa"/>
            <w:vAlign w:val="center"/>
          </w:tcPr>
          <w:p w:rsidR="008319C9" w:rsidRPr="008319C9" w:rsidRDefault="008319C9" w:rsidP="008319C9">
            <w:pPr>
              <w:tabs>
                <w:tab w:val="left" w:pos="5093"/>
              </w:tabs>
              <w:spacing w:before="40" w:after="20"/>
              <w:jc w:val="right"/>
              <w:rPr>
                <w:rFonts w:ascii="Arial Narrow" w:hAnsi="Arial Narrow" w:cs="Arial"/>
                <w:bCs/>
                <w:sz w:val="18"/>
                <w:szCs w:val="18"/>
              </w:rPr>
            </w:pPr>
            <w:r w:rsidRPr="008319C9">
              <w:rPr>
                <w:rFonts w:ascii="Arial Narrow" w:hAnsi="Arial Narrow" w:cs="Arial"/>
                <w:bCs/>
                <w:sz w:val="18"/>
                <w:szCs w:val="18"/>
              </w:rPr>
              <w:t>+12,5</w:t>
            </w:r>
          </w:p>
        </w:tc>
      </w:tr>
    </w:tbl>
    <w:p w:rsidR="00344F4E" w:rsidRPr="00820101" w:rsidRDefault="000E42DF" w:rsidP="00F26D78">
      <w:pPr>
        <w:widowControl/>
        <w:overflowPunct/>
        <w:autoSpaceDE/>
        <w:autoSpaceDN/>
        <w:adjustRightInd/>
        <w:spacing w:before="0" w:after="0" w:line="240" w:lineRule="exact"/>
        <w:rPr>
          <w:rFonts w:ascii="Arial Narrow" w:hAnsi="Arial Narrow" w:cs="Arial"/>
          <w:b/>
          <w:sz w:val="22"/>
          <w:szCs w:val="22"/>
        </w:rPr>
      </w:pPr>
      <w:r w:rsidRPr="00820101">
        <w:rPr>
          <w:rFonts w:ascii="Arial Narrow" w:hAnsi="Arial Narrow"/>
        </w:rPr>
        <w:br w:type="page"/>
      </w:r>
    </w:p>
    <w:p w:rsidR="00BF5F3D" w:rsidRPr="00521958" w:rsidRDefault="00BF5F3D" w:rsidP="00BA11A0">
      <w:pPr>
        <w:pStyle w:val="001TitoGra"/>
        <w:spacing w:after="120" w:line="240" w:lineRule="auto"/>
        <w:rPr>
          <w:color w:val="auto"/>
        </w:rPr>
      </w:pPr>
    </w:p>
    <w:p w:rsidR="00344F4E" w:rsidRPr="000C11ED" w:rsidRDefault="00344F4E" w:rsidP="00CD5355">
      <w:pPr>
        <w:pStyle w:val="00TitoGra1"/>
        <w:spacing w:after="120" w:line="240" w:lineRule="auto"/>
        <w:rPr>
          <w:color w:val="E42618"/>
          <w:sz w:val="36"/>
          <w:szCs w:val="36"/>
        </w:rPr>
      </w:pPr>
      <w:r w:rsidRPr="000C11ED">
        <w:rPr>
          <w:color w:val="E42618"/>
          <w:sz w:val="36"/>
          <w:szCs w:val="36"/>
        </w:rPr>
        <w:t>Indice nazionale dei prezzi al consumo per l’intera collettività (NIC)</w:t>
      </w:r>
    </w:p>
    <w:p w:rsidR="00344F4E" w:rsidRPr="00FA4447" w:rsidRDefault="00344F4E" w:rsidP="00CD5355">
      <w:pPr>
        <w:pStyle w:val="001TitoloBolocco"/>
        <w:spacing w:after="120" w:line="240" w:lineRule="auto"/>
      </w:pPr>
      <w:r w:rsidRPr="005335A3">
        <w:t>LE DIVISIONI DI SPESA</w:t>
      </w:r>
    </w:p>
    <w:p w:rsidR="00EB5D65" w:rsidRDefault="00EB5D65" w:rsidP="00EB5D65">
      <w:pPr>
        <w:pStyle w:val="001TitoGra"/>
        <w:spacing w:after="120" w:line="240" w:lineRule="auto"/>
        <w:rPr>
          <w:color w:val="E42618"/>
        </w:rPr>
      </w:pPr>
    </w:p>
    <w:p w:rsidR="00EB5D65" w:rsidRDefault="00EB5D65" w:rsidP="00EB5D65">
      <w:pPr>
        <w:pStyle w:val="001TitoGra"/>
      </w:pPr>
      <w:r w:rsidRPr="00FA4447">
        <w:rPr>
          <w:color w:val="E42618"/>
        </w:rPr>
        <w:t>PROSPETTO 2</w:t>
      </w:r>
      <w:r w:rsidRPr="00D6325B">
        <w:rPr>
          <w:color w:val="D90B13"/>
        </w:rPr>
        <w:t>.</w:t>
      </w:r>
      <w:r w:rsidRPr="00EA0885">
        <w:t xml:space="preserve"> INDICI DEI PREZZI AL CONSUMO NIC PER DIVISIONE</w:t>
      </w:r>
      <w:r>
        <w:t xml:space="preserve"> DI SPESA</w:t>
      </w:r>
    </w:p>
    <w:p w:rsidR="005031DD" w:rsidRPr="00BC24A3" w:rsidRDefault="00FD38B0" w:rsidP="001F6F52">
      <w:pPr>
        <w:pStyle w:val="001SottotitoloGra"/>
        <w:spacing w:line="240" w:lineRule="auto"/>
        <w:rPr>
          <w:color w:val="FFFFFF" w:themeColor="background1"/>
        </w:rPr>
      </w:pPr>
      <w:r>
        <w:t>Novembre</w:t>
      </w:r>
      <w:r w:rsidR="003A435E" w:rsidRPr="003A435E">
        <w:t xml:space="preserve"> </w:t>
      </w:r>
      <w:r w:rsidR="00A624D7">
        <w:t>202</w:t>
      </w:r>
      <w:r w:rsidR="001F6F52">
        <w:t>2</w:t>
      </w:r>
      <w:r w:rsidR="005031DD" w:rsidRPr="008154D4">
        <w:t>, pesi e v</w:t>
      </w:r>
      <w:r w:rsidR="005031DD">
        <w:t>ariazioni percentuali congiunturali e tendenziali (base 2015</w:t>
      </w:r>
      <w:r w:rsidR="005031DD" w:rsidRPr="008154D4">
        <w:t>=100)</w:t>
      </w:r>
      <w:r w:rsidR="001F6F52" w:rsidRPr="00BC24A3">
        <w:rPr>
          <w:color w:val="FFFFFF" w:themeColor="background1"/>
        </w:rPr>
        <w:t xml:space="preserve"> </w:t>
      </w:r>
    </w:p>
    <w:tbl>
      <w:tblPr>
        <w:tblW w:w="1016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71"/>
        <w:gridCol w:w="1164"/>
        <w:gridCol w:w="1074"/>
        <w:gridCol w:w="1053"/>
        <w:gridCol w:w="1074"/>
        <w:gridCol w:w="1074"/>
        <w:gridCol w:w="1156"/>
      </w:tblGrid>
      <w:tr w:rsidR="001F6F52" w:rsidRPr="008814F3" w:rsidTr="0059469F">
        <w:trPr>
          <w:trHeight w:val="255"/>
          <w:jc w:val="center"/>
        </w:trPr>
        <w:tc>
          <w:tcPr>
            <w:tcW w:w="3571" w:type="dxa"/>
            <w:vMerge w:val="restart"/>
            <w:shd w:val="clear" w:color="auto" w:fill="auto"/>
            <w:vAlign w:val="center"/>
            <w:hideMark/>
          </w:tcPr>
          <w:p w:rsidR="001F6F52" w:rsidRPr="008814F3" w:rsidRDefault="001F6F52" w:rsidP="0059469F">
            <w:pPr>
              <w:widowControl/>
              <w:overflowPunct/>
              <w:autoSpaceDE/>
              <w:autoSpaceDN/>
              <w:adjustRightInd/>
              <w:spacing w:before="0" w:after="0"/>
              <w:rPr>
                <w:rFonts w:ascii="Arial Narrow" w:hAnsi="Arial Narrow" w:cs="Arial"/>
                <w:b/>
                <w:bCs/>
                <w:kern w:val="0"/>
                <w:sz w:val="18"/>
                <w:szCs w:val="18"/>
              </w:rPr>
            </w:pPr>
            <w:bookmarkStart w:id="0" w:name="RANGE!N3"/>
            <w:r w:rsidRPr="008814F3">
              <w:rPr>
                <w:rFonts w:ascii="Arial Narrow" w:hAnsi="Arial Narrow" w:cs="Arial"/>
                <w:b/>
                <w:bCs/>
                <w:kern w:val="0"/>
                <w:sz w:val="18"/>
                <w:szCs w:val="18"/>
              </w:rPr>
              <w:t>DIVISIONI DI SPESA</w:t>
            </w:r>
            <w:bookmarkEnd w:id="0"/>
          </w:p>
        </w:tc>
        <w:tc>
          <w:tcPr>
            <w:tcW w:w="1164" w:type="dxa"/>
            <w:vMerge w:val="restart"/>
            <w:shd w:val="clear" w:color="000000" w:fill="D9D9D9"/>
            <w:vAlign w:val="center"/>
            <w:hideMark/>
          </w:tcPr>
          <w:p w:rsidR="001F6F52" w:rsidRPr="008814F3" w:rsidRDefault="001F6F52" w:rsidP="0059469F">
            <w:pPr>
              <w:widowControl/>
              <w:overflowPunct/>
              <w:autoSpaceDE/>
              <w:autoSpaceDN/>
              <w:adjustRightInd/>
              <w:spacing w:before="0" w:after="0"/>
              <w:jc w:val="right"/>
              <w:rPr>
                <w:rFonts w:ascii="Arial Narrow" w:hAnsi="Arial Narrow" w:cs="Arial"/>
                <w:b/>
                <w:bCs/>
                <w:kern w:val="0"/>
                <w:sz w:val="18"/>
                <w:szCs w:val="18"/>
              </w:rPr>
            </w:pPr>
            <w:r w:rsidRPr="008814F3">
              <w:rPr>
                <w:rFonts w:ascii="Arial Narrow" w:hAnsi="Arial Narrow" w:cs="Arial"/>
                <w:b/>
                <w:bCs/>
                <w:kern w:val="0"/>
                <w:sz w:val="18"/>
                <w:szCs w:val="18"/>
              </w:rPr>
              <w:t>Pesi</w:t>
            </w:r>
          </w:p>
        </w:tc>
        <w:tc>
          <w:tcPr>
            <w:tcW w:w="2127" w:type="dxa"/>
            <w:gridSpan w:val="2"/>
            <w:shd w:val="clear" w:color="auto" w:fill="auto"/>
            <w:vAlign w:val="center"/>
            <w:hideMark/>
          </w:tcPr>
          <w:p w:rsidR="001F6F52" w:rsidRPr="008814F3" w:rsidRDefault="001F6F52" w:rsidP="0059469F">
            <w:pPr>
              <w:widowControl/>
              <w:overflowPunct/>
              <w:autoSpaceDE/>
              <w:autoSpaceDN/>
              <w:adjustRightInd/>
              <w:spacing w:before="0" w:after="0"/>
              <w:jc w:val="right"/>
              <w:rPr>
                <w:rFonts w:ascii="Arial Narrow" w:hAnsi="Arial Narrow" w:cs="Arial"/>
                <w:b/>
                <w:bCs/>
                <w:kern w:val="0"/>
                <w:sz w:val="18"/>
                <w:szCs w:val="18"/>
              </w:rPr>
            </w:pPr>
            <w:r w:rsidRPr="008814F3">
              <w:rPr>
                <w:rFonts w:ascii="Arial Narrow" w:hAnsi="Arial Narrow" w:cs="Arial"/>
                <w:b/>
                <w:bCs/>
                <w:kern w:val="0"/>
                <w:sz w:val="18"/>
                <w:szCs w:val="18"/>
              </w:rPr>
              <w:t>Variazioni congiunturali</w:t>
            </w:r>
          </w:p>
        </w:tc>
        <w:tc>
          <w:tcPr>
            <w:tcW w:w="2148" w:type="dxa"/>
            <w:gridSpan w:val="2"/>
            <w:shd w:val="clear" w:color="000000" w:fill="D9D9D9"/>
            <w:vAlign w:val="center"/>
            <w:hideMark/>
          </w:tcPr>
          <w:p w:rsidR="001F6F52" w:rsidRPr="008814F3" w:rsidRDefault="001F6F52" w:rsidP="0059469F">
            <w:pPr>
              <w:widowControl/>
              <w:overflowPunct/>
              <w:autoSpaceDE/>
              <w:autoSpaceDN/>
              <w:adjustRightInd/>
              <w:spacing w:before="0" w:after="0"/>
              <w:jc w:val="right"/>
              <w:rPr>
                <w:rFonts w:ascii="Arial Narrow" w:hAnsi="Arial Narrow" w:cs="Arial"/>
                <w:b/>
                <w:bCs/>
                <w:kern w:val="0"/>
                <w:sz w:val="18"/>
                <w:szCs w:val="18"/>
              </w:rPr>
            </w:pPr>
            <w:r w:rsidRPr="008814F3">
              <w:rPr>
                <w:rFonts w:ascii="Arial Narrow" w:hAnsi="Arial Narrow" w:cs="Arial"/>
                <w:b/>
                <w:bCs/>
                <w:kern w:val="0"/>
                <w:sz w:val="18"/>
                <w:szCs w:val="18"/>
              </w:rPr>
              <w:t>Var</w:t>
            </w:r>
            <w:r>
              <w:rPr>
                <w:rFonts w:ascii="Arial Narrow" w:hAnsi="Arial Narrow" w:cs="Arial"/>
                <w:b/>
                <w:bCs/>
                <w:kern w:val="0"/>
                <w:sz w:val="18"/>
                <w:szCs w:val="18"/>
              </w:rPr>
              <w:t>i</w:t>
            </w:r>
            <w:r w:rsidRPr="008814F3">
              <w:rPr>
                <w:rFonts w:ascii="Arial Narrow" w:hAnsi="Arial Narrow" w:cs="Arial"/>
                <w:b/>
                <w:bCs/>
                <w:kern w:val="0"/>
                <w:sz w:val="18"/>
                <w:szCs w:val="18"/>
              </w:rPr>
              <w:t>azioni tendenziali</w:t>
            </w:r>
          </w:p>
        </w:tc>
        <w:tc>
          <w:tcPr>
            <w:tcW w:w="1156" w:type="dxa"/>
            <w:vMerge w:val="restart"/>
            <w:shd w:val="clear" w:color="auto" w:fill="auto"/>
            <w:vAlign w:val="center"/>
            <w:hideMark/>
          </w:tcPr>
          <w:p w:rsidR="001F6F52" w:rsidRPr="008814F3" w:rsidRDefault="003A435E" w:rsidP="00854608">
            <w:pPr>
              <w:widowControl/>
              <w:overflowPunct/>
              <w:autoSpaceDE/>
              <w:autoSpaceDN/>
              <w:adjustRightInd/>
              <w:spacing w:before="40" w:after="20"/>
              <w:jc w:val="right"/>
              <w:rPr>
                <w:rFonts w:ascii="Arial Narrow" w:hAnsi="Arial Narrow" w:cs="Arial"/>
                <w:b/>
                <w:bCs/>
                <w:kern w:val="0"/>
                <w:sz w:val="18"/>
                <w:szCs w:val="18"/>
              </w:rPr>
            </w:pPr>
            <w:r w:rsidRPr="008814F3">
              <w:rPr>
                <w:rFonts w:ascii="Arial Narrow" w:hAnsi="Arial Narrow" w:cs="Arial"/>
                <w:b/>
                <w:bCs/>
                <w:kern w:val="0"/>
                <w:sz w:val="18"/>
                <w:szCs w:val="18"/>
              </w:rPr>
              <w:t>Inflazione</w:t>
            </w:r>
            <w:r>
              <w:rPr>
                <w:rFonts w:ascii="Arial Narrow" w:hAnsi="Arial Narrow" w:cs="Arial"/>
                <w:b/>
                <w:bCs/>
                <w:kern w:val="0"/>
                <w:sz w:val="18"/>
                <w:szCs w:val="18"/>
              </w:rPr>
              <w:t xml:space="preserve"> </w:t>
            </w:r>
            <w:r w:rsidRPr="008814F3">
              <w:rPr>
                <w:rFonts w:ascii="Arial Narrow" w:hAnsi="Arial Narrow" w:cs="Arial"/>
                <w:b/>
                <w:bCs/>
                <w:kern w:val="0"/>
                <w:sz w:val="18"/>
                <w:szCs w:val="18"/>
              </w:rPr>
              <w:t>acquisita</w:t>
            </w:r>
            <w:r w:rsidR="00854608">
              <w:rPr>
                <w:rFonts w:ascii="Arial Narrow" w:hAnsi="Arial Narrow" w:cs="Arial"/>
                <w:b/>
                <w:bCs/>
                <w:kern w:val="0"/>
                <w:sz w:val="18"/>
                <w:szCs w:val="18"/>
              </w:rPr>
              <w:t xml:space="preserve"> </w:t>
            </w:r>
            <w:r w:rsidR="00A8510F">
              <w:rPr>
                <w:rFonts w:ascii="Arial Narrow" w:hAnsi="Arial Narrow" w:cs="Arial"/>
                <w:b/>
                <w:bCs/>
                <w:kern w:val="0"/>
                <w:sz w:val="18"/>
                <w:szCs w:val="18"/>
              </w:rPr>
              <w:t>a</w:t>
            </w:r>
            <w:r>
              <w:rPr>
                <w:rFonts w:ascii="Arial Narrow" w:hAnsi="Arial Narrow" w:cs="Arial"/>
                <w:b/>
                <w:bCs/>
                <w:kern w:val="0"/>
                <w:sz w:val="18"/>
                <w:szCs w:val="18"/>
              </w:rPr>
              <w:t xml:space="preserve"> </w:t>
            </w:r>
            <w:r w:rsidR="00FD38B0">
              <w:rPr>
                <w:rFonts w:ascii="Arial Narrow" w:hAnsi="Arial Narrow" w:cs="Arial"/>
                <w:b/>
                <w:bCs/>
                <w:kern w:val="0"/>
                <w:sz w:val="18"/>
                <w:szCs w:val="18"/>
              </w:rPr>
              <w:t>novembre</w:t>
            </w:r>
          </w:p>
        </w:tc>
      </w:tr>
      <w:tr w:rsidR="00F36E1D" w:rsidRPr="008814F3" w:rsidTr="001F6F52">
        <w:trPr>
          <w:trHeight w:val="431"/>
          <w:jc w:val="center"/>
        </w:trPr>
        <w:tc>
          <w:tcPr>
            <w:tcW w:w="3571" w:type="dxa"/>
            <w:vMerge/>
            <w:vAlign w:val="center"/>
            <w:hideMark/>
          </w:tcPr>
          <w:p w:rsidR="00F36E1D" w:rsidRPr="008814F3" w:rsidRDefault="00F36E1D" w:rsidP="00F36E1D">
            <w:pPr>
              <w:widowControl/>
              <w:overflowPunct/>
              <w:autoSpaceDE/>
              <w:autoSpaceDN/>
              <w:adjustRightInd/>
              <w:spacing w:before="0" w:after="0"/>
              <w:rPr>
                <w:rFonts w:ascii="Arial Narrow" w:hAnsi="Arial Narrow" w:cs="Arial"/>
                <w:b/>
                <w:bCs/>
                <w:kern w:val="0"/>
                <w:sz w:val="18"/>
                <w:szCs w:val="18"/>
              </w:rPr>
            </w:pPr>
          </w:p>
        </w:tc>
        <w:tc>
          <w:tcPr>
            <w:tcW w:w="1164" w:type="dxa"/>
            <w:vMerge/>
            <w:vAlign w:val="center"/>
            <w:hideMark/>
          </w:tcPr>
          <w:p w:rsidR="00F36E1D" w:rsidRPr="008814F3" w:rsidRDefault="00F36E1D" w:rsidP="00F36E1D">
            <w:pPr>
              <w:widowControl/>
              <w:overflowPunct/>
              <w:autoSpaceDE/>
              <w:autoSpaceDN/>
              <w:adjustRightInd/>
              <w:spacing w:before="0" w:after="0"/>
              <w:rPr>
                <w:rFonts w:ascii="Arial Narrow" w:hAnsi="Arial Narrow" w:cs="Arial"/>
                <w:b/>
                <w:bCs/>
                <w:kern w:val="0"/>
                <w:sz w:val="18"/>
                <w:szCs w:val="18"/>
              </w:rPr>
            </w:pPr>
          </w:p>
        </w:tc>
        <w:tc>
          <w:tcPr>
            <w:tcW w:w="1074" w:type="dxa"/>
            <w:shd w:val="clear" w:color="auto" w:fill="auto"/>
            <w:vAlign w:val="center"/>
            <w:hideMark/>
          </w:tcPr>
          <w:p w:rsidR="00F36E1D" w:rsidRDefault="006263D7"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w:t>
            </w:r>
            <w:r w:rsidR="00F36E1D">
              <w:rPr>
                <w:rFonts w:ascii="Arial Narrow" w:hAnsi="Arial Narrow" w:cs="Arial"/>
                <w:kern w:val="0"/>
                <w:sz w:val="18"/>
                <w:szCs w:val="18"/>
                <w:u w:val="single"/>
              </w:rPr>
              <w:t>-22</w:t>
            </w:r>
          </w:p>
          <w:p w:rsidR="00F36E1D" w:rsidRPr="00E03E58" w:rsidRDefault="006263D7" w:rsidP="00F36E1D">
            <w:pPr>
              <w:widowControl/>
              <w:overflowPunct/>
              <w:autoSpaceDE/>
              <w:autoSpaceDN/>
              <w:adjustRightInd/>
              <w:spacing w:before="40" w:after="20"/>
              <w:jc w:val="right"/>
              <w:rPr>
                <w:rFonts w:ascii="Arial Narrow" w:hAnsi="Arial Narrow" w:cs="Arial"/>
                <w:kern w:val="0"/>
                <w:sz w:val="18"/>
                <w:szCs w:val="18"/>
              </w:rPr>
            </w:pPr>
            <w:r>
              <w:rPr>
                <w:rFonts w:ascii="Arial Narrow" w:hAnsi="Arial Narrow" w:cs="Arial"/>
                <w:kern w:val="0"/>
                <w:sz w:val="18"/>
                <w:szCs w:val="18"/>
              </w:rPr>
              <w:t>ot</w:t>
            </w:r>
            <w:r w:rsidR="003B7DCF">
              <w:rPr>
                <w:rFonts w:ascii="Arial Narrow" w:hAnsi="Arial Narrow" w:cs="Arial"/>
                <w:kern w:val="0"/>
                <w:sz w:val="18"/>
                <w:szCs w:val="18"/>
              </w:rPr>
              <w:t>t</w:t>
            </w:r>
            <w:r w:rsidR="00F36E1D">
              <w:rPr>
                <w:rFonts w:ascii="Arial Narrow" w:hAnsi="Arial Narrow" w:cs="Arial"/>
                <w:kern w:val="0"/>
                <w:sz w:val="18"/>
                <w:szCs w:val="18"/>
              </w:rPr>
              <w:t>-22</w:t>
            </w:r>
          </w:p>
        </w:tc>
        <w:tc>
          <w:tcPr>
            <w:tcW w:w="1053" w:type="dxa"/>
            <w:shd w:val="clear" w:color="auto" w:fill="auto"/>
            <w:vAlign w:val="center"/>
            <w:hideMark/>
          </w:tcPr>
          <w:p w:rsidR="00F36E1D" w:rsidRDefault="006263D7"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w:t>
            </w:r>
            <w:r w:rsidR="00F36E1D">
              <w:rPr>
                <w:rFonts w:ascii="Arial Narrow" w:hAnsi="Arial Narrow" w:cs="Arial"/>
                <w:kern w:val="0"/>
                <w:sz w:val="18"/>
                <w:szCs w:val="18"/>
                <w:u w:val="single"/>
              </w:rPr>
              <w:t>-21</w:t>
            </w:r>
          </w:p>
          <w:p w:rsidR="00F36E1D" w:rsidRPr="008814F3" w:rsidRDefault="006263D7" w:rsidP="008D5FBB">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ot</w:t>
            </w:r>
            <w:r w:rsidR="003B7DCF">
              <w:rPr>
                <w:rFonts w:ascii="Arial Narrow" w:hAnsi="Arial Narrow" w:cs="Arial"/>
                <w:kern w:val="0"/>
                <w:sz w:val="18"/>
                <w:szCs w:val="18"/>
              </w:rPr>
              <w:t>t</w:t>
            </w:r>
            <w:r w:rsidR="00F36E1D">
              <w:rPr>
                <w:rFonts w:ascii="Arial Narrow" w:hAnsi="Arial Narrow" w:cs="Arial"/>
                <w:kern w:val="0"/>
                <w:sz w:val="18"/>
                <w:szCs w:val="18"/>
              </w:rPr>
              <w:t>-21</w:t>
            </w:r>
          </w:p>
        </w:tc>
        <w:tc>
          <w:tcPr>
            <w:tcW w:w="1074" w:type="dxa"/>
            <w:shd w:val="clear" w:color="auto" w:fill="auto"/>
            <w:vAlign w:val="center"/>
            <w:hideMark/>
          </w:tcPr>
          <w:p w:rsidR="00F36E1D" w:rsidRDefault="006263D7"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w:t>
            </w:r>
            <w:r w:rsidR="00F36E1D">
              <w:rPr>
                <w:rFonts w:ascii="Arial Narrow" w:hAnsi="Arial Narrow" w:cs="Arial"/>
                <w:kern w:val="0"/>
                <w:sz w:val="18"/>
                <w:szCs w:val="18"/>
                <w:u w:val="single"/>
              </w:rPr>
              <w:t>-22</w:t>
            </w:r>
          </w:p>
          <w:p w:rsidR="00F36E1D" w:rsidRPr="008814F3" w:rsidRDefault="006263D7" w:rsidP="00F36E1D">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nov</w:t>
            </w:r>
            <w:r w:rsidR="00F36E1D">
              <w:rPr>
                <w:rFonts w:ascii="Arial Narrow" w:hAnsi="Arial Narrow" w:cs="Arial"/>
                <w:kern w:val="0"/>
                <w:sz w:val="18"/>
                <w:szCs w:val="18"/>
              </w:rPr>
              <w:t>-21</w:t>
            </w:r>
          </w:p>
        </w:tc>
        <w:tc>
          <w:tcPr>
            <w:tcW w:w="1074" w:type="dxa"/>
            <w:shd w:val="clear" w:color="auto" w:fill="auto"/>
            <w:vAlign w:val="center"/>
            <w:hideMark/>
          </w:tcPr>
          <w:p w:rsidR="008D5FBB" w:rsidRDefault="006263D7" w:rsidP="008D5FBB">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o</w:t>
            </w:r>
            <w:r w:rsidR="003B7DCF">
              <w:rPr>
                <w:rFonts w:ascii="Arial Narrow" w:hAnsi="Arial Narrow" w:cs="Arial"/>
                <w:kern w:val="0"/>
                <w:sz w:val="18"/>
                <w:szCs w:val="18"/>
                <w:u w:val="single"/>
              </w:rPr>
              <w:t>tt</w:t>
            </w:r>
            <w:r w:rsidR="008D5FBB">
              <w:rPr>
                <w:rFonts w:ascii="Arial Narrow" w:hAnsi="Arial Narrow" w:cs="Arial"/>
                <w:kern w:val="0"/>
                <w:sz w:val="18"/>
                <w:szCs w:val="18"/>
                <w:u w:val="single"/>
              </w:rPr>
              <w:t>-22</w:t>
            </w:r>
          </w:p>
          <w:p w:rsidR="00F36E1D" w:rsidRPr="008814F3" w:rsidRDefault="006263D7" w:rsidP="008D5FBB">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o</w:t>
            </w:r>
            <w:r w:rsidR="003B7DCF">
              <w:rPr>
                <w:rFonts w:ascii="Arial Narrow" w:hAnsi="Arial Narrow" w:cs="Arial"/>
                <w:kern w:val="0"/>
                <w:sz w:val="18"/>
                <w:szCs w:val="18"/>
              </w:rPr>
              <w:t>tt</w:t>
            </w:r>
            <w:r w:rsidR="008D5FBB">
              <w:rPr>
                <w:rFonts w:ascii="Arial Narrow" w:hAnsi="Arial Narrow" w:cs="Arial"/>
                <w:kern w:val="0"/>
                <w:sz w:val="18"/>
                <w:szCs w:val="18"/>
              </w:rPr>
              <w:t>-21</w:t>
            </w:r>
          </w:p>
        </w:tc>
        <w:tc>
          <w:tcPr>
            <w:tcW w:w="1156" w:type="dxa"/>
            <w:vMerge/>
            <w:shd w:val="clear" w:color="auto" w:fill="auto"/>
            <w:vAlign w:val="center"/>
            <w:hideMark/>
          </w:tcPr>
          <w:p w:rsidR="00F36E1D" w:rsidRPr="008814F3" w:rsidRDefault="00F36E1D" w:rsidP="00F36E1D">
            <w:pPr>
              <w:widowControl/>
              <w:overflowPunct/>
              <w:autoSpaceDE/>
              <w:autoSpaceDN/>
              <w:adjustRightInd/>
              <w:spacing w:before="0" w:after="0"/>
              <w:jc w:val="right"/>
              <w:rPr>
                <w:rFonts w:ascii="Arial Narrow" w:hAnsi="Arial Narrow" w:cs="Arial"/>
                <w:b/>
                <w:bCs/>
                <w:kern w:val="0"/>
                <w:sz w:val="18"/>
                <w:szCs w:val="18"/>
              </w:rPr>
            </w:pPr>
          </w:p>
        </w:tc>
      </w:tr>
      <w:tr w:rsidR="008319C9" w:rsidRPr="00D179A1" w:rsidTr="00965FFD">
        <w:trPr>
          <w:trHeight w:val="325"/>
          <w:jc w:val="center"/>
        </w:trPr>
        <w:tc>
          <w:tcPr>
            <w:tcW w:w="3571" w:type="dxa"/>
            <w:shd w:val="clear" w:color="auto" w:fill="auto"/>
            <w:vAlign w:val="center"/>
            <w:hideMark/>
          </w:tcPr>
          <w:p w:rsidR="008319C9" w:rsidRPr="008814F3" w:rsidRDefault="008319C9" w:rsidP="008319C9">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Prodotti alimentari e bevande analcoliche</w:t>
            </w:r>
          </w:p>
        </w:tc>
        <w:tc>
          <w:tcPr>
            <w:tcW w:w="1164"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183.676</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+0,9</w:t>
            </w:r>
          </w:p>
        </w:tc>
        <w:tc>
          <w:tcPr>
            <w:tcW w:w="1053" w:type="dxa"/>
            <w:shd w:val="clear" w:color="auto" w:fill="D9D9D9" w:themeFill="background1" w:themeFillShade="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+0,8</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+13,6</w:t>
            </w:r>
          </w:p>
        </w:tc>
        <w:tc>
          <w:tcPr>
            <w:tcW w:w="1074"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+13,5</w:t>
            </w:r>
          </w:p>
        </w:tc>
        <w:tc>
          <w:tcPr>
            <w:tcW w:w="1156"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+9,1</w:t>
            </w:r>
          </w:p>
        </w:tc>
      </w:tr>
      <w:tr w:rsidR="008319C9" w:rsidRPr="00FB460C" w:rsidTr="00965FFD">
        <w:trPr>
          <w:trHeight w:val="255"/>
          <w:jc w:val="center"/>
        </w:trPr>
        <w:tc>
          <w:tcPr>
            <w:tcW w:w="3571" w:type="dxa"/>
            <w:shd w:val="clear" w:color="auto" w:fill="auto"/>
            <w:vAlign w:val="center"/>
            <w:hideMark/>
          </w:tcPr>
          <w:p w:rsidR="008319C9" w:rsidRPr="008814F3" w:rsidRDefault="008319C9" w:rsidP="008319C9">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Bevande alcoliche e tabacchi</w:t>
            </w:r>
          </w:p>
        </w:tc>
        <w:tc>
          <w:tcPr>
            <w:tcW w:w="1164"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34.038</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+0,4</w:t>
            </w:r>
          </w:p>
        </w:tc>
        <w:tc>
          <w:tcPr>
            <w:tcW w:w="1053" w:type="dxa"/>
            <w:shd w:val="clear" w:color="auto" w:fill="D9D9D9" w:themeFill="background1" w:themeFillShade="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+0,1</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+2,5</w:t>
            </w:r>
          </w:p>
        </w:tc>
        <w:tc>
          <w:tcPr>
            <w:tcW w:w="1074"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+2,2</w:t>
            </w:r>
          </w:p>
        </w:tc>
        <w:tc>
          <w:tcPr>
            <w:tcW w:w="1156"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+1,3</w:t>
            </w:r>
          </w:p>
        </w:tc>
      </w:tr>
      <w:tr w:rsidR="008319C9" w:rsidRPr="00FB460C" w:rsidTr="00965FFD">
        <w:trPr>
          <w:trHeight w:val="255"/>
          <w:jc w:val="center"/>
        </w:trPr>
        <w:tc>
          <w:tcPr>
            <w:tcW w:w="3571" w:type="dxa"/>
            <w:shd w:val="clear" w:color="auto" w:fill="auto"/>
            <w:vAlign w:val="center"/>
            <w:hideMark/>
          </w:tcPr>
          <w:p w:rsidR="008319C9" w:rsidRPr="008814F3" w:rsidRDefault="008319C9" w:rsidP="008319C9">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Abbigliamento e calzature</w:t>
            </w:r>
          </w:p>
        </w:tc>
        <w:tc>
          <w:tcPr>
            <w:tcW w:w="1164"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63.855</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+0,3</w:t>
            </w:r>
          </w:p>
        </w:tc>
        <w:tc>
          <w:tcPr>
            <w:tcW w:w="1053"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+0,2</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+3,1</w:t>
            </w:r>
          </w:p>
        </w:tc>
        <w:tc>
          <w:tcPr>
            <w:tcW w:w="1074"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+3,0</w:t>
            </w:r>
          </w:p>
        </w:tc>
        <w:tc>
          <w:tcPr>
            <w:tcW w:w="1156"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+1,9</w:t>
            </w:r>
          </w:p>
        </w:tc>
      </w:tr>
      <w:tr w:rsidR="008319C9" w:rsidRPr="00FB460C" w:rsidTr="00965FFD">
        <w:trPr>
          <w:trHeight w:val="255"/>
          <w:jc w:val="center"/>
        </w:trPr>
        <w:tc>
          <w:tcPr>
            <w:tcW w:w="3571" w:type="dxa"/>
            <w:shd w:val="clear" w:color="auto" w:fill="auto"/>
            <w:vAlign w:val="center"/>
            <w:hideMark/>
          </w:tcPr>
          <w:p w:rsidR="008319C9" w:rsidRPr="008814F3" w:rsidRDefault="008319C9" w:rsidP="008319C9">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Abitazione, acqua, elettricità e combustibili</w:t>
            </w:r>
          </w:p>
        </w:tc>
        <w:tc>
          <w:tcPr>
            <w:tcW w:w="1164"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109.684</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+2,2</w:t>
            </w:r>
          </w:p>
        </w:tc>
        <w:tc>
          <w:tcPr>
            <w:tcW w:w="1053"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+2,7</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+56,3</w:t>
            </w:r>
          </w:p>
        </w:tc>
        <w:tc>
          <w:tcPr>
            <w:tcW w:w="1074"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+57,0</w:t>
            </w:r>
          </w:p>
        </w:tc>
        <w:tc>
          <w:tcPr>
            <w:tcW w:w="1156"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+35,1</w:t>
            </w:r>
          </w:p>
        </w:tc>
      </w:tr>
      <w:tr w:rsidR="008319C9" w:rsidRPr="00FB460C" w:rsidTr="00965FFD">
        <w:trPr>
          <w:trHeight w:val="255"/>
          <w:jc w:val="center"/>
        </w:trPr>
        <w:tc>
          <w:tcPr>
            <w:tcW w:w="3571" w:type="dxa"/>
            <w:shd w:val="clear" w:color="auto" w:fill="auto"/>
            <w:vAlign w:val="center"/>
            <w:hideMark/>
          </w:tcPr>
          <w:p w:rsidR="008319C9" w:rsidRPr="008814F3" w:rsidRDefault="008319C9" w:rsidP="008319C9">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Mobili, articoli e servizi per la casa</w:t>
            </w:r>
          </w:p>
        </w:tc>
        <w:tc>
          <w:tcPr>
            <w:tcW w:w="1164"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79.950</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+0,5</w:t>
            </w:r>
          </w:p>
        </w:tc>
        <w:tc>
          <w:tcPr>
            <w:tcW w:w="1053"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+7,6</w:t>
            </w:r>
          </w:p>
        </w:tc>
        <w:tc>
          <w:tcPr>
            <w:tcW w:w="1074"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+7,0</w:t>
            </w:r>
          </w:p>
        </w:tc>
        <w:tc>
          <w:tcPr>
            <w:tcW w:w="1156"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+5,2</w:t>
            </w:r>
          </w:p>
        </w:tc>
      </w:tr>
      <w:tr w:rsidR="008319C9" w:rsidRPr="00FB460C" w:rsidTr="00965FFD">
        <w:trPr>
          <w:trHeight w:val="255"/>
          <w:jc w:val="center"/>
        </w:trPr>
        <w:tc>
          <w:tcPr>
            <w:tcW w:w="3571" w:type="dxa"/>
            <w:shd w:val="clear" w:color="auto" w:fill="auto"/>
            <w:vAlign w:val="center"/>
            <w:hideMark/>
          </w:tcPr>
          <w:p w:rsidR="008319C9" w:rsidRPr="008814F3" w:rsidRDefault="008319C9" w:rsidP="008319C9">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Servizi sanitari e spese per la salute</w:t>
            </w:r>
          </w:p>
        </w:tc>
        <w:tc>
          <w:tcPr>
            <w:tcW w:w="1164"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88.946</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+0,1</w:t>
            </w:r>
          </w:p>
        </w:tc>
        <w:tc>
          <w:tcPr>
            <w:tcW w:w="1053"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+0,9</w:t>
            </w:r>
          </w:p>
        </w:tc>
        <w:tc>
          <w:tcPr>
            <w:tcW w:w="1074"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+0,8</w:t>
            </w:r>
          </w:p>
        </w:tc>
        <w:tc>
          <w:tcPr>
            <w:tcW w:w="1156"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+0,8</w:t>
            </w:r>
          </w:p>
        </w:tc>
      </w:tr>
      <w:tr w:rsidR="008319C9" w:rsidRPr="00FB460C" w:rsidTr="00965FFD">
        <w:trPr>
          <w:trHeight w:val="255"/>
          <w:jc w:val="center"/>
        </w:trPr>
        <w:tc>
          <w:tcPr>
            <w:tcW w:w="3571" w:type="dxa"/>
            <w:shd w:val="clear" w:color="auto" w:fill="auto"/>
            <w:vAlign w:val="center"/>
            <w:hideMark/>
          </w:tcPr>
          <w:p w:rsidR="008319C9" w:rsidRPr="008814F3" w:rsidRDefault="008319C9" w:rsidP="008319C9">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Trasporti</w:t>
            </w:r>
          </w:p>
        </w:tc>
        <w:tc>
          <w:tcPr>
            <w:tcW w:w="1164"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144.843</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c>
          <w:tcPr>
            <w:tcW w:w="1053"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+1,2</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+6,8</w:t>
            </w:r>
          </w:p>
        </w:tc>
        <w:tc>
          <w:tcPr>
            <w:tcW w:w="1074"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+8,1</w:t>
            </w:r>
          </w:p>
        </w:tc>
        <w:tc>
          <w:tcPr>
            <w:tcW w:w="1156"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+9,7</w:t>
            </w:r>
          </w:p>
        </w:tc>
      </w:tr>
      <w:tr w:rsidR="008319C9" w:rsidRPr="00FB460C" w:rsidTr="00965FFD">
        <w:trPr>
          <w:trHeight w:val="255"/>
          <w:jc w:val="center"/>
        </w:trPr>
        <w:tc>
          <w:tcPr>
            <w:tcW w:w="3571" w:type="dxa"/>
            <w:shd w:val="clear" w:color="auto" w:fill="auto"/>
            <w:vAlign w:val="center"/>
            <w:hideMark/>
          </w:tcPr>
          <w:p w:rsidR="008319C9" w:rsidRPr="008814F3" w:rsidRDefault="008319C9" w:rsidP="008319C9">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Comunicazioni</w:t>
            </w:r>
          </w:p>
        </w:tc>
        <w:tc>
          <w:tcPr>
            <w:tcW w:w="1164"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25.749</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-0,4</w:t>
            </w:r>
          </w:p>
        </w:tc>
        <w:tc>
          <w:tcPr>
            <w:tcW w:w="1053"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-1,2</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-1,5</w:t>
            </w:r>
          </w:p>
        </w:tc>
        <w:tc>
          <w:tcPr>
            <w:tcW w:w="1074"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-2,4</w:t>
            </w:r>
          </w:p>
        </w:tc>
        <w:tc>
          <w:tcPr>
            <w:tcW w:w="1156"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-3,1</w:t>
            </w:r>
          </w:p>
        </w:tc>
      </w:tr>
      <w:tr w:rsidR="008319C9" w:rsidRPr="00FB460C" w:rsidTr="00965FFD">
        <w:trPr>
          <w:trHeight w:val="255"/>
          <w:jc w:val="center"/>
        </w:trPr>
        <w:tc>
          <w:tcPr>
            <w:tcW w:w="3571" w:type="dxa"/>
            <w:shd w:val="clear" w:color="auto" w:fill="auto"/>
            <w:vAlign w:val="center"/>
            <w:hideMark/>
          </w:tcPr>
          <w:p w:rsidR="008319C9" w:rsidRPr="008814F3" w:rsidRDefault="008319C9" w:rsidP="008319C9">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Ricreazione, spettacoli e cultura</w:t>
            </w:r>
          </w:p>
        </w:tc>
        <w:tc>
          <w:tcPr>
            <w:tcW w:w="1164"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70.540</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+0,3</w:t>
            </w:r>
          </w:p>
        </w:tc>
        <w:tc>
          <w:tcPr>
            <w:tcW w:w="1053"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-0,1</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+2,4</w:t>
            </w:r>
          </w:p>
        </w:tc>
        <w:tc>
          <w:tcPr>
            <w:tcW w:w="1074"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+2,0</w:t>
            </w:r>
          </w:p>
        </w:tc>
        <w:tc>
          <w:tcPr>
            <w:tcW w:w="1156"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+1,2</w:t>
            </w:r>
          </w:p>
        </w:tc>
      </w:tr>
      <w:tr w:rsidR="008319C9" w:rsidRPr="00FB460C" w:rsidTr="00965FFD">
        <w:trPr>
          <w:trHeight w:val="255"/>
          <w:jc w:val="center"/>
        </w:trPr>
        <w:tc>
          <w:tcPr>
            <w:tcW w:w="3571" w:type="dxa"/>
            <w:shd w:val="clear" w:color="auto" w:fill="auto"/>
            <w:vAlign w:val="center"/>
            <w:hideMark/>
          </w:tcPr>
          <w:p w:rsidR="008319C9" w:rsidRPr="008814F3" w:rsidRDefault="008319C9" w:rsidP="008319C9">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Istruzione</w:t>
            </w:r>
          </w:p>
        </w:tc>
        <w:tc>
          <w:tcPr>
            <w:tcW w:w="1164"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10.835</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c>
          <w:tcPr>
            <w:tcW w:w="1053"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+0,1</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+0,9</w:t>
            </w:r>
          </w:p>
        </w:tc>
        <w:tc>
          <w:tcPr>
            <w:tcW w:w="1074"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+1,0</w:t>
            </w:r>
          </w:p>
        </w:tc>
        <w:tc>
          <w:tcPr>
            <w:tcW w:w="1156"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r>
      <w:tr w:rsidR="008319C9" w:rsidRPr="00FB460C" w:rsidTr="00965FFD">
        <w:trPr>
          <w:trHeight w:val="255"/>
          <w:jc w:val="center"/>
        </w:trPr>
        <w:tc>
          <w:tcPr>
            <w:tcW w:w="3571" w:type="dxa"/>
            <w:shd w:val="clear" w:color="auto" w:fill="auto"/>
            <w:vAlign w:val="center"/>
            <w:hideMark/>
          </w:tcPr>
          <w:p w:rsidR="008319C9" w:rsidRPr="008814F3" w:rsidRDefault="008319C9" w:rsidP="008319C9">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Servizi ricettivi e di ristorazione</w:t>
            </w:r>
          </w:p>
        </w:tc>
        <w:tc>
          <w:tcPr>
            <w:tcW w:w="1164"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93.754</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-0,8</w:t>
            </w:r>
          </w:p>
        </w:tc>
        <w:tc>
          <w:tcPr>
            <w:tcW w:w="1053"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-1,0</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+7,9</w:t>
            </w:r>
          </w:p>
        </w:tc>
        <w:tc>
          <w:tcPr>
            <w:tcW w:w="1074"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+7,6</w:t>
            </w:r>
          </w:p>
        </w:tc>
        <w:tc>
          <w:tcPr>
            <w:tcW w:w="1156"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+6,3</w:t>
            </w:r>
          </w:p>
        </w:tc>
      </w:tr>
      <w:tr w:rsidR="008319C9" w:rsidRPr="00FB460C" w:rsidTr="00965FFD">
        <w:trPr>
          <w:trHeight w:val="255"/>
          <w:jc w:val="center"/>
        </w:trPr>
        <w:tc>
          <w:tcPr>
            <w:tcW w:w="3571" w:type="dxa"/>
            <w:shd w:val="clear" w:color="auto" w:fill="auto"/>
            <w:vAlign w:val="center"/>
            <w:hideMark/>
          </w:tcPr>
          <w:p w:rsidR="008319C9" w:rsidRPr="008814F3" w:rsidRDefault="008319C9" w:rsidP="008319C9">
            <w:pPr>
              <w:widowControl/>
              <w:overflowPunct/>
              <w:autoSpaceDE/>
              <w:autoSpaceDN/>
              <w:adjustRightInd/>
              <w:spacing w:before="0" w:after="0"/>
              <w:rPr>
                <w:rFonts w:ascii="Arial Narrow" w:hAnsi="Arial Narrow" w:cs="Arial"/>
                <w:kern w:val="0"/>
                <w:sz w:val="18"/>
                <w:szCs w:val="18"/>
              </w:rPr>
            </w:pPr>
            <w:r w:rsidRPr="008814F3">
              <w:rPr>
                <w:rFonts w:ascii="Arial Narrow" w:hAnsi="Arial Narrow" w:cs="Arial"/>
                <w:kern w:val="0"/>
                <w:sz w:val="18"/>
                <w:szCs w:val="18"/>
              </w:rPr>
              <w:t>Altri beni e servizi</w:t>
            </w:r>
          </w:p>
        </w:tc>
        <w:tc>
          <w:tcPr>
            <w:tcW w:w="1164"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94.130</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+0,4</w:t>
            </w:r>
          </w:p>
        </w:tc>
        <w:tc>
          <w:tcPr>
            <w:tcW w:w="1053"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+0,1</w:t>
            </w:r>
          </w:p>
        </w:tc>
        <w:tc>
          <w:tcPr>
            <w:tcW w:w="1074"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+3,3</w:t>
            </w:r>
          </w:p>
        </w:tc>
        <w:tc>
          <w:tcPr>
            <w:tcW w:w="1074"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+3,0</w:t>
            </w:r>
          </w:p>
        </w:tc>
        <w:tc>
          <w:tcPr>
            <w:tcW w:w="1156"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+1,9</w:t>
            </w:r>
          </w:p>
        </w:tc>
      </w:tr>
      <w:tr w:rsidR="008319C9" w:rsidRPr="00D179A1" w:rsidTr="00965FFD">
        <w:trPr>
          <w:trHeight w:val="255"/>
          <w:jc w:val="center"/>
        </w:trPr>
        <w:tc>
          <w:tcPr>
            <w:tcW w:w="3571" w:type="dxa"/>
            <w:shd w:val="clear" w:color="000000" w:fill="E42618"/>
            <w:vAlign w:val="center"/>
            <w:hideMark/>
          </w:tcPr>
          <w:p w:rsidR="008319C9" w:rsidRPr="00D179A1" w:rsidRDefault="008319C9" w:rsidP="008319C9">
            <w:pPr>
              <w:widowControl/>
              <w:overflowPunct/>
              <w:autoSpaceDE/>
              <w:autoSpaceDN/>
              <w:adjustRightInd/>
              <w:spacing w:before="0" w:after="0"/>
              <w:rPr>
                <w:rFonts w:ascii="Arial Narrow" w:hAnsi="Arial Narrow" w:cs="Arial"/>
                <w:b/>
                <w:color w:val="FFFFFF" w:themeColor="background1"/>
                <w:kern w:val="0"/>
                <w:sz w:val="18"/>
                <w:szCs w:val="18"/>
              </w:rPr>
            </w:pPr>
            <w:r w:rsidRPr="00D179A1">
              <w:rPr>
                <w:rFonts w:ascii="Arial Narrow" w:hAnsi="Arial Narrow" w:cs="Arial"/>
                <w:b/>
                <w:color w:val="FFFFFF" w:themeColor="background1"/>
                <w:kern w:val="0"/>
                <w:sz w:val="18"/>
                <w:szCs w:val="18"/>
              </w:rPr>
              <w:t>Indice generale</w:t>
            </w:r>
          </w:p>
        </w:tc>
        <w:tc>
          <w:tcPr>
            <w:tcW w:w="1164" w:type="dxa"/>
            <w:shd w:val="clear" w:color="000000" w:fill="E42618"/>
            <w:vAlign w:val="center"/>
          </w:tcPr>
          <w:p w:rsidR="008319C9" w:rsidRPr="00FA2156"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FA2156">
              <w:rPr>
                <w:rFonts w:ascii="Arial Narrow" w:hAnsi="Arial Narrow" w:cs="Arial"/>
                <w:b/>
                <w:color w:val="FFFFFF" w:themeColor="background1"/>
                <w:kern w:val="0"/>
                <w:sz w:val="18"/>
                <w:szCs w:val="18"/>
              </w:rPr>
              <w:t>1.000.000</w:t>
            </w:r>
          </w:p>
        </w:tc>
        <w:tc>
          <w:tcPr>
            <w:tcW w:w="1074" w:type="dxa"/>
            <w:shd w:val="clear" w:color="000000" w:fill="E42618"/>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+0,5</w:t>
            </w:r>
          </w:p>
        </w:tc>
        <w:tc>
          <w:tcPr>
            <w:tcW w:w="1053" w:type="dxa"/>
            <w:shd w:val="clear" w:color="000000" w:fill="E42618"/>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+0,6</w:t>
            </w:r>
          </w:p>
        </w:tc>
        <w:tc>
          <w:tcPr>
            <w:tcW w:w="1074" w:type="dxa"/>
            <w:shd w:val="clear" w:color="000000" w:fill="E42618"/>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+11,8</w:t>
            </w:r>
          </w:p>
        </w:tc>
        <w:tc>
          <w:tcPr>
            <w:tcW w:w="1074" w:type="dxa"/>
            <w:shd w:val="clear" w:color="000000" w:fill="E42618"/>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+11,8</w:t>
            </w:r>
          </w:p>
        </w:tc>
        <w:tc>
          <w:tcPr>
            <w:tcW w:w="1156" w:type="dxa"/>
            <w:shd w:val="clear" w:color="000000" w:fill="E42618"/>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+8,1</w:t>
            </w:r>
          </w:p>
        </w:tc>
      </w:tr>
    </w:tbl>
    <w:p w:rsidR="001F6F52" w:rsidRPr="00D179A1" w:rsidRDefault="001F6F52" w:rsidP="00D179A1">
      <w:pPr>
        <w:widowControl/>
        <w:overflowPunct/>
        <w:autoSpaceDE/>
        <w:autoSpaceDN/>
        <w:adjustRightInd/>
        <w:spacing w:before="0" w:after="0"/>
        <w:jc w:val="right"/>
        <w:rPr>
          <w:rFonts w:ascii="Arial Narrow" w:hAnsi="Arial Narrow" w:cs="Arial"/>
          <w:b/>
          <w:color w:val="FFFFFF" w:themeColor="background1"/>
          <w:kern w:val="0"/>
          <w:sz w:val="18"/>
          <w:szCs w:val="18"/>
        </w:rPr>
      </w:pPr>
    </w:p>
    <w:p w:rsidR="005031DD" w:rsidRPr="006C51CD" w:rsidRDefault="005031DD" w:rsidP="005031DD">
      <w:pPr>
        <w:pStyle w:val="001TitoGra"/>
        <w:spacing w:after="120" w:line="240" w:lineRule="auto"/>
        <w:rPr>
          <w:color w:val="E42618"/>
        </w:rPr>
      </w:pPr>
    </w:p>
    <w:p w:rsidR="00EB5D65" w:rsidRDefault="00EB5D65" w:rsidP="00EB5D65">
      <w:pPr>
        <w:pStyle w:val="001TitoGra"/>
        <w:spacing w:line="240" w:lineRule="auto"/>
      </w:pPr>
      <w:r>
        <w:rPr>
          <w:rFonts w:cs="Calibri"/>
          <w:bCs/>
          <w:color w:val="FF0000"/>
          <w:kern w:val="0"/>
        </w:rPr>
        <w:t>F</w:t>
      </w:r>
      <w:r w:rsidRPr="001033EA">
        <w:rPr>
          <w:rFonts w:cs="Calibri"/>
          <w:bCs/>
          <w:color w:val="FF0000"/>
          <w:kern w:val="0"/>
        </w:rPr>
        <w:t xml:space="preserve">IGURA </w:t>
      </w:r>
      <w:r>
        <w:rPr>
          <w:rFonts w:cs="Calibri"/>
          <w:bCs/>
          <w:color w:val="FF0000"/>
          <w:kern w:val="0"/>
        </w:rPr>
        <w:t xml:space="preserve">2. </w:t>
      </w:r>
      <w:r>
        <w:t>INDICI DEI PREZZI AL CONSUMO NIC PER DIVISIONE DI SPESA</w:t>
      </w:r>
    </w:p>
    <w:p w:rsidR="00EB5D65" w:rsidRDefault="00FD38B0" w:rsidP="00EB5D65">
      <w:pPr>
        <w:pStyle w:val="001TitoGra"/>
        <w:spacing w:after="120" w:line="240" w:lineRule="auto"/>
        <w:rPr>
          <w:b w:val="0"/>
          <w:sz w:val="20"/>
          <w:szCs w:val="20"/>
        </w:rPr>
      </w:pPr>
      <w:r>
        <w:rPr>
          <w:b w:val="0"/>
          <w:sz w:val="20"/>
          <w:szCs w:val="20"/>
        </w:rPr>
        <w:t>Novembre</w:t>
      </w:r>
      <w:r w:rsidR="003A435E" w:rsidRPr="003A435E">
        <w:rPr>
          <w:b w:val="0"/>
          <w:sz w:val="20"/>
          <w:szCs w:val="20"/>
        </w:rPr>
        <w:t xml:space="preserve"> </w:t>
      </w:r>
      <w:r w:rsidR="001F6F52" w:rsidRPr="001F6F52">
        <w:rPr>
          <w:b w:val="0"/>
          <w:sz w:val="20"/>
          <w:szCs w:val="20"/>
        </w:rPr>
        <w:t>2022</w:t>
      </w:r>
      <w:r w:rsidR="00EB5D65" w:rsidRPr="006C51CD">
        <w:rPr>
          <w:b w:val="0"/>
          <w:sz w:val="20"/>
          <w:szCs w:val="20"/>
        </w:rPr>
        <w:t>, variazioni percentuali tendenziali (base 2015=100)</w:t>
      </w:r>
    </w:p>
    <w:p w:rsidR="00EB5D65" w:rsidRDefault="00243D25" w:rsidP="00EB5D65">
      <w:pPr>
        <w:pStyle w:val="001TitoGra"/>
        <w:spacing w:after="120" w:line="240" w:lineRule="auto"/>
        <w:rPr>
          <w:b w:val="0"/>
          <w:sz w:val="20"/>
          <w:szCs w:val="20"/>
        </w:rPr>
      </w:pPr>
      <w:r>
        <w:rPr>
          <w:b w:val="0"/>
          <w:noProof/>
          <w:sz w:val="20"/>
          <w:szCs w:val="20"/>
        </w:rPr>
        <w:drawing>
          <wp:inline distT="0" distB="0" distL="0" distR="0" wp14:anchorId="4A3A3A26">
            <wp:extent cx="6864985" cy="204216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64985" cy="2042160"/>
                    </a:xfrm>
                    <a:prstGeom prst="rect">
                      <a:avLst/>
                    </a:prstGeom>
                    <a:noFill/>
                  </pic:spPr>
                </pic:pic>
              </a:graphicData>
            </a:graphic>
          </wp:inline>
        </w:drawing>
      </w:r>
    </w:p>
    <w:p w:rsidR="00EB5D65" w:rsidRDefault="00EB5D65" w:rsidP="00EB5D65">
      <w:pPr>
        <w:pStyle w:val="001TitoGra"/>
        <w:spacing w:after="120" w:line="240" w:lineRule="auto"/>
        <w:rPr>
          <w:b w:val="0"/>
          <w:sz w:val="20"/>
          <w:szCs w:val="20"/>
        </w:rPr>
      </w:pPr>
    </w:p>
    <w:p w:rsidR="00EB5D65" w:rsidRDefault="00EB5D65" w:rsidP="00EB5D65">
      <w:pPr>
        <w:pStyle w:val="001TitoGra"/>
        <w:spacing w:after="120" w:line="240" w:lineRule="auto"/>
        <w:rPr>
          <w:b w:val="0"/>
          <w:sz w:val="20"/>
          <w:szCs w:val="20"/>
        </w:rPr>
      </w:pPr>
    </w:p>
    <w:p w:rsidR="00C41557" w:rsidRDefault="00C41557" w:rsidP="00F23E5B">
      <w:pPr>
        <w:pStyle w:val="001TitoGra"/>
        <w:spacing w:after="120" w:line="240" w:lineRule="auto"/>
        <w:rPr>
          <w:b w:val="0"/>
          <w:sz w:val="20"/>
          <w:szCs w:val="20"/>
        </w:rPr>
      </w:pPr>
    </w:p>
    <w:p w:rsidR="00F23E5B" w:rsidRDefault="00F23E5B">
      <w:pPr>
        <w:widowControl/>
        <w:overflowPunct/>
        <w:autoSpaceDE/>
        <w:autoSpaceDN/>
        <w:adjustRightInd/>
        <w:spacing w:before="0" w:after="0"/>
        <w:rPr>
          <w:rFonts w:ascii="Arial Narrow" w:hAnsi="Arial Narrow" w:cs="Arial"/>
          <w:color w:val="5F5F5F"/>
        </w:rPr>
      </w:pPr>
      <w:r>
        <w:br w:type="page"/>
      </w:r>
    </w:p>
    <w:p w:rsidR="00F23E5B" w:rsidRPr="00521958" w:rsidRDefault="00F23E5B" w:rsidP="00521958">
      <w:pPr>
        <w:pStyle w:val="001TitoGra"/>
        <w:spacing w:after="120" w:line="240" w:lineRule="auto"/>
        <w:rPr>
          <w:color w:val="auto"/>
          <w:sz w:val="18"/>
        </w:rPr>
      </w:pPr>
    </w:p>
    <w:p w:rsidR="00344F4E" w:rsidRDefault="00344F4E" w:rsidP="00CD5355">
      <w:pPr>
        <w:pStyle w:val="001TitoloBolocco"/>
        <w:spacing w:after="120" w:line="240" w:lineRule="auto"/>
      </w:pPr>
      <w:r w:rsidRPr="0002181D">
        <w:t xml:space="preserve">Le tipologie di </w:t>
      </w:r>
      <w:r w:rsidRPr="00587B88">
        <w:t>prodotto</w:t>
      </w:r>
    </w:p>
    <w:p w:rsidR="00EB5D65" w:rsidRPr="00EF4A40" w:rsidRDefault="00EB5D65" w:rsidP="00EB5D65">
      <w:pPr>
        <w:pStyle w:val="001TitoGra"/>
        <w:spacing w:after="120" w:line="240" w:lineRule="auto"/>
        <w:rPr>
          <w:color w:val="E42618"/>
          <w:sz w:val="16"/>
        </w:rPr>
      </w:pPr>
    </w:p>
    <w:p w:rsidR="00EB5D65" w:rsidRDefault="00EB5D65" w:rsidP="00EB5D65">
      <w:pPr>
        <w:pStyle w:val="001TitoGra"/>
        <w:spacing w:line="240" w:lineRule="auto"/>
      </w:pPr>
      <w:r w:rsidRPr="00DF51C5">
        <w:rPr>
          <w:color w:val="E42618"/>
        </w:rPr>
        <w:t>PROSPETTO 3</w:t>
      </w:r>
      <w:r w:rsidRPr="00EF31E3">
        <w:rPr>
          <w:color w:val="D90B13"/>
        </w:rPr>
        <w:t>.</w:t>
      </w:r>
      <w:r>
        <w:t xml:space="preserve"> INDICI</w:t>
      </w:r>
      <w:r w:rsidRPr="00EA0885">
        <w:t xml:space="preserve"> DEI PREZZI AL CONSUMO NIC PER TIPOLOGIA DI PRODOTTO</w:t>
      </w:r>
    </w:p>
    <w:p w:rsidR="001F6F52" w:rsidRDefault="00FD38B0" w:rsidP="001F6F52">
      <w:pPr>
        <w:pStyle w:val="001SottotitoloGra"/>
        <w:spacing w:line="240" w:lineRule="auto"/>
      </w:pPr>
      <w:r>
        <w:t>Novembre</w:t>
      </w:r>
      <w:r w:rsidR="003A435E" w:rsidRPr="003A435E">
        <w:t xml:space="preserve"> </w:t>
      </w:r>
      <w:r w:rsidR="001F6F52" w:rsidRPr="001F6F52">
        <w:t>2022</w:t>
      </w:r>
      <w:r w:rsidR="005031DD" w:rsidRPr="00EA0885">
        <w:t>, pesi e variazioni</w:t>
      </w:r>
      <w:r w:rsidR="005031DD">
        <w:t xml:space="preserve"> percentuali congiunturali e tendenziali (base 2015=100)</w:t>
      </w:r>
      <w:r w:rsidR="001F6F52" w:rsidRPr="001F6F52">
        <w:t xml:space="preserve"> </w:t>
      </w:r>
    </w:p>
    <w:tbl>
      <w:tblPr>
        <w:tblW w:w="1016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06"/>
        <w:gridCol w:w="1060"/>
        <w:gridCol w:w="1059"/>
        <w:gridCol w:w="1061"/>
        <w:gridCol w:w="1059"/>
        <w:gridCol w:w="1061"/>
        <w:gridCol w:w="1060"/>
      </w:tblGrid>
      <w:tr w:rsidR="001F6F52" w:rsidRPr="004B2A9B" w:rsidTr="0059469F">
        <w:trPr>
          <w:trHeight w:val="255"/>
          <w:jc w:val="center"/>
        </w:trPr>
        <w:tc>
          <w:tcPr>
            <w:tcW w:w="3806" w:type="dxa"/>
            <w:vMerge w:val="restart"/>
            <w:shd w:val="clear" w:color="auto" w:fill="auto"/>
            <w:vAlign w:val="center"/>
            <w:hideMark/>
          </w:tcPr>
          <w:p w:rsidR="001F6F52" w:rsidRPr="004B2A9B" w:rsidRDefault="001F6F52" w:rsidP="001F6F52">
            <w:pPr>
              <w:widowControl/>
              <w:overflowPunct/>
              <w:autoSpaceDE/>
              <w:autoSpaceDN/>
              <w:adjustRightInd/>
              <w:spacing w:before="0" w:after="0"/>
              <w:rPr>
                <w:rFonts w:ascii="Arial Narrow" w:hAnsi="Arial Narrow" w:cs="Arial"/>
                <w:b/>
                <w:bCs/>
                <w:kern w:val="0"/>
                <w:sz w:val="18"/>
                <w:szCs w:val="18"/>
              </w:rPr>
            </w:pPr>
            <w:r w:rsidRPr="004B2A9B">
              <w:rPr>
                <w:rFonts w:ascii="Arial Narrow" w:hAnsi="Arial Narrow" w:cs="Arial"/>
                <w:b/>
                <w:bCs/>
                <w:kern w:val="0"/>
                <w:sz w:val="18"/>
                <w:szCs w:val="18"/>
              </w:rPr>
              <w:t>TIPOLOGIE DI PRODOTTO</w:t>
            </w:r>
          </w:p>
        </w:tc>
        <w:tc>
          <w:tcPr>
            <w:tcW w:w="1060" w:type="dxa"/>
            <w:vMerge w:val="restart"/>
            <w:shd w:val="clear" w:color="000000" w:fill="D9D9D9"/>
            <w:vAlign w:val="center"/>
            <w:hideMark/>
          </w:tcPr>
          <w:p w:rsidR="001F6F52" w:rsidRPr="004B2A9B" w:rsidRDefault="001F6F52" w:rsidP="001F6F52">
            <w:pPr>
              <w:widowControl/>
              <w:overflowPunct/>
              <w:autoSpaceDE/>
              <w:autoSpaceDN/>
              <w:adjustRightInd/>
              <w:spacing w:before="0" w:after="0"/>
              <w:jc w:val="right"/>
              <w:rPr>
                <w:rFonts w:ascii="Arial Narrow" w:hAnsi="Arial Narrow" w:cs="Arial"/>
                <w:b/>
                <w:bCs/>
                <w:kern w:val="0"/>
                <w:sz w:val="18"/>
                <w:szCs w:val="18"/>
              </w:rPr>
            </w:pPr>
            <w:r w:rsidRPr="004B2A9B">
              <w:rPr>
                <w:rFonts w:ascii="Arial Narrow" w:hAnsi="Arial Narrow" w:cs="Arial"/>
                <w:b/>
                <w:bCs/>
                <w:kern w:val="0"/>
                <w:sz w:val="18"/>
                <w:szCs w:val="18"/>
              </w:rPr>
              <w:t>Pesi</w:t>
            </w:r>
          </w:p>
        </w:tc>
        <w:tc>
          <w:tcPr>
            <w:tcW w:w="2120" w:type="dxa"/>
            <w:gridSpan w:val="2"/>
            <w:shd w:val="clear" w:color="auto" w:fill="auto"/>
            <w:vAlign w:val="center"/>
            <w:hideMark/>
          </w:tcPr>
          <w:p w:rsidR="001F6F52" w:rsidRPr="004B2A9B" w:rsidRDefault="001F6F52" w:rsidP="001F6F52">
            <w:pPr>
              <w:widowControl/>
              <w:overflowPunct/>
              <w:autoSpaceDE/>
              <w:autoSpaceDN/>
              <w:adjustRightInd/>
              <w:spacing w:before="0" w:after="0"/>
              <w:jc w:val="right"/>
              <w:rPr>
                <w:rFonts w:ascii="Arial Narrow" w:hAnsi="Arial Narrow" w:cs="Arial"/>
                <w:b/>
                <w:bCs/>
                <w:kern w:val="0"/>
                <w:sz w:val="18"/>
                <w:szCs w:val="18"/>
              </w:rPr>
            </w:pPr>
            <w:r w:rsidRPr="004B2A9B">
              <w:rPr>
                <w:rFonts w:ascii="Arial Narrow" w:hAnsi="Arial Narrow" w:cs="Arial"/>
                <w:b/>
                <w:bCs/>
                <w:kern w:val="0"/>
                <w:sz w:val="18"/>
                <w:szCs w:val="18"/>
              </w:rPr>
              <w:t>Variazioni congiunturali</w:t>
            </w:r>
          </w:p>
        </w:tc>
        <w:tc>
          <w:tcPr>
            <w:tcW w:w="2120" w:type="dxa"/>
            <w:gridSpan w:val="2"/>
            <w:shd w:val="clear" w:color="000000" w:fill="D9D9D9"/>
            <w:vAlign w:val="center"/>
            <w:hideMark/>
          </w:tcPr>
          <w:p w:rsidR="001F6F52" w:rsidRPr="004B2A9B" w:rsidRDefault="001F6F52" w:rsidP="001F6F52">
            <w:pPr>
              <w:widowControl/>
              <w:overflowPunct/>
              <w:autoSpaceDE/>
              <w:autoSpaceDN/>
              <w:adjustRightInd/>
              <w:spacing w:before="0" w:after="0"/>
              <w:jc w:val="right"/>
              <w:rPr>
                <w:rFonts w:ascii="Arial Narrow" w:hAnsi="Arial Narrow" w:cs="Arial"/>
                <w:b/>
                <w:bCs/>
                <w:kern w:val="0"/>
                <w:sz w:val="18"/>
                <w:szCs w:val="18"/>
              </w:rPr>
            </w:pPr>
            <w:r w:rsidRPr="004B2A9B">
              <w:rPr>
                <w:rFonts w:ascii="Arial Narrow" w:hAnsi="Arial Narrow" w:cs="Arial"/>
                <w:b/>
                <w:bCs/>
                <w:kern w:val="0"/>
                <w:sz w:val="18"/>
                <w:szCs w:val="18"/>
              </w:rPr>
              <w:t>Var</w:t>
            </w:r>
            <w:r>
              <w:rPr>
                <w:rFonts w:ascii="Arial Narrow" w:hAnsi="Arial Narrow" w:cs="Arial"/>
                <w:b/>
                <w:bCs/>
                <w:kern w:val="0"/>
                <w:sz w:val="18"/>
                <w:szCs w:val="18"/>
              </w:rPr>
              <w:t>i</w:t>
            </w:r>
            <w:r w:rsidRPr="004B2A9B">
              <w:rPr>
                <w:rFonts w:ascii="Arial Narrow" w:hAnsi="Arial Narrow" w:cs="Arial"/>
                <w:b/>
                <w:bCs/>
                <w:kern w:val="0"/>
                <w:sz w:val="18"/>
                <w:szCs w:val="18"/>
              </w:rPr>
              <w:t>azioni tendenziali</w:t>
            </w:r>
          </w:p>
        </w:tc>
        <w:tc>
          <w:tcPr>
            <w:tcW w:w="1060" w:type="dxa"/>
            <w:vMerge w:val="restart"/>
            <w:shd w:val="clear" w:color="auto" w:fill="auto"/>
            <w:vAlign w:val="center"/>
            <w:hideMark/>
          </w:tcPr>
          <w:p w:rsidR="001F6F52" w:rsidRPr="008814F3" w:rsidRDefault="00291E48" w:rsidP="00854608">
            <w:pPr>
              <w:widowControl/>
              <w:overflowPunct/>
              <w:autoSpaceDE/>
              <w:autoSpaceDN/>
              <w:adjustRightInd/>
              <w:spacing w:before="40" w:after="20"/>
              <w:jc w:val="right"/>
              <w:rPr>
                <w:rFonts w:ascii="Arial Narrow" w:hAnsi="Arial Narrow" w:cs="Arial"/>
                <w:b/>
                <w:bCs/>
                <w:kern w:val="0"/>
                <w:sz w:val="18"/>
                <w:szCs w:val="18"/>
              </w:rPr>
            </w:pPr>
            <w:r w:rsidRPr="008814F3">
              <w:rPr>
                <w:rFonts w:ascii="Arial Narrow" w:hAnsi="Arial Narrow" w:cs="Arial"/>
                <w:b/>
                <w:bCs/>
                <w:kern w:val="0"/>
                <w:sz w:val="18"/>
                <w:szCs w:val="18"/>
              </w:rPr>
              <w:t>Inflazione</w:t>
            </w:r>
            <w:r>
              <w:rPr>
                <w:rFonts w:ascii="Arial Narrow" w:hAnsi="Arial Narrow" w:cs="Arial"/>
                <w:b/>
                <w:bCs/>
                <w:kern w:val="0"/>
                <w:sz w:val="18"/>
                <w:szCs w:val="18"/>
              </w:rPr>
              <w:t xml:space="preserve"> </w:t>
            </w:r>
            <w:r w:rsidRPr="008814F3">
              <w:rPr>
                <w:rFonts w:ascii="Arial Narrow" w:hAnsi="Arial Narrow" w:cs="Arial"/>
                <w:b/>
                <w:bCs/>
                <w:kern w:val="0"/>
                <w:sz w:val="18"/>
                <w:szCs w:val="18"/>
              </w:rPr>
              <w:t>acquisita</w:t>
            </w:r>
            <w:r w:rsidR="00854608">
              <w:rPr>
                <w:rFonts w:ascii="Arial Narrow" w:hAnsi="Arial Narrow" w:cs="Arial"/>
                <w:b/>
                <w:bCs/>
                <w:kern w:val="0"/>
                <w:sz w:val="18"/>
                <w:szCs w:val="18"/>
              </w:rPr>
              <w:t xml:space="preserve"> </w:t>
            </w:r>
            <w:r>
              <w:rPr>
                <w:rFonts w:ascii="Arial Narrow" w:hAnsi="Arial Narrow" w:cs="Arial"/>
                <w:b/>
                <w:bCs/>
                <w:kern w:val="0"/>
                <w:sz w:val="18"/>
                <w:szCs w:val="18"/>
              </w:rPr>
              <w:t xml:space="preserve">a </w:t>
            </w:r>
            <w:r w:rsidR="00FD38B0">
              <w:rPr>
                <w:rFonts w:ascii="Arial Narrow" w:hAnsi="Arial Narrow" w:cs="Arial"/>
                <w:b/>
                <w:bCs/>
                <w:kern w:val="0"/>
                <w:sz w:val="18"/>
                <w:szCs w:val="18"/>
              </w:rPr>
              <w:t>novembre</w:t>
            </w:r>
          </w:p>
        </w:tc>
      </w:tr>
      <w:tr w:rsidR="006263D7" w:rsidRPr="004B2A9B" w:rsidTr="0059469F">
        <w:trPr>
          <w:trHeight w:val="255"/>
          <w:jc w:val="center"/>
        </w:trPr>
        <w:tc>
          <w:tcPr>
            <w:tcW w:w="3806" w:type="dxa"/>
            <w:vMerge/>
            <w:vAlign w:val="center"/>
            <w:hideMark/>
          </w:tcPr>
          <w:p w:rsidR="006263D7" w:rsidRPr="004B2A9B" w:rsidRDefault="006263D7" w:rsidP="006263D7">
            <w:pPr>
              <w:widowControl/>
              <w:overflowPunct/>
              <w:autoSpaceDE/>
              <w:autoSpaceDN/>
              <w:adjustRightInd/>
              <w:spacing w:before="0" w:after="0"/>
              <w:rPr>
                <w:rFonts w:ascii="Arial Narrow" w:hAnsi="Arial Narrow" w:cs="Arial"/>
                <w:b/>
                <w:bCs/>
                <w:kern w:val="0"/>
                <w:sz w:val="18"/>
                <w:szCs w:val="18"/>
              </w:rPr>
            </w:pPr>
          </w:p>
        </w:tc>
        <w:tc>
          <w:tcPr>
            <w:tcW w:w="1060" w:type="dxa"/>
            <w:vMerge/>
            <w:vAlign w:val="center"/>
            <w:hideMark/>
          </w:tcPr>
          <w:p w:rsidR="006263D7" w:rsidRPr="004B2A9B" w:rsidRDefault="006263D7" w:rsidP="006263D7">
            <w:pPr>
              <w:widowControl/>
              <w:overflowPunct/>
              <w:autoSpaceDE/>
              <w:autoSpaceDN/>
              <w:adjustRightInd/>
              <w:spacing w:before="0" w:after="0"/>
              <w:rPr>
                <w:rFonts w:ascii="Arial Narrow" w:hAnsi="Arial Narrow" w:cs="Arial"/>
                <w:b/>
                <w:bCs/>
                <w:kern w:val="0"/>
                <w:sz w:val="18"/>
                <w:szCs w:val="18"/>
              </w:rPr>
            </w:pPr>
          </w:p>
        </w:tc>
        <w:tc>
          <w:tcPr>
            <w:tcW w:w="1059"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nov-22</w:t>
            </w:r>
          </w:p>
          <w:p w:rsidR="006263D7" w:rsidRPr="00E03E58" w:rsidRDefault="006263D7" w:rsidP="006263D7">
            <w:pPr>
              <w:widowControl/>
              <w:overflowPunct/>
              <w:autoSpaceDE/>
              <w:autoSpaceDN/>
              <w:adjustRightInd/>
              <w:spacing w:before="40" w:after="20"/>
              <w:jc w:val="right"/>
              <w:rPr>
                <w:rFonts w:ascii="Arial Narrow" w:hAnsi="Arial Narrow" w:cs="Arial"/>
                <w:kern w:val="0"/>
                <w:sz w:val="18"/>
                <w:szCs w:val="18"/>
              </w:rPr>
            </w:pPr>
            <w:r>
              <w:rPr>
                <w:rFonts w:ascii="Arial Narrow" w:hAnsi="Arial Narrow" w:cs="Arial"/>
                <w:kern w:val="0"/>
                <w:sz w:val="18"/>
                <w:szCs w:val="18"/>
              </w:rPr>
              <w:t>ott-22</w:t>
            </w:r>
          </w:p>
        </w:tc>
        <w:tc>
          <w:tcPr>
            <w:tcW w:w="1061"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nov-21</w:t>
            </w:r>
          </w:p>
          <w:p w:rsidR="006263D7" w:rsidRPr="008814F3"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ott-21</w:t>
            </w:r>
          </w:p>
        </w:tc>
        <w:tc>
          <w:tcPr>
            <w:tcW w:w="1059"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nov-22</w:t>
            </w:r>
          </w:p>
          <w:p w:rsidR="006263D7" w:rsidRPr="008814F3"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nov-21</w:t>
            </w:r>
          </w:p>
        </w:tc>
        <w:tc>
          <w:tcPr>
            <w:tcW w:w="1061"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ott-22</w:t>
            </w:r>
          </w:p>
          <w:p w:rsidR="006263D7" w:rsidRPr="008814F3"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ott-21</w:t>
            </w:r>
          </w:p>
        </w:tc>
        <w:tc>
          <w:tcPr>
            <w:tcW w:w="1060" w:type="dxa"/>
            <w:vMerge/>
            <w:shd w:val="clear" w:color="auto" w:fill="auto"/>
            <w:vAlign w:val="center"/>
            <w:hideMark/>
          </w:tcPr>
          <w:p w:rsidR="006263D7" w:rsidRPr="004B2A9B" w:rsidRDefault="006263D7" w:rsidP="006263D7">
            <w:pPr>
              <w:widowControl/>
              <w:overflowPunct/>
              <w:autoSpaceDE/>
              <w:autoSpaceDN/>
              <w:adjustRightInd/>
              <w:spacing w:before="0" w:after="0"/>
              <w:jc w:val="right"/>
              <w:rPr>
                <w:rFonts w:ascii="Arial Narrow" w:hAnsi="Arial Narrow" w:cs="Arial"/>
                <w:b/>
                <w:bCs/>
                <w:kern w:val="0"/>
                <w:sz w:val="18"/>
                <w:szCs w:val="18"/>
              </w:rPr>
            </w:pPr>
          </w:p>
        </w:tc>
      </w:tr>
      <w:tr w:rsidR="008319C9" w:rsidRPr="00BC3950" w:rsidTr="00DE5A79">
        <w:trPr>
          <w:trHeight w:val="287"/>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Beni alimentari, di cui: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195.333</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+1,0</w:t>
            </w:r>
          </w:p>
        </w:tc>
        <w:tc>
          <w:tcPr>
            <w:tcW w:w="1061" w:type="dxa"/>
            <w:shd w:val="clear" w:color="000000" w:fill="D9D9D9"/>
            <w:vAlign w:val="center"/>
          </w:tcPr>
          <w:p w:rsidR="008319C9" w:rsidRPr="008319C9" w:rsidRDefault="008319C9" w:rsidP="00DE5A79">
            <w:pPr>
              <w:spacing w:before="0" w:after="0"/>
              <w:jc w:val="right"/>
              <w:rPr>
                <w:rFonts w:ascii="Arial Narrow" w:hAnsi="Arial Narrow" w:cs="Arial"/>
                <w:kern w:val="0"/>
                <w:sz w:val="18"/>
                <w:szCs w:val="18"/>
              </w:rPr>
            </w:pPr>
            <w:r w:rsidRPr="008319C9">
              <w:rPr>
                <w:rFonts w:ascii="Arial Narrow" w:hAnsi="Arial Narrow" w:cs="Arial"/>
                <w:kern w:val="0"/>
                <w:sz w:val="18"/>
                <w:szCs w:val="18"/>
              </w:rPr>
              <w:t>+0,8</w:t>
            </w:r>
          </w:p>
        </w:tc>
        <w:tc>
          <w:tcPr>
            <w:tcW w:w="1059" w:type="dxa"/>
            <w:shd w:val="clear" w:color="auto" w:fill="auto"/>
            <w:vAlign w:val="center"/>
          </w:tcPr>
          <w:p w:rsidR="008319C9" w:rsidRPr="008319C9" w:rsidRDefault="008319C9" w:rsidP="00DE5A79">
            <w:pPr>
              <w:spacing w:before="0" w:after="0"/>
              <w:jc w:val="right"/>
              <w:rPr>
                <w:rFonts w:ascii="Arial Narrow" w:hAnsi="Arial Narrow" w:cs="Arial"/>
                <w:kern w:val="0"/>
                <w:sz w:val="18"/>
                <w:szCs w:val="18"/>
              </w:rPr>
            </w:pPr>
            <w:r w:rsidRPr="008319C9">
              <w:rPr>
                <w:rFonts w:ascii="Arial Narrow" w:hAnsi="Arial Narrow" w:cs="Arial"/>
                <w:kern w:val="0"/>
                <w:sz w:val="18"/>
                <w:szCs w:val="18"/>
              </w:rPr>
              <w:t>+13,3</w:t>
            </w:r>
          </w:p>
        </w:tc>
        <w:tc>
          <w:tcPr>
            <w:tcW w:w="1061" w:type="dxa"/>
            <w:shd w:val="clear" w:color="000000" w:fill="D9D9D9"/>
            <w:vAlign w:val="center"/>
          </w:tcPr>
          <w:p w:rsidR="008319C9" w:rsidRPr="008319C9" w:rsidRDefault="008319C9" w:rsidP="00DE5A79">
            <w:pPr>
              <w:spacing w:before="0" w:after="0"/>
              <w:jc w:val="right"/>
              <w:rPr>
                <w:rFonts w:ascii="Arial Narrow" w:hAnsi="Arial Narrow" w:cs="Arial"/>
                <w:kern w:val="0"/>
                <w:sz w:val="18"/>
                <w:szCs w:val="18"/>
              </w:rPr>
            </w:pPr>
            <w:r w:rsidRPr="008319C9">
              <w:rPr>
                <w:rFonts w:ascii="Arial Narrow" w:hAnsi="Arial Narrow" w:cs="Arial"/>
                <w:kern w:val="0"/>
                <w:sz w:val="18"/>
                <w:szCs w:val="18"/>
              </w:rPr>
              <w:t>+13,1</w:t>
            </w:r>
          </w:p>
        </w:tc>
        <w:tc>
          <w:tcPr>
            <w:tcW w:w="1060" w:type="dxa"/>
            <w:shd w:val="clear" w:color="auto" w:fill="auto"/>
            <w:vAlign w:val="center"/>
          </w:tcPr>
          <w:p w:rsidR="008319C9" w:rsidRPr="008319C9" w:rsidRDefault="008319C9" w:rsidP="00DE5A79">
            <w:pPr>
              <w:spacing w:before="0" w:after="0"/>
              <w:jc w:val="right"/>
              <w:rPr>
                <w:rFonts w:ascii="Arial Narrow" w:hAnsi="Arial Narrow" w:cs="Arial"/>
                <w:kern w:val="0"/>
                <w:sz w:val="18"/>
                <w:szCs w:val="18"/>
              </w:rPr>
            </w:pPr>
            <w:r w:rsidRPr="008319C9">
              <w:rPr>
                <w:rFonts w:ascii="Arial Narrow" w:hAnsi="Arial Narrow" w:cs="Arial"/>
                <w:kern w:val="0"/>
                <w:sz w:val="18"/>
                <w:szCs w:val="18"/>
              </w:rPr>
              <w:t>+8,8</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Alimentari lavorati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120.047</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+1,5</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+0,6</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+14,4</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+13,3</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+8,5</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Alimentari non lavorati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75.286</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+1,4</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+11,3</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+12,9</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+9,2</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Beni energetici, di cui: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92.494</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+2,3</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+4,6</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+67,3</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+71,1</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+51,1</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Energetici regolamentati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17.411</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+3,0</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+0,1</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+56,1</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+51,6</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+63,9</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Energetici non regolamentati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75.083</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+2,2</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+7,9</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+69,9</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+79,4</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+45,3</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Tabacchi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22.381</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+0,2</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Altri beni, di cui: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270.978</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+0,3</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-0,1</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+5,0</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+4,6</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+2,9</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Beni durevoli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105.690</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+0,2</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-0,4</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+6,0</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+5,3</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+3,3</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Beni non durevoli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70.411</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+0,6</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+0,2</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+5,6</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+5,2</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+3,3</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ind w:left="284"/>
              <w:rPr>
                <w:rFonts w:ascii="Arial Narrow" w:hAnsi="Arial Narrow" w:cs="Arial"/>
                <w:kern w:val="0"/>
                <w:sz w:val="18"/>
                <w:szCs w:val="18"/>
              </w:rPr>
            </w:pPr>
            <w:r w:rsidRPr="004B2A9B">
              <w:rPr>
                <w:rFonts w:ascii="Arial Narrow" w:hAnsi="Arial Narrow" w:cs="Arial"/>
                <w:kern w:val="0"/>
                <w:sz w:val="18"/>
                <w:szCs w:val="18"/>
              </w:rPr>
              <w:t>Beni semidurevoli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94.877</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+0,3</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+0,2</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+3,3</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+3,2</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+2,1</w:t>
            </w:r>
          </w:p>
        </w:tc>
      </w:tr>
      <w:tr w:rsidR="008319C9" w:rsidRPr="00354AFC" w:rsidTr="00974ED2">
        <w:trPr>
          <w:trHeight w:val="255"/>
          <w:jc w:val="center"/>
        </w:trPr>
        <w:tc>
          <w:tcPr>
            <w:tcW w:w="3806" w:type="dxa"/>
            <w:shd w:val="clear" w:color="000000" w:fill="808080"/>
            <w:noWrap/>
            <w:vAlign w:val="center"/>
            <w:hideMark/>
          </w:tcPr>
          <w:p w:rsidR="008319C9" w:rsidRPr="004B2A9B" w:rsidRDefault="008319C9" w:rsidP="008319C9">
            <w:pPr>
              <w:widowControl/>
              <w:overflowPunct/>
              <w:autoSpaceDE/>
              <w:autoSpaceDN/>
              <w:adjustRightInd/>
              <w:spacing w:before="0" w:after="0"/>
              <w:rPr>
                <w:rFonts w:ascii="Arial Narrow" w:hAnsi="Arial Narrow" w:cs="Arial"/>
                <w:b/>
                <w:bCs/>
                <w:color w:val="FFFFFF"/>
                <w:kern w:val="0"/>
                <w:sz w:val="18"/>
                <w:szCs w:val="18"/>
              </w:rPr>
            </w:pPr>
            <w:r w:rsidRPr="004B2A9B">
              <w:rPr>
                <w:rFonts w:ascii="Arial Narrow" w:hAnsi="Arial Narrow" w:cs="Arial"/>
                <w:b/>
                <w:bCs/>
                <w:color w:val="FFFFFF"/>
                <w:kern w:val="0"/>
                <w:sz w:val="18"/>
                <w:szCs w:val="18"/>
              </w:rPr>
              <w:t>Beni</w:t>
            </w:r>
          </w:p>
        </w:tc>
        <w:tc>
          <w:tcPr>
            <w:tcW w:w="1060" w:type="dxa"/>
            <w:shd w:val="clear" w:color="000000" w:fill="808080"/>
            <w:vAlign w:val="center"/>
          </w:tcPr>
          <w:p w:rsidR="008319C9" w:rsidRPr="00FA2156"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FA2156">
              <w:rPr>
                <w:rFonts w:ascii="Arial Narrow" w:hAnsi="Arial Narrow" w:cs="Arial"/>
                <w:b/>
                <w:color w:val="FFFFFF" w:themeColor="background1"/>
                <w:kern w:val="0"/>
                <w:sz w:val="18"/>
                <w:szCs w:val="18"/>
              </w:rPr>
              <w:t>581.186</w:t>
            </w:r>
          </w:p>
        </w:tc>
        <w:tc>
          <w:tcPr>
            <w:tcW w:w="1059" w:type="dxa"/>
            <w:shd w:val="clear" w:color="000000" w:fill="808080"/>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+1,0</w:t>
            </w:r>
          </w:p>
        </w:tc>
        <w:tc>
          <w:tcPr>
            <w:tcW w:w="1061" w:type="dxa"/>
            <w:shd w:val="clear" w:color="000000" w:fill="808080"/>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+1,0</w:t>
            </w:r>
          </w:p>
        </w:tc>
        <w:tc>
          <w:tcPr>
            <w:tcW w:w="1059" w:type="dxa"/>
            <w:shd w:val="clear" w:color="000000" w:fill="808080"/>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+17,5</w:t>
            </w:r>
          </w:p>
        </w:tc>
        <w:tc>
          <w:tcPr>
            <w:tcW w:w="1061" w:type="dxa"/>
            <w:shd w:val="clear" w:color="000000" w:fill="808080"/>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+17,6</w:t>
            </w:r>
          </w:p>
        </w:tc>
        <w:tc>
          <w:tcPr>
            <w:tcW w:w="1060" w:type="dxa"/>
            <w:shd w:val="clear" w:color="000000" w:fill="808080"/>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+11,9</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relativi all'abitazione</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76.842</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+0,2</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+2,1</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+1,9</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+1,6</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relativi alle comunicazioni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17.859</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+0,2</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+0,1</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+0,2</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+0,1</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ricreativi, culturali e per la cura della persona</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143.087</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-0,4</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-0,7</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+5,5</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+5,2</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+4,3</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relativi ai trasporti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64.440</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-0,2</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+0,2</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+6,8</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+7,2</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+5,5</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vari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116.586</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+0,3</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+0,1</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+2,1</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+1,9</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+1,5</w:t>
            </w:r>
          </w:p>
        </w:tc>
      </w:tr>
      <w:tr w:rsidR="008319C9" w:rsidRPr="004B2A9B" w:rsidTr="00974ED2">
        <w:trPr>
          <w:trHeight w:val="255"/>
          <w:jc w:val="center"/>
        </w:trPr>
        <w:tc>
          <w:tcPr>
            <w:tcW w:w="3806" w:type="dxa"/>
            <w:shd w:val="clear" w:color="000000" w:fill="808080"/>
            <w:noWrap/>
            <w:vAlign w:val="center"/>
            <w:hideMark/>
          </w:tcPr>
          <w:p w:rsidR="008319C9" w:rsidRPr="004B2A9B" w:rsidRDefault="008319C9" w:rsidP="008319C9">
            <w:pPr>
              <w:widowControl/>
              <w:overflowPunct/>
              <w:autoSpaceDE/>
              <w:autoSpaceDN/>
              <w:adjustRightInd/>
              <w:spacing w:before="0" w:after="0"/>
              <w:rPr>
                <w:rFonts w:ascii="Arial Narrow" w:hAnsi="Arial Narrow" w:cs="Arial"/>
                <w:b/>
                <w:bCs/>
                <w:color w:val="FFFFFF"/>
                <w:kern w:val="0"/>
                <w:sz w:val="18"/>
                <w:szCs w:val="18"/>
              </w:rPr>
            </w:pPr>
            <w:r w:rsidRPr="004B2A9B">
              <w:rPr>
                <w:rFonts w:ascii="Arial Narrow" w:hAnsi="Arial Narrow" w:cs="Arial"/>
                <w:b/>
                <w:bCs/>
                <w:color w:val="FFFFFF"/>
                <w:kern w:val="0"/>
                <w:sz w:val="18"/>
                <w:szCs w:val="18"/>
              </w:rPr>
              <w:t>Servizi</w:t>
            </w:r>
          </w:p>
        </w:tc>
        <w:tc>
          <w:tcPr>
            <w:tcW w:w="1060" w:type="dxa"/>
            <w:shd w:val="clear" w:color="000000" w:fill="808080"/>
            <w:vAlign w:val="center"/>
          </w:tcPr>
          <w:p w:rsidR="008319C9" w:rsidRPr="00FA2156"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FA2156">
              <w:rPr>
                <w:rFonts w:ascii="Arial Narrow" w:hAnsi="Arial Narrow" w:cs="Arial"/>
                <w:b/>
                <w:color w:val="FFFFFF" w:themeColor="background1"/>
                <w:kern w:val="0"/>
                <w:sz w:val="18"/>
                <w:szCs w:val="18"/>
              </w:rPr>
              <w:t>418.814</w:t>
            </w:r>
          </w:p>
        </w:tc>
        <w:tc>
          <w:tcPr>
            <w:tcW w:w="1059" w:type="dxa"/>
            <w:shd w:val="clear" w:color="000000" w:fill="808080"/>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-0,1</w:t>
            </w:r>
          </w:p>
        </w:tc>
        <w:tc>
          <w:tcPr>
            <w:tcW w:w="1061" w:type="dxa"/>
            <w:shd w:val="clear" w:color="000000" w:fill="808080"/>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-0,1</w:t>
            </w:r>
          </w:p>
        </w:tc>
        <w:tc>
          <w:tcPr>
            <w:tcW w:w="1059" w:type="dxa"/>
            <w:shd w:val="clear" w:color="000000" w:fill="808080"/>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+3,8</w:t>
            </w:r>
          </w:p>
        </w:tc>
        <w:tc>
          <w:tcPr>
            <w:tcW w:w="1061" w:type="dxa"/>
            <w:shd w:val="clear" w:color="000000" w:fill="808080"/>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+3,8</w:t>
            </w:r>
          </w:p>
        </w:tc>
        <w:tc>
          <w:tcPr>
            <w:tcW w:w="1060" w:type="dxa"/>
            <w:shd w:val="clear" w:color="000000" w:fill="808080"/>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+2,9</w:t>
            </w:r>
          </w:p>
        </w:tc>
      </w:tr>
      <w:tr w:rsidR="008319C9" w:rsidRPr="004B2A9B" w:rsidTr="00974ED2">
        <w:trPr>
          <w:trHeight w:val="255"/>
          <w:jc w:val="center"/>
        </w:trPr>
        <w:tc>
          <w:tcPr>
            <w:tcW w:w="3806" w:type="dxa"/>
            <w:shd w:val="clear" w:color="000000" w:fill="E42618"/>
            <w:noWrap/>
            <w:vAlign w:val="center"/>
            <w:hideMark/>
          </w:tcPr>
          <w:p w:rsidR="008319C9" w:rsidRPr="004B2A9B" w:rsidRDefault="008319C9" w:rsidP="008319C9">
            <w:pPr>
              <w:widowControl/>
              <w:overflowPunct/>
              <w:autoSpaceDE/>
              <w:autoSpaceDN/>
              <w:adjustRightInd/>
              <w:spacing w:before="0" w:after="0"/>
              <w:rPr>
                <w:rFonts w:ascii="Arial Narrow" w:hAnsi="Arial Narrow" w:cs="Arial"/>
                <w:b/>
                <w:bCs/>
                <w:color w:val="FFFFFF"/>
                <w:kern w:val="0"/>
                <w:sz w:val="18"/>
                <w:szCs w:val="18"/>
              </w:rPr>
            </w:pPr>
            <w:r w:rsidRPr="004B2A9B">
              <w:rPr>
                <w:rFonts w:ascii="Arial Narrow" w:hAnsi="Arial Narrow" w:cs="Arial"/>
                <w:b/>
                <w:bCs/>
                <w:color w:val="FFFFFF"/>
                <w:kern w:val="0"/>
                <w:sz w:val="18"/>
                <w:szCs w:val="18"/>
              </w:rPr>
              <w:t>Indice generale</w:t>
            </w:r>
          </w:p>
        </w:tc>
        <w:tc>
          <w:tcPr>
            <w:tcW w:w="1060" w:type="dxa"/>
            <w:shd w:val="clear" w:color="000000" w:fill="E42618"/>
            <w:vAlign w:val="center"/>
          </w:tcPr>
          <w:p w:rsidR="008319C9" w:rsidRPr="00FA2156"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FA2156">
              <w:rPr>
                <w:rFonts w:ascii="Arial Narrow" w:hAnsi="Arial Narrow" w:cs="Arial"/>
                <w:b/>
                <w:color w:val="FFFFFF" w:themeColor="background1"/>
                <w:kern w:val="0"/>
                <w:sz w:val="18"/>
                <w:szCs w:val="18"/>
              </w:rPr>
              <w:t>1.000.000</w:t>
            </w:r>
          </w:p>
        </w:tc>
        <w:tc>
          <w:tcPr>
            <w:tcW w:w="1059" w:type="dxa"/>
            <w:shd w:val="clear" w:color="000000" w:fill="E42618"/>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+0,5</w:t>
            </w:r>
          </w:p>
        </w:tc>
        <w:tc>
          <w:tcPr>
            <w:tcW w:w="1061" w:type="dxa"/>
            <w:shd w:val="clear" w:color="000000" w:fill="E42618"/>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+0,6</w:t>
            </w:r>
          </w:p>
        </w:tc>
        <w:tc>
          <w:tcPr>
            <w:tcW w:w="1059" w:type="dxa"/>
            <w:shd w:val="clear" w:color="000000" w:fill="E42618"/>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+11,8</w:t>
            </w:r>
          </w:p>
        </w:tc>
        <w:tc>
          <w:tcPr>
            <w:tcW w:w="1061" w:type="dxa"/>
            <w:shd w:val="clear" w:color="000000" w:fill="E42618"/>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+11,8</w:t>
            </w:r>
          </w:p>
        </w:tc>
        <w:tc>
          <w:tcPr>
            <w:tcW w:w="1060" w:type="dxa"/>
            <w:shd w:val="clear" w:color="000000" w:fill="E42618"/>
            <w:vAlign w:val="center"/>
          </w:tcPr>
          <w:p w:rsidR="008319C9" w:rsidRPr="008319C9" w:rsidRDefault="008319C9" w:rsidP="008319C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8319C9">
              <w:rPr>
                <w:rFonts w:ascii="Arial Narrow" w:hAnsi="Arial Narrow" w:cs="Arial"/>
                <w:b/>
                <w:color w:val="FFFFFF" w:themeColor="background1"/>
                <w:kern w:val="0"/>
                <w:sz w:val="18"/>
                <w:szCs w:val="18"/>
              </w:rPr>
              <w:t>+8,1</w:t>
            </w:r>
          </w:p>
        </w:tc>
      </w:tr>
      <w:tr w:rsidR="008319C9" w:rsidRPr="004B2A9B" w:rsidTr="00974ED2">
        <w:trPr>
          <w:trHeight w:val="429"/>
          <w:jc w:val="center"/>
        </w:trPr>
        <w:tc>
          <w:tcPr>
            <w:tcW w:w="3806" w:type="dxa"/>
            <w:shd w:val="clear" w:color="auto" w:fill="auto"/>
            <w:vAlign w:val="center"/>
            <w:hideMark/>
          </w:tcPr>
          <w:p w:rsidR="008319C9" w:rsidRPr="004B2A9B" w:rsidRDefault="008319C9" w:rsidP="008319C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generale al netto degli energetici e alimentari freschi (Componente di fondo)</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832.220</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+0,4</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+5,7</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+5,3</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+3,7</w:t>
            </w:r>
          </w:p>
        </w:tc>
      </w:tr>
      <w:tr w:rsidR="008319C9" w:rsidRPr="004B2A9B" w:rsidTr="00974ED2">
        <w:trPr>
          <w:trHeight w:val="429"/>
          <w:jc w:val="center"/>
        </w:trPr>
        <w:tc>
          <w:tcPr>
            <w:tcW w:w="3806" w:type="dxa"/>
            <w:shd w:val="clear" w:color="auto" w:fill="auto"/>
            <w:vAlign w:val="center"/>
            <w:hideMark/>
          </w:tcPr>
          <w:p w:rsidR="008319C9" w:rsidRPr="004B2A9B" w:rsidRDefault="008319C9" w:rsidP="008319C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generale al netto dell’energia, degli alimentari (incluse bevande alcoliche) e tabacchi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689.792</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+0,1</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0,0</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+4,2</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+4,2</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+3,0</w:t>
            </w:r>
          </w:p>
        </w:tc>
      </w:tr>
      <w:tr w:rsidR="008319C9" w:rsidRPr="004B2A9B" w:rsidTr="00974ED2">
        <w:trPr>
          <w:trHeight w:val="255"/>
          <w:jc w:val="center"/>
        </w:trPr>
        <w:tc>
          <w:tcPr>
            <w:tcW w:w="3806" w:type="dxa"/>
            <w:shd w:val="clear" w:color="auto" w:fill="auto"/>
            <w:noWrap/>
            <w:vAlign w:val="center"/>
            <w:hideMark/>
          </w:tcPr>
          <w:p w:rsidR="008319C9" w:rsidRPr="004B2A9B" w:rsidRDefault="008319C9" w:rsidP="008319C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generale al netto degli energetici</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907.506</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+0,3</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+0,1</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+6,1</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+5,9</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+4,1</w:t>
            </w:r>
          </w:p>
        </w:tc>
      </w:tr>
      <w:tr w:rsidR="008319C9" w:rsidRPr="004B2A9B" w:rsidTr="00974ED2">
        <w:trPr>
          <w:trHeight w:val="431"/>
          <w:jc w:val="center"/>
        </w:trPr>
        <w:tc>
          <w:tcPr>
            <w:tcW w:w="3806" w:type="dxa"/>
            <w:shd w:val="clear" w:color="auto" w:fill="auto"/>
            <w:vAlign w:val="center"/>
            <w:hideMark/>
          </w:tcPr>
          <w:p w:rsidR="008319C9" w:rsidRPr="004B2A9B" w:rsidRDefault="008319C9" w:rsidP="008319C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dei beni alimentari, per la cura della casa e della persona</w:t>
            </w:r>
          </w:p>
        </w:tc>
        <w:tc>
          <w:tcPr>
            <w:tcW w:w="1060" w:type="dxa"/>
            <w:shd w:val="clear" w:color="000000" w:fill="D9D9D9"/>
            <w:vAlign w:val="center"/>
          </w:tcPr>
          <w:p w:rsidR="008319C9" w:rsidRPr="00FA2156" w:rsidRDefault="008319C9" w:rsidP="008319C9">
            <w:pPr>
              <w:widowControl/>
              <w:overflowPunct/>
              <w:autoSpaceDE/>
              <w:autoSpaceDN/>
              <w:adjustRightInd/>
              <w:spacing w:before="0" w:after="0"/>
              <w:jc w:val="right"/>
              <w:rPr>
                <w:rFonts w:ascii="Arial Narrow" w:hAnsi="Arial Narrow" w:cs="Arial"/>
                <w:kern w:val="0"/>
                <w:sz w:val="18"/>
                <w:szCs w:val="18"/>
              </w:rPr>
            </w:pPr>
            <w:r w:rsidRPr="00FA2156">
              <w:rPr>
                <w:rFonts w:ascii="Arial Narrow" w:hAnsi="Arial Narrow" w:cs="Arial"/>
                <w:kern w:val="0"/>
                <w:sz w:val="18"/>
                <w:szCs w:val="18"/>
              </w:rPr>
              <w:t>220.483</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+1,0</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+0,8</w:t>
            </w:r>
          </w:p>
        </w:tc>
        <w:tc>
          <w:tcPr>
            <w:tcW w:w="1059"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+12,8</w:t>
            </w:r>
          </w:p>
        </w:tc>
        <w:tc>
          <w:tcPr>
            <w:tcW w:w="1061" w:type="dxa"/>
            <w:shd w:val="clear" w:color="000000" w:fill="D9D9D9"/>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+12,6</w:t>
            </w:r>
          </w:p>
        </w:tc>
        <w:tc>
          <w:tcPr>
            <w:tcW w:w="1060" w:type="dxa"/>
            <w:shd w:val="clear" w:color="auto" w:fill="auto"/>
            <w:vAlign w:val="center"/>
          </w:tcPr>
          <w:p w:rsidR="008319C9" w:rsidRPr="008319C9" w:rsidRDefault="008319C9" w:rsidP="008319C9">
            <w:pPr>
              <w:widowControl/>
              <w:overflowPunct/>
              <w:autoSpaceDE/>
              <w:autoSpaceDN/>
              <w:adjustRightInd/>
              <w:spacing w:before="0" w:after="0"/>
              <w:jc w:val="right"/>
              <w:rPr>
                <w:rFonts w:ascii="Arial Narrow" w:hAnsi="Arial Narrow" w:cs="Arial"/>
                <w:kern w:val="0"/>
                <w:sz w:val="18"/>
                <w:szCs w:val="18"/>
              </w:rPr>
            </w:pPr>
            <w:r w:rsidRPr="008319C9">
              <w:rPr>
                <w:rFonts w:ascii="Arial Narrow" w:hAnsi="Arial Narrow" w:cs="Arial"/>
                <w:kern w:val="0"/>
                <w:sz w:val="18"/>
                <w:szCs w:val="18"/>
              </w:rPr>
              <w:t>+8,3</w:t>
            </w:r>
          </w:p>
        </w:tc>
      </w:tr>
    </w:tbl>
    <w:p w:rsidR="001F6F52" w:rsidRDefault="001F6F52" w:rsidP="001F6F52">
      <w:pPr>
        <w:pStyle w:val="001TitoGra"/>
        <w:spacing w:after="120" w:line="240" w:lineRule="auto"/>
        <w:rPr>
          <w:color w:val="auto"/>
        </w:rPr>
      </w:pPr>
    </w:p>
    <w:p w:rsidR="002865ED" w:rsidRDefault="002865ED" w:rsidP="001F6F52">
      <w:pPr>
        <w:pStyle w:val="001TitoGra"/>
        <w:spacing w:after="120" w:line="240" w:lineRule="auto"/>
        <w:rPr>
          <w:color w:val="auto"/>
        </w:rPr>
      </w:pPr>
    </w:p>
    <w:p w:rsidR="00EB5D65" w:rsidRPr="0039325B" w:rsidRDefault="00EB5D65" w:rsidP="00EB5D65">
      <w:pPr>
        <w:pStyle w:val="001SottotitoloGra"/>
        <w:spacing w:after="0" w:line="240" w:lineRule="auto"/>
        <w:rPr>
          <w:b/>
          <w:sz w:val="22"/>
          <w:szCs w:val="22"/>
        </w:rPr>
      </w:pPr>
      <w:r w:rsidRPr="0039325B">
        <w:rPr>
          <w:b/>
          <w:color w:val="E42618"/>
          <w:sz w:val="22"/>
          <w:szCs w:val="22"/>
        </w:rPr>
        <w:t xml:space="preserve">FIGURA </w:t>
      </w:r>
      <w:r>
        <w:rPr>
          <w:b/>
          <w:color w:val="E42618"/>
          <w:sz w:val="22"/>
          <w:szCs w:val="22"/>
        </w:rPr>
        <w:t>3</w:t>
      </w:r>
      <w:r w:rsidRPr="0039325B">
        <w:rPr>
          <w:b/>
          <w:color w:val="E42618"/>
          <w:sz w:val="22"/>
          <w:szCs w:val="22"/>
        </w:rPr>
        <w:t xml:space="preserve">. </w:t>
      </w:r>
      <w:r w:rsidRPr="0039325B">
        <w:rPr>
          <w:b/>
          <w:sz w:val="22"/>
          <w:szCs w:val="22"/>
        </w:rPr>
        <w:t>INDICI DEI PREZZI AL CONSUMO NIC PER TIPOLOGIA DI PRODOTTO</w:t>
      </w:r>
    </w:p>
    <w:p w:rsidR="00EB5D65" w:rsidRDefault="00EB5D65" w:rsidP="00EB5D65">
      <w:pPr>
        <w:pStyle w:val="001SottotitoloGra"/>
        <w:spacing w:line="240" w:lineRule="auto"/>
      </w:pPr>
      <w:r>
        <w:t>Gennaio</w:t>
      </w:r>
      <w:r w:rsidRPr="00687C70">
        <w:t xml:space="preserve"> </w:t>
      </w:r>
      <w:r w:rsidR="001F6F52">
        <w:t>2017</w:t>
      </w:r>
      <w:r>
        <w:t xml:space="preserve"> - </w:t>
      </w:r>
      <w:r w:rsidR="00FD38B0">
        <w:t>novembre</w:t>
      </w:r>
      <w:r w:rsidR="003B28E9" w:rsidRPr="003B28E9">
        <w:t xml:space="preserve"> </w:t>
      </w:r>
      <w:r w:rsidR="001F6F52" w:rsidRPr="001F6F52">
        <w:t>2022</w:t>
      </w:r>
      <w:r>
        <w:t xml:space="preserve">, variazioni percentuali tendenziali (base 2015=100) </w:t>
      </w:r>
    </w:p>
    <w:p w:rsidR="009B3BE6" w:rsidRPr="00521958" w:rsidRDefault="00243D25" w:rsidP="00EB5D65">
      <w:pPr>
        <w:pStyle w:val="001TitoGra"/>
        <w:spacing w:after="120" w:line="240" w:lineRule="auto"/>
        <w:rPr>
          <w:color w:val="auto"/>
        </w:rPr>
      </w:pPr>
      <w:r>
        <w:rPr>
          <w:noProof/>
          <w:color w:val="auto"/>
        </w:rPr>
        <w:drawing>
          <wp:inline distT="0" distB="0" distL="0" distR="0" wp14:anchorId="2DC4B77C">
            <wp:extent cx="6669405" cy="2084705"/>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69405" cy="2084705"/>
                    </a:xfrm>
                    <a:prstGeom prst="rect">
                      <a:avLst/>
                    </a:prstGeom>
                    <a:noFill/>
                  </pic:spPr>
                </pic:pic>
              </a:graphicData>
            </a:graphic>
          </wp:inline>
        </w:drawing>
      </w:r>
    </w:p>
    <w:p w:rsidR="00EB5D65" w:rsidRDefault="00EB5D65" w:rsidP="00EB5D65">
      <w:pPr>
        <w:pStyle w:val="001TitoGra"/>
        <w:spacing w:after="120" w:line="240" w:lineRule="auto"/>
        <w:rPr>
          <w:color w:val="auto"/>
        </w:rPr>
      </w:pPr>
    </w:p>
    <w:p w:rsidR="00344F4E" w:rsidRPr="00EA0885" w:rsidRDefault="00344F4E" w:rsidP="00CD5355">
      <w:pPr>
        <w:pStyle w:val="001TitoloBolocco"/>
        <w:spacing w:after="120" w:line="240" w:lineRule="auto"/>
      </w:pPr>
      <w:r w:rsidRPr="00EA0885">
        <w:lastRenderedPageBreak/>
        <w:t>I prodotti per frequenza di acquisto</w:t>
      </w:r>
    </w:p>
    <w:p w:rsidR="00EA45EC" w:rsidRDefault="00EA45EC" w:rsidP="00F965B5">
      <w:pPr>
        <w:pStyle w:val="Corpotesto"/>
        <w:spacing w:before="120" w:after="120" w:line="240" w:lineRule="auto"/>
        <w:jc w:val="both"/>
        <w:rPr>
          <w:rFonts w:ascii="Arial Narrow" w:hAnsi="Arial Narrow" w:cs="Arial"/>
          <w:b/>
          <w:color w:val="D90B13"/>
          <w:sz w:val="22"/>
          <w:szCs w:val="22"/>
        </w:rPr>
      </w:pPr>
    </w:p>
    <w:p w:rsidR="0059469F" w:rsidRPr="00104E34" w:rsidRDefault="00EB5D65" w:rsidP="0059469F">
      <w:pPr>
        <w:pStyle w:val="Corpotesto"/>
        <w:spacing w:before="120" w:after="120" w:line="240" w:lineRule="auto"/>
        <w:jc w:val="both"/>
        <w:rPr>
          <w:rFonts w:ascii="Arial Narrow" w:hAnsi="Arial Narrow" w:cs="Arial"/>
          <w:color w:val="5F5F5F"/>
        </w:rPr>
      </w:pPr>
      <w:r w:rsidRPr="00104E34">
        <w:rPr>
          <w:rFonts w:ascii="Arial Narrow" w:hAnsi="Arial Narrow" w:cs="Arial"/>
          <w:b/>
          <w:color w:val="D90B13"/>
          <w:sz w:val="22"/>
          <w:szCs w:val="22"/>
        </w:rPr>
        <w:t>PROSPETTO 4.</w:t>
      </w:r>
      <w:r w:rsidRPr="00104E34">
        <w:rPr>
          <w:rFonts w:ascii="Arial Narrow" w:hAnsi="Arial Narrow" w:cs="Arial"/>
          <w:b/>
          <w:color w:val="5F5F5F"/>
          <w:sz w:val="22"/>
          <w:szCs w:val="22"/>
        </w:rPr>
        <w:t xml:space="preserve"> INDICI DEI PREZZI AL CONSUMO NIC PER PRODOTTI A DIVERSA FREQUENZA DI ACQUISTO</w:t>
      </w:r>
      <w:r w:rsidRPr="00104E34">
        <w:rPr>
          <w:rFonts w:ascii="Arial Narrow" w:hAnsi="Arial Narrow" w:cs="Arial"/>
          <w:b/>
          <w:color w:val="5F5F5F"/>
          <w:sz w:val="22"/>
          <w:szCs w:val="22"/>
        </w:rPr>
        <w:br/>
      </w:r>
      <w:r w:rsidR="00FD38B0">
        <w:rPr>
          <w:rFonts w:ascii="Arial Narrow" w:hAnsi="Arial Narrow" w:cs="Arial"/>
          <w:color w:val="5F5F5F"/>
        </w:rPr>
        <w:t>Novembre</w:t>
      </w:r>
      <w:r w:rsidR="003A435E" w:rsidRPr="003A435E">
        <w:rPr>
          <w:rFonts w:ascii="Arial Narrow" w:hAnsi="Arial Narrow" w:cs="Arial"/>
          <w:color w:val="5F5F5F"/>
        </w:rPr>
        <w:t xml:space="preserve"> </w:t>
      </w:r>
      <w:r w:rsidR="0059469F" w:rsidRPr="0059469F">
        <w:rPr>
          <w:rFonts w:ascii="Arial Narrow" w:hAnsi="Arial Narrow" w:cs="Arial"/>
          <w:color w:val="5F5F5F"/>
        </w:rPr>
        <w:t>2022</w:t>
      </w:r>
      <w:r w:rsidR="005031DD" w:rsidRPr="00F21142">
        <w:rPr>
          <w:rFonts w:ascii="Arial Narrow" w:hAnsi="Arial Narrow" w:cs="Arial"/>
          <w:color w:val="5F5F5F"/>
        </w:rPr>
        <w:t xml:space="preserve">, pesi e variazioni percentuali </w:t>
      </w:r>
      <w:r w:rsidR="005031DD" w:rsidRPr="009B31CE">
        <w:rPr>
          <w:rFonts w:ascii="Arial Narrow" w:hAnsi="Arial Narrow" w:cs="Arial"/>
          <w:color w:val="5F5F5F"/>
        </w:rPr>
        <w:t>congiunturali e tendenziali</w:t>
      </w:r>
      <w:r w:rsidR="005031DD">
        <w:t xml:space="preserve"> </w:t>
      </w:r>
      <w:r w:rsidR="005031DD" w:rsidRPr="00F21142">
        <w:rPr>
          <w:rFonts w:ascii="Arial Narrow" w:hAnsi="Arial Narrow" w:cs="Arial"/>
          <w:color w:val="5F5F5F"/>
        </w:rPr>
        <w:t>(base 2015=100)</w:t>
      </w:r>
      <w:r w:rsidR="0059469F" w:rsidRPr="0059469F">
        <w:rPr>
          <w:rFonts w:ascii="Arial Narrow" w:hAnsi="Arial Narrow" w:cs="Arial"/>
          <w:color w:val="5F5F5F"/>
        </w:rPr>
        <w:t xml:space="preserve"> </w:t>
      </w:r>
    </w:p>
    <w:tbl>
      <w:tblPr>
        <w:tblW w:w="10153"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797"/>
        <w:gridCol w:w="1059"/>
        <w:gridCol w:w="1059"/>
        <w:gridCol w:w="1060"/>
        <w:gridCol w:w="1059"/>
        <w:gridCol w:w="1060"/>
        <w:gridCol w:w="1059"/>
      </w:tblGrid>
      <w:tr w:rsidR="0059469F" w:rsidRPr="00517E09" w:rsidTr="0059469F">
        <w:trPr>
          <w:trHeight w:val="255"/>
        </w:trPr>
        <w:tc>
          <w:tcPr>
            <w:tcW w:w="3797" w:type="dxa"/>
            <w:vMerge w:val="restart"/>
            <w:shd w:val="clear" w:color="auto" w:fill="auto"/>
            <w:vAlign w:val="center"/>
            <w:hideMark/>
          </w:tcPr>
          <w:p w:rsidR="0059469F" w:rsidRPr="00517E09" w:rsidRDefault="0059469F" w:rsidP="0059469F">
            <w:pPr>
              <w:widowControl/>
              <w:overflowPunct/>
              <w:autoSpaceDE/>
              <w:autoSpaceDN/>
              <w:adjustRightInd/>
              <w:spacing w:before="0" w:after="0"/>
              <w:rPr>
                <w:rFonts w:ascii="Arial Narrow" w:hAnsi="Arial Narrow" w:cs="Arial"/>
                <w:b/>
                <w:bCs/>
                <w:kern w:val="0"/>
                <w:sz w:val="18"/>
                <w:szCs w:val="18"/>
              </w:rPr>
            </w:pPr>
            <w:r w:rsidRPr="00517E09">
              <w:rPr>
                <w:rFonts w:ascii="Arial Narrow" w:hAnsi="Arial Narrow" w:cs="Arial"/>
                <w:b/>
                <w:bCs/>
                <w:kern w:val="0"/>
                <w:sz w:val="18"/>
                <w:szCs w:val="18"/>
              </w:rPr>
              <w:t>TIPOLOGIE DI PRODOTTO</w:t>
            </w:r>
          </w:p>
        </w:tc>
        <w:tc>
          <w:tcPr>
            <w:tcW w:w="1059" w:type="dxa"/>
            <w:vMerge w:val="restart"/>
            <w:shd w:val="clear" w:color="000000" w:fill="D9D9D9"/>
            <w:vAlign w:val="center"/>
            <w:hideMark/>
          </w:tcPr>
          <w:p w:rsidR="0059469F" w:rsidRPr="00517E09" w:rsidRDefault="0059469F" w:rsidP="0059469F">
            <w:pPr>
              <w:widowControl/>
              <w:overflowPunct/>
              <w:autoSpaceDE/>
              <w:autoSpaceDN/>
              <w:adjustRightInd/>
              <w:spacing w:before="0" w:after="0"/>
              <w:jc w:val="right"/>
              <w:rPr>
                <w:rFonts w:ascii="Arial Narrow" w:hAnsi="Arial Narrow" w:cs="Arial"/>
                <w:b/>
                <w:bCs/>
                <w:kern w:val="0"/>
                <w:sz w:val="18"/>
                <w:szCs w:val="18"/>
              </w:rPr>
            </w:pPr>
            <w:r w:rsidRPr="00517E09">
              <w:rPr>
                <w:rFonts w:ascii="Arial Narrow" w:hAnsi="Arial Narrow" w:cs="Arial"/>
                <w:b/>
                <w:bCs/>
                <w:kern w:val="0"/>
                <w:sz w:val="18"/>
                <w:szCs w:val="18"/>
              </w:rPr>
              <w:t>Pesi</w:t>
            </w:r>
          </w:p>
        </w:tc>
        <w:tc>
          <w:tcPr>
            <w:tcW w:w="2119" w:type="dxa"/>
            <w:gridSpan w:val="2"/>
            <w:shd w:val="clear" w:color="auto" w:fill="auto"/>
            <w:vAlign w:val="center"/>
            <w:hideMark/>
          </w:tcPr>
          <w:p w:rsidR="0059469F" w:rsidRPr="00517E09" w:rsidRDefault="0059469F" w:rsidP="0059469F">
            <w:pPr>
              <w:widowControl/>
              <w:overflowPunct/>
              <w:autoSpaceDE/>
              <w:autoSpaceDN/>
              <w:adjustRightInd/>
              <w:spacing w:before="0" w:after="0"/>
              <w:jc w:val="center"/>
              <w:rPr>
                <w:rFonts w:ascii="Arial Narrow" w:hAnsi="Arial Narrow" w:cs="Arial"/>
                <w:b/>
                <w:bCs/>
                <w:kern w:val="0"/>
                <w:sz w:val="18"/>
                <w:szCs w:val="18"/>
              </w:rPr>
            </w:pPr>
            <w:r w:rsidRPr="00517E09">
              <w:rPr>
                <w:rFonts w:ascii="Arial Narrow" w:hAnsi="Arial Narrow" w:cs="Arial"/>
                <w:b/>
                <w:bCs/>
                <w:kern w:val="0"/>
                <w:sz w:val="18"/>
                <w:szCs w:val="18"/>
              </w:rPr>
              <w:t>Variazioni congiunturali</w:t>
            </w:r>
          </w:p>
        </w:tc>
        <w:tc>
          <w:tcPr>
            <w:tcW w:w="2119" w:type="dxa"/>
            <w:gridSpan w:val="2"/>
            <w:shd w:val="clear" w:color="000000" w:fill="D9D9D9"/>
            <w:vAlign w:val="center"/>
            <w:hideMark/>
          </w:tcPr>
          <w:p w:rsidR="0059469F" w:rsidRPr="00517E09" w:rsidRDefault="0059469F" w:rsidP="0059469F">
            <w:pPr>
              <w:widowControl/>
              <w:overflowPunct/>
              <w:autoSpaceDE/>
              <w:autoSpaceDN/>
              <w:adjustRightInd/>
              <w:spacing w:before="0" w:after="0"/>
              <w:jc w:val="center"/>
              <w:rPr>
                <w:rFonts w:ascii="Arial Narrow" w:hAnsi="Arial Narrow" w:cs="Arial"/>
                <w:b/>
                <w:bCs/>
                <w:kern w:val="0"/>
                <w:sz w:val="18"/>
                <w:szCs w:val="18"/>
              </w:rPr>
            </w:pPr>
            <w:r w:rsidRPr="00517E09">
              <w:rPr>
                <w:rFonts w:ascii="Arial Narrow" w:hAnsi="Arial Narrow" w:cs="Arial"/>
                <w:b/>
                <w:bCs/>
                <w:kern w:val="0"/>
                <w:sz w:val="18"/>
                <w:szCs w:val="18"/>
              </w:rPr>
              <w:t>Variazioni tendenziali</w:t>
            </w:r>
          </w:p>
        </w:tc>
        <w:tc>
          <w:tcPr>
            <w:tcW w:w="1059" w:type="dxa"/>
            <w:vMerge w:val="restart"/>
            <w:shd w:val="clear" w:color="auto" w:fill="auto"/>
            <w:vAlign w:val="center"/>
            <w:hideMark/>
          </w:tcPr>
          <w:p w:rsidR="0059469F" w:rsidRPr="008814F3" w:rsidRDefault="00A8510F" w:rsidP="00DE5A79">
            <w:pPr>
              <w:widowControl/>
              <w:overflowPunct/>
              <w:autoSpaceDE/>
              <w:autoSpaceDN/>
              <w:adjustRightInd/>
              <w:spacing w:before="40" w:after="20"/>
              <w:jc w:val="right"/>
              <w:rPr>
                <w:rFonts w:ascii="Arial Narrow" w:hAnsi="Arial Narrow" w:cs="Arial"/>
                <w:b/>
                <w:bCs/>
                <w:kern w:val="0"/>
                <w:sz w:val="18"/>
                <w:szCs w:val="18"/>
              </w:rPr>
            </w:pPr>
            <w:r w:rsidRPr="008814F3">
              <w:rPr>
                <w:rFonts w:ascii="Arial Narrow" w:hAnsi="Arial Narrow" w:cs="Arial"/>
                <w:b/>
                <w:bCs/>
                <w:kern w:val="0"/>
                <w:sz w:val="18"/>
                <w:szCs w:val="18"/>
              </w:rPr>
              <w:t>Inflazione</w:t>
            </w:r>
            <w:r>
              <w:rPr>
                <w:rFonts w:ascii="Arial Narrow" w:hAnsi="Arial Narrow" w:cs="Arial"/>
                <w:b/>
                <w:bCs/>
                <w:kern w:val="0"/>
                <w:sz w:val="18"/>
                <w:szCs w:val="18"/>
              </w:rPr>
              <w:t xml:space="preserve"> </w:t>
            </w:r>
            <w:r w:rsidRPr="008814F3">
              <w:rPr>
                <w:rFonts w:ascii="Arial Narrow" w:hAnsi="Arial Narrow" w:cs="Arial"/>
                <w:b/>
                <w:bCs/>
                <w:kern w:val="0"/>
                <w:sz w:val="18"/>
                <w:szCs w:val="18"/>
              </w:rPr>
              <w:t>acquisita</w:t>
            </w:r>
            <w:r w:rsidR="004F4FAE">
              <w:rPr>
                <w:rFonts w:ascii="Arial Narrow" w:hAnsi="Arial Narrow" w:cs="Arial"/>
                <w:b/>
                <w:bCs/>
                <w:kern w:val="0"/>
                <w:sz w:val="18"/>
                <w:szCs w:val="18"/>
              </w:rPr>
              <w:t xml:space="preserve"> </w:t>
            </w:r>
            <w:r>
              <w:rPr>
                <w:rFonts w:ascii="Arial Narrow" w:hAnsi="Arial Narrow" w:cs="Arial"/>
                <w:b/>
                <w:bCs/>
                <w:kern w:val="0"/>
                <w:sz w:val="18"/>
                <w:szCs w:val="18"/>
              </w:rPr>
              <w:t xml:space="preserve">a </w:t>
            </w:r>
            <w:r w:rsidR="00FD38B0">
              <w:rPr>
                <w:rFonts w:ascii="Arial Narrow" w:hAnsi="Arial Narrow" w:cs="Arial"/>
                <w:b/>
                <w:bCs/>
                <w:kern w:val="0"/>
                <w:sz w:val="18"/>
                <w:szCs w:val="18"/>
              </w:rPr>
              <w:t>novembre</w:t>
            </w:r>
          </w:p>
        </w:tc>
      </w:tr>
      <w:tr w:rsidR="006263D7" w:rsidRPr="00517E09" w:rsidTr="0059469F">
        <w:trPr>
          <w:trHeight w:val="255"/>
        </w:trPr>
        <w:tc>
          <w:tcPr>
            <w:tcW w:w="3797" w:type="dxa"/>
            <w:vMerge/>
            <w:vAlign w:val="center"/>
            <w:hideMark/>
          </w:tcPr>
          <w:p w:rsidR="006263D7" w:rsidRPr="00517E09" w:rsidRDefault="006263D7" w:rsidP="006263D7">
            <w:pPr>
              <w:widowControl/>
              <w:overflowPunct/>
              <w:autoSpaceDE/>
              <w:autoSpaceDN/>
              <w:adjustRightInd/>
              <w:spacing w:before="0" w:after="0"/>
              <w:rPr>
                <w:rFonts w:ascii="Arial Narrow" w:hAnsi="Arial Narrow" w:cs="Arial"/>
                <w:b/>
                <w:bCs/>
                <w:kern w:val="0"/>
                <w:sz w:val="18"/>
                <w:szCs w:val="18"/>
              </w:rPr>
            </w:pPr>
          </w:p>
        </w:tc>
        <w:tc>
          <w:tcPr>
            <w:tcW w:w="1059" w:type="dxa"/>
            <w:vMerge/>
            <w:vAlign w:val="center"/>
            <w:hideMark/>
          </w:tcPr>
          <w:p w:rsidR="006263D7" w:rsidRPr="00517E09" w:rsidRDefault="006263D7" w:rsidP="006263D7">
            <w:pPr>
              <w:widowControl/>
              <w:overflowPunct/>
              <w:autoSpaceDE/>
              <w:autoSpaceDN/>
              <w:adjustRightInd/>
              <w:spacing w:before="0" w:after="0"/>
              <w:rPr>
                <w:rFonts w:ascii="Arial Narrow" w:hAnsi="Arial Narrow" w:cs="Arial"/>
                <w:b/>
                <w:bCs/>
                <w:kern w:val="0"/>
                <w:sz w:val="18"/>
                <w:szCs w:val="18"/>
              </w:rPr>
            </w:pPr>
          </w:p>
        </w:tc>
        <w:tc>
          <w:tcPr>
            <w:tcW w:w="1059"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nov-22</w:t>
            </w:r>
          </w:p>
          <w:p w:rsidR="006263D7" w:rsidRPr="00E03E58" w:rsidRDefault="006263D7" w:rsidP="006263D7">
            <w:pPr>
              <w:widowControl/>
              <w:overflowPunct/>
              <w:autoSpaceDE/>
              <w:autoSpaceDN/>
              <w:adjustRightInd/>
              <w:spacing w:before="40" w:after="20"/>
              <w:jc w:val="right"/>
              <w:rPr>
                <w:rFonts w:ascii="Arial Narrow" w:hAnsi="Arial Narrow" w:cs="Arial"/>
                <w:kern w:val="0"/>
                <w:sz w:val="18"/>
                <w:szCs w:val="18"/>
              </w:rPr>
            </w:pPr>
            <w:r>
              <w:rPr>
                <w:rFonts w:ascii="Arial Narrow" w:hAnsi="Arial Narrow" w:cs="Arial"/>
                <w:kern w:val="0"/>
                <w:sz w:val="18"/>
                <w:szCs w:val="18"/>
              </w:rPr>
              <w:t>ott-22</w:t>
            </w:r>
          </w:p>
        </w:tc>
        <w:tc>
          <w:tcPr>
            <w:tcW w:w="1060"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nov-21</w:t>
            </w:r>
          </w:p>
          <w:p w:rsidR="006263D7" w:rsidRPr="008814F3"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ott-21</w:t>
            </w:r>
          </w:p>
        </w:tc>
        <w:tc>
          <w:tcPr>
            <w:tcW w:w="1059"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nov-22</w:t>
            </w:r>
          </w:p>
          <w:p w:rsidR="006263D7" w:rsidRPr="008814F3"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nov-21</w:t>
            </w:r>
          </w:p>
        </w:tc>
        <w:tc>
          <w:tcPr>
            <w:tcW w:w="1060"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ott-22</w:t>
            </w:r>
          </w:p>
          <w:p w:rsidR="006263D7" w:rsidRPr="008814F3"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ott-21</w:t>
            </w:r>
          </w:p>
        </w:tc>
        <w:tc>
          <w:tcPr>
            <w:tcW w:w="1059" w:type="dxa"/>
            <w:vMerge/>
            <w:shd w:val="clear" w:color="auto" w:fill="auto"/>
            <w:vAlign w:val="center"/>
            <w:hideMark/>
          </w:tcPr>
          <w:p w:rsidR="006263D7" w:rsidRPr="00517E09" w:rsidRDefault="006263D7" w:rsidP="006263D7">
            <w:pPr>
              <w:widowControl/>
              <w:overflowPunct/>
              <w:autoSpaceDE/>
              <w:autoSpaceDN/>
              <w:adjustRightInd/>
              <w:spacing w:before="0" w:after="0"/>
              <w:jc w:val="right"/>
              <w:rPr>
                <w:rFonts w:ascii="Arial Narrow" w:hAnsi="Arial Narrow" w:cs="Arial"/>
                <w:b/>
                <w:bCs/>
                <w:kern w:val="0"/>
                <w:sz w:val="18"/>
                <w:szCs w:val="18"/>
              </w:rPr>
            </w:pPr>
          </w:p>
        </w:tc>
      </w:tr>
      <w:tr w:rsidR="006E6AE5" w:rsidRPr="00D23AC7" w:rsidTr="000112A8">
        <w:trPr>
          <w:trHeight w:val="255"/>
        </w:trPr>
        <w:tc>
          <w:tcPr>
            <w:tcW w:w="3797" w:type="dxa"/>
            <w:shd w:val="clear" w:color="auto" w:fill="auto"/>
            <w:vAlign w:val="center"/>
            <w:hideMark/>
          </w:tcPr>
          <w:p w:rsidR="006E6AE5" w:rsidRPr="00517E09" w:rsidRDefault="006E6AE5" w:rsidP="006E6AE5">
            <w:pPr>
              <w:widowControl/>
              <w:overflowPunct/>
              <w:autoSpaceDE/>
              <w:autoSpaceDN/>
              <w:adjustRightInd/>
              <w:spacing w:before="0" w:after="0"/>
              <w:rPr>
                <w:rFonts w:ascii="Arial Narrow" w:hAnsi="Arial Narrow" w:cs="Arial"/>
                <w:kern w:val="0"/>
                <w:sz w:val="18"/>
                <w:szCs w:val="18"/>
              </w:rPr>
            </w:pPr>
            <w:r w:rsidRPr="00517E09">
              <w:rPr>
                <w:rFonts w:ascii="Arial Narrow" w:hAnsi="Arial Narrow" w:cs="Arial"/>
                <w:kern w:val="0"/>
                <w:sz w:val="18"/>
                <w:szCs w:val="18"/>
              </w:rPr>
              <w:t>Alta frequenza</w:t>
            </w:r>
          </w:p>
        </w:tc>
        <w:tc>
          <w:tcPr>
            <w:tcW w:w="1059" w:type="dxa"/>
            <w:shd w:val="clear" w:color="000000" w:fill="D9D9D9"/>
            <w:vAlign w:val="center"/>
          </w:tcPr>
          <w:p w:rsidR="006E6AE5" w:rsidRPr="001B2590" w:rsidRDefault="006E6AE5" w:rsidP="006E6AE5">
            <w:pPr>
              <w:widowControl/>
              <w:overflowPunct/>
              <w:autoSpaceDE/>
              <w:autoSpaceDN/>
              <w:adjustRightInd/>
              <w:spacing w:before="0" w:after="0"/>
              <w:jc w:val="right"/>
              <w:rPr>
                <w:rFonts w:ascii="Arial Narrow" w:hAnsi="Arial Narrow" w:cs="Arial"/>
                <w:kern w:val="0"/>
                <w:sz w:val="18"/>
                <w:szCs w:val="18"/>
              </w:rPr>
            </w:pPr>
            <w:r w:rsidRPr="001B2590">
              <w:rPr>
                <w:rFonts w:ascii="Arial Narrow" w:hAnsi="Arial Narrow" w:cs="Arial"/>
                <w:kern w:val="0"/>
                <w:sz w:val="18"/>
                <w:szCs w:val="18"/>
              </w:rPr>
              <w:t>414.890</w:t>
            </w:r>
          </w:p>
        </w:tc>
        <w:tc>
          <w:tcPr>
            <w:tcW w:w="1059" w:type="dxa"/>
            <w:shd w:val="clear" w:color="auto" w:fill="auto"/>
            <w:vAlign w:val="center"/>
          </w:tcPr>
          <w:p w:rsidR="006E6AE5" w:rsidRPr="006E6AE5" w:rsidRDefault="006E6AE5" w:rsidP="00DE5A79">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+0,7</w:t>
            </w:r>
          </w:p>
        </w:tc>
        <w:tc>
          <w:tcPr>
            <w:tcW w:w="1060" w:type="dxa"/>
            <w:shd w:val="clear" w:color="000000" w:fill="D9D9D9"/>
            <w:vAlign w:val="center"/>
          </w:tcPr>
          <w:p w:rsidR="006E6AE5" w:rsidRPr="006E6AE5" w:rsidRDefault="006E6AE5" w:rsidP="00DE5A79">
            <w:pPr>
              <w:spacing w:before="0" w:after="0"/>
              <w:jc w:val="right"/>
              <w:rPr>
                <w:rFonts w:ascii="Arial Narrow" w:hAnsi="Arial Narrow" w:cs="Arial"/>
                <w:kern w:val="0"/>
                <w:sz w:val="18"/>
                <w:szCs w:val="18"/>
              </w:rPr>
            </w:pPr>
            <w:r w:rsidRPr="006E6AE5">
              <w:rPr>
                <w:rFonts w:ascii="Arial Narrow" w:hAnsi="Arial Narrow" w:cs="Arial"/>
                <w:kern w:val="0"/>
                <w:sz w:val="18"/>
                <w:szCs w:val="18"/>
              </w:rPr>
              <w:t>+0,7</w:t>
            </w:r>
          </w:p>
        </w:tc>
        <w:tc>
          <w:tcPr>
            <w:tcW w:w="1059" w:type="dxa"/>
            <w:shd w:val="clear" w:color="auto" w:fill="auto"/>
            <w:vAlign w:val="center"/>
          </w:tcPr>
          <w:p w:rsidR="006E6AE5" w:rsidRPr="006E6AE5" w:rsidRDefault="006E6AE5" w:rsidP="00DE5A79">
            <w:pPr>
              <w:spacing w:before="0" w:after="0"/>
              <w:jc w:val="right"/>
              <w:rPr>
                <w:rFonts w:ascii="Arial Narrow" w:hAnsi="Arial Narrow" w:cs="Arial"/>
                <w:kern w:val="0"/>
                <w:sz w:val="18"/>
                <w:szCs w:val="18"/>
              </w:rPr>
            </w:pPr>
            <w:r w:rsidRPr="006E6AE5">
              <w:rPr>
                <w:rFonts w:ascii="Arial Narrow" w:hAnsi="Arial Narrow" w:cs="Arial"/>
                <w:kern w:val="0"/>
                <w:sz w:val="18"/>
                <w:szCs w:val="18"/>
              </w:rPr>
              <w:t>+8,8</w:t>
            </w:r>
          </w:p>
        </w:tc>
        <w:tc>
          <w:tcPr>
            <w:tcW w:w="1060" w:type="dxa"/>
            <w:shd w:val="clear" w:color="000000" w:fill="D9D9D9"/>
            <w:vAlign w:val="center"/>
          </w:tcPr>
          <w:p w:rsidR="006E6AE5" w:rsidRPr="006E6AE5" w:rsidRDefault="006E6AE5" w:rsidP="00DE5A79">
            <w:pPr>
              <w:spacing w:before="0" w:after="0"/>
              <w:jc w:val="right"/>
              <w:rPr>
                <w:rFonts w:ascii="Arial Narrow" w:hAnsi="Arial Narrow" w:cs="Arial"/>
                <w:kern w:val="0"/>
                <w:sz w:val="18"/>
                <w:szCs w:val="18"/>
              </w:rPr>
            </w:pPr>
            <w:r w:rsidRPr="006E6AE5">
              <w:rPr>
                <w:rFonts w:ascii="Arial Narrow" w:hAnsi="Arial Narrow" w:cs="Arial"/>
                <w:kern w:val="0"/>
                <w:sz w:val="18"/>
                <w:szCs w:val="18"/>
              </w:rPr>
              <w:t>+8,9</w:t>
            </w:r>
          </w:p>
        </w:tc>
        <w:tc>
          <w:tcPr>
            <w:tcW w:w="1059" w:type="dxa"/>
            <w:shd w:val="clear" w:color="auto" w:fill="auto"/>
            <w:vAlign w:val="center"/>
          </w:tcPr>
          <w:p w:rsidR="006E6AE5" w:rsidRPr="006E6AE5" w:rsidRDefault="006E6AE5" w:rsidP="00DE5A79">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+7,3</w:t>
            </w:r>
          </w:p>
        </w:tc>
      </w:tr>
      <w:tr w:rsidR="006E6AE5" w:rsidRPr="00517E09" w:rsidTr="000112A8">
        <w:trPr>
          <w:trHeight w:val="255"/>
        </w:trPr>
        <w:tc>
          <w:tcPr>
            <w:tcW w:w="3797" w:type="dxa"/>
            <w:shd w:val="clear" w:color="auto" w:fill="auto"/>
            <w:vAlign w:val="center"/>
            <w:hideMark/>
          </w:tcPr>
          <w:p w:rsidR="006E6AE5" w:rsidRPr="00517E09" w:rsidRDefault="006E6AE5" w:rsidP="006E6AE5">
            <w:pPr>
              <w:widowControl/>
              <w:overflowPunct/>
              <w:autoSpaceDE/>
              <w:autoSpaceDN/>
              <w:adjustRightInd/>
              <w:spacing w:before="0" w:after="0"/>
              <w:rPr>
                <w:rFonts w:ascii="Arial Narrow" w:hAnsi="Arial Narrow" w:cs="Arial"/>
                <w:kern w:val="0"/>
                <w:sz w:val="18"/>
                <w:szCs w:val="18"/>
              </w:rPr>
            </w:pPr>
            <w:r w:rsidRPr="00517E09">
              <w:rPr>
                <w:rFonts w:ascii="Arial Narrow" w:hAnsi="Arial Narrow" w:cs="Arial"/>
                <w:kern w:val="0"/>
                <w:sz w:val="18"/>
                <w:szCs w:val="18"/>
              </w:rPr>
              <w:t xml:space="preserve">Media frequenza </w:t>
            </w:r>
          </w:p>
        </w:tc>
        <w:tc>
          <w:tcPr>
            <w:tcW w:w="1059" w:type="dxa"/>
            <w:shd w:val="clear" w:color="000000" w:fill="D9D9D9"/>
            <w:vAlign w:val="center"/>
          </w:tcPr>
          <w:p w:rsidR="006E6AE5" w:rsidRPr="001B2590" w:rsidRDefault="006E6AE5" w:rsidP="006E6AE5">
            <w:pPr>
              <w:widowControl/>
              <w:overflowPunct/>
              <w:autoSpaceDE/>
              <w:autoSpaceDN/>
              <w:adjustRightInd/>
              <w:spacing w:before="0" w:after="0"/>
              <w:jc w:val="right"/>
              <w:rPr>
                <w:rFonts w:ascii="Arial Narrow" w:hAnsi="Arial Narrow" w:cs="Arial"/>
                <w:kern w:val="0"/>
                <w:sz w:val="18"/>
                <w:szCs w:val="18"/>
              </w:rPr>
            </w:pPr>
            <w:r w:rsidRPr="001B2590">
              <w:rPr>
                <w:rFonts w:ascii="Arial Narrow" w:hAnsi="Arial Narrow" w:cs="Arial"/>
                <w:kern w:val="0"/>
                <w:sz w:val="18"/>
                <w:szCs w:val="18"/>
              </w:rPr>
              <w:t>387.426</w:t>
            </w:r>
          </w:p>
        </w:tc>
        <w:tc>
          <w:tcPr>
            <w:tcW w:w="105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+0,6</w:t>
            </w:r>
          </w:p>
        </w:tc>
        <w:tc>
          <w:tcPr>
            <w:tcW w:w="106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+0,6</w:t>
            </w:r>
          </w:p>
        </w:tc>
        <w:tc>
          <w:tcPr>
            <w:tcW w:w="105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+18,7</w:t>
            </w:r>
          </w:p>
        </w:tc>
        <w:tc>
          <w:tcPr>
            <w:tcW w:w="106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+18,7</w:t>
            </w:r>
          </w:p>
        </w:tc>
        <w:tc>
          <w:tcPr>
            <w:tcW w:w="105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+11,7</w:t>
            </w:r>
          </w:p>
        </w:tc>
      </w:tr>
      <w:tr w:rsidR="006E6AE5" w:rsidRPr="00517E09" w:rsidTr="000112A8">
        <w:trPr>
          <w:trHeight w:val="255"/>
        </w:trPr>
        <w:tc>
          <w:tcPr>
            <w:tcW w:w="3797" w:type="dxa"/>
            <w:shd w:val="clear" w:color="auto" w:fill="auto"/>
            <w:vAlign w:val="center"/>
            <w:hideMark/>
          </w:tcPr>
          <w:p w:rsidR="006E6AE5" w:rsidRPr="00517E09" w:rsidRDefault="006E6AE5" w:rsidP="006E6AE5">
            <w:pPr>
              <w:widowControl/>
              <w:overflowPunct/>
              <w:autoSpaceDE/>
              <w:autoSpaceDN/>
              <w:adjustRightInd/>
              <w:spacing w:before="0" w:after="0"/>
              <w:rPr>
                <w:rFonts w:ascii="Arial Narrow" w:hAnsi="Arial Narrow" w:cs="Arial"/>
                <w:kern w:val="0"/>
                <w:sz w:val="18"/>
                <w:szCs w:val="18"/>
              </w:rPr>
            </w:pPr>
            <w:r w:rsidRPr="00517E09">
              <w:rPr>
                <w:rFonts w:ascii="Arial Narrow" w:hAnsi="Arial Narrow" w:cs="Arial"/>
                <w:kern w:val="0"/>
                <w:sz w:val="18"/>
                <w:szCs w:val="18"/>
              </w:rPr>
              <w:t xml:space="preserve">Bassa frequenza </w:t>
            </w:r>
          </w:p>
        </w:tc>
        <w:tc>
          <w:tcPr>
            <w:tcW w:w="1059" w:type="dxa"/>
            <w:shd w:val="clear" w:color="000000" w:fill="D9D9D9"/>
            <w:vAlign w:val="center"/>
          </w:tcPr>
          <w:p w:rsidR="006E6AE5" w:rsidRPr="001B2590" w:rsidRDefault="006E6AE5" w:rsidP="006E6AE5">
            <w:pPr>
              <w:widowControl/>
              <w:overflowPunct/>
              <w:autoSpaceDE/>
              <w:autoSpaceDN/>
              <w:adjustRightInd/>
              <w:spacing w:before="0" w:after="0"/>
              <w:jc w:val="right"/>
              <w:rPr>
                <w:rFonts w:ascii="Arial Narrow" w:hAnsi="Arial Narrow" w:cs="Arial"/>
                <w:kern w:val="0"/>
                <w:sz w:val="18"/>
                <w:szCs w:val="18"/>
              </w:rPr>
            </w:pPr>
            <w:r w:rsidRPr="001B2590">
              <w:rPr>
                <w:rFonts w:ascii="Arial Narrow" w:hAnsi="Arial Narrow" w:cs="Arial"/>
                <w:kern w:val="0"/>
                <w:sz w:val="18"/>
                <w:szCs w:val="18"/>
              </w:rPr>
              <w:t>197.684</w:t>
            </w:r>
          </w:p>
        </w:tc>
        <w:tc>
          <w:tcPr>
            <w:tcW w:w="105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+0,2</w:t>
            </w:r>
          </w:p>
        </w:tc>
        <w:tc>
          <w:tcPr>
            <w:tcW w:w="106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+0,2</w:t>
            </w:r>
          </w:p>
        </w:tc>
        <w:tc>
          <w:tcPr>
            <w:tcW w:w="105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+4,5</w:t>
            </w:r>
          </w:p>
        </w:tc>
        <w:tc>
          <w:tcPr>
            <w:tcW w:w="106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+4,5</w:t>
            </w:r>
          </w:p>
        </w:tc>
        <w:tc>
          <w:tcPr>
            <w:tcW w:w="105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+3,0</w:t>
            </w:r>
          </w:p>
        </w:tc>
      </w:tr>
      <w:tr w:rsidR="006E6AE5" w:rsidRPr="00EE3BCC" w:rsidTr="000112A8">
        <w:trPr>
          <w:trHeight w:val="255"/>
        </w:trPr>
        <w:tc>
          <w:tcPr>
            <w:tcW w:w="3797" w:type="dxa"/>
            <w:shd w:val="clear" w:color="000000" w:fill="E42618"/>
            <w:vAlign w:val="center"/>
            <w:hideMark/>
          </w:tcPr>
          <w:p w:rsidR="006E6AE5" w:rsidRPr="00EE3BCC" w:rsidRDefault="006E6AE5" w:rsidP="006E6AE5">
            <w:pPr>
              <w:widowControl/>
              <w:overflowPunct/>
              <w:autoSpaceDE/>
              <w:autoSpaceDN/>
              <w:adjustRightInd/>
              <w:spacing w:before="0" w:after="0"/>
              <w:rPr>
                <w:rFonts w:ascii="Arial Narrow" w:hAnsi="Arial Narrow" w:cs="Arial"/>
                <w:b/>
                <w:color w:val="FFFFFF" w:themeColor="background1"/>
                <w:kern w:val="0"/>
                <w:sz w:val="18"/>
                <w:szCs w:val="18"/>
              </w:rPr>
            </w:pPr>
            <w:r w:rsidRPr="00EE3BCC">
              <w:rPr>
                <w:rFonts w:ascii="Arial Narrow" w:hAnsi="Arial Narrow" w:cs="Arial"/>
                <w:b/>
                <w:color w:val="FFFFFF" w:themeColor="background1"/>
                <w:kern w:val="0"/>
                <w:sz w:val="18"/>
                <w:szCs w:val="18"/>
              </w:rPr>
              <w:t>Indice generale</w:t>
            </w:r>
          </w:p>
        </w:tc>
        <w:tc>
          <w:tcPr>
            <w:tcW w:w="1059" w:type="dxa"/>
            <w:shd w:val="clear" w:color="000000" w:fill="E42618"/>
            <w:vAlign w:val="center"/>
          </w:tcPr>
          <w:p w:rsidR="006E6AE5" w:rsidRPr="001B2590" w:rsidRDefault="006E6AE5" w:rsidP="006E6AE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1B2590">
              <w:rPr>
                <w:rFonts w:ascii="Arial Narrow" w:hAnsi="Arial Narrow" w:cs="Arial"/>
                <w:b/>
                <w:color w:val="FFFFFF" w:themeColor="background1"/>
                <w:kern w:val="0"/>
                <w:sz w:val="18"/>
                <w:szCs w:val="18"/>
              </w:rPr>
              <w:t>1.000.000</w:t>
            </w:r>
          </w:p>
        </w:tc>
        <w:tc>
          <w:tcPr>
            <w:tcW w:w="1059" w:type="dxa"/>
            <w:shd w:val="clear" w:color="000000" w:fill="E42618"/>
            <w:vAlign w:val="center"/>
          </w:tcPr>
          <w:p w:rsidR="006E6AE5" w:rsidRPr="006E6AE5" w:rsidRDefault="006E6AE5" w:rsidP="006E6AE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E6AE5">
              <w:rPr>
                <w:rFonts w:ascii="Arial Narrow" w:hAnsi="Arial Narrow" w:cs="Arial"/>
                <w:b/>
                <w:color w:val="FFFFFF" w:themeColor="background1"/>
                <w:kern w:val="0"/>
                <w:sz w:val="18"/>
                <w:szCs w:val="18"/>
              </w:rPr>
              <w:t>+0,5</w:t>
            </w:r>
          </w:p>
        </w:tc>
        <w:tc>
          <w:tcPr>
            <w:tcW w:w="1060" w:type="dxa"/>
            <w:shd w:val="clear" w:color="000000" w:fill="E42618"/>
            <w:vAlign w:val="center"/>
          </w:tcPr>
          <w:p w:rsidR="006E6AE5" w:rsidRPr="006E6AE5" w:rsidRDefault="006E6AE5" w:rsidP="006E6AE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E6AE5">
              <w:rPr>
                <w:rFonts w:ascii="Arial Narrow" w:hAnsi="Arial Narrow" w:cs="Arial"/>
                <w:b/>
                <w:color w:val="FFFFFF" w:themeColor="background1"/>
                <w:kern w:val="0"/>
                <w:sz w:val="18"/>
                <w:szCs w:val="18"/>
              </w:rPr>
              <w:t>+0,6</w:t>
            </w:r>
          </w:p>
        </w:tc>
        <w:tc>
          <w:tcPr>
            <w:tcW w:w="1059" w:type="dxa"/>
            <w:shd w:val="clear" w:color="000000" w:fill="E42618"/>
            <w:vAlign w:val="center"/>
          </w:tcPr>
          <w:p w:rsidR="006E6AE5" w:rsidRPr="006E6AE5" w:rsidRDefault="006E6AE5" w:rsidP="006E6AE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E6AE5">
              <w:rPr>
                <w:rFonts w:ascii="Arial Narrow" w:hAnsi="Arial Narrow" w:cs="Arial"/>
                <w:b/>
                <w:color w:val="FFFFFF" w:themeColor="background1"/>
                <w:kern w:val="0"/>
                <w:sz w:val="18"/>
                <w:szCs w:val="18"/>
              </w:rPr>
              <w:t>+11,8</w:t>
            </w:r>
          </w:p>
        </w:tc>
        <w:tc>
          <w:tcPr>
            <w:tcW w:w="1060" w:type="dxa"/>
            <w:shd w:val="clear" w:color="000000" w:fill="E42618"/>
            <w:vAlign w:val="center"/>
          </w:tcPr>
          <w:p w:rsidR="006E6AE5" w:rsidRPr="006E6AE5" w:rsidRDefault="006E6AE5" w:rsidP="006E6AE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E6AE5">
              <w:rPr>
                <w:rFonts w:ascii="Arial Narrow" w:hAnsi="Arial Narrow" w:cs="Arial"/>
                <w:b/>
                <w:color w:val="FFFFFF" w:themeColor="background1"/>
                <w:kern w:val="0"/>
                <w:sz w:val="18"/>
                <w:szCs w:val="18"/>
              </w:rPr>
              <w:t>+11,8</w:t>
            </w:r>
          </w:p>
        </w:tc>
        <w:tc>
          <w:tcPr>
            <w:tcW w:w="1059" w:type="dxa"/>
            <w:shd w:val="clear" w:color="000000" w:fill="E42618"/>
            <w:vAlign w:val="center"/>
          </w:tcPr>
          <w:p w:rsidR="006E6AE5" w:rsidRPr="006E6AE5" w:rsidRDefault="006E6AE5" w:rsidP="006E6AE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E6AE5">
              <w:rPr>
                <w:rFonts w:ascii="Arial Narrow" w:hAnsi="Arial Narrow" w:cs="Arial"/>
                <w:b/>
                <w:color w:val="FFFFFF" w:themeColor="background1"/>
                <w:kern w:val="0"/>
                <w:sz w:val="18"/>
                <w:szCs w:val="18"/>
              </w:rPr>
              <w:t>+8,1</w:t>
            </w:r>
          </w:p>
        </w:tc>
      </w:tr>
    </w:tbl>
    <w:p w:rsidR="0059469F" w:rsidRPr="00EE3BCC" w:rsidRDefault="0059469F" w:rsidP="00EE3BCC">
      <w:pPr>
        <w:widowControl/>
        <w:overflowPunct/>
        <w:autoSpaceDE/>
        <w:autoSpaceDN/>
        <w:adjustRightInd/>
        <w:spacing w:before="0" w:after="0"/>
        <w:jc w:val="right"/>
        <w:rPr>
          <w:rFonts w:ascii="Arial Narrow" w:hAnsi="Arial Narrow" w:cs="Arial"/>
          <w:b/>
          <w:color w:val="FFFFFF" w:themeColor="background1"/>
          <w:kern w:val="0"/>
          <w:sz w:val="18"/>
          <w:szCs w:val="18"/>
        </w:rPr>
      </w:pPr>
    </w:p>
    <w:p w:rsidR="0059469F" w:rsidRDefault="0059469F" w:rsidP="0059469F">
      <w:pPr>
        <w:pStyle w:val="001TitoGra"/>
        <w:spacing w:after="120" w:line="240" w:lineRule="auto"/>
        <w:rPr>
          <w:color w:val="auto"/>
        </w:rPr>
      </w:pPr>
    </w:p>
    <w:p w:rsidR="008546E5" w:rsidRPr="00521958" w:rsidRDefault="008546E5" w:rsidP="0059469F">
      <w:pPr>
        <w:pStyle w:val="001TitoGra"/>
        <w:spacing w:after="120" w:line="240" w:lineRule="auto"/>
        <w:rPr>
          <w:color w:val="auto"/>
        </w:rPr>
      </w:pPr>
    </w:p>
    <w:p w:rsidR="00EB5D65" w:rsidRPr="000C11ED" w:rsidRDefault="00EB5D65" w:rsidP="00EB5D65">
      <w:pPr>
        <w:pStyle w:val="00TitoGra1"/>
        <w:spacing w:after="120" w:line="240" w:lineRule="auto"/>
        <w:rPr>
          <w:color w:val="E42618"/>
          <w:sz w:val="26"/>
          <w:szCs w:val="26"/>
        </w:rPr>
      </w:pPr>
      <w:r w:rsidRPr="000C11ED">
        <w:rPr>
          <w:color w:val="E42618"/>
          <w:sz w:val="36"/>
          <w:szCs w:val="36"/>
        </w:rPr>
        <w:t>Indice armonizzato dei prezzi al consumo (IPCA)</w:t>
      </w:r>
    </w:p>
    <w:p w:rsidR="00EB5D65" w:rsidRPr="002A3DE5" w:rsidRDefault="00EB5D65" w:rsidP="00EB5D65">
      <w:pPr>
        <w:pStyle w:val="001TitoloBolocco"/>
        <w:spacing w:after="120" w:line="240" w:lineRule="auto"/>
      </w:pPr>
      <w:r w:rsidRPr="002A3DE5">
        <w:t>Le divisioni di spesa</w:t>
      </w:r>
    </w:p>
    <w:p w:rsidR="00EB5D65" w:rsidRDefault="00EB5D65" w:rsidP="00EB5D65">
      <w:pPr>
        <w:pStyle w:val="001TitoGra"/>
        <w:spacing w:after="120" w:line="240" w:lineRule="auto"/>
        <w:rPr>
          <w:rStyle w:val="001TitoGraRed"/>
        </w:rPr>
      </w:pPr>
    </w:p>
    <w:p w:rsidR="00EB5D65" w:rsidRDefault="00EB5D65" w:rsidP="00EB5D65">
      <w:pPr>
        <w:pStyle w:val="001TitoGra"/>
      </w:pPr>
      <w:r w:rsidRPr="002B0CB4">
        <w:rPr>
          <w:rStyle w:val="001TitoGraRed"/>
        </w:rPr>
        <w:t xml:space="preserve">PROSPETTO </w:t>
      </w:r>
      <w:r>
        <w:rPr>
          <w:rStyle w:val="001TitoGraRed"/>
        </w:rPr>
        <w:t>5</w:t>
      </w:r>
      <w:r w:rsidRPr="0046482D">
        <w:rPr>
          <w:color w:val="C00000"/>
        </w:rPr>
        <w:t>.</w:t>
      </w:r>
      <w:r>
        <w:t xml:space="preserve"> INDICI</w:t>
      </w:r>
      <w:r w:rsidRPr="002A3DE5">
        <w:t xml:space="preserve"> DEI PREZZI AL CONSUMO IPCA PER DIVISIONE DI SPESA</w:t>
      </w:r>
    </w:p>
    <w:p w:rsidR="0059469F" w:rsidRDefault="00FD38B0" w:rsidP="0059469F">
      <w:pPr>
        <w:pStyle w:val="001SottotitoloGra"/>
        <w:spacing w:line="240" w:lineRule="auto"/>
      </w:pPr>
      <w:r>
        <w:t>Novembre</w:t>
      </w:r>
      <w:r w:rsidR="003A435E" w:rsidRPr="003A435E">
        <w:t xml:space="preserve"> </w:t>
      </w:r>
      <w:r w:rsidR="0059469F" w:rsidRPr="0059469F">
        <w:t>2022</w:t>
      </w:r>
      <w:r w:rsidR="005031DD" w:rsidRPr="002A3DE5">
        <w:t xml:space="preserve">, pesi e variazioni percentuali </w:t>
      </w:r>
      <w:r w:rsidR="005031DD">
        <w:t xml:space="preserve">congiunturali e tendenziali </w:t>
      </w:r>
      <w:r w:rsidR="005031DD" w:rsidRPr="002A3DE5">
        <w:t>(base 20</w:t>
      </w:r>
      <w:r w:rsidR="005031DD">
        <w:t>15</w:t>
      </w:r>
      <w:r w:rsidR="005031DD" w:rsidRPr="002A3DE5">
        <w:t>=100)</w:t>
      </w:r>
      <w:r w:rsidR="0059469F" w:rsidRPr="0059469F">
        <w:t xml:space="preserve"> </w:t>
      </w:r>
    </w:p>
    <w:tbl>
      <w:tblPr>
        <w:tblW w:w="10026"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529"/>
        <w:gridCol w:w="1038"/>
        <w:gridCol w:w="1079"/>
        <w:gridCol w:w="1059"/>
        <w:gridCol w:w="1079"/>
        <w:gridCol w:w="1080"/>
        <w:gridCol w:w="1162"/>
      </w:tblGrid>
      <w:tr w:rsidR="0059469F" w:rsidRPr="004B2A9B" w:rsidTr="0059469F">
        <w:trPr>
          <w:trHeight w:val="255"/>
          <w:jc w:val="center"/>
        </w:trPr>
        <w:tc>
          <w:tcPr>
            <w:tcW w:w="3529" w:type="dxa"/>
            <w:vMerge w:val="restart"/>
            <w:shd w:val="clear" w:color="auto" w:fill="auto"/>
            <w:vAlign w:val="center"/>
            <w:hideMark/>
          </w:tcPr>
          <w:p w:rsidR="0059469F" w:rsidRPr="004B2A9B" w:rsidRDefault="0059469F" w:rsidP="0059469F">
            <w:pPr>
              <w:widowControl/>
              <w:overflowPunct/>
              <w:autoSpaceDE/>
              <w:autoSpaceDN/>
              <w:adjustRightInd/>
              <w:spacing w:before="0" w:after="0"/>
              <w:rPr>
                <w:rFonts w:ascii="Arial Narrow" w:hAnsi="Arial Narrow" w:cs="Arial"/>
                <w:b/>
                <w:bCs/>
                <w:kern w:val="0"/>
                <w:sz w:val="18"/>
                <w:szCs w:val="18"/>
              </w:rPr>
            </w:pPr>
            <w:r w:rsidRPr="004B2A9B">
              <w:rPr>
                <w:rFonts w:ascii="Arial Narrow" w:hAnsi="Arial Narrow" w:cs="Arial"/>
                <w:b/>
                <w:bCs/>
                <w:kern w:val="0"/>
                <w:sz w:val="18"/>
                <w:szCs w:val="18"/>
              </w:rPr>
              <w:t>DIVISIONI DI SPESA</w:t>
            </w:r>
          </w:p>
        </w:tc>
        <w:tc>
          <w:tcPr>
            <w:tcW w:w="1038" w:type="dxa"/>
            <w:vMerge w:val="restart"/>
            <w:shd w:val="clear" w:color="000000" w:fill="D9D9D9"/>
            <w:vAlign w:val="center"/>
            <w:hideMark/>
          </w:tcPr>
          <w:p w:rsidR="0059469F" w:rsidRPr="004B2A9B" w:rsidRDefault="0059469F" w:rsidP="0059469F">
            <w:pPr>
              <w:widowControl/>
              <w:overflowPunct/>
              <w:autoSpaceDE/>
              <w:autoSpaceDN/>
              <w:adjustRightInd/>
              <w:spacing w:before="0" w:after="0"/>
              <w:jc w:val="right"/>
              <w:rPr>
                <w:rFonts w:ascii="Arial Narrow" w:hAnsi="Arial Narrow" w:cs="Arial"/>
                <w:b/>
                <w:bCs/>
                <w:kern w:val="0"/>
                <w:sz w:val="18"/>
                <w:szCs w:val="18"/>
              </w:rPr>
            </w:pPr>
            <w:r w:rsidRPr="004B2A9B">
              <w:rPr>
                <w:rFonts w:ascii="Arial Narrow" w:hAnsi="Arial Narrow" w:cs="Arial"/>
                <w:b/>
                <w:bCs/>
                <w:kern w:val="0"/>
                <w:sz w:val="18"/>
                <w:szCs w:val="18"/>
              </w:rPr>
              <w:t>Pesi</w:t>
            </w:r>
          </w:p>
        </w:tc>
        <w:tc>
          <w:tcPr>
            <w:tcW w:w="2138" w:type="dxa"/>
            <w:gridSpan w:val="2"/>
            <w:shd w:val="clear" w:color="auto" w:fill="auto"/>
            <w:vAlign w:val="center"/>
            <w:hideMark/>
          </w:tcPr>
          <w:p w:rsidR="0059469F" w:rsidRPr="004B2A9B" w:rsidRDefault="0059469F" w:rsidP="0059469F">
            <w:pPr>
              <w:widowControl/>
              <w:overflowPunct/>
              <w:autoSpaceDE/>
              <w:autoSpaceDN/>
              <w:adjustRightInd/>
              <w:spacing w:before="0" w:after="0"/>
              <w:jc w:val="center"/>
              <w:rPr>
                <w:rFonts w:ascii="Arial Narrow" w:hAnsi="Arial Narrow" w:cs="Arial"/>
                <w:b/>
                <w:bCs/>
                <w:kern w:val="0"/>
                <w:sz w:val="18"/>
                <w:szCs w:val="18"/>
              </w:rPr>
            </w:pPr>
            <w:r w:rsidRPr="004B2A9B">
              <w:rPr>
                <w:rFonts w:ascii="Arial Narrow" w:hAnsi="Arial Narrow" w:cs="Arial"/>
                <w:b/>
                <w:bCs/>
                <w:kern w:val="0"/>
                <w:sz w:val="18"/>
                <w:szCs w:val="18"/>
              </w:rPr>
              <w:t>Variazioni congiunturali</w:t>
            </w:r>
          </w:p>
        </w:tc>
        <w:tc>
          <w:tcPr>
            <w:tcW w:w="2159" w:type="dxa"/>
            <w:gridSpan w:val="2"/>
            <w:shd w:val="clear" w:color="000000" w:fill="D9D9D9"/>
            <w:vAlign w:val="center"/>
            <w:hideMark/>
          </w:tcPr>
          <w:p w:rsidR="0059469F" w:rsidRPr="004B2A9B" w:rsidRDefault="0059469F" w:rsidP="0059469F">
            <w:pPr>
              <w:widowControl/>
              <w:overflowPunct/>
              <w:autoSpaceDE/>
              <w:autoSpaceDN/>
              <w:adjustRightInd/>
              <w:spacing w:before="0" w:after="0"/>
              <w:jc w:val="center"/>
              <w:rPr>
                <w:rFonts w:ascii="Arial Narrow" w:hAnsi="Arial Narrow" w:cs="Arial"/>
                <w:b/>
                <w:bCs/>
                <w:kern w:val="0"/>
                <w:sz w:val="18"/>
                <w:szCs w:val="18"/>
              </w:rPr>
            </w:pPr>
            <w:r w:rsidRPr="004B2A9B">
              <w:rPr>
                <w:rFonts w:ascii="Arial Narrow" w:hAnsi="Arial Narrow" w:cs="Arial"/>
                <w:b/>
                <w:bCs/>
                <w:kern w:val="0"/>
                <w:sz w:val="18"/>
                <w:szCs w:val="18"/>
              </w:rPr>
              <w:t>Variazioni tendenziali</w:t>
            </w:r>
          </w:p>
        </w:tc>
        <w:tc>
          <w:tcPr>
            <w:tcW w:w="1162" w:type="dxa"/>
            <w:vMerge w:val="restart"/>
            <w:shd w:val="clear" w:color="auto" w:fill="auto"/>
            <w:vAlign w:val="center"/>
            <w:hideMark/>
          </w:tcPr>
          <w:p w:rsidR="0059469F" w:rsidRPr="008814F3" w:rsidRDefault="00A8510F" w:rsidP="00DE5A79">
            <w:pPr>
              <w:widowControl/>
              <w:overflowPunct/>
              <w:autoSpaceDE/>
              <w:autoSpaceDN/>
              <w:adjustRightInd/>
              <w:spacing w:before="40" w:after="20"/>
              <w:jc w:val="right"/>
              <w:rPr>
                <w:rFonts w:ascii="Arial Narrow" w:hAnsi="Arial Narrow" w:cs="Arial"/>
                <w:b/>
                <w:bCs/>
                <w:kern w:val="0"/>
                <w:sz w:val="18"/>
                <w:szCs w:val="18"/>
              </w:rPr>
            </w:pPr>
            <w:r w:rsidRPr="008814F3">
              <w:rPr>
                <w:rFonts w:ascii="Arial Narrow" w:hAnsi="Arial Narrow" w:cs="Arial"/>
                <w:b/>
                <w:bCs/>
                <w:kern w:val="0"/>
                <w:sz w:val="18"/>
                <w:szCs w:val="18"/>
              </w:rPr>
              <w:t>Inflazione</w:t>
            </w:r>
            <w:r>
              <w:rPr>
                <w:rFonts w:ascii="Arial Narrow" w:hAnsi="Arial Narrow" w:cs="Arial"/>
                <w:b/>
                <w:bCs/>
                <w:kern w:val="0"/>
                <w:sz w:val="18"/>
                <w:szCs w:val="18"/>
              </w:rPr>
              <w:t xml:space="preserve"> </w:t>
            </w:r>
            <w:r w:rsidRPr="008814F3">
              <w:rPr>
                <w:rFonts w:ascii="Arial Narrow" w:hAnsi="Arial Narrow" w:cs="Arial"/>
                <w:b/>
                <w:bCs/>
                <w:kern w:val="0"/>
                <w:sz w:val="18"/>
                <w:szCs w:val="18"/>
              </w:rPr>
              <w:t>acquisita</w:t>
            </w:r>
            <w:r>
              <w:rPr>
                <w:rFonts w:ascii="Arial Narrow" w:hAnsi="Arial Narrow" w:cs="Arial"/>
                <w:b/>
                <w:bCs/>
                <w:kern w:val="0"/>
                <w:sz w:val="18"/>
                <w:szCs w:val="18"/>
              </w:rPr>
              <w:t xml:space="preserve"> a </w:t>
            </w:r>
            <w:r w:rsidR="00FD38B0">
              <w:rPr>
                <w:rFonts w:ascii="Arial Narrow" w:hAnsi="Arial Narrow" w:cs="Arial"/>
                <w:b/>
                <w:bCs/>
                <w:kern w:val="0"/>
                <w:sz w:val="18"/>
                <w:szCs w:val="18"/>
              </w:rPr>
              <w:t>novembre</w:t>
            </w:r>
          </w:p>
        </w:tc>
      </w:tr>
      <w:tr w:rsidR="006263D7" w:rsidRPr="004B2A9B" w:rsidTr="0059469F">
        <w:trPr>
          <w:trHeight w:val="255"/>
          <w:jc w:val="center"/>
        </w:trPr>
        <w:tc>
          <w:tcPr>
            <w:tcW w:w="3529" w:type="dxa"/>
            <w:vMerge/>
            <w:vAlign w:val="center"/>
            <w:hideMark/>
          </w:tcPr>
          <w:p w:rsidR="006263D7" w:rsidRPr="004B2A9B" w:rsidRDefault="006263D7" w:rsidP="006263D7">
            <w:pPr>
              <w:widowControl/>
              <w:overflowPunct/>
              <w:autoSpaceDE/>
              <w:autoSpaceDN/>
              <w:adjustRightInd/>
              <w:spacing w:before="0" w:after="0"/>
              <w:rPr>
                <w:rFonts w:ascii="Arial Narrow" w:hAnsi="Arial Narrow" w:cs="Arial"/>
                <w:b/>
                <w:bCs/>
                <w:kern w:val="0"/>
                <w:sz w:val="18"/>
                <w:szCs w:val="18"/>
              </w:rPr>
            </w:pPr>
          </w:p>
        </w:tc>
        <w:tc>
          <w:tcPr>
            <w:tcW w:w="1038" w:type="dxa"/>
            <w:vMerge/>
            <w:vAlign w:val="center"/>
            <w:hideMark/>
          </w:tcPr>
          <w:p w:rsidR="006263D7" w:rsidRPr="004B2A9B" w:rsidRDefault="006263D7" w:rsidP="006263D7">
            <w:pPr>
              <w:widowControl/>
              <w:overflowPunct/>
              <w:autoSpaceDE/>
              <w:autoSpaceDN/>
              <w:adjustRightInd/>
              <w:spacing w:before="0" w:after="0"/>
              <w:rPr>
                <w:rFonts w:ascii="Arial Narrow" w:hAnsi="Arial Narrow" w:cs="Arial"/>
                <w:b/>
                <w:bCs/>
                <w:kern w:val="0"/>
                <w:sz w:val="18"/>
                <w:szCs w:val="18"/>
              </w:rPr>
            </w:pPr>
          </w:p>
        </w:tc>
        <w:tc>
          <w:tcPr>
            <w:tcW w:w="1079"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nov-22</w:t>
            </w:r>
          </w:p>
          <w:p w:rsidR="006263D7" w:rsidRPr="00E03E58" w:rsidRDefault="006263D7" w:rsidP="006263D7">
            <w:pPr>
              <w:widowControl/>
              <w:overflowPunct/>
              <w:autoSpaceDE/>
              <w:autoSpaceDN/>
              <w:adjustRightInd/>
              <w:spacing w:before="40" w:after="20"/>
              <w:jc w:val="right"/>
              <w:rPr>
                <w:rFonts w:ascii="Arial Narrow" w:hAnsi="Arial Narrow" w:cs="Arial"/>
                <w:kern w:val="0"/>
                <w:sz w:val="18"/>
                <w:szCs w:val="18"/>
              </w:rPr>
            </w:pPr>
            <w:r>
              <w:rPr>
                <w:rFonts w:ascii="Arial Narrow" w:hAnsi="Arial Narrow" w:cs="Arial"/>
                <w:kern w:val="0"/>
                <w:sz w:val="18"/>
                <w:szCs w:val="18"/>
              </w:rPr>
              <w:t>ott-22</w:t>
            </w:r>
          </w:p>
        </w:tc>
        <w:tc>
          <w:tcPr>
            <w:tcW w:w="1059"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nov-21</w:t>
            </w:r>
          </w:p>
          <w:p w:rsidR="006263D7" w:rsidRPr="008814F3"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ott-21</w:t>
            </w:r>
          </w:p>
        </w:tc>
        <w:tc>
          <w:tcPr>
            <w:tcW w:w="1079"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nov-22</w:t>
            </w:r>
          </w:p>
          <w:p w:rsidR="006263D7" w:rsidRPr="008814F3"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nov-21</w:t>
            </w:r>
          </w:p>
        </w:tc>
        <w:tc>
          <w:tcPr>
            <w:tcW w:w="1080"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ott-22</w:t>
            </w:r>
          </w:p>
          <w:p w:rsidR="006263D7" w:rsidRPr="008814F3"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ott-21</w:t>
            </w:r>
          </w:p>
        </w:tc>
        <w:tc>
          <w:tcPr>
            <w:tcW w:w="1162" w:type="dxa"/>
            <w:vMerge/>
            <w:shd w:val="clear" w:color="auto" w:fill="auto"/>
            <w:vAlign w:val="center"/>
            <w:hideMark/>
          </w:tcPr>
          <w:p w:rsidR="006263D7" w:rsidRPr="004B2A9B" w:rsidRDefault="006263D7" w:rsidP="006263D7">
            <w:pPr>
              <w:widowControl/>
              <w:overflowPunct/>
              <w:autoSpaceDE/>
              <w:autoSpaceDN/>
              <w:adjustRightInd/>
              <w:spacing w:before="0" w:after="20"/>
              <w:jc w:val="right"/>
              <w:rPr>
                <w:rFonts w:ascii="Arial Narrow" w:hAnsi="Arial Narrow" w:cs="Arial"/>
                <w:b/>
                <w:bCs/>
                <w:kern w:val="0"/>
                <w:sz w:val="18"/>
                <w:szCs w:val="18"/>
              </w:rPr>
            </w:pPr>
          </w:p>
        </w:tc>
      </w:tr>
      <w:tr w:rsidR="006E6AE5" w:rsidRPr="00361105" w:rsidTr="00CE00D8">
        <w:trPr>
          <w:trHeight w:val="255"/>
          <w:jc w:val="center"/>
        </w:trPr>
        <w:tc>
          <w:tcPr>
            <w:tcW w:w="3529"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Prodotti alimentari e bevande analcoliche</w:t>
            </w:r>
          </w:p>
        </w:tc>
        <w:tc>
          <w:tcPr>
            <w:tcW w:w="1038" w:type="dxa"/>
            <w:shd w:val="clear" w:color="000000" w:fill="D9D9D9"/>
            <w:vAlign w:val="center"/>
          </w:tcPr>
          <w:p w:rsidR="006E6AE5" w:rsidRPr="0060774F" w:rsidRDefault="006E6AE5" w:rsidP="006E6AE5">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194.554</w:t>
            </w:r>
          </w:p>
        </w:tc>
        <w:tc>
          <w:tcPr>
            <w:tcW w:w="1079" w:type="dxa"/>
            <w:shd w:val="clear" w:color="auto" w:fill="auto"/>
            <w:vAlign w:val="center"/>
          </w:tcPr>
          <w:p w:rsidR="006E6AE5" w:rsidRPr="006E6AE5" w:rsidRDefault="006E6AE5" w:rsidP="00DE5A79">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+1,0</w:t>
            </w:r>
          </w:p>
        </w:tc>
        <w:tc>
          <w:tcPr>
            <w:tcW w:w="1059" w:type="dxa"/>
            <w:shd w:val="clear" w:color="000000" w:fill="D9D9D9"/>
            <w:vAlign w:val="center"/>
          </w:tcPr>
          <w:p w:rsidR="006E6AE5" w:rsidRPr="006E6AE5" w:rsidRDefault="006E6AE5" w:rsidP="00DE5A79">
            <w:pPr>
              <w:spacing w:before="0" w:after="0"/>
              <w:jc w:val="right"/>
              <w:rPr>
                <w:rFonts w:ascii="Arial Narrow" w:hAnsi="Arial Narrow" w:cs="Arial"/>
                <w:kern w:val="0"/>
                <w:sz w:val="18"/>
                <w:szCs w:val="18"/>
              </w:rPr>
            </w:pPr>
            <w:r w:rsidRPr="006E6AE5">
              <w:rPr>
                <w:rFonts w:ascii="Arial Narrow" w:hAnsi="Arial Narrow" w:cs="Arial"/>
                <w:kern w:val="0"/>
                <w:sz w:val="18"/>
                <w:szCs w:val="18"/>
              </w:rPr>
              <w:t>+0,8</w:t>
            </w:r>
          </w:p>
        </w:tc>
        <w:tc>
          <w:tcPr>
            <w:tcW w:w="1079" w:type="dxa"/>
            <w:shd w:val="clear" w:color="auto" w:fill="auto"/>
            <w:vAlign w:val="center"/>
          </w:tcPr>
          <w:p w:rsidR="006E6AE5" w:rsidRPr="006E6AE5" w:rsidRDefault="006E6AE5" w:rsidP="00DE5A79">
            <w:pPr>
              <w:spacing w:before="0" w:after="0"/>
              <w:jc w:val="right"/>
              <w:rPr>
                <w:rFonts w:ascii="Arial Narrow" w:hAnsi="Arial Narrow" w:cs="Arial"/>
                <w:kern w:val="0"/>
                <w:sz w:val="18"/>
                <w:szCs w:val="18"/>
              </w:rPr>
            </w:pPr>
            <w:r w:rsidRPr="006E6AE5">
              <w:rPr>
                <w:rFonts w:ascii="Arial Narrow" w:hAnsi="Arial Narrow" w:cs="Arial"/>
                <w:kern w:val="0"/>
                <w:sz w:val="18"/>
                <w:szCs w:val="18"/>
              </w:rPr>
              <w:t>+13,8</w:t>
            </w:r>
          </w:p>
        </w:tc>
        <w:tc>
          <w:tcPr>
            <w:tcW w:w="1080" w:type="dxa"/>
            <w:shd w:val="clear" w:color="000000" w:fill="D9D9D9"/>
            <w:vAlign w:val="center"/>
          </w:tcPr>
          <w:p w:rsidR="006E6AE5" w:rsidRPr="006E6AE5" w:rsidRDefault="006E6AE5" w:rsidP="00DE5A79">
            <w:pPr>
              <w:spacing w:before="0" w:after="0"/>
              <w:jc w:val="right"/>
              <w:rPr>
                <w:rFonts w:ascii="Arial Narrow" w:hAnsi="Arial Narrow" w:cs="Arial"/>
                <w:kern w:val="0"/>
                <w:sz w:val="18"/>
                <w:szCs w:val="18"/>
              </w:rPr>
            </w:pPr>
            <w:r w:rsidRPr="006E6AE5">
              <w:rPr>
                <w:rFonts w:ascii="Arial Narrow" w:hAnsi="Arial Narrow" w:cs="Arial"/>
                <w:kern w:val="0"/>
                <w:sz w:val="18"/>
                <w:szCs w:val="18"/>
              </w:rPr>
              <w:t>+13,6</w:t>
            </w:r>
          </w:p>
        </w:tc>
        <w:tc>
          <w:tcPr>
            <w:tcW w:w="1162" w:type="dxa"/>
            <w:shd w:val="clear" w:color="auto" w:fill="auto"/>
            <w:vAlign w:val="center"/>
          </w:tcPr>
          <w:p w:rsidR="006E6AE5" w:rsidRPr="006E6AE5" w:rsidRDefault="006E6AE5" w:rsidP="00DE5A79">
            <w:pPr>
              <w:spacing w:before="0" w:after="0"/>
              <w:jc w:val="right"/>
              <w:rPr>
                <w:rFonts w:ascii="Arial Narrow" w:hAnsi="Arial Narrow" w:cs="Arial"/>
                <w:kern w:val="0"/>
                <w:sz w:val="18"/>
                <w:szCs w:val="18"/>
              </w:rPr>
            </w:pPr>
            <w:r w:rsidRPr="006E6AE5">
              <w:rPr>
                <w:rFonts w:ascii="Arial Narrow" w:hAnsi="Arial Narrow" w:cs="Arial"/>
                <w:kern w:val="0"/>
                <w:sz w:val="18"/>
                <w:szCs w:val="18"/>
              </w:rPr>
              <w:t>+9,3</w:t>
            </w:r>
          </w:p>
        </w:tc>
      </w:tr>
      <w:tr w:rsidR="006E6AE5" w:rsidRPr="004B2A9B" w:rsidTr="00CE00D8">
        <w:trPr>
          <w:trHeight w:val="255"/>
          <w:jc w:val="center"/>
        </w:trPr>
        <w:tc>
          <w:tcPr>
            <w:tcW w:w="3529"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Bevande alcoliche e tabacchi</w:t>
            </w:r>
          </w:p>
        </w:tc>
        <w:tc>
          <w:tcPr>
            <w:tcW w:w="1038" w:type="dxa"/>
            <w:shd w:val="clear" w:color="000000" w:fill="D9D9D9"/>
            <w:vAlign w:val="center"/>
          </w:tcPr>
          <w:p w:rsidR="006E6AE5" w:rsidRPr="0060774F" w:rsidRDefault="006E6AE5" w:rsidP="006E6AE5">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36.056</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+0,4</w:t>
            </w:r>
          </w:p>
        </w:tc>
        <w:tc>
          <w:tcPr>
            <w:tcW w:w="1059"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0,0</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+2,6</w:t>
            </w:r>
          </w:p>
        </w:tc>
        <w:tc>
          <w:tcPr>
            <w:tcW w:w="108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+2,2</w:t>
            </w:r>
          </w:p>
        </w:tc>
        <w:tc>
          <w:tcPr>
            <w:tcW w:w="1162"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+1,3</w:t>
            </w:r>
          </w:p>
        </w:tc>
      </w:tr>
      <w:tr w:rsidR="006E6AE5" w:rsidRPr="004B2A9B" w:rsidTr="00CE00D8">
        <w:trPr>
          <w:trHeight w:val="255"/>
          <w:jc w:val="center"/>
        </w:trPr>
        <w:tc>
          <w:tcPr>
            <w:tcW w:w="3529"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Abbigliamento e calzature</w:t>
            </w:r>
          </w:p>
        </w:tc>
        <w:tc>
          <w:tcPr>
            <w:tcW w:w="1038" w:type="dxa"/>
            <w:shd w:val="clear" w:color="000000" w:fill="D9D9D9"/>
            <w:vAlign w:val="center"/>
          </w:tcPr>
          <w:p w:rsidR="006E6AE5" w:rsidRPr="0060774F" w:rsidRDefault="006E6AE5" w:rsidP="006E6AE5">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73.176</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0,0</w:t>
            </w:r>
          </w:p>
        </w:tc>
        <w:tc>
          <w:tcPr>
            <w:tcW w:w="1059"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+0,4</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+2,9</w:t>
            </w:r>
          </w:p>
        </w:tc>
        <w:tc>
          <w:tcPr>
            <w:tcW w:w="108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+3,2</w:t>
            </w:r>
          </w:p>
        </w:tc>
        <w:tc>
          <w:tcPr>
            <w:tcW w:w="1162"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+1,5</w:t>
            </w:r>
          </w:p>
        </w:tc>
      </w:tr>
      <w:tr w:rsidR="006E6AE5" w:rsidRPr="004B2A9B" w:rsidTr="00CE00D8">
        <w:trPr>
          <w:trHeight w:val="255"/>
          <w:jc w:val="center"/>
        </w:trPr>
        <w:tc>
          <w:tcPr>
            <w:tcW w:w="3529"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Abitazione, acqua, elettricità e combustibili</w:t>
            </w:r>
          </w:p>
        </w:tc>
        <w:tc>
          <w:tcPr>
            <w:tcW w:w="1038" w:type="dxa"/>
            <w:shd w:val="clear" w:color="000000" w:fill="D9D9D9"/>
            <w:vAlign w:val="center"/>
          </w:tcPr>
          <w:p w:rsidR="006E6AE5" w:rsidRPr="0060774F" w:rsidRDefault="006E6AE5" w:rsidP="006E6AE5">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116.179</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+2,1</w:t>
            </w:r>
          </w:p>
        </w:tc>
        <w:tc>
          <w:tcPr>
            <w:tcW w:w="1059"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+2,8</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+56,3</w:t>
            </w:r>
          </w:p>
        </w:tc>
        <w:tc>
          <w:tcPr>
            <w:tcW w:w="108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+57,2</w:t>
            </w:r>
          </w:p>
        </w:tc>
        <w:tc>
          <w:tcPr>
            <w:tcW w:w="1162"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+35,1</w:t>
            </w:r>
          </w:p>
        </w:tc>
      </w:tr>
      <w:tr w:rsidR="006E6AE5" w:rsidRPr="004B2A9B" w:rsidTr="00CE00D8">
        <w:trPr>
          <w:trHeight w:val="255"/>
          <w:jc w:val="center"/>
        </w:trPr>
        <w:tc>
          <w:tcPr>
            <w:tcW w:w="3529"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Mobili, articoli e servizi per la casa</w:t>
            </w:r>
          </w:p>
        </w:tc>
        <w:tc>
          <w:tcPr>
            <w:tcW w:w="1038" w:type="dxa"/>
            <w:shd w:val="clear" w:color="000000" w:fill="D9D9D9"/>
            <w:vAlign w:val="center"/>
          </w:tcPr>
          <w:p w:rsidR="006E6AE5" w:rsidRPr="0060774F" w:rsidRDefault="006E6AE5" w:rsidP="006E6AE5">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84.989</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+0,8</w:t>
            </w:r>
          </w:p>
        </w:tc>
        <w:tc>
          <w:tcPr>
            <w:tcW w:w="1059"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+0,3</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+7,6</w:t>
            </w:r>
          </w:p>
        </w:tc>
        <w:tc>
          <w:tcPr>
            <w:tcW w:w="108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+7,0</w:t>
            </w:r>
          </w:p>
        </w:tc>
        <w:tc>
          <w:tcPr>
            <w:tcW w:w="1162"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+5,1</w:t>
            </w:r>
          </w:p>
        </w:tc>
      </w:tr>
      <w:tr w:rsidR="006E6AE5" w:rsidRPr="004B2A9B" w:rsidTr="00CE00D8">
        <w:trPr>
          <w:trHeight w:val="255"/>
          <w:jc w:val="center"/>
        </w:trPr>
        <w:tc>
          <w:tcPr>
            <w:tcW w:w="3529"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sanitari e spese per la salute</w:t>
            </w:r>
          </w:p>
        </w:tc>
        <w:tc>
          <w:tcPr>
            <w:tcW w:w="1038" w:type="dxa"/>
            <w:shd w:val="clear" w:color="000000" w:fill="D9D9D9"/>
            <w:vAlign w:val="center"/>
          </w:tcPr>
          <w:p w:rsidR="006E6AE5" w:rsidRPr="0060774F" w:rsidRDefault="006E6AE5" w:rsidP="006E6AE5">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46.145</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+0,2</w:t>
            </w:r>
          </w:p>
        </w:tc>
        <w:tc>
          <w:tcPr>
            <w:tcW w:w="1059"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+0,1</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+1,3</w:t>
            </w:r>
          </w:p>
        </w:tc>
        <w:tc>
          <w:tcPr>
            <w:tcW w:w="108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+1,2</w:t>
            </w:r>
          </w:p>
        </w:tc>
        <w:tc>
          <w:tcPr>
            <w:tcW w:w="1162"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+0,9</w:t>
            </w:r>
          </w:p>
        </w:tc>
      </w:tr>
      <w:tr w:rsidR="006E6AE5" w:rsidRPr="004B2A9B" w:rsidTr="00CE00D8">
        <w:trPr>
          <w:trHeight w:val="255"/>
          <w:jc w:val="center"/>
        </w:trPr>
        <w:tc>
          <w:tcPr>
            <w:tcW w:w="3529"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Trasporti</w:t>
            </w:r>
          </w:p>
        </w:tc>
        <w:tc>
          <w:tcPr>
            <w:tcW w:w="1038" w:type="dxa"/>
            <w:shd w:val="clear" w:color="000000" w:fill="D9D9D9"/>
            <w:vAlign w:val="center"/>
          </w:tcPr>
          <w:p w:rsidR="006E6AE5" w:rsidRPr="0060774F" w:rsidRDefault="006E6AE5" w:rsidP="006E6AE5">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153.242</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+0,1</w:t>
            </w:r>
          </w:p>
        </w:tc>
        <w:tc>
          <w:tcPr>
            <w:tcW w:w="1059"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+1,2</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+6,8</w:t>
            </w:r>
          </w:p>
        </w:tc>
        <w:tc>
          <w:tcPr>
            <w:tcW w:w="108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+8,0</w:t>
            </w:r>
          </w:p>
        </w:tc>
        <w:tc>
          <w:tcPr>
            <w:tcW w:w="1162"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+9,7</w:t>
            </w:r>
          </w:p>
        </w:tc>
      </w:tr>
      <w:tr w:rsidR="006E6AE5" w:rsidRPr="004B2A9B" w:rsidTr="00CE00D8">
        <w:trPr>
          <w:trHeight w:val="255"/>
          <w:jc w:val="center"/>
        </w:trPr>
        <w:tc>
          <w:tcPr>
            <w:tcW w:w="3529"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Comunicazioni</w:t>
            </w:r>
          </w:p>
        </w:tc>
        <w:tc>
          <w:tcPr>
            <w:tcW w:w="1038" w:type="dxa"/>
            <w:shd w:val="clear" w:color="000000" w:fill="D9D9D9"/>
            <w:vAlign w:val="center"/>
          </w:tcPr>
          <w:p w:rsidR="006E6AE5" w:rsidRPr="0060774F" w:rsidRDefault="006E6AE5" w:rsidP="006E6AE5">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27.265</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-0,4</w:t>
            </w:r>
          </w:p>
        </w:tc>
        <w:tc>
          <w:tcPr>
            <w:tcW w:w="1059"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-1,2</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-1,5</w:t>
            </w:r>
          </w:p>
        </w:tc>
        <w:tc>
          <w:tcPr>
            <w:tcW w:w="108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-2,4</w:t>
            </w:r>
          </w:p>
        </w:tc>
        <w:tc>
          <w:tcPr>
            <w:tcW w:w="1162"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-3,0</w:t>
            </w:r>
          </w:p>
        </w:tc>
      </w:tr>
      <w:tr w:rsidR="006E6AE5" w:rsidRPr="004B2A9B" w:rsidTr="00CE00D8">
        <w:trPr>
          <w:trHeight w:val="255"/>
          <w:jc w:val="center"/>
        </w:trPr>
        <w:tc>
          <w:tcPr>
            <w:tcW w:w="3529"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Ricreazione, spettacoli e cultura</w:t>
            </w:r>
          </w:p>
        </w:tc>
        <w:tc>
          <w:tcPr>
            <w:tcW w:w="1038" w:type="dxa"/>
            <w:shd w:val="clear" w:color="000000" w:fill="D9D9D9"/>
            <w:vAlign w:val="center"/>
          </w:tcPr>
          <w:p w:rsidR="006E6AE5" w:rsidRPr="0060774F" w:rsidRDefault="006E6AE5" w:rsidP="006E6AE5">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57.663</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+0,3</w:t>
            </w:r>
          </w:p>
        </w:tc>
        <w:tc>
          <w:tcPr>
            <w:tcW w:w="1059"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0,0</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+3,0</w:t>
            </w:r>
          </w:p>
        </w:tc>
        <w:tc>
          <w:tcPr>
            <w:tcW w:w="108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+2,7</w:t>
            </w:r>
          </w:p>
        </w:tc>
        <w:tc>
          <w:tcPr>
            <w:tcW w:w="1162"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+1,5</w:t>
            </w:r>
          </w:p>
        </w:tc>
      </w:tr>
      <w:tr w:rsidR="006E6AE5" w:rsidRPr="004B2A9B" w:rsidTr="00CE00D8">
        <w:trPr>
          <w:trHeight w:val="255"/>
          <w:jc w:val="center"/>
        </w:trPr>
        <w:tc>
          <w:tcPr>
            <w:tcW w:w="3529"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Istruzione</w:t>
            </w:r>
          </w:p>
        </w:tc>
        <w:tc>
          <w:tcPr>
            <w:tcW w:w="1038" w:type="dxa"/>
            <w:shd w:val="clear" w:color="000000" w:fill="D9D9D9"/>
            <w:vAlign w:val="center"/>
          </w:tcPr>
          <w:p w:rsidR="006E6AE5" w:rsidRPr="0060774F" w:rsidRDefault="006E6AE5" w:rsidP="006E6AE5">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11.474</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0,0</w:t>
            </w:r>
          </w:p>
        </w:tc>
        <w:tc>
          <w:tcPr>
            <w:tcW w:w="1059"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0,0</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+0,9</w:t>
            </w:r>
          </w:p>
        </w:tc>
        <w:tc>
          <w:tcPr>
            <w:tcW w:w="108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+0,9</w:t>
            </w:r>
          </w:p>
        </w:tc>
        <w:tc>
          <w:tcPr>
            <w:tcW w:w="1162"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-0,1</w:t>
            </w:r>
          </w:p>
        </w:tc>
      </w:tr>
      <w:tr w:rsidR="006E6AE5" w:rsidRPr="004B2A9B" w:rsidTr="00CE00D8">
        <w:trPr>
          <w:trHeight w:val="255"/>
          <w:jc w:val="center"/>
        </w:trPr>
        <w:tc>
          <w:tcPr>
            <w:tcW w:w="3529"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 ricettivi e di ristorazione</w:t>
            </w:r>
          </w:p>
        </w:tc>
        <w:tc>
          <w:tcPr>
            <w:tcW w:w="1038" w:type="dxa"/>
            <w:shd w:val="clear" w:color="000000" w:fill="D9D9D9"/>
            <w:vAlign w:val="center"/>
          </w:tcPr>
          <w:p w:rsidR="006E6AE5" w:rsidRPr="0060774F" w:rsidRDefault="006E6AE5" w:rsidP="006E6AE5">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99.319</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-0,7</w:t>
            </w:r>
          </w:p>
        </w:tc>
        <w:tc>
          <w:tcPr>
            <w:tcW w:w="1059"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-1,0</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+7,9</w:t>
            </w:r>
          </w:p>
        </w:tc>
        <w:tc>
          <w:tcPr>
            <w:tcW w:w="108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+7,5</w:t>
            </w:r>
          </w:p>
        </w:tc>
        <w:tc>
          <w:tcPr>
            <w:tcW w:w="1162"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+6,2</w:t>
            </w:r>
          </w:p>
        </w:tc>
      </w:tr>
      <w:tr w:rsidR="006E6AE5" w:rsidRPr="004B2A9B" w:rsidTr="00CE00D8">
        <w:trPr>
          <w:trHeight w:val="255"/>
          <w:jc w:val="center"/>
        </w:trPr>
        <w:tc>
          <w:tcPr>
            <w:tcW w:w="3529"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Altri beni e servizi</w:t>
            </w:r>
          </w:p>
        </w:tc>
        <w:tc>
          <w:tcPr>
            <w:tcW w:w="1038" w:type="dxa"/>
            <w:shd w:val="clear" w:color="000000" w:fill="D9D9D9"/>
            <w:vAlign w:val="center"/>
          </w:tcPr>
          <w:p w:rsidR="006E6AE5" w:rsidRPr="0060774F" w:rsidRDefault="006E6AE5" w:rsidP="006E6AE5">
            <w:pPr>
              <w:widowControl/>
              <w:overflowPunct/>
              <w:autoSpaceDE/>
              <w:autoSpaceDN/>
              <w:adjustRightInd/>
              <w:spacing w:before="0" w:after="0"/>
              <w:jc w:val="right"/>
              <w:rPr>
                <w:rFonts w:ascii="Arial Narrow" w:hAnsi="Arial Narrow" w:cs="Arial"/>
                <w:kern w:val="0"/>
                <w:sz w:val="18"/>
                <w:szCs w:val="18"/>
              </w:rPr>
            </w:pPr>
            <w:r w:rsidRPr="0060774F">
              <w:rPr>
                <w:rFonts w:ascii="Arial Narrow" w:hAnsi="Arial Narrow" w:cs="Arial"/>
                <w:kern w:val="0"/>
                <w:sz w:val="18"/>
                <w:szCs w:val="18"/>
              </w:rPr>
              <w:t>99.938</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+0,4</w:t>
            </w:r>
          </w:p>
        </w:tc>
        <w:tc>
          <w:tcPr>
            <w:tcW w:w="1059"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+0,3</w:t>
            </w:r>
          </w:p>
        </w:tc>
        <w:tc>
          <w:tcPr>
            <w:tcW w:w="1079"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+3,3</w:t>
            </w:r>
          </w:p>
        </w:tc>
        <w:tc>
          <w:tcPr>
            <w:tcW w:w="1080" w:type="dxa"/>
            <w:shd w:val="clear" w:color="000000" w:fill="D9D9D9"/>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+3,1</w:t>
            </w:r>
          </w:p>
        </w:tc>
        <w:tc>
          <w:tcPr>
            <w:tcW w:w="1162" w:type="dxa"/>
            <w:shd w:val="clear" w:color="auto" w:fill="auto"/>
            <w:vAlign w:val="center"/>
          </w:tcPr>
          <w:p w:rsidR="006E6AE5" w:rsidRPr="006E6AE5" w:rsidRDefault="006E6AE5" w:rsidP="006E6AE5">
            <w:pPr>
              <w:widowControl/>
              <w:overflowPunct/>
              <w:autoSpaceDE/>
              <w:autoSpaceDN/>
              <w:adjustRightInd/>
              <w:spacing w:before="0" w:after="0"/>
              <w:jc w:val="right"/>
              <w:rPr>
                <w:rFonts w:ascii="Arial Narrow" w:hAnsi="Arial Narrow" w:cs="Arial"/>
                <w:kern w:val="0"/>
                <w:sz w:val="18"/>
                <w:szCs w:val="18"/>
              </w:rPr>
            </w:pPr>
            <w:r w:rsidRPr="006E6AE5">
              <w:rPr>
                <w:rFonts w:ascii="Arial Narrow" w:hAnsi="Arial Narrow" w:cs="Arial"/>
                <w:kern w:val="0"/>
                <w:sz w:val="18"/>
                <w:szCs w:val="18"/>
              </w:rPr>
              <w:t>+2,1</w:t>
            </w:r>
          </w:p>
        </w:tc>
      </w:tr>
      <w:tr w:rsidR="006E6AE5" w:rsidRPr="00F42309" w:rsidTr="00CE00D8">
        <w:trPr>
          <w:trHeight w:val="255"/>
          <w:jc w:val="center"/>
        </w:trPr>
        <w:tc>
          <w:tcPr>
            <w:tcW w:w="3529" w:type="dxa"/>
            <w:shd w:val="clear" w:color="000000" w:fill="E42618"/>
            <w:vAlign w:val="center"/>
            <w:hideMark/>
          </w:tcPr>
          <w:p w:rsidR="006E6AE5" w:rsidRPr="004B2A9B" w:rsidRDefault="006E6AE5" w:rsidP="006E6AE5">
            <w:pPr>
              <w:widowControl/>
              <w:overflowPunct/>
              <w:autoSpaceDE/>
              <w:autoSpaceDN/>
              <w:adjustRightInd/>
              <w:spacing w:before="0" w:after="0"/>
              <w:rPr>
                <w:rFonts w:ascii="Arial Narrow" w:hAnsi="Arial Narrow" w:cs="Arial"/>
                <w:b/>
                <w:bCs/>
                <w:color w:val="FFFFFF"/>
                <w:kern w:val="0"/>
                <w:sz w:val="18"/>
                <w:szCs w:val="18"/>
              </w:rPr>
            </w:pPr>
            <w:r w:rsidRPr="004B2A9B">
              <w:rPr>
                <w:rFonts w:ascii="Arial Narrow" w:hAnsi="Arial Narrow" w:cs="Arial"/>
                <w:b/>
                <w:bCs/>
                <w:color w:val="FFFFFF"/>
                <w:kern w:val="0"/>
                <w:sz w:val="18"/>
                <w:szCs w:val="18"/>
              </w:rPr>
              <w:t>Indice generale</w:t>
            </w:r>
          </w:p>
        </w:tc>
        <w:tc>
          <w:tcPr>
            <w:tcW w:w="1038" w:type="dxa"/>
            <w:shd w:val="clear" w:color="000000" w:fill="E42618"/>
            <w:vAlign w:val="center"/>
          </w:tcPr>
          <w:p w:rsidR="006E6AE5" w:rsidRPr="0060774F" w:rsidRDefault="006E6AE5" w:rsidP="006E6AE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0774F">
              <w:rPr>
                <w:rFonts w:ascii="Arial Narrow" w:hAnsi="Arial Narrow" w:cs="Arial"/>
                <w:b/>
                <w:color w:val="FFFFFF" w:themeColor="background1"/>
                <w:kern w:val="0"/>
                <w:sz w:val="18"/>
                <w:szCs w:val="18"/>
              </w:rPr>
              <w:t>1.000.000</w:t>
            </w:r>
          </w:p>
        </w:tc>
        <w:tc>
          <w:tcPr>
            <w:tcW w:w="1079" w:type="dxa"/>
            <w:shd w:val="clear" w:color="000000" w:fill="E42618"/>
            <w:vAlign w:val="center"/>
          </w:tcPr>
          <w:p w:rsidR="006E6AE5" w:rsidRPr="006E6AE5" w:rsidRDefault="006E6AE5" w:rsidP="006E6AE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E6AE5">
              <w:rPr>
                <w:rFonts w:ascii="Arial Narrow" w:hAnsi="Arial Narrow" w:cs="Arial"/>
                <w:b/>
                <w:color w:val="FFFFFF" w:themeColor="background1"/>
                <w:kern w:val="0"/>
                <w:sz w:val="18"/>
                <w:szCs w:val="18"/>
              </w:rPr>
              <w:t>+0,6</w:t>
            </w:r>
          </w:p>
        </w:tc>
        <w:tc>
          <w:tcPr>
            <w:tcW w:w="1059" w:type="dxa"/>
            <w:shd w:val="clear" w:color="000000" w:fill="E42618"/>
            <w:vAlign w:val="center"/>
          </w:tcPr>
          <w:p w:rsidR="006E6AE5" w:rsidRPr="006E6AE5" w:rsidRDefault="006E6AE5" w:rsidP="006E6AE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E6AE5">
              <w:rPr>
                <w:rFonts w:ascii="Arial Narrow" w:hAnsi="Arial Narrow" w:cs="Arial"/>
                <w:b/>
                <w:color w:val="FFFFFF" w:themeColor="background1"/>
                <w:kern w:val="0"/>
                <w:sz w:val="18"/>
                <w:szCs w:val="18"/>
              </w:rPr>
              <w:t>+0,7</w:t>
            </w:r>
          </w:p>
        </w:tc>
        <w:tc>
          <w:tcPr>
            <w:tcW w:w="1079" w:type="dxa"/>
            <w:shd w:val="clear" w:color="000000" w:fill="E42618"/>
            <w:vAlign w:val="center"/>
          </w:tcPr>
          <w:p w:rsidR="006E6AE5" w:rsidRPr="006E6AE5" w:rsidRDefault="006E6AE5" w:rsidP="006E6AE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E6AE5">
              <w:rPr>
                <w:rFonts w:ascii="Arial Narrow" w:hAnsi="Arial Narrow" w:cs="Arial"/>
                <w:b/>
                <w:color w:val="FFFFFF" w:themeColor="background1"/>
                <w:kern w:val="0"/>
                <w:sz w:val="18"/>
                <w:szCs w:val="18"/>
              </w:rPr>
              <w:t>+12,5</w:t>
            </w:r>
          </w:p>
        </w:tc>
        <w:tc>
          <w:tcPr>
            <w:tcW w:w="1080" w:type="dxa"/>
            <w:shd w:val="clear" w:color="000000" w:fill="E42618"/>
            <w:vAlign w:val="center"/>
          </w:tcPr>
          <w:p w:rsidR="006E6AE5" w:rsidRPr="006E6AE5" w:rsidRDefault="006E6AE5" w:rsidP="006E6AE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E6AE5">
              <w:rPr>
                <w:rFonts w:ascii="Arial Narrow" w:hAnsi="Arial Narrow" w:cs="Arial"/>
                <w:b/>
                <w:color w:val="FFFFFF" w:themeColor="background1"/>
                <w:kern w:val="0"/>
                <w:sz w:val="18"/>
                <w:szCs w:val="18"/>
              </w:rPr>
              <w:t>+12,6</w:t>
            </w:r>
          </w:p>
        </w:tc>
        <w:tc>
          <w:tcPr>
            <w:tcW w:w="1162" w:type="dxa"/>
            <w:shd w:val="clear" w:color="000000" w:fill="E42618"/>
            <w:vAlign w:val="center"/>
          </w:tcPr>
          <w:p w:rsidR="006E6AE5" w:rsidRPr="006E6AE5" w:rsidRDefault="006E6AE5" w:rsidP="006E6AE5">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E6AE5">
              <w:rPr>
                <w:rFonts w:ascii="Arial Narrow" w:hAnsi="Arial Narrow" w:cs="Arial"/>
                <w:b/>
                <w:color w:val="FFFFFF" w:themeColor="background1"/>
                <w:kern w:val="0"/>
                <w:sz w:val="18"/>
                <w:szCs w:val="18"/>
              </w:rPr>
              <w:t>+8,7</w:t>
            </w:r>
          </w:p>
        </w:tc>
      </w:tr>
    </w:tbl>
    <w:p w:rsidR="0059469F" w:rsidRDefault="0059469F" w:rsidP="0059469F">
      <w:pPr>
        <w:widowControl/>
        <w:tabs>
          <w:tab w:val="left" w:pos="2041"/>
        </w:tabs>
        <w:overflowPunct/>
        <w:spacing w:before="0" w:after="0" w:line="240" w:lineRule="exact"/>
        <w:jc w:val="both"/>
        <w:rPr>
          <w:rFonts w:ascii="Arial" w:hAnsi="Arial" w:cs="Arial"/>
          <w:b/>
        </w:rPr>
      </w:pPr>
      <w:r>
        <w:rPr>
          <w:rFonts w:ascii="Arial" w:hAnsi="Arial" w:cs="Arial"/>
          <w:b/>
        </w:rPr>
        <w:br w:type="page"/>
      </w:r>
    </w:p>
    <w:p w:rsidR="00364A90" w:rsidRDefault="00364A90" w:rsidP="0059469F">
      <w:pPr>
        <w:widowControl/>
        <w:tabs>
          <w:tab w:val="left" w:pos="2041"/>
        </w:tabs>
        <w:overflowPunct/>
        <w:spacing w:before="0" w:after="0" w:line="240" w:lineRule="exact"/>
        <w:jc w:val="both"/>
        <w:rPr>
          <w:rFonts w:ascii="Arial" w:hAnsi="Arial" w:cs="Arial"/>
          <w:b/>
        </w:rPr>
      </w:pPr>
    </w:p>
    <w:p w:rsidR="00344F4E" w:rsidRDefault="00344F4E" w:rsidP="008153C3">
      <w:pPr>
        <w:pStyle w:val="001TitoloBolocco"/>
        <w:spacing w:after="120" w:line="240" w:lineRule="auto"/>
      </w:pPr>
      <w:r>
        <w:t xml:space="preserve">Gli aggregati speciali </w:t>
      </w:r>
    </w:p>
    <w:p w:rsidR="00DE7367" w:rsidRDefault="00DE7367" w:rsidP="00DE7367">
      <w:pPr>
        <w:spacing w:before="0" w:after="120"/>
        <w:jc w:val="both"/>
        <w:rPr>
          <w:rFonts w:ascii="Arial" w:hAnsi="Arial" w:cs="Arial"/>
          <w:b/>
        </w:rPr>
      </w:pPr>
    </w:p>
    <w:p w:rsidR="00344F4E" w:rsidRDefault="00344F4E" w:rsidP="00344F4E">
      <w:pPr>
        <w:pStyle w:val="001TitoGra"/>
      </w:pPr>
      <w:r w:rsidRPr="002B4B86">
        <w:rPr>
          <w:rStyle w:val="001TitoGraRed"/>
        </w:rPr>
        <w:t xml:space="preserve">PROSPETTO </w:t>
      </w:r>
      <w:r w:rsidR="0076392F">
        <w:rPr>
          <w:rStyle w:val="001TitoGraRed"/>
        </w:rPr>
        <w:t>6</w:t>
      </w:r>
      <w:r w:rsidRPr="002B4B86">
        <w:rPr>
          <w:rStyle w:val="001TitoGraRed"/>
        </w:rPr>
        <w:t>.</w:t>
      </w:r>
      <w:r w:rsidRPr="00482C3D">
        <w:t xml:space="preserve"> INDICI DEI PREZZI AL CONSUMO IPCA PER AGGREGATI </w:t>
      </w:r>
      <w:r w:rsidR="00C65517" w:rsidRPr="00C8504B">
        <w:rPr>
          <w:rFonts w:cs="Calibri"/>
          <w:bCs/>
          <w:kern w:val="0"/>
        </w:rPr>
        <w:t>SPECIALI</w:t>
      </w:r>
    </w:p>
    <w:p w:rsidR="0059469F" w:rsidRDefault="00FD38B0" w:rsidP="0059469F">
      <w:pPr>
        <w:pStyle w:val="001SottotitoloGra"/>
        <w:spacing w:line="240" w:lineRule="auto"/>
        <w:rPr>
          <w:rFonts w:ascii="Arial" w:hAnsi="Arial"/>
        </w:rPr>
      </w:pPr>
      <w:r>
        <w:t>Novembre</w:t>
      </w:r>
      <w:r w:rsidR="003A435E" w:rsidRPr="003A435E">
        <w:t xml:space="preserve"> </w:t>
      </w:r>
      <w:r w:rsidR="0059469F" w:rsidRPr="0059469F">
        <w:t>2022</w:t>
      </w:r>
      <w:r w:rsidR="005031DD" w:rsidRPr="00482C3D">
        <w:t xml:space="preserve">, pesi e variazioni percentuali </w:t>
      </w:r>
      <w:r w:rsidR="005031DD">
        <w:t xml:space="preserve">congiunturali e tendenziali </w:t>
      </w:r>
      <w:r w:rsidR="005031DD" w:rsidRPr="00482C3D">
        <w:t>(base 20</w:t>
      </w:r>
      <w:r w:rsidR="005031DD">
        <w:t>15</w:t>
      </w:r>
      <w:r w:rsidR="005031DD" w:rsidRPr="00482C3D">
        <w:t>=100)</w:t>
      </w:r>
      <w:r w:rsidR="0059469F" w:rsidRPr="0059469F">
        <w:rPr>
          <w:rFonts w:ascii="Arial" w:hAnsi="Arial"/>
        </w:rPr>
        <w:t xml:space="preserve"> </w:t>
      </w:r>
    </w:p>
    <w:tbl>
      <w:tblPr>
        <w:tblW w:w="10239" w:type="dxa"/>
        <w:tblInd w:w="70"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4131"/>
        <w:gridCol w:w="1028"/>
        <w:gridCol w:w="1066"/>
        <w:gridCol w:w="1067"/>
        <w:gridCol w:w="1047"/>
        <w:gridCol w:w="931"/>
        <w:gridCol w:w="969"/>
      </w:tblGrid>
      <w:tr w:rsidR="0059469F" w:rsidRPr="004B2A9B" w:rsidTr="0059469F">
        <w:trPr>
          <w:trHeight w:val="244"/>
        </w:trPr>
        <w:tc>
          <w:tcPr>
            <w:tcW w:w="4131" w:type="dxa"/>
            <w:vMerge w:val="restart"/>
            <w:shd w:val="clear" w:color="auto" w:fill="auto"/>
            <w:vAlign w:val="center"/>
            <w:hideMark/>
          </w:tcPr>
          <w:p w:rsidR="0059469F" w:rsidRPr="004B2A9B" w:rsidRDefault="0059469F" w:rsidP="0059469F">
            <w:pPr>
              <w:widowControl/>
              <w:overflowPunct/>
              <w:autoSpaceDE/>
              <w:autoSpaceDN/>
              <w:adjustRightInd/>
              <w:spacing w:before="0" w:after="0"/>
              <w:rPr>
                <w:rFonts w:ascii="Arial Narrow" w:hAnsi="Arial Narrow" w:cs="Arial"/>
                <w:b/>
                <w:bCs/>
                <w:kern w:val="0"/>
                <w:sz w:val="18"/>
                <w:szCs w:val="18"/>
              </w:rPr>
            </w:pPr>
            <w:r w:rsidRPr="004B2A9B">
              <w:rPr>
                <w:rFonts w:ascii="Arial Narrow" w:hAnsi="Arial Narrow" w:cs="Arial"/>
                <w:b/>
                <w:bCs/>
                <w:kern w:val="0"/>
                <w:sz w:val="18"/>
                <w:szCs w:val="18"/>
              </w:rPr>
              <w:t>AGGREGATI SPECIALI</w:t>
            </w:r>
          </w:p>
        </w:tc>
        <w:tc>
          <w:tcPr>
            <w:tcW w:w="1028" w:type="dxa"/>
            <w:vMerge w:val="restart"/>
            <w:shd w:val="clear" w:color="000000" w:fill="D9D9D9"/>
            <w:vAlign w:val="center"/>
            <w:hideMark/>
          </w:tcPr>
          <w:p w:rsidR="0059469F" w:rsidRPr="004B2A9B" w:rsidRDefault="0059469F" w:rsidP="0059469F">
            <w:pPr>
              <w:widowControl/>
              <w:overflowPunct/>
              <w:autoSpaceDE/>
              <w:autoSpaceDN/>
              <w:adjustRightInd/>
              <w:spacing w:before="0" w:after="0"/>
              <w:jc w:val="right"/>
              <w:rPr>
                <w:rFonts w:ascii="Arial Narrow" w:hAnsi="Arial Narrow" w:cs="Arial"/>
                <w:b/>
                <w:bCs/>
                <w:kern w:val="0"/>
                <w:sz w:val="18"/>
                <w:szCs w:val="18"/>
              </w:rPr>
            </w:pPr>
            <w:r w:rsidRPr="004B2A9B">
              <w:rPr>
                <w:rFonts w:ascii="Arial Narrow" w:hAnsi="Arial Narrow" w:cs="Arial"/>
                <w:b/>
                <w:bCs/>
                <w:kern w:val="0"/>
                <w:sz w:val="18"/>
                <w:szCs w:val="18"/>
              </w:rPr>
              <w:t>Pesi</w:t>
            </w:r>
          </w:p>
        </w:tc>
        <w:tc>
          <w:tcPr>
            <w:tcW w:w="2133" w:type="dxa"/>
            <w:gridSpan w:val="2"/>
            <w:shd w:val="clear" w:color="auto" w:fill="auto"/>
            <w:vAlign w:val="center"/>
            <w:hideMark/>
          </w:tcPr>
          <w:p w:rsidR="0059469F" w:rsidRPr="004B2A9B" w:rsidRDefault="0059469F" w:rsidP="0059469F">
            <w:pPr>
              <w:widowControl/>
              <w:overflowPunct/>
              <w:autoSpaceDE/>
              <w:autoSpaceDN/>
              <w:adjustRightInd/>
              <w:spacing w:before="0" w:after="0"/>
              <w:jc w:val="center"/>
              <w:rPr>
                <w:rFonts w:ascii="Arial Narrow" w:hAnsi="Arial Narrow" w:cs="Arial"/>
                <w:b/>
                <w:bCs/>
                <w:kern w:val="0"/>
                <w:sz w:val="18"/>
                <w:szCs w:val="18"/>
              </w:rPr>
            </w:pPr>
            <w:r w:rsidRPr="004B2A9B">
              <w:rPr>
                <w:rFonts w:ascii="Arial Narrow" w:hAnsi="Arial Narrow" w:cs="Arial"/>
                <w:b/>
                <w:bCs/>
                <w:kern w:val="0"/>
                <w:sz w:val="18"/>
                <w:szCs w:val="18"/>
              </w:rPr>
              <w:t>Variazioni congiunturali</w:t>
            </w:r>
          </w:p>
        </w:tc>
        <w:tc>
          <w:tcPr>
            <w:tcW w:w="1978" w:type="dxa"/>
            <w:gridSpan w:val="2"/>
            <w:shd w:val="clear" w:color="000000" w:fill="D9D9D9"/>
            <w:vAlign w:val="center"/>
            <w:hideMark/>
          </w:tcPr>
          <w:p w:rsidR="0059469F" w:rsidRPr="004B2A9B" w:rsidRDefault="0059469F" w:rsidP="0059469F">
            <w:pPr>
              <w:widowControl/>
              <w:overflowPunct/>
              <w:autoSpaceDE/>
              <w:autoSpaceDN/>
              <w:adjustRightInd/>
              <w:spacing w:before="0" w:after="0"/>
              <w:jc w:val="center"/>
              <w:rPr>
                <w:rFonts w:ascii="Arial Narrow" w:hAnsi="Arial Narrow" w:cs="Arial"/>
                <w:b/>
                <w:bCs/>
                <w:kern w:val="0"/>
                <w:sz w:val="18"/>
                <w:szCs w:val="18"/>
              </w:rPr>
            </w:pPr>
            <w:r w:rsidRPr="004B2A9B">
              <w:rPr>
                <w:rFonts w:ascii="Arial Narrow" w:hAnsi="Arial Narrow" w:cs="Arial"/>
                <w:b/>
                <w:bCs/>
                <w:kern w:val="0"/>
                <w:sz w:val="18"/>
                <w:szCs w:val="18"/>
              </w:rPr>
              <w:t>Variazioni tendenziali</w:t>
            </w:r>
          </w:p>
        </w:tc>
        <w:tc>
          <w:tcPr>
            <w:tcW w:w="969" w:type="dxa"/>
            <w:vMerge w:val="restart"/>
            <w:shd w:val="clear" w:color="auto" w:fill="auto"/>
            <w:vAlign w:val="center"/>
            <w:hideMark/>
          </w:tcPr>
          <w:p w:rsidR="0059469F" w:rsidRPr="008814F3" w:rsidRDefault="00A8510F" w:rsidP="00DE5A79">
            <w:pPr>
              <w:widowControl/>
              <w:overflowPunct/>
              <w:autoSpaceDE/>
              <w:autoSpaceDN/>
              <w:adjustRightInd/>
              <w:spacing w:before="40" w:after="20"/>
              <w:jc w:val="right"/>
              <w:rPr>
                <w:rFonts w:ascii="Arial Narrow" w:hAnsi="Arial Narrow" w:cs="Arial"/>
                <w:b/>
                <w:bCs/>
                <w:kern w:val="0"/>
                <w:sz w:val="18"/>
                <w:szCs w:val="18"/>
              </w:rPr>
            </w:pPr>
            <w:r w:rsidRPr="008814F3">
              <w:rPr>
                <w:rFonts w:ascii="Arial Narrow" w:hAnsi="Arial Narrow" w:cs="Arial"/>
                <w:b/>
                <w:bCs/>
                <w:kern w:val="0"/>
                <w:sz w:val="18"/>
                <w:szCs w:val="18"/>
              </w:rPr>
              <w:t>Inflazione</w:t>
            </w:r>
            <w:r>
              <w:rPr>
                <w:rFonts w:ascii="Arial Narrow" w:hAnsi="Arial Narrow" w:cs="Arial"/>
                <w:b/>
                <w:bCs/>
                <w:kern w:val="0"/>
                <w:sz w:val="18"/>
                <w:szCs w:val="18"/>
              </w:rPr>
              <w:t xml:space="preserve"> </w:t>
            </w:r>
            <w:r w:rsidRPr="008814F3">
              <w:rPr>
                <w:rFonts w:ascii="Arial Narrow" w:hAnsi="Arial Narrow" w:cs="Arial"/>
                <w:b/>
                <w:bCs/>
                <w:kern w:val="0"/>
                <w:sz w:val="18"/>
                <w:szCs w:val="18"/>
              </w:rPr>
              <w:t>acquisita</w:t>
            </w:r>
            <w:r w:rsidR="004F4FAE">
              <w:rPr>
                <w:rFonts w:ascii="Arial Narrow" w:hAnsi="Arial Narrow" w:cs="Arial"/>
                <w:b/>
                <w:bCs/>
                <w:kern w:val="0"/>
                <w:sz w:val="18"/>
                <w:szCs w:val="18"/>
              </w:rPr>
              <w:t xml:space="preserve"> </w:t>
            </w:r>
            <w:r>
              <w:rPr>
                <w:rFonts w:ascii="Arial Narrow" w:hAnsi="Arial Narrow" w:cs="Arial"/>
                <w:b/>
                <w:bCs/>
                <w:kern w:val="0"/>
                <w:sz w:val="18"/>
                <w:szCs w:val="18"/>
              </w:rPr>
              <w:t xml:space="preserve">a </w:t>
            </w:r>
            <w:r w:rsidR="00FD38B0">
              <w:rPr>
                <w:rFonts w:ascii="Arial Narrow" w:hAnsi="Arial Narrow" w:cs="Arial"/>
                <w:b/>
                <w:bCs/>
                <w:kern w:val="0"/>
                <w:sz w:val="18"/>
                <w:szCs w:val="18"/>
              </w:rPr>
              <w:t>novembre</w:t>
            </w:r>
          </w:p>
        </w:tc>
      </w:tr>
      <w:tr w:rsidR="006263D7" w:rsidRPr="004B2A9B" w:rsidTr="0059469F">
        <w:trPr>
          <w:trHeight w:val="244"/>
        </w:trPr>
        <w:tc>
          <w:tcPr>
            <w:tcW w:w="4131" w:type="dxa"/>
            <w:vMerge/>
            <w:vAlign w:val="center"/>
            <w:hideMark/>
          </w:tcPr>
          <w:p w:rsidR="006263D7" w:rsidRPr="004B2A9B" w:rsidRDefault="006263D7" w:rsidP="006263D7">
            <w:pPr>
              <w:widowControl/>
              <w:overflowPunct/>
              <w:autoSpaceDE/>
              <w:autoSpaceDN/>
              <w:adjustRightInd/>
              <w:spacing w:before="0" w:after="0"/>
              <w:rPr>
                <w:rFonts w:ascii="Arial Narrow" w:hAnsi="Arial Narrow" w:cs="Arial"/>
                <w:b/>
                <w:bCs/>
                <w:kern w:val="0"/>
                <w:sz w:val="18"/>
                <w:szCs w:val="18"/>
              </w:rPr>
            </w:pPr>
          </w:p>
        </w:tc>
        <w:tc>
          <w:tcPr>
            <w:tcW w:w="1028" w:type="dxa"/>
            <w:vMerge/>
            <w:vAlign w:val="center"/>
            <w:hideMark/>
          </w:tcPr>
          <w:p w:rsidR="006263D7" w:rsidRPr="004B2A9B" w:rsidRDefault="006263D7" w:rsidP="006263D7">
            <w:pPr>
              <w:widowControl/>
              <w:overflowPunct/>
              <w:autoSpaceDE/>
              <w:autoSpaceDN/>
              <w:adjustRightInd/>
              <w:spacing w:before="0" w:after="0"/>
              <w:rPr>
                <w:rFonts w:ascii="Arial Narrow" w:hAnsi="Arial Narrow" w:cs="Arial"/>
                <w:b/>
                <w:bCs/>
                <w:kern w:val="0"/>
                <w:sz w:val="18"/>
                <w:szCs w:val="18"/>
              </w:rPr>
            </w:pPr>
          </w:p>
        </w:tc>
        <w:tc>
          <w:tcPr>
            <w:tcW w:w="1066"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nov-22</w:t>
            </w:r>
          </w:p>
          <w:p w:rsidR="006263D7" w:rsidRPr="00E03E58" w:rsidRDefault="006263D7" w:rsidP="006263D7">
            <w:pPr>
              <w:widowControl/>
              <w:overflowPunct/>
              <w:autoSpaceDE/>
              <w:autoSpaceDN/>
              <w:adjustRightInd/>
              <w:spacing w:before="40" w:after="20"/>
              <w:jc w:val="right"/>
              <w:rPr>
                <w:rFonts w:ascii="Arial Narrow" w:hAnsi="Arial Narrow" w:cs="Arial"/>
                <w:kern w:val="0"/>
                <w:sz w:val="18"/>
                <w:szCs w:val="18"/>
              </w:rPr>
            </w:pPr>
            <w:r>
              <w:rPr>
                <w:rFonts w:ascii="Arial Narrow" w:hAnsi="Arial Narrow" w:cs="Arial"/>
                <w:kern w:val="0"/>
                <w:sz w:val="18"/>
                <w:szCs w:val="18"/>
              </w:rPr>
              <w:t>ott-22</w:t>
            </w:r>
          </w:p>
        </w:tc>
        <w:tc>
          <w:tcPr>
            <w:tcW w:w="1067"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nov-21</w:t>
            </w:r>
          </w:p>
          <w:p w:rsidR="006263D7" w:rsidRPr="008814F3"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ott-21</w:t>
            </w:r>
          </w:p>
        </w:tc>
        <w:tc>
          <w:tcPr>
            <w:tcW w:w="1047"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nov-22</w:t>
            </w:r>
          </w:p>
          <w:p w:rsidR="006263D7" w:rsidRPr="008814F3"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nov-21</w:t>
            </w:r>
          </w:p>
        </w:tc>
        <w:tc>
          <w:tcPr>
            <w:tcW w:w="931" w:type="dxa"/>
            <w:shd w:val="clear" w:color="auto" w:fill="auto"/>
            <w:vAlign w:val="center"/>
            <w:hideMark/>
          </w:tcPr>
          <w:p w:rsidR="006263D7"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u w:val="single"/>
              </w:rPr>
              <w:t>ott-22</w:t>
            </w:r>
          </w:p>
          <w:p w:rsidR="006263D7" w:rsidRPr="008814F3" w:rsidRDefault="006263D7" w:rsidP="006263D7">
            <w:pPr>
              <w:widowControl/>
              <w:overflowPunct/>
              <w:autoSpaceDE/>
              <w:autoSpaceDN/>
              <w:adjustRightInd/>
              <w:spacing w:before="40" w:after="20"/>
              <w:jc w:val="right"/>
              <w:rPr>
                <w:rFonts w:ascii="Arial Narrow" w:hAnsi="Arial Narrow" w:cs="Arial"/>
                <w:kern w:val="0"/>
                <w:sz w:val="18"/>
                <w:szCs w:val="18"/>
                <w:u w:val="single"/>
              </w:rPr>
            </w:pPr>
            <w:r>
              <w:rPr>
                <w:rFonts w:ascii="Arial Narrow" w:hAnsi="Arial Narrow" w:cs="Arial"/>
                <w:kern w:val="0"/>
                <w:sz w:val="18"/>
                <w:szCs w:val="18"/>
              </w:rPr>
              <w:t>ott-21</w:t>
            </w:r>
          </w:p>
        </w:tc>
        <w:tc>
          <w:tcPr>
            <w:tcW w:w="969" w:type="dxa"/>
            <w:vMerge/>
            <w:shd w:val="clear" w:color="auto" w:fill="auto"/>
            <w:vAlign w:val="center"/>
            <w:hideMark/>
          </w:tcPr>
          <w:p w:rsidR="006263D7" w:rsidRPr="004B2A9B" w:rsidRDefault="006263D7" w:rsidP="006263D7">
            <w:pPr>
              <w:widowControl/>
              <w:overflowPunct/>
              <w:autoSpaceDE/>
              <w:autoSpaceDN/>
              <w:adjustRightInd/>
              <w:spacing w:before="0" w:after="0"/>
              <w:jc w:val="right"/>
              <w:rPr>
                <w:rFonts w:ascii="Arial Narrow" w:hAnsi="Arial Narrow" w:cs="Arial"/>
                <w:b/>
                <w:bCs/>
                <w:kern w:val="0"/>
                <w:sz w:val="18"/>
                <w:szCs w:val="18"/>
              </w:rPr>
            </w:pPr>
          </w:p>
        </w:tc>
      </w:tr>
      <w:tr w:rsidR="006E6AE5" w:rsidRPr="00C546A2" w:rsidTr="003A3FE1">
        <w:trPr>
          <w:trHeight w:val="255"/>
        </w:trPr>
        <w:tc>
          <w:tcPr>
            <w:tcW w:w="4131" w:type="dxa"/>
            <w:shd w:val="clear" w:color="auto" w:fill="auto"/>
            <w:vAlign w:val="center"/>
            <w:hideMark/>
          </w:tcPr>
          <w:p w:rsidR="006E6AE5" w:rsidRPr="004B2A9B" w:rsidRDefault="006E6AE5" w:rsidP="006E6AE5">
            <w:pPr>
              <w:widowControl/>
              <w:overflowPunct/>
              <w:autoSpaceDE/>
              <w:autoSpaceDN/>
              <w:adjustRightInd/>
              <w:spacing w:beforeAutospacing="1" w:afterAutospacing="1"/>
              <w:rPr>
                <w:rFonts w:ascii="Arial Narrow" w:hAnsi="Arial Narrow" w:cs="Arial"/>
                <w:kern w:val="0"/>
                <w:sz w:val="18"/>
                <w:szCs w:val="18"/>
              </w:rPr>
            </w:pPr>
            <w:r w:rsidRPr="004B2A9B">
              <w:rPr>
                <w:rFonts w:ascii="Arial Narrow" w:hAnsi="Arial Narrow" w:cs="Arial"/>
                <w:kern w:val="0"/>
                <w:sz w:val="18"/>
                <w:szCs w:val="18"/>
              </w:rPr>
              <w:t>Beni alimentari (incluse bevande alcoliche) e tabacchi, di cui:</w:t>
            </w:r>
          </w:p>
        </w:tc>
        <w:tc>
          <w:tcPr>
            <w:tcW w:w="1028" w:type="dxa"/>
            <w:shd w:val="clear" w:color="000000" w:fill="D9D9D9"/>
            <w:vAlign w:val="center"/>
          </w:tcPr>
          <w:p w:rsidR="006E6AE5" w:rsidRPr="00CE144C"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CE144C">
              <w:rPr>
                <w:rFonts w:ascii="Arial Narrow" w:hAnsi="Arial Narrow" w:cs="Arial"/>
                <w:kern w:val="0"/>
                <w:sz w:val="18"/>
                <w:szCs w:val="18"/>
              </w:rPr>
              <w:t>230.610</w:t>
            </w:r>
          </w:p>
        </w:tc>
        <w:tc>
          <w:tcPr>
            <w:tcW w:w="1066"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+0,9</w:t>
            </w:r>
          </w:p>
        </w:tc>
        <w:tc>
          <w:tcPr>
            <w:tcW w:w="1067" w:type="dxa"/>
            <w:shd w:val="clear" w:color="000000" w:fill="D9D9D9"/>
            <w:vAlign w:val="center"/>
          </w:tcPr>
          <w:p w:rsidR="006E6AE5" w:rsidRPr="006E6AE5" w:rsidRDefault="006E6AE5" w:rsidP="006E6AE5">
            <w:pPr>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+0,7</w:t>
            </w:r>
          </w:p>
        </w:tc>
        <w:tc>
          <w:tcPr>
            <w:tcW w:w="1047" w:type="dxa"/>
            <w:shd w:val="clear" w:color="auto" w:fill="auto"/>
            <w:vAlign w:val="center"/>
          </w:tcPr>
          <w:p w:rsidR="006E6AE5" w:rsidRPr="006E6AE5" w:rsidRDefault="006E6AE5" w:rsidP="006E6AE5">
            <w:pPr>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+12,0</w:t>
            </w:r>
          </w:p>
        </w:tc>
        <w:tc>
          <w:tcPr>
            <w:tcW w:w="931" w:type="dxa"/>
            <w:shd w:val="clear" w:color="000000" w:fill="D9D9D9"/>
            <w:vAlign w:val="center"/>
          </w:tcPr>
          <w:p w:rsidR="006E6AE5" w:rsidRPr="006E6AE5" w:rsidRDefault="006E6AE5" w:rsidP="006E6AE5">
            <w:pPr>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+11,8</w:t>
            </w:r>
          </w:p>
        </w:tc>
        <w:tc>
          <w:tcPr>
            <w:tcW w:w="969" w:type="dxa"/>
            <w:shd w:val="clear" w:color="auto" w:fill="auto"/>
            <w:vAlign w:val="center"/>
          </w:tcPr>
          <w:p w:rsidR="006E6AE5" w:rsidRPr="006E6AE5" w:rsidRDefault="006E6AE5" w:rsidP="006E6AE5">
            <w:pPr>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+8,0</w:t>
            </w:r>
          </w:p>
        </w:tc>
      </w:tr>
      <w:tr w:rsidR="006E6AE5" w:rsidRPr="004B2A9B" w:rsidTr="003A3FE1">
        <w:trPr>
          <w:trHeight w:val="255"/>
        </w:trPr>
        <w:tc>
          <w:tcPr>
            <w:tcW w:w="4131" w:type="dxa"/>
            <w:shd w:val="clear" w:color="auto" w:fill="auto"/>
            <w:vAlign w:val="center"/>
            <w:hideMark/>
          </w:tcPr>
          <w:p w:rsidR="006E6AE5" w:rsidRPr="004B2A9B" w:rsidRDefault="006E6AE5" w:rsidP="006E6AE5">
            <w:pPr>
              <w:widowControl/>
              <w:overflowPunct/>
              <w:autoSpaceDE/>
              <w:autoSpaceDN/>
              <w:adjustRightInd/>
              <w:spacing w:before="0" w:after="0"/>
              <w:ind w:firstLineChars="100" w:firstLine="180"/>
              <w:rPr>
                <w:rFonts w:ascii="Arial Narrow" w:hAnsi="Arial Narrow" w:cs="Arial"/>
                <w:kern w:val="0"/>
                <w:sz w:val="18"/>
                <w:szCs w:val="18"/>
              </w:rPr>
            </w:pPr>
            <w:r w:rsidRPr="004B2A9B">
              <w:rPr>
                <w:rFonts w:ascii="Arial Narrow" w:hAnsi="Arial Narrow" w:cs="Arial"/>
                <w:kern w:val="0"/>
                <w:sz w:val="18"/>
                <w:szCs w:val="18"/>
              </w:rPr>
              <w:t>Alimentari lavorati (incluse bevande alcoliche) e tabacchi</w:t>
            </w:r>
          </w:p>
        </w:tc>
        <w:tc>
          <w:tcPr>
            <w:tcW w:w="1028" w:type="dxa"/>
            <w:shd w:val="clear" w:color="000000" w:fill="D9D9D9"/>
            <w:vAlign w:val="center"/>
          </w:tcPr>
          <w:p w:rsidR="006E6AE5" w:rsidRPr="00CE144C" w:rsidRDefault="006E6AE5" w:rsidP="006E6AE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159.028</w:t>
            </w:r>
          </w:p>
        </w:tc>
        <w:tc>
          <w:tcPr>
            <w:tcW w:w="1066"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+1,4</w:t>
            </w:r>
          </w:p>
        </w:tc>
        <w:tc>
          <w:tcPr>
            <w:tcW w:w="1067" w:type="dxa"/>
            <w:shd w:val="clear" w:color="000000" w:fill="D9D9D9"/>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+0,4</w:t>
            </w:r>
          </w:p>
        </w:tc>
        <w:tc>
          <w:tcPr>
            <w:tcW w:w="1047"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+12,4</w:t>
            </w:r>
          </w:p>
        </w:tc>
        <w:tc>
          <w:tcPr>
            <w:tcW w:w="931" w:type="dxa"/>
            <w:shd w:val="clear" w:color="000000" w:fill="D9D9D9"/>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+11,3</w:t>
            </w:r>
          </w:p>
        </w:tc>
        <w:tc>
          <w:tcPr>
            <w:tcW w:w="969"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+7,3</w:t>
            </w:r>
          </w:p>
        </w:tc>
      </w:tr>
      <w:tr w:rsidR="006E6AE5" w:rsidRPr="004B2A9B" w:rsidTr="003A3FE1">
        <w:trPr>
          <w:trHeight w:val="255"/>
        </w:trPr>
        <w:tc>
          <w:tcPr>
            <w:tcW w:w="4131" w:type="dxa"/>
            <w:shd w:val="clear" w:color="auto" w:fill="auto"/>
            <w:vAlign w:val="center"/>
            <w:hideMark/>
          </w:tcPr>
          <w:p w:rsidR="006E6AE5" w:rsidRPr="004B2A9B" w:rsidRDefault="006E6AE5" w:rsidP="006E6AE5">
            <w:pPr>
              <w:widowControl/>
              <w:overflowPunct/>
              <w:autoSpaceDE/>
              <w:autoSpaceDN/>
              <w:adjustRightInd/>
              <w:spacing w:before="0" w:after="0"/>
              <w:ind w:firstLineChars="100" w:firstLine="180"/>
              <w:rPr>
                <w:rFonts w:ascii="Arial Narrow" w:hAnsi="Arial Narrow" w:cs="Arial"/>
                <w:kern w:val="0"/>
                <w:sz w:val="18"/>
                <w:szCs w:val="18"/>
              </w:rPr>
            </w:pPr>
            <w:r w:rsidRPr="004B2A9B">
              <w:rPr>
                <w:rFonts w:ascii="Arial Narrow" w:hAnsi="Arial Narrow" w:cs="Arial"/>
                <w:kern w:val="0"/>
                <w:sz w:val="18"/>
                <w:szCs w:val="18"/>
              </w:rPr>
              <w:t>Alimentari non lavorati</w:t>
            </w:r>
          </w:p>
        </w:tc>
        <w:tc>
          <w:tcPr>
            <w:tcW w:w="1028" w:type="dxa"/>
            <w:shd w:val="clear" w:color="000000" w:fill="D9D9D9"/>
            <w:vAlign w:val="center"/>
          </w:tcPr>
          <w:p w:rsidR="006E6AE5" w:rsidRPr="00CE144C" w:rsidRDefault="006E6AE5" w:rsidP="006E6AE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71.582</w:t>
            </w:r>
          </w:p>
        </w:tc>
        <w:tc>
          <w:tcPr>
            <w:tcW w:w="1066"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-0,2</w:t>
            </w:r>
          </w:p>
        </w:tc>
        <w:tc>
          <w:tcPr>
            <w:tcW w:w="1067" w:type="dxa"/>
            <w:shd w:val="clear" w:color="000000" w:fill="D9D9D9"/>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+1,4</w:t>
            </w:r>
          </w:p>
        </w:tc>
        <w:tc>
          <w:tcPr>
            <w:tcW w:w="1047"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+11,3</w:t>
            </w:r>
          </w:p>
        </w:tc>
        <w:tc>
          <w:tcPr>
            <w:tcW w:w="931" w:type="dxa"/>
            <w:shd w:val="clear" w:color="000000" w:fill="D9D9D9"/>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+13,1</w:t>
            </w:r>
          </w:p>
        </w:tc>
        <w:tc>
          <w:tcPr>
            <w:tcW w:w="969"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+9,7</w:t>
            </w:r>
          </w:p>
        </w:tc>
      </w:tr>
      <w:tr w:rsidR="006E6AE5" w:rsidRPr="004B2A9B" w:rsidTr="003A3FE1">
        <w:trPr>
          <w:trHeight w:val="255"/>
        </w:trPr>
        <w:tc>
          <w:tcPr>
            <w:tcW w:w="4131"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Pr>
                <w:rFonts w:ascii="Arial Narrow" w:hAnsi="Arial Narrow" w:cs="Arial"/>
                <w:kern w:val="0"/>
                <w:sz w:val="18"/>
                <w:szCs w:val="18"/>
              </w:rPr>
              <w:t>Energia</w:t>
            </w:r>
          </w:p>
        </w:tc>
        <w:tc>
          <w:tcPr>
            <w:tcW w:w="1028" w:type="dxa"/>
            <w:shd w:val="clear" w:color="000000" w:fill="D9D9D9"/>
            <w:vAlign w:val="center"/>
          </w:tcPr>
          <w:p w:rsidR="006E6AE5" w:rsidRPr="00CE144C" w:rsidRDefault="006E6AE5" w:rsidP="006E6AE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97.164</w:t>
            </w:r>
          </w:p>
        </w:tc>
        <w:tc>
          <w:tcPr>
            <w:tcW w:w="1066"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+2,3</w:t>
            </w:r>
          </w:p>
        </w:tc>
        <w:tc>
          <w:tcPr>
            <w:tcW w:w="1067" w:type="dxa"/>
            <w:shd w:val="clear" w:color="000000" w:fill="D9D9D9"/>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+4,7</w:t>
            </w:r>
          </w:p>
        </w:tc>
        <w:tc>
          <w:tcPr>
            <w:tcW w:w="1047"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+67,8</w:t>
            </w:r>
          </w:p>
        </w:tc>
        <w:tc>
          <w:tcPr>
            <w:tcW w:w="931" w:type="dxa"/>
            <w:shd w:val="clear" w:color="000000" w:fill="D9D9D9"/>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+71,7</w:t>
            </w:r>
          </w:p>
        </w:tc>
        <w:tc>
          <w:tcPr>
            <w:tcW w:w="969"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+51,6</w:t>
            </w:r>
          </w:p>
        </w:tc>
      </w:tr>
      <w:tr w:rsidR="006E6AE5" w:rsidRPr="004B2A9B" w:rsidTr="003A3FE1">
        <w:trPr>
          <w:trHeight w:val="255"/>
        </w:trPr>
        <w:tc>
          <w:tcPr>
            <w:tcW w:w="4131"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Beni industriali non energetici</w:t>
            </w:r>
          </w:p>
        </w:tc>
        <w:tc>
          <w:tcPr>
            <w:tcW w:w="1028" w:type="dxa"/>
            <w:shd w:val="clear" w:color="000000" w:fill="D9D9D9"/>
            <w:vAlign w:val="center"/>
          </w:tcPr>
          <w:p w:rsidR="006E6AE5" w:rsidRPr="00CE144C" w:rsidRDefault="006E6AE5" w:rsidP="006E6AE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284.285</w:t>
            </w:r>
          </w:p>
        </w:tc>
        <w:tc>
          <w:tcPr>
            <w:tcW w:w="1066"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+0,5</w:t>
            </w:r>
          </w:p>
        </w:tc>
        <w:tc>
          <w:tcPr>
            <w:tcW w:w="1067" w:type="dxa"/>
            <w:shd w:val="clear" w:color="000000" w:fill="D9D9D9"/>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+0,1</w:t>
            </w:r>
          </w:p>
        </w:tc>
        <w:tc>
          <w:tcPr>
            <w:tcW w:w="1047"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+5,3</w:t>
            </w:r>
          </w:p>
        </w:tc>
        <w:tc>
          <w:tcPr>
            <w:tcW w:w="931" w:type="dxa"/>
            <w:shd w:val="clear" w:color="000000" w:fill="D9D9D9"/>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+4,9</w:t>
            </w:r>
          </w:p>
        </w:tc>
        <w:tc>
          <w:tcPr>
            <w:tcW w:w="969"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+3,1</w:t>
            </w:r>
          </w:p>
        </w:tc>
      </w:tr>
      <w:tr w:rsidR="006E6AE5" w:rsidRPr="004B2A9B" w:rsidTr="003A3FE1">
        <w:trPr>
          <w:trHeight w:val="255"/>
        </w:trPr>
        <w:tc>
          <w:tcPr>
            <w:tcW w:w="4131" w:type="dxa"/>
            <w:shd w:val="clear" w:color="auto" w:fill="auto"/>
            <w:vAlign w:val="center"/>
            <w:hideMark/>
          </w:tcPr>
          <w:p w:rsidR="006E6AE5" w:rsidRPr="004B2A9B" w:rsidRDefault="006E6AE5" w:rsidP="006E6AE5">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Servizi</w:t>
            </w:r>
          </w:p>
        </w:tc>
        <w:tc>
          <w:tcPr>
            <w:tcW w:w="1028" w:type="dxa"/>
            <w:shd w:val="clear" w:color="000000" w:fill="D9D9D9"/>
            <w:vAlign w:val="center"/>
          </w:tcPr>
          <w:p w:rsidR="006E6AE5" w:rsidRPr="00CE144C" w:rsidRDefault="006E6AE5" w:rsidP="006E6AE5">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387.941</w:t>
            </w:r>
          </w:p>
        </w:tc>
        <w:tc>
          <w:tcPr>
            <w:tcW w:w="1066"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-0,1</w:t>
            </w:r>
          </w:p>
        </w:tc>
        <w:tc>
          <w:tcPr>
            <w:tcW w:w="1067" w:type="dxa"/>
            <w:shd w:val="clear" w:color="000000" w:fill="D9D9D9"/>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-0,1</w:t>
            </w:r>
          </w:p>
        </w:tc>
        <w:tc>
          <w:tcPr>
            <w:tcW w:w="1047"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+4,3</w:t>
            </w:r>
          </w:p>
        </w:tc>
        <w:tc>
          <w:tcPr>
            <w:tcW w:w="931" w:type="dxa"/>
            <w:shd w:val="clear" w:color="000000" w:fill="D9D9D9"/>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+4,3</w:t>
            </w:r>
          </w:p>
        </w:tc>
        <w:tc>
          <w:tcPr>
            <w:tcW w:w="969" w:type="dxa"/>
            <w:shd w:val="clear" w:color="auto" w:fill="auto"/>
            <w:vAlign w:val="center"/>
          </w:tcPr>
          <w:p w:rsidR="006E6AE5" w:rsidRPr="006E6AE5" w:rsidRDefault="006E6AE5" w:rsidP="006E6AE5">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+3,3</w:t>
            </w:r>
          </w:p>
        </w:tc>
      </w:tr>
      <w:tr w:rsidR="00DE5A79" w:rsidRPr="004D11C3" w:rsidTr="003A3FE1">
        <w:trPr>
          <w:trHeight w:val="255"/>
        </w:trPr>
        <w:tc>
          <w:tcPr>
            <w:tcW w:w="4131" w:type="dxa"/>
            <w:shd w:val="clear" w:color="000000" w:fill="E42618"/>
            <w:noWrap/>
            <w:vAlign w:val="center"/>
            <w:hideMark/>
          </w:tcPr>
          <w:p w:rsidR="00DE5A79" w:rsidRPr="004B2A9B" w:rsidRDefault="00DE5A79" w:rsidP="00DE5A79">
            <w:pPr>
              <w:widowControl/>
              <w:overflowPunct/>
              <w:autoSpaceDE/>
              <w:autoSpaceDN/>
              <w:adjustRightInd/>
              <w:spacing w:before="0" w:after="0"/>
              <w:rPr>
                <w:rFonts w:ascii="Arial Narrow" w:hAnsi="Arial Narrow" w:cs="Arial"/>
                <w:b/>
                <w:bCs/>
                <w:color w:val="FFFFFF"/>
                <w:kern w:val="0"/>
                <w:sz w:val="18"/>
                <w:szCs w:val="18"/>
              </w:rPr>
            </w:pPr>
            <w:r w:rsidRPr="004B2A9B">
              <w:rPr>
                <w:rFonts w:ascii="Arial Narrow" w:hAnsi="Arial Narrow" w:cs="Arial"/>
                <w:b/>
                <w:bCs/>
                <w:color w:val="FFFFFF"/>
                <w:kern w:val="0"/>
                <w:sz w:val="18"/>
                <w:szCs w:val="18"/>
              </w:rPr>
              <w:t>Indice generale</w:t>
            </w:r>
          </w:p>
        </w:tc>
        <w:tc>
          <w:tcPr>
            <w:tcW w:w="1028" w:type="dxa"/>
            <w:shd w:val="clear" w:color="000000" w:fill="E42618"/>
            <w:vAlign w:val="center"/>
          </w:tcPr>
          <w:p w:rsidR="00DE5A79" w:rsidRPr="00CE144C" w:rsidRDefault="00DE5A79" w:rsidP="00DE5A7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CE144C">
              <w:rPr>
                <w:rFonts w:ascii="Arial Narrow" w:hAnsi="Arial Narrow" w:cs="Arial"/>
                <w:b/>
                <w:color w:val="FFFFFF" w:themeColor="background1"/>
                <w:kern w:val="0"/>
                <w:sz w:val="18"/>
                <w:szCs w:val="18"/>
              </w:rPr>
              <w:t>1.000.000</w:t>
            </w:r>
          </w:p>
        </w:tc>
        <w:tc>
          <w:tcPr>
            <w:tcW w:w="1066" w:type="dxa"/>
            <w:shd w:val="clear" w:color="000000" w:fill="E42618"/>
            <w:vAlign w:val="center"/>
          </w:tcPr>
          <w:p w:rsidR="00DE5A79" w:rsidRPr="00DE5A79" w:rsidRDefault="00DE5A79" w:rsidP="00DE5A79">
            <w:pPr>
              <w:widowControl/>
              <w:overflowPunct/>
              <w:autoSpaceDE/>
              <w:autoSpaceDN/>
              <w:adjustRightInd/>
              <w:spacing w:beforeAutospacing="1" w:afterAutospacing="1"/>
              <w:jc w:val="right"/>
              <w:rPr>
                <w:rFonts w:ascii="Arial Narrow" w:hAnsi="Arial Narrow" w:cs="Arial"/>
                <w:b/>
                <w:color w:val="FFFFFF" w:themeColor="background1"/>
                <w:kern w:val="0"/>
                <w:sz w:val="18"/>
                <w:szCs w:val="18"/>
              </w:rPr>
            </w:pPr>
            <w:r w:rsidRPr="00DE5A79">
              <w:rPr>
                <w:rFonts w:ascii="Arial Narrow" w:hAnsi="Arial Narrow" w:cs="Arial"/>
                <w:b/>
                <w:color w:val="FFFFFF" w:themeColor="background1"/>
                <w:kern w:val="0"/>
                <w:sz w:val="18"/>
                <w:szCs w:val="18"/>
              </w:rPr>
              <w:t>+0,6</w:t>
            </w:r>
          </w:p>
        </w:tc>
        <w:tc>
          <w:tcPr>
            <w:tcW w:w="1067" w:type="dxa"/>
            <w:shd w:val="clear" w:color="000000" w:fill="E42618"/>
            <w:vAlign w:val="center"/>
          </w:tcPr>
          <w:p w:rsidR="00DE5A79" w:rsidRPr="00DE5A79" w:rsidRDefault="00DE5A79" w:rsidP="00DE5A79">
            <w:pPr>
              <w:widowControl/>
              <w:overflowPunct/>
              <w:autoSpaceDE/>
              <w:autoSpaceDN/>
              <w:adjustRightInd/>
              <w:spacing w:beforeAutospacing="1" w:afterAutospacing="1"/>
              <w:jc w:val="right"/>
              <w:rPr>
                <w:rFonts w:ascii="Arial Narrow" w:hAnsi="Arial Narrow" w:cs="Arial"/>
                <w:b/>
                <w:color w:val="FFFFFF" w:themeColor="background1"/>
                <w:kern w:val="0"/>
                <w:sz w:val="18"/>
                <w:szCs w:val="18"/>
              </w:rPr>
            </w:pPr>
            <w:r w:rsidRPr="00DE5A79">
              <w:rPr>
                <w:rFonts w:ascii="Arial Narrow" w:hAnsi="Arial Narrow" w:cs="Arial"/>
                <w:b/>
                <w:color w:val="FFFFFF" w:themeColor="background1"/>
                <w:kern w:val="0"/>
                <w:sz w:val="18"/>
                <w:szCs w:val="18"/>
              </w:rPr>
              <w:t>+0,7</w:t>
            </w:r>
          </w:p>
        </w:tc>
        <w:tc>
          <w:tcPr>
            <w:tcW w:w="1047" w:type="dxa"/>
            <w:shd w:val="clear" w:color="000000" w:fill="E42618"/>
            <w:vAlign w:val="center"/>
          </w:tcPr>
          <w:p w:rsidR="00DE5A79" w:rsidRPr="00DE5A79" w:rsidRDefault="00DE5A79" w:rsidP="00DE5A79">
            <w:pPr>
              <w:widowControl/>
              <w:overflowPunct/>
              <w:autoSpaceDE/>
              <w:autoSpaceDN/>
              <w:adjustRightInd/>
              <w:spacing w:beforeAutospacing="1" w:afterAutospacing="1"/>
              <w:jc w:val="right"/>
              <w:rPr>
                <w:rFonts w:ascii="Arial Narrow" w:hAnsi="Arial Narrow" w:cs="Arial"/>
                <w:b/>
                <w:color w:val="FFFFFF" w:themeColor="background1"/>
                <w:kern w:val="0"/>
                <w:sz w:val="18"/>
                <w:szCs w:val="18"/>
              </w:rPr>
            </w:pPr>
            <w:r w:rsidRPr="00DE5A79">
              <w:rPr>
                <w:rFonts w:ascii="Arial Narrow" w:hAnsi="Arial Narrow" w:cs="Arial"/>
                <w:b/>
                <w:color w:val="FFFFFF" w:themeColor="background1"/>
                <w:kern w:val="0"/>
                <w:sz w:val="18"/>
                <w:szCs w:val="18"/>
              </w:rPr>
              <w:t>+12,5</w:t>
            </w:r>
          </w:p>
        </w:tc>
        <w:tc>
          <w:tcPr>
            <w:tcW w:w="931" w:type="dxa"/>
            <w:shd w:val="clear" w:color="000000" w:fill="E42618"/>
            <w:vAlign w:val="center"/>
          </w:tcPr>
          <w:p w:rsidR="00DE5A79" w:rsidRPr="00DE5A79" w:rsidRDefault="00DE5A79" w:rsidP="00DE5A79">
            <w:pPr>
              <w:widowControl/>
              <w:overflowPunct/>
              <w:autoSpaceDE/>
              <w:autoSpaceDN/>
              <w:adjustRightInd/>
              <w:spacing w:beforeAutospacing="1" w:afterAutospacing="1"/>
              <w:jc w:val="right"/>
              <w:rPr>
                <w:rFonts w:ascii="Arial Narrow" w:hAnsi="Arial Narrow" w:cs="Arial"/>
                <w:b/>
                <w:color w:val="FFFFFF" w:themeColor="background1"/>
                <w:kern w:val="0"/>
                <w:sz w:val="18"/>
                <w:szCs w:val="18"/>
              </w:rPr>
            </w:pPr>
            <w:r w:rsidRPr="00DE5A79">
              <w:rPr>
                <w:rFonts w:ascii="Arial Narrow" w:hAnsi="Arial Narrow" w:cs="Arial"/>
                <w:b/>
                <w:color w:val="FFFFFF" w:themeColor="background1"/>
                <w:kern w:val="0"/>
                <w:sz w:val="18"/>
                <w:szCs w:val="18"/>
              </w:rPr>
              <w:t>+12,6</w:t>
            </w:r>
          </w:p>
        </w:tc>
        <w:tc>
          <w:tcPr>
            <w:tcW w:w="969" w:type="dxa"/>
            <w:shd w:val="clear" w:color="000000" w:fill="E42618"/>
            <w:vAlign w:val="center"/>
          </w:tcPr>
          <w:p w:rsidR="00DE5A79" w:rsidRPr="006E6AE5" w:rsidRDefault="00DE5A79" w:rsidP="00DE5A79">
            <w:pPr>
              <w:widowControl/>
              <w:overflowPunct/>
              <w:autoSpaceDE/>
              <w:autoSpaceDN/>
              <w:adjustRightInd/>
              <w:spacing w:before="0" w:after="0"/>
              <w:jc w:val="right"/>
              <w:rPr>
                <w:rFonts w:ascii="Arial Narrow" w:hAnsi="Arial Narrow" w:cs="Arial"/>
                <w:b/>
                <w:color w:val="FFFFFF" w:themeColor="background1"/>
                <w:kern w:val="0"/>
                <w:sz w:val="18"/>
                <w:szCs w:val="18"/>
              </w:rPr>
            </w:pPr>
            <w:r w:rsidRPr="006E6AE5">
              <w:rPr>
                <w:rFonts w:ascii="Arial Narrow" w:hAnsi="Arial Narrow" w:cs="Arial"/>
                <w:b/>
                <w:color w:val="FFFFFF" w:themeColor="background1"/>
                <w:kern w:val="0"/>
                <w:sz w:val="18"/>
                <w:szCs w:val="18"/>
              </w:rPr>
              <w:t>+8,7</w:t>
            </w:r>
          </w:p>
        </w:tc>
      </w:tr>
      <w:tr w:rsidR="00DE5A79" w:rsidRPr="004B2A9B" w:rsidTr="003A3FE1">
        <w:trPr>
          <w:trHeight w:val="431"/>
        </w:trPr>
        <w:tc>
          <w:tcPr>
            <w:tcW w:w="4131" w:type="dxa"/>
            <w:shd w:val="clear" w:color="auto" w:fill="auto"/>
            <w:vAlign w:val="center"/>
            <w:hideMark/>
          </w:tcPr>
          <w:p w:rsidR="00DE5A79" w:rsidRPr="004B2A9B" w:rsidRDefault="00DE5A79" w:rsidP="00DE5A7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generale al netto dell’energia e degli alimentari freschi (Componente di fondo)</w:t>
            </w:r>
          </w:p>
        </w:tc>
        <w:tc>
          <w:tcPr>
            <w:tcW w:w="1028" w:type="dxa"/>
            <w:shd w:val="clear" w:color="000000" w:fill="D9D9D9"/>
            <w:vAlign w:val="center"/>
          </w:tcPr>
          <w:p w:rsidR="00DE5A79" w:rsidRPr="00CE144C" w:rsidRDefault="00DE5A79" w:rsidP="00DE5A79">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831.254</w:t>
            </w:r>
          </w:p>
        </w:tc>
        <w:tc>
          <w:tcPr>
            <w:tcW w:w="1066" w:type="dxa"/>
            <w:shd w:val="clear" w:color="auto" w:fill="auto"/>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+0,5</w:t>
            </w:r>
          </w:p>
        </w:tc>
        <w:tc>
          <w:tcPr>
            <w:tcW w:w="1067" w:type="dxa"/>
            <w:shd w:val="clear" w:color="000000" w:fill="D9D9D9"/>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0,0</w:t>
            </w:r>
          </w:p>
        </w:tc>
        <w:tc>
          <w:tcPr>
            <w:tcW w:w="1047" w:type="dxa"/>
            <w:shd w:val="clear" w:color="auto" w:fill="auto"/>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+6,2</w:t>
            </w:r>
          </w:p>
        </w:tc>
        <w:tc>
          <w:tcPr>
            <w:tcW w:w="931" w:type="dxa"/>
            <w:shd w:val="clear" w:color="000000" w:fill="D9D9D9"/>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+5,7</w:t>
            </w:r>
          </w:p>
        </w:tc>
        <w:tc>
          <w:tcPr>
            <w:tcW w:w="969" w:type="dxa"/>
            <w:shd w:val="clear" w:color="auto" w:fill="auto"/>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+4,0</w:t>
            </w:r>
          </w:p>
        </w:tc>
      </w:tr>
      <w:tr w:rsidR="00DE5A79" w:rsidRPr="004B2A9B" w:rsidTr="003A3FE1">
        <w:trPr>
          <w:trHeight w:val="431"/>
        </w:trPr>
        <w:tc>
          <w:tcPr>
            <w:tcW w:w="4131" w:type="dxa"/>
            <w:shd w:val="clear" w:color="auto" w:fill="auto"/>
            <w:vAlign w:val="center"/>
            <w:hideMark/>
          </w:tcPr>
          <w:p w:rsidR="00DE5A79" w:rsidRPr="004B2A9B" w:rsidRDefault="00DE5A79" w:rsidP="00DE5A7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generale al netto dell’energia, degli alimentari (incluse bevande alcoliche) e tabacchi</w:t>
            </w:r>
          </w:p>
        </w:tc>
        <w:tc>
          <w:tcPr>
            <w:tcW w:w="1028" w:type="dxa"/>
            <w:shd w:val="clear" w:color="000000" w:fill="D9D9D9"/>
            <w:vAlign w:val="center"/>
          </w:tcPr>
          <w:p w:rsidR="00DE5A79" w:rsidRPr="00CE144C" w:rsidRDefault="00DE5A79" w:rsidP="00DE5A79">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672.226</w:t>
            </w:r>
          </w:p>
        </w:tc>
        <w:tc>
          <w:tcPr>
            <w:tcW w:w="1066" w:type="dxa"/>
            <w:shd w:val="clear" w:color="auto" w:fill="auto"/>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+0,1</w:t>
            </w:r>
          </w:p>
        </w:tc>
        <w:tc>
          <w:tcPr>
            <w:tcW w:w="1067" w:type="dxa"/>
            <w:shd w:val="clear" w:color="000000" w:fill="D9D9D9"/>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0,0</w:t>
            </w:r>
          </w:p>
        </w:tc>
        <w:tc>
          <w:tcPr>
            <w:tcW w:w="1047" w:type="dxa"/>
            <w:shd w:val="clear" w:color="auto" w:fill="auto"/>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+4,7</w:t>
            </w:r>
          </w:p>
        </w:tc>
        <w:tc>
          <w:tcPr>
            <w:tcW w:w="931" w:type="dxa"/>
            <w:shd w:val="clear" w:color="000000" w:fill="D9D9D9"/>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+4,6</w:t>
            </w:r>
          </w:p>
        </w:tc>
        <w:tc>
          <w:tcPr>
            <w:tcW w:w="969" w:type="dxa"/>
            <w:shd w:val="clear" w:color="auto" w:fill="auto"/>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+3,2</w:t>
            </w:r>
          </w:p>
        </w:tc>
      </w:tr>
      <w:tr w:rsidR="00DE5A79" w:rsidRPr="004B2A9B" w:rsidTr="003A3FE1">
        <w:trPr>
          <w:trHeight w:val="255"/>
        </w:trPr>
        <w:tc>
          <w:tcPr>
            <w:tcW w:w="4131" w:type="dxa"/>
            <w:shd w:val="clear" w:color="auto" w:fill="auto"/>
            <w:vAlign w:val="center"/>
            <w:hideMark/>
          </w:tcPr>
          <w:p w:rsidR="00DE5A79" w:rsidRPr="004B2A9B" w:rsidRDefault="00DE5A79" w:rsidP="00DE5A79">
            <w:pPr>
              <w:widowControl/>
              <w:overflowPunct/>
              <w:autoSpaceDE/>
              <w:autoSpaceDN/>
              <w:adjustRightInd/>
              <w:spacing w:before="0" w:after="0"/>
              <w:rPr>
                <w:rFonts w:ascii="Arial Narrow" w:hAnsi="Arial Narrow" w:cs="Arial"/>
                <w:kern w:val="0"/>
                <w:sz w:val="18"/>
                <w:szCs w:val="18"/>
              </w:rPr>
            </w:pPr>
            <w:r w:rsidRPr="004B2A9B">
              <w:rPr>
                <w:rFonts w:ascii="Arial Narrow" w:hAnsi="Arial Narrow" w:cs="Arial"/>
                <w:kern w:val="0"/>
                <w:sz w:val="18"/>
                <w:szCs w:val="18"/>
              </w:rPr>
              <w:t>Indice generale al netto dell’energia</w:t>
            </w:r>
          </w:p>
        </w:tc>
        <w:tc>
          <w:tcPr>
            <w:tcW w:w="1028" w:type="dxa"/>
            <w:shd w:val="clear" w:color="000000" w:fill="D9D9D9"/>
            <w:vAlign w:val="center"/>
          </w:tcPr>
          <w:p w:rsidR="00DE5A79" w:rsidRPr="00CE144C" w:rsidRDefault="00DE5A79" w:rsidP="00DE5A79">
            <w:pPr>
              <w:widowControl/>
              <w:overflowPunct/>
              <w:autoSpaceDE/>
              <w:autoSpaceDN/>
              <w:adjustRightInd/>
              <w:spacing w:before="0" w:after="0"/>
              <w:jc w:val="right"/>
              <w:rPr>
                <w:rFonts w:ascii="Arial Narrow" w:hAnsi="Arial Narrow" w:cs="Arial"/>
                <w:kern w:val="0"/>
                <w:sz w:val="18"/>
                <w:szCs w:val="18"/>
              </w:rPr>
            </w:pPr>
            <w:r w:rsidRPr="00CE144C">
              <w:rPr>
                <w:rFonts w:ascii="Arial Narrow" w:hAnsi="Arial Narrow" w:cs="Arial"/>
                <w:kern w:val="0"/>
                <w:sz w:val="18"/>
                <w:szCs w:val="18"/>
              </w:rPr>
              <w:t>902.836</w:t>
            </w:r>
          </w:p>
        </w:tc>
        <w:tc>
          <w:tcPr>
            <w:tcW w:w="1066" w:type="dxa"/>
            <w:shd w:val="clear" w:color="auto" w:fill="auto"/>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+0,4</w:t>
            </w:r>
          </w:p>
        </w:tc>
        <w:tc>
          <w:tcPr>
            <w:tcW w:w="1067" w:type="dxa"/>
            <w:shd w:val="clear" w:color="000000" w:fill="D9D9D9"/>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+0,2</w:t>
            </w:r>
          </w:p>
        </w:tc>
        <w:tc>
          <w:tcPr>
            <w:tcW w:w="1047" w:type="dxa"/>
            <w:shd w:val="clear" w:color="auto" w:fill="auto"/>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+6,5</w:t>
            </w:r>
          </w:p>
        </w:tc>
        <w:tc>
          <w:tcPr>
            <w:tcW w:w="931" w:type="dxa"/>
            <w:shd w:val="clear" w:color="000000" w:fill="D9D9D9"/>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+6,4</w:t>
            </w:r>
          </w:p>
        </w:tc>
        <w:tc>
          <w:tcPr>
            <w:tcW w:w="969" w:type="dxa"/>
            <w:shd w:val="clear" w:color="auto" w:fill="auto"/>
            <w:vAlign w:val="center"/>
          </w:tcPr>
          <w:p w:rsidR="00DE5A79" w:rsidRPr="006E6AE5" w:rsidRDefault="00DE5A79" w:rsidP="00DE5A79">
            <w:pPr>
              <w:widowControl/>
              <w:overflowPunct/>
              <w:autoSpaceDE/>
              <w:autoSpaceDN/>
              <w:adjustRightInd/>
              <w:spacing w:beforeAutospacing="1" w:afterAutospacing="1"/>
              <w:jc w:val="right"/>
              <w:rPr>
                <w:rFonts w:ascii="Arial Narrow" w:hAnsi="Arial Narrow" w:cs="Arial"/>
                <w:kern w:val="0"/>
                <w:sz w:val="18"/>
                <w:szCs w:val="18"/>
              </w:rPr>
            </w:pPr>
            <w:r w:rsidRPr="006E6AE5">
              <w:rPr>
                <w:rFonts w:ascii="Arial Narrow" w:hAnsi="Arial Narrow" w:cs="Arial"/>
                <w:kern w:val="0"/>
                <w:sz w:val="18"/>
                <w:szCs w:val="18"/>
              </w:rPr>
              <w:t>+4,4</w:t>
            </w:r>
          </w:p>
        </w:tc>
      </w:tr>
    </w:tbl>
    <w:p w:rsidR="0059469F" w:rsidRDefault="0059469F" w:rsidP="0059469F">
      <w:pPr>
        <w:spacing w:before="60" w:after="120"/>
        <w:jc w:val="both"/>
        <w:rPr>
          <w:rFonts w:ascii="Arial" w:hAnsi="Arial" w:cs="Arial"/>
          <w:sz w:val="16"/>
        </w:rPr>
      </w:pPr>
    </w:p>
    <w:p w:rsidR="005031DD" w:rsidRDefault="005031DD" w:rsidP="0059469F">
      <w:pPr>
        <w:pStyle w:val="001SottotitoloGra"/>
        <w:spacing w:line="240" w:lineRule="auto"/>
        <w:rPr>
          <w:rFonts w:ascii="Arial" w:hAnsi="Arial"/>
          <w:b/>
        </w:rPr>
      </w:pPr>
    </w:p>
    <w:p w:rsidR="003B6F86" w:rsidRPr="008A1DA4" w:rsidRDefault="003B6F86" w:rsidP="003B6F86">
      <w:pPr>
        <w:spacing w:before="0" w:after="120"/>
        <w:jc w:val="both"/>
        <w:rPr>
          <w:rFonts w:ascii="Arial" w:hAnsi="Arial" w:cs="Arial"/>
          <w:b/>
        </w:rPr>
      </w:pPr>
    </w:p>
    <w:p w:rsidR="003B6F86" w:rsidRDefault="003B6F86" w:rsidP="003B6F86">
      <w:pPr>
        <w:spacing w:before="0" w:after="120"/>
        <w:jc w:val="both"/>
        <w:rPr>
          <w:rFonts w:ascii="Arial" w:hAnsi="Arial" w:cs="Arial"/>
          <w:b/>
        </w:rPr>
        <w:sectPr w:rsidR="003B6F86" w:rsidSect="00AE446C">
          <w:headerReference w:type="default" r:id="rId30"/>
          <w:footerReference w:type="default" r:id="rId31"/>
          <w:type w:val="continuous"/>
          <w:pgSz w:w="11907" w:h="16840" w:code="9"/>
          <w:pgMar w:top="1534" w:right="851" w:bottom="680" w:left="851" w:header="567" w:footer="567" w:gutter="0"/>
          <w:cols w:space="720"/>
          <w:noEndnote/>
          <w:docGrid w:linePitch="272"/>
        </w:sectPr>
      </w:pPr>
    </w:p>
    <w:p w:rsidR="0083719A" w:rsidRDefault="0083719A" w:rsidP="003B6F86">
      <w:pPr>
        <w:spacing w:before="0" w:after="120"/>
        <w:jc w:val="both"/>
        <w:rPr>
          <w:rFonts w:ascii="Arial" w:hAnsi="Arial" w:cs="Arial"/>
          <w:b/>
        </w:rPr>
        <w:sectPr w:rsidR="0083719A" w:rsidSect="00AE446C">
          <w:headerReference w:type="default" r:id="rId32"/>
          <w:type w:val="continuous"/>
          <w:pgSz w:w="11907" w:h="16840" w:code="9"/>
          <w:pgMar w:top="1534" w:right="851" w:bottom="680" w:left="851" w:header="567" w:footer="567" w:gutter="0"/>
          <w:cols w:space="720"/>
          <w:noEndnote/>
          <w:docGrid w:linePitch="272"/>
        </w:sectPr>
      </w:pPr>
    </w:p>
    <w:p w:rsidR="002E6FBD" w:rsidRPr="003B37F9" w:rsidRDefault="002E6FBD" w:rsidP="002E6FBD">
      <w:pPr>
        <w:spacing w:before="0" w:after="120"/>
        <w:jc w:val="both"/>
        <w:rPr>
          <w:rFonts w:ascii="Arial" w:hAnsi="Arial" w:cs="Arial"/>
          <w:color w:val="000000"/>
          <w:kern w:val="0"/>
          <w:sz w:val="21"/>
          <w:szCs w:val="21"/>
        </w:rPr>
      </w:pPr>
    </w:p>
    <w:p w:rsidR="00FF0512" w:rsidRPr="00E87687" w:rsidRDefault="00A55D6D" w:rsidP="00FF0512">
      <w:pPr>
        <w:pStyle w:val="001TitoloBolocco"/>
        <w:spacing w:after="120" w:line="240" w:lineRule="auto"/>
      </w:pPr>
      <w:r>
        <w:t>inflazione stabile</w:t>
      </w:r>
      <w:r w:rsidR="00FF0512" w:rsidRPr="00AC067F">
        <w:t xml:space="preserve"> </w:t>
      </w:r>
      <w:r w:rsidR="00FF0512">
        <w:t xml:space="preserve">a </w:t>
      </w:r>
      <w:r w:rsidR="00FD38B0">
        <w:t>novembre</w:t>
      </w:r>
    </w:p>
    <w:p w:rsidR="00667029" w:rsidRDefault="00667029" w:rsidP="00667029">
      <w:pPr>
        <w:spacing w:before="0" w:after="120"/>
        <w:jc w:val="both"/>
        <w:rPr>
          <w:rFonts w:ascii="Arial" w:hAnsi="Arial" w:cs="Arial"/>
          <w:color w:val="000000"/>
          <w:kern w:val="0"/>
          <w:sz w:val="21"/>
          <w:szCs w:val="21"/>
        </w:rPr>
      </w:pPr>
      <w:r w:rsidRPr="003B7708">
        <w:rPr>
          <w:rFonts w:ascii="Arial" w:hAnsi="Arial" w:cs="Arial"/>
          <w:color w:val="000000"/>
          <w:kern w:val="0"/>
          <w:sz w:val="21"/>
          <w:szCs w:val="21"/>
        </w:rPr>
        <w:t>A</w:t>
      </w:r>
      <w:r>
        <w:rPr>
          <w:rFonts w:ascii="Arial" w:hAnsi="Arial" w:cs="Arial"/>
          <w:color w:val="000000"/>
          <w:kern w:val="0"/>
          <w:sz w:val="21"/>
          <w:szCs w:val="21"/>
        </w:rPr>
        <w:t xml:space="preserve"> novembre</w:t>
      </w:r>
      <w:r w:rsidRPr="003B7708">
        <w:rPr>
          <w:rFonts w:ascii="Arial" w:hAnsi="Arial" w:cs="Arial"/>
          <w:color w:val="000000"/>
          <w:kern w:val="0"/>
          <w:sz w:val="21"/>
          <w:szCs w:val="21"/>
        </w:rPr>
        <w:t>,</w:t>
      </w:r>
      <w:r>
        <w:rPr>
          <w:rFonts w:ascii="Arial" w:hAnsi="Arial" w:cs="Arial"/>
          <w:color w:val="000000"/>
          <w:kern w:val="0"/>
          <w:sz w:val="21"/>
          <w:szCs w:val="21"/>
        </w:rPr>
        <w:t xml:space="preserve"> la variazione dell</w:t>
      </w:r>
      <w:r w:rsidRPr="003B7708">
        <w:rPr>
          <w:rFonts w:ascii="Arial" w:hAnsi="Arial" w:cs="Arial"/>
          <w:color w:val="000000"/>
          <w:kern w:val="0"/>
          <w:sz w:val="21"/>
          <w:szCs w:val="21"/>
        </w:rPr>
        <w:t>’indice generale dei prezzi al consumo NIC (+</w:t>
      </w:r>
      <w:r>
        <w:rPr>
          <w:rFonts w:ascii="Arial" w:hAnsi="Arial" w:cs="Arial"/>
          <w:color w:val="000000"/>
          <w:kern w:val="0"/>
          <w:sz w:val="21"/>
          <w:szCs w:val="21"/>
        </w:rPr>
        <w:t>11,8</w:t>
      </w:r>
      <w:r w:rsidRPr="003B7708">
        <w:rPr>
          <w:rFonts w:ascii="Arial" w:hAnsi="Arial" w:cs="Arial"/>
          <w:color w:val="000000"/>
          <w:kern w:val="0"/>
          <w:sz w:val="21"/>
          <w:szCs w:val="21"/>
        </w:rPr>
        <w:t xml:space="preserve">%) </w:t>
      </w:r>
      <w:r>
        <w:rPr>
          <w:rFonts w:ascii="Arial" w:hAnsi="Arial" w:cs="Arial"/>
          <w:color w:val="000000"/>
          <w:kern w:val="0"/>
          <w:sz w:val="21"/>
          <w:szCs w:val="21"/>
        </w:rPr>
        <w:t>rimane stabile così come sostanzialmente lo rimane quella dei</w:t>
      </w:r>
      <w:r w:rsidRPr="003B7708">
        <w:rPr>
          <w:rFonts w:ascii="Arial" w:hAnsi="Arial" w:cs="Arial"/>
          <w:color w:val="000000"/>
          <w:kern w:val="0"/>
          <w:sz w:val="21"/>
          <w:szCs w:val="21"/>
        </w:rPr>
        <w:t xml:space="preserve"> prezzi dei beni (</w:t>
      </w:r>
      <w:r>
        <w:rPr>
          <w:rFonts w:ascii="Arial" w:hAnsi="Arial" w:cs="Arial"/>
          <w:color w:val="000000"/>
          <w:kern w:val="0"/>
          <w:sz w:val="21"/>
          <w:szCs w:val="21"/>
        </w:rPr>
        <w:t xml:space="preserve">che registrano una lieve decelerazione </w:t>
      </w:r>
      <w:r w:rsidRPr="00570391">
        <w:rPr>
          <w:rFonts w:ascii="Arial" w:hAnsi="Arial" w:cs="Arial"/>
          <w:sz w:val="21"/>
          <w:szCs w:val="21"/>
        </w:rPr>
        <w:t xml:space="preserve">da </w:t>
      </w:r>
      <w:r>
        <w:rPr>
          <w:rFonts w:ascii="Arial" w:hAnsi="Arial" w:cs="Arial"/>
          <w:sz w:val="21"/>
          <w:szCs w:val="21"/>
        </w:rPr>
        <w:t>+17,6%</w:t>
      </w:r>
      <w:r w:rsidRPr="00570391">
        <w:rPr>
          <w:rFonts w:ascii="Arial" w:hAnsi="Arial" w:cs="Arial"/>
          <w:sz w:val="21"/>
          <w:szCs w:val="21"/>
        </w:rPr>
        <w:t xml:space="preserve"> a </w:t>
      </w:r>
      <w:r>
        <w:rPr>
          <w:rFonts w:ascii="Arial" w:hAnsi="Arial" w:cs="Arial"/>
          <w:sz w:val="21"/>
          <w:szCs w:val="21"/>
        </w:rPr>
        <w:t>+17,5</w:t>
      </w:r>
      <w:r w:rsidRPr="00570391">
        <w:rPr>
          <w:rFonts w:ascii="Arial" w:hAnsi="Arial" w:cs="Arial"/>
          <w:sz w:val="21"/>
          <w:szCs w:val="21"/>
        </w:rPr>
        <w:t>%</w:t>
      </w:r>
      <w:r w:rsidRPr="003B7708">
        <w:rPr>
          <w:rFonts w:ascii="Arial" w:hAnsi="Arial" w:cs="Arial"/>
          <w:sz w:val="21"/>
          <w:szCs w:val="21"/>
        </w:rPr>
        <w:t>)</w:t>
      </w:r>
      <w:r>
        <w:rPr>
          <w:rFonts w:ascii="Arial" w:hAnsi="Arial" w:cs="Arial"/>
          <w:sz w:val="21"/>
          <w:szCs w:val="21"/>
        </w:rPr>
        <w:t xml:space="preserve"> e</w:t>
      </w:r>
      <w:r>
        <w:rPr>
          <w:rFonts w:ascii="Arial" w:hAnsi="Arial" w:cs="Arial"/>
          <w:color w:val="000000"/>
          <w:kern w:val="0"/>
          <w:sz w:val="21"/>
          <w:szCs w:val="21"/>
        </w:rPr>
        <w:t xml:space="preserve"> la variazione dei prezzi dei</w:t>
      </w:r>
      <w:r w:rsidRPr="003B7708">
        <w:rPr>
          <w:rFonts w:ascii="Arial" w:hAnsi="Arial" w:cs="Arial"/>
          <w:color w:val="000000"/>
          <w:kern w:val="0"/>
          <w:sz w:val="21"/>
          <w:szCs w:val="21"/>
        </w:rPr>
        <w:t xml:space="preserve"> servizi (</w:t>
      </w:r>
      <w:r>
        <w:rPr>
          <w:rFonts w:ascii="Arial" w:hAnsi="Arial" w:cs="Arial"/>
          <w:sz w:val="21"/>
          <w:szCs w:val="21"/>
        </w:rPr>
        <w:t>+3,8</w:t>
      </w:r>
      <w:r w:rsidRPr="003B7708">
        <w:rPr>
          <w:rFonts w:ascii="Arial" w:hAnsi="Arial" w:cs="Arial"/>
          <w:sz w:val="21"/>
          <w:szCs w:val="21"/>
        </w:rPr>
        <w:t>%</w:t>
      </w:r>
      <w:r w:rsidRPr="003B7708">
        <w:rPr>
          <w:rFonts w:ascii="Arial" w:hAnsi="Arial" w:cs="Arial"/>
          <w:color w:val="000000"/>
          <w:kern w:val="0"/>
          <w:sz w:val="21"/>
          <w:szCs w:val="21"/>
        </w:rPr>
        <w:t xml:space="preserve">); il differenziale inflazionistico tra questi ultimi e i prezzi </w:t>
      </w:r>
      <w:r>
        <w:rPr>
          <w:rFonts w:ascii="Arial" w:hAnsi="Arial" w:cs="Arial"/>
          <w:color w:val="000000"/>
          <w:kern w:val="0"/>
          <w:sz w:val="21"/>
          <w:szCs w:val="21"/>
        </w:rPr>
        <w:t>dei beni rimane quindi negativo, riducendosi lievemente a</w:t>
      </w:r>
      <w:r w:rsidRPr="003B7708">
        <w:rPr>
          <w:rFonts w:ascii="Arial" w:hAnsi="Arial" w:cs="Arial"/>
          <w:color w:val="000000"/>
          <w:kern w:val="0"/>
          <w:sz w:val="21"/>
          <w:szCs w:val="21"/>
        </w:rPr>
        <w:t xml:space="preserve"> -</w:t>
      </w:r>
      <w:r>
        <w:rPr>
          <w:rFonts w:ascii="Arial" w:hAnsi="Arial" w:cs="Arial"/>
          <w:color w:val="000000"/>
          <w:kern w:val="0"/>
          <w:sz w:val="21"/>
          <w:szCs w:val="21"/>
        </w:rPr>
        <w:t xml:space="preserve">13,7 </w:t>
      </w:r>
      <w:r w:rsidRPr="003B7708">
        <w:rPr>
          <w:rFonts w:ascii="Arial" w:hAnsi="Arial" w:cs="Arial"/>
          <w:color w:val="000000"/>
          <w:kern w:val="0"/>
          <w:sz w:val="21"/>
          <w:szCs w:val="21"/>
        </w:rPr>
        <w:t>punti percentuali</w:t>
      </w:r>
      <w:r>
        <w:rPr>
          <w:rFonts w:ascii="Arial" w:hAnsi="Arial" w:cs="Arial"/>
          <w:color w:val="000000"/>
          <w:kern w:val="0"/>
          <w:sz w:val="21"/>
          <w:szCs w:val="21"/>
        </w:rPr>
        <w:t>,</w:t>
      </w:r>
      <w:r w:rsidRPr="003B7708">
        <w:rPr>
          <w:rFonts w:ascii="Arial" w:hAnsi="Arial" w:cs="Arial"/>
          <w:color w:val="000000"/>
          <w:kern w:val="0"/>
          <w:sz w:val="21"/>
          <w:szCs w:val="21"/>
        </w:rPr>
        <w:t xml:space="preserve"> </w:t>
      </w:r>
      <w:r>
        <w:rPr>
          <w:rFonts w:ascii="Arial" w:hAnsi="Arial" w:cs="Arial"/>
          <w:color w:val="000000"/>
          <w:kern w:val="0"/>
          <w:sz w:val="21"/>
          <w:szCs w:val="21"/>
        </w:rPr>
        <w:t>da</w:t>
      </w:r>
      <w:r w:rsidRPr="003B7708">
        <w:rPr>
          <w:rFonts w:ascii="Arial" w:hAnsi="Arial" w:cs="Arial"/>
          <w:color w:val="000000"/>
          <w:kern w:val="0"/>
          <w:sz w:val="21"/>
          <w:szCs w:val="21"/>
        </w:rPr>
        <w:t xml:space="preserve"> -</w:t>
      </w:r>
      <w:r>
        <w:rPr>
          <w:rFonts w:ascii="Arial" w:hAnsi="Arial" w:cs="Arial"/>
          <w:color w:val="000000"/>
          <w:kern w:val="0"/>
          <w:sz w:val="21"/>
          <w:szCs w:val="21"/>
        </w:rPr>
        <w:t>13,8 di ottobre</w:t>
      </w:r>
      <w:r w:rsidRPr="003B7708">
        <w:rPr>
          <w:rFonts w:ascii="Arial" w:hAnsi="Arial" w:cs="Arial"/>
          <w:color w:val="000000"/>
          <w:kern w:val="0"/>
          <w:sz w:val="21"/>
          <w:szCs w:val="21"/>
        </w:rPr>
        <w:t>.</w:t>
      </w:r>
      <w:r>
        <w:rPr>
          <w:rFonts w:ascii="Arial" w:hAnsi="Arial" w:cs="Arial"/>
          <w:color w:val="000000"/>
          <w:kern w:val="0"/>
          <w:sz w:val="21"/>
          <w:szCs w:val="21"/>
        </w:rPr>
        <w:t xml:space="preserve"> </w:t>
      </w:r>
    </w:p>
    <w:p w:rsidR="00E8219F" w:rsidRDefault="00E8219F" w:rsidP="00E8219F">
      <w:pPr>
        <w:spacing w:before="0" w:after="120"/>
        <w:jc w:val="both"/>
        <w:rPr>
          <w:rFonts w:ascii="Arial" w:hAnsi="Arial" w:cs="Arial"/>
          <w:color w:val="000000"/>
          <w:kern w:val="0"/>
          <w:sz w:val="21"/>
          <w:szCs w:val="21"/>
        </w:rPr>
      </w:pPr>
      <w:r>
        <w:rPr>
          <w:rFonts w:ascii="Arial" w:hAnsi="Arial" w:cs="Arial"/>
          <w:color w:val="000000"/>
          <w:kern w:val="0"/>
          <w:sz w:val="21"/>
          <w:szCs w:val="21"/>
        </w:rPr>
        <w:t xml:space="preserve">Il modesto rallentamento dei prezzi dei beni è imputabile alla decelerazione dei prezzi dei Beni energetici (da +71,1% a +67,3%; +2,3% il congiunturale), causata da quelli della componente non regolamentata </w:t>
      </w:r>
      <w:r w:rsidRPr="00F07745">
        <w:rPr>
          <w:rFonts w:ascii="Arial" w:hAnsi="Arial" w:cs="Arial"/>
          <w:color w:val="000000"/>
          <w:kern w:val="0"/>
          <w:sz w:val="21"/>
          <w:szCs w:val="21"/>
        </w:rPr>
        <w:t>(</w:t>
      </w:r>
      <w:r>
        <w:rPr>
          <w:rFonts w:ascii="Arial" w:hAnsi="Arial" w:cs="Arial"/>
          <w:color w:val="000000"/>
          <w:kern w:val="0"/>
          <w:sz w:val="21"/>
          <w:szCs w:val="21"/>
        </w:rPr>
        <w:t xml:space="preserve">la cui variazione su base annua passa da </w:t>
      </w:r>
      <w:r w:rsidRPr="00F07745">
        <w:rPr>
          <w:rFonts w:ascii="Arial" w:hAnsi="Arial" w:cs="Arial"/>
          <w:color w:val="000000"/>
          <w:kern w:val="0"/>
          <w:sz w:val="21"/>
          <w:szCs w:val="21"/>
        </w:rPr>
        <w:t>+</w:t>
      </w:r>
      <w:r>
        <w:rPr>
          <w:rFonts w:ascii="Arial" w:hAnsi="Arial" w:cs="Arial"/>
          <w:color w:val="000000"/>
          <w:kern w:val="0"/>
          <w:sz w:val="21"/>
          <w:szCs w:val="21"/>
        </w:rPr>
        <w:t>79,4% a +69,9%; +2,2% su</w:t>
      </w:r>
      <w:r w:rsidR="00DE43B2">
        <w:rPr>
          <w:rFonts w:ascii="Arial" w:hAnsi="Arial" w:cs="Arial"/>
          <w:color w:val="000000"/>
          <w:kern w:val="0"/>
          <w:sz w:val="21"/>
          <w:szCs w:val="21"/>
        </w:rPr>
        <w:t>l</w:t>
      </w:r>
      <w:r>
        <w:rPr>
          <w:rFonts w:ascii="Arial" w:hAnsi="Arial" w:cs="Arial"/>
          <w:color w:val="000000"/>
          <w:kern w:val="0"/>
          <w:sz w:val="21"/>
          <w:szCs w:val="21"/>
        </w:rPr>
        <w:t xml:space="preserve"> mese) per effetto soprattutto de</w:t>
      </w:r>
      <w:r w:rsidRPr="000E726B">
        <w:rPr>
          <w:rFonts w:ascii="Arial" w:hAnsi="Arial" w:cs="Arial"/>
          <w:color w:val="000000"/>
          <w:kern w:val="0"/>
          <w:sz w:val="21"/>
          <w:szCs w:val="21"/>
        </w:rPr>
        <w:t>i prezzi dell’Energia elettrica mercato libero</w:t>
      </w:r>
      <w:r>
        <w:rPr>
          <w:rFonts w:ascii="Arial" w:hAnsi="Arial" w:cs="Arial"/>
          <w:color w:val="000000"/>
          <w:kern w:val="0"/>
          <w:sz w:val="21"/>
          <w:szCs w:val="21"/>
        </w:rPr>
        <w:t xml:space="preserve"> </w:t>
      </w:r>
      <w:r w:rsidRPr="000E726B">
        <w:rPr>
          <w:rFonts w:ascii="Arial" w:hAnsi="Arial" w:cs="Arial"/>
          <w:color w:val="000000"/>
          <w:kern w:val="0"/>
          <w:sz w:val="21"/>
          <w:szCs w:val="21"/>
        </w:rPr>
        <w:t>(</w:t>
      </w:r>
      <w:r>
        <w:rPr>
          <w:rFonts w:ascii="Arial" w:hAnsi="Arial" w:cs="Arial"/>
          <w:color w:val="000000"/>
          <w:kern w:val="0"/>
          <w:sz w:val="21"/>
          <w:szCs w:val="21"/>
        </w:rPr>
        <w:t>in forte rallentamento,</w:t>
      </w:r>
      <w:r w:rsidRPr="000E726B">
        <w:rPr>
          <w:rFonts w:ascii="Arial" w:hAnsi="Arial" w:cs="Arial"/>
          <w:color w:val="000000"/>
          <w:kern w:val="0"/>
          <w:sz w:val="21"/>
          <w:szCs w:val="21"/>
        </w:rPr>
        <w:t xml:space="preserve"> </w:t>
      </w:r>
      <w:r>
        <w:rPr>
          <w:rFonts w:ascii="Arial" w:hAnsi="Arial" w:cs="Arial"/>
          <w:color w:val="000000"/>
          <w:kern w:val="0"/>
          <w:sz w:val="21"/>
          <w:szCs w:val="21"/>
        </w:rPr>
        <w:t>pur continuando a registrare una crescita elevatissima,</w:t>
      </w:r>
      <w:r w:rsidRPr="000E726B">
        <w:rPr>
          <w:rFonts w:ascii="Arial" w:hAnsi="Arial" w:cs="Arial"/>
          <w:color w:val="000000"/>
          <w:kern w:val="0"/>
          <w:sz w:val="21"/>
          <w:szCs w:val="21"/>
        </w:rPr>
        <w:t xml:space="preserve"> da +</w:t>
      </w:r>
      <w:r>
        <w:rPr>
          <w:rFonts w:ascii="Arial" w:hAnsi="Arial" w:cs="Arial"/>
          <w:color w:val="000000"/>
          <w:kern w:val="0"/>
          <w:sz w:val="21"/>
          <w:szCs w:val="21"/>
        </w:rPr>
        <w:t>329,0</w:t>
      </w:r>
      <w:r w:rsidRPr="000E726B">
        <w:rPr>
          <w:rFonts w:ascii="Arial" w:hAnsi="Arial" w:cs="Arial"/>
          <w:color w:val="000000"/>
          <w:kern w:val="0"/>
          <w:sz w:val="21"/>
          <w:szCs w:val="21"/>
        </w:rPr>
        <w:t>%</w:t>
      </w:r>
      <w:r>
        <w:rPr>
          <w:rFonts w:ascii="Arial" w:hAnsi="Arial" w:cs="Arial"/>
          <w:color w:val="000000"/>
          <w:kern w:val="0"/>
          <w:sz w:val="21"/>
          <w:szCs w:val="21"/>
        </w:rPr>
        <w:t xml:space="preserve"> </w:t>
      </w:r>
      <w:r w:rsidRPr="000E726B">
        <w:rPr>
          <w:rFonts w:ascii="Arial" w:hAnsi="Arial" w:cs="Arial"/>
          <w:color w:val="000000"/>
          <w:kern w:val="0"/>
          <w:sz w:val="21"/>
          <w:szCs w:val="21"/>
        </w:rPr>
        <w:t>a +</w:t>
      </w:r>
      <w:r>
        <w:rPr>
          <w:rFonts w:ascii="Arial" w:hAnsi="Arial" w:cs="Arial"/>
          <w:color w:val="000000"/>
          <w:kern w:val="0"/>
          <w:sz w:val="21"/>
          <w:szCs w:val="21"/>
        </w:rPr>
        <w:t>239,0</w:t>
      </w:r>
      <w:r w:rsidRPr="000E726B">
        <w:rPr>
          <w:rFonts w:ascii="Arial" w:hAnsi="Arial" w:cs="Arial"/>
          <w:color w:val="000000"/>
          <w:kern w:val="0"/>
          <w:sz w:val="21"/>
          <w:szCs w:val="21"/>
        </w:rPr>
        <w:t>%</w:t>
      </w:r>
      <w:r>
        <w:rPr>
          <w:rFonts w:ascii="Arial" w:hAnsi="Arial" w:cs="Arial"/>
          <w:color w:val="000000"/>
          <w:kern w:val="0"/>
          <w:sz w:val="21"/>
          <w:szCs w:val="21"/>
        </w:rPr>
        <w:t>; +6,1% su ottobre) e, in misura minore, del Gasolio per riscaldamento (da +36,4% a +32,1%; -0,2% su base mensile), del Gasolio per mezzi di trasporto (da +16,8% a +13,4%; nulla la variazione rispetto a ottobre), degli Altri carburanti (da +27,2</w:t>
      </w:r>
      <w:r w:rsidR="00EB61B1">
        <w:rPr>
          <w:rFonts w:ascii="Arial" w:hAnsi="Arial" w:cs="Arial"/>
          <w:color w:val="000000"/>
          <w:kern w:val="0"/>
          <w:sz w:val="21"/>
          <w:szCs w:val="21"/>
        </w:rPr>
        <w:t>%</w:t>
      </w:r>
      <w:bookmarkStart w:id="1" w:name="_GoBack"/>
      <w:bookmarkEnd w:id="1"/>
      <w:r>
        <w:rPr>
          <w:rFonts w:ascii="Arial" w:hAnsi="Arial" w:cs="Arial"/>
          <w:color w:val="000000"/>
          <w:kern w:val="0"/>
          <w:sz w:val="21"/>
          <w:szCs w:val="21"/>
        </w:rPr>
        <w:t xml:space="preserve"> a +5,2%; -9,0% il congiunturale) e della Benzina (con una flessione più marcata da -2,2% a -3,2%; +1,2% sul mese); i prezzi del </w:t>
      </w:r>
      <w:r w:rsidRPr="00DA2B49">
        <w:rPr>
          <w:rFonts w:ascii="Arial" w:hAnsi="Arial" w:cs="Arial"/>
          <w:color w:val="000000"/>
          <w:kern w:val="0"/>
          <w:sz w:val="21"/>
          <w:szCs w:val="21"/>
        </w:rPr>
        <w:t>Gas di città e gas naturale mercato libero</w:t>
      </w:r>
      <w:r>
        <w:rPr>
          <w:rFonts w:ascii="Arial" w:hAnsi="Arial" w:cs="Arial"/>
          <w:color w:val="000000"/>
          <w:kern w:val="0"/>
          <w:sz w:val="21"/>
          <w:szCs w:val="21"/>
        </w:rPr>
        <w:t xml:space="preserve"> registrano un aumento congiunturale dello 0,5%. </w:t>
      </w:r>
    </w:p>
    <w:p w:rsidR="00E8219F" w:rsidRDefault="00E8219F" w:rsidP="00E8219F">
      <w:pPr>
        <w:spacing w:before="0" w:after="120"/>
        <w:jc w:val="both"/>
        <w:rPr>
          <w:rFonts w:ascii="Arial" w:hAnsi="Arial" w:cs="Arial"/>
          <w:color w:val="000000"/>
          <w:kern w:val="0"/>
          <w:sz w:val="21"/>
          <w:szCs w:val="21"/>
        </w:rPr>
      </w:pPr>
      <w:r>
        <w:rPr>
          <w:rFonts w:ascii="Arial" w:hAnsi="Arial" w:cs="Arial"/>
          <w:color w:val="000000"/>
          <w:kern w:val="0"/>
          <w:sz w:val="21"/>
          <w:szCs w:val="21"/>
        </w:rPr>
        <w:t xml:space="preserve">In rallentamento anche i prezzi dei Beni alimentari non lavorati (da +12,9% a +11,3%; nulla la variazione rispetto al mese precedente), a causa dei prezzi dei </w:t>
      </w:r>
      <w:r w:rsidRPr="00546C38">
        <w:rPr>
          <w:rFonts w:ascii="Arial" w:hAnsi="Arial" w:cs="Arial"/>
          <w:color w:val="000000"/>
          <w:kern w:val="0"/>
          <w:sz w:val="21"/>
          <w:szCs w:val="21"/>
        </w:rPr>
        <w:t xml:space="preserve">Vegetali freschi o refrigerati diversi dalle patate </w:t>
      </w:r>
      <w:r>
        <w:rPr>
          <w:rFonts w:ascii="Arial" w:hAnsi="Arial" w:cs="Arial"/>
          <w:color w:val="000000"/>
          <w:kern w:val="0"/>
          <w:sz w:val="21"/>
          <w:szCs w:val="21"/>
        </w:rPr>
        <w:t xml:space="preserve">(da +25,1% a +14,8%; -4,9% su base mensile), mentre accelerano quelli della </w:t>
      </w:r>
      <w:r w:rsidRPr="00546C38">
        <w:rPr>
          <w:rFonts w:ascii="Arial" w:hAnsi="Arial" w:cs="Arial"/>
          <w:color w:val="000000"/>
          <w:kern w:val="0"/>
          <w:sz w:val="21"/>
          <w:szCs w:val="21"/>
        </w:rPr>
        <w:t>Frutta fresca o refrigerata</w:t>
      </w:r>
      <w:r>
        <w:rPr>
          <w:rFonts w:ascii="Arial" w:hAnsi="Arial" w:cs="Arial"/>
          <w:color w:val="000000"/>
          <w:kern w:val="0"/>
          <w:sz w:val="21"/>
          <w:szCs w:val="21"/>
        </w:rPr>
        <w:t xml:space="preserve"> (da +6,4% a +6,9%; +3,4% rispetto a ottobre).</w:t>
      </w:r>
    </w:p>
    <w:p w:rsidR="00E8219F" w:rsidRDefault="00E8219F" w:rsidP="00E8219F">
      <w:pPr>
        <w:spacing w:before="0" w:after="120"/>
        <w:jc w:val="both"/>
        <w:rPr>
          <w:rFonts w:ascii="Arial" w:hAnsi="Arial" w:cs="Arial"/>
          <w:color w:val="000000"/>
          <w:kern w:val="0"/>
          <w:sz w:val="21"/>
          <w:szCs w:val="21"/>
        </w:rPr>
      </w:pPr>
      <w:r>
        <w:rPr>
          <w:rFonts w:ascii="Arial" w:hAnsi="Arial" w:cs="Arial"/>
          <w:color w:val="000000"/>
          <w:kern w:val="0"/>
          <w:sz w:val="21"/>
          <w:szCs w:val="21"/>
        </w:rPr>
        <w:t xml:space="preserve">Andamenti in accelerazione si osservano, invece, per i prezzi dei Beni energetici regolamentati (da +51,6% a +56,1%; +3,0% il congiunturale), per effetto dei prezzi del Gas di città e gas naturale mercato tutelato (da +3,4% a +13,4%; +9,8 rispetto al mese precedente), per quelli degli Alimentari lavorati (da +13,3% a +14,4%; +1,5 su base mensile) e degli Altri beni (da +4,6% a +5,0%; +0,3% rispetto al mese precedente) </w:t>
      </w:r>
      <w:r w:rsidRPr="00546C38">
        <w:rPr>
          <w:rFonts w:ascii="Arial" w:hAnsi="Arial" w:cs="Arial"/>
          <w:color w:val="000000"/>
          <w:kern w:val="0"/>
          <w:sz w:val="21"/>
          <w:szCs w:val="21"/>
        </w:rPr>
        <w:t>e di tutti gli aggregati che fanno parte</w:t>
      </w:r>
      <w:r>
        <w:rPr>
          <w:rFonts w:ascii="Arial" w:hAnsi="Arial" w:cs="Arial"/>
          <w:color w:val="000000"/>
          <w:kern w:val="0"/>
          <w:sz w:val="21"/>
          <w:szCs w:val="21"/>
        </w:rPr>
        <w:t xml:space="preserve"> di quest’ultimo raggruppamento merceologico</w:t>
      </w:r>
      <w:r w:rsidRPr="00546C38">
        <w:rPr>
          <w:rFonts w:ascii="Arial" w:hAnsi="Arial" w:cs="Arial"/>
          <w:color w:val="000000"/>
          <w:kern w:val="0"/>
          <w:sz w:val="21"/>
          <w:szCs w:val="21"/>
        </w:rPr>
        <w:t xml:space="preserve"> e quindi dei p</w:t>
      </w:r>
      <w:r>
        <w:rPr>
          <w:rFonts w:ascii="Arial" w:hAnsi="Arial" w:cs="Arial"/>
          <w:color w:val="000000"/>
          <w:kern w:val="0"/>
          <w:sz w:val="21"/>
          <w:szCs w:val="21"/>
        </w:rPr>
        <w:t>rezzi dei Beni durevoli (da +5,3</w:t>
      </w:r>
      <w:r w:rsidRPr="00546C38">
        <w:rPr>
          <w:rFonts w:ascii="Arial" w:hAnsi="Arial" w:cs="Arial"/>
          <w:color w:val="000000"/>
          <w:kern w:val="0"/>
          <w:sz w:val="21"/>
          <w:szCs w:val="21"/>
        </w:rPr>
        <w:t>% a +</w:t>
      </w:r>
      <w:r>
        <w:rPr>
          <w:rFonts w:ascii="Arial" w:hAnsi="Arial" w:cs="Arial"/>
          <w:color w:val="000000"/>
          <w:kern w:val="0"/>
          <w:sz w:val="21"/>
          <w:szCs w:val="21"/>
        </w:rPr>
        <w:t>6,0%; +0,2</w:t>
      </w:r>
      <w:r w:rsidRPr="00546C38">
        <w:rPr>
          <w:rFonts w:ascii="Arial" w:hAnsi="Arial" w:cs="Arial"/>
          <w:color w:val="000000"/>
          <w:kern w:val="0"/>
          <w:sz w:val="21"/>
          <w:szCs w:val="21"/>
        </w:rPr>
        <w:t xml:space="preserve">% </w:t>
      </w:r>
      <w:r>
        <w:rPr>
          <w:rFonts w:ascii="Arial" w:hAnsi="Arial" w:cs="Arial"/>
          <w:color w:val="000000"/>
          <w:kern w:val="0"/>
          <w:sz w:val="21"/>
          <w:szCs w:val="21"/>
        </w:rPr>
        <w:t>da ottobre</w:t>
      </w:r>
      <w:r w:rsidRPr="00546C38">
        <w:rPr>
          <w:rFonts w:ascii="Arial" w:hAnsi="Arial" w:cs="Arial"/>
          <w:color w:val="000000"/>
          <w:kern w:val="0"/>
          <w:sz w:val="21"/>
          <w:szCs w:val="21"/>
        </w:rPr>
        <w:t>), dei Beni non durevoli (da +</w:t>
      </w:r>
      <w:r>
        <w:rPr>
          <w:rFonts w:ascii="Arial" w:hAnsi="Arial" w:cs="Arial"/>
          <w:color w:val="000000"/>
          <w:kern w:val="0"/>
          <w:sz w:val="21"/>
          <w:szCs w:val="21"/>
        </w:rPr>
        <w:t>5,2</w:t>
      </w:r>
      <w:r w:rsidRPr="00546C38">
        <w:rPr>
          <w:rFonts w:ascii="Arial" w:hAnsi="Arial" w:cs="Arial"/>
          <w:color w:val="000000"/>
          <w:kern w:val="0"/>
          <w:sz w:val="21"/>
          <w:szCs w:val="21"/>
        </w:rPr>
        <w:t>% a +</w:t>
      </w:r>
      <w:r>
        <w:rPr>
          <w:rFonts w:ascii="Arial" w:hAnsi="Arial" w:cs="Arial"/>
          <w:color w:val="000000"/>
          <w:kern w:val="0"/>
          <w:sz w:val="21"/>
          <w:szCs w:val="21"/>
        </w:rPr>
        <w:t>5,6%; +0,6</w:t>
      </w:r>
      <w:r w:rsidRPr="00546C38">
        <w:rPr>
          <w:rFonts w:ascii="Arial" w:hAnsi="Arial" w:cs="Arial"/>
          <w:color w:val="000000"/>
          <w:kern w:val="0"/>
          <w:sz w:val="21"/>
          <w:szCs w:val="21"/>
        </w:rPr>
        <w:t>% il congiunturale) e dei Beni semidurevoli (da +</w:t>
      </w:r>
      <w:r>
        <w:rPr>
          <w:rFonts w:ascii="Arial" w:hAnsi="Arial" w:cs="Arial"/>
          <w:color w:val="000000"/>
          <w:kern w:val="0"/>
          <w:sz w:val="21"/>
          <w:szCs w:val="21"/>
        </w:rPr>
        <w:t>3,2</w:t>
      </w:r>
      <w:r w:rsidRPr="00546C38">
        <w:rPr>
          <w:rFonts w:ascii="Arial" w:hAnsi="Arial" w:cs="Arial"/>
          <w:color w:val="000000"/>
          <w:kern w:val="0"/>
          <w:sz w:val="21"/>
          <w:szCs w:val="21"/>
        </w:rPr>
        <w:t>% a +</w:t>
      </w:r>
      <w:r>
        <w:rPr>
          <w:rFonts w:ascii="Arial" w:hAnsi="Arial" w:cs="Arial"/>
          <w:color w:val="000000"/>
          <w:kern w:val="0"/>
          <w:sz w:val="21"/>
          <w:szCs w:val="21"/>
        </w:rPr>
        <w:t>3,3</w:t>
      </w:r>
      <w:r w:rsidRPr="00546C38">
        <w:rPr>
          <w:rFonts w:ascii="Arial" w:hAnsi="Arial" w:cs="Arial"/>
          <w:color w:val="000000"/>
          <w:kern w:val="0"/>
          <w:sz w:val="21"/>
          <w:szCs w:val="21"/>
        </w:rPr>
        <w:t>%; +</w:t>
      </w:r>
      <w:r>
        <w:rPr>
          <w:rFonts w:ascii="Arial" w:hAnsi="Arial" w:cs="Arial"/>
          <w:color w:val="000000"/>
          <w:kern w:val="0"/>
          <w:sz w:val="21"/>
          <w:szCs w:val="21"/>
        </w:rPr>
        <w:t>0,3</w:t>
      </w:r>
      <w:r w:rsidRPr="00546C38">
        <w:rPr>
          <w:rFonts w:ascii="Arial" w:hAnsi="Arial" w:cs="Arial"/>
          <w:color w:val="000000"/>
          <w:kern w:val="0"/>
          <w:sz w:val="21"/>
          <w:szCs w:val="21"/>
        </w:rPr>
        <w:t xml:space="preserve">% </w:t>
      </w:r>
      <w:r>
        <w:rPr>
          <w:rFonts w:ascii="Arial" w:hAnsi="Arial" w:cs="Arial"/>
          <w:color w:val="000000"/>
          <w:kern w:val="0"/>
          <w:sz w:val="21"/>
          <w:szCs w:val="21"/>
        </w:rPr>
        <w:t>il congiunturale</w:t>
      </w:r>
      <w:r w:rsidRPr="00546C38">
        <w:rPr>
          <w:rFonts w:ascii="Arial" w:hAnsi="Arial" w:cs="Arial"/>
          <w:color w:val="000000"/>
          <w:kern w:val="0"/>
          <w:sz w:val="21"/>
          <w:szCs w:val="21"/>
        </w:rPr>
        <w:t>).</w:t>
      </w:r>
    </w:p>
    <w:p w:rsidR="00667029" w:rsidRDefault="00667029" w:rsidP="00667029">
      <w:pPr>
        <w:spacing w:before="0" w:after="120"/>
        <w:jc w:val="both"/>
        <w:rPr>
          <w:rFonts w:ascii="Arial" w:hAnsi="Arial" w:cs="Arial"/>
          <w:sz w:val="21"/>
          <w:szCs w:val="21"/>
        </w:rPr>
      </w:pPr>
      <w:r>
        <w:rPr>
          <w:rFonts w:ascii="Arial" w:hAnsi="Arial" w:cs="Arial"/>
          <w:sz w:val="21"/>
          <w:szCs w:val="21"/>
        </w:rPr>
        <w:t>I prezzi dei servizi rimangono stabili rispetto ad ottobre (+3,8</w:t>
      </w:r>
      <w:r w:rsidRPr="00B6384F">
        <w:rPr>
          <w:rFonts w:ascii="Arial" w:hAnsi="Arial" w:cs="Arial"/>
          <w:sz w:val="21"/>
          <w:szCs w:val="21"/>
        </w:rPr>
        <w:t>%</w:t>
      </w:r>
      <w:r>
        <w:rPr>
          <w:rFonts w:ascii="Arial" w:hAnsi="Arial" w:cs="Arial"/>
          <w:sz w:val="21"/>
          <w:szCs w:val="21"/>
        </w:rPr>
        <w:t>; -0,1</w:t>
      </w:r>
      <w:r w:rsidRPr="00B6384F">
        <w:rPr>
          <w:rFonts w:ascii="Arial" w:hAnsi="Arial" w:cs="Arial"/>
          <w:sz w:val="21"/>
          <w:szCs w:val="21"/>
        </w:rPr>
        <w:t xml:space="preserve">% </w:t>
      </w:r>
      <w:r>
        <w:rPr>
          <w:rFonts w:ascii="Arial" w:hAnsi="Arial" w:cs="Arial"/>
          <w:sz w:val="21"/>
          <w:szCs w:val="21"/>
        </w:rPr>
        <w:t>su base mensile</w:t>
      </w:r>
      <w:r w:rsidRPr="00B6384F">
        <w:rPr>
          <w:rFonts w:ascii="Arial" w:hAnsi="Arial" w:cs="Arial"/>
          <w:sz w:val="21"/>
          <w:szCs w:val="21"/>
        </w:rPr>
        <w:t>)</w:t>
      </w:r>
      <w:r>
        <w:rPr>
          <w:rFonts w:ascii="Arial" w:hAnsi="Arial" w:cs="Arial"/>
          <w:sz w:val="21"/>
          <w:szCs w:val="21"/>
        </w:rPr>
        <w:t xml:space="preserve"> a causa di dinamiche dei prezzi delle diverse componenti che si bilanciano: da un lato accelerano i prezzi dei </w:t>
      </w:r>
      <w:r w:rsidRPr="004A3029">
        <w:rPr>
          <w:rFonts w:ascii="Arial" w:hAnsi="Arial" w:cs="Arial"/>
          <w:sz w:val="21"/>
          <w:szCs w:val="21"/>
        </w:rPr>
        <w:t>Servizi ricreativi, culturali e per la cura della persona</w:t>
      </w:r>
      <w:r>
        <w:rPr>
          <w:rFonts w:ascii="Arial" w:hAnsi="Arial" w:cs="Arial"/>
          <w:sz w:val="21"/>
          <w:szCs w:val="21"/>
        </w:rPr>
        <w:t xml:space="preserve"> (da +5,2% a +5,5%; -0,4% rispetto al mese precedente), sostenuti dai prezzi dei Ristoranti, bar e simili (da +6,6% a +7,3%; +0,9% il congiunturale); dall’altro lato rallentano i prezzi dei </w:t>
      </w:r>
      <w:r w:rsidRPr="0094039C">
        <w:rPr>
          <w:rFonts w:ascii="Arial" w:hAnsi="Arial" w:cs="Arial"/>
          <w:sz w:val="21"/>
          <w:szCs w:val="21"/>
        </w:rPr>
        <w:t>Servizi relativi ai trasporti</w:t>
      </w:r>
      <w:r>
        <w:rPr>
          <w:rFonts w:ascii="Arial" w:hAnsi="Arial" w:cs="Arial"/>
          <w:sz w:val="21"/>
          <w:szCs w:val="21"/>
        </w:rPr>
        <w:t xml:space="preserve"> (da +7,2% a +6,8%; -0,2% rispetto a ottobre) a causa della decelerazione di quelli di </w:t>
      </w:r>
      <w:r w:rsidRPr="0070514D">
        <w:rPr>
          <w:rFonts w:ascii="Arial" w:hAnsi="Arial" w:cs="Arial"/>
          <w:sz w:val="21"/>
          <w:szCs w:val="21"/>
        </w:rPr>
        <w:t>A</w:t>
      </w:r>
      <w:r>
        <w:rPr>
          <w:rFonts w:ascii="Arial" w:hAnsi="Arial" w:cs="Arial"/>
          <w:sz w:val="21"/>
          <w:szCs w:val="21"/>
        </w:rPr>
        <w:t>utoscuole e revisione auto (da +16,4% a +0,4%), dovuta al confronto con novembre 2021 quando registrarono un aumento con</w:t>
      </w:r>
      <w:r w:rsidR="00B1128D">
        <w:rPr>
          <w:rFonts w:ascii="Arial" w:hAnsi="Arial" w:cs="Arial"/>
          <w:sz w:val="21"/>
          <w:szCs w:val="21"/>
        </w:rPr>
        <w:t>giunturale di +15,9</w:t>
      </w:r>
      <w:r>
        <w:rPr>
          <w:rFonts w:ascii="Arial" w:hAnsi="Arial" w:cs="Arial"/>
          <w:sz w:val="21"/>
          <w:szCs w:val="21"/>
        </w:rPr>
        <w:t>%, mentre a novembre 2022 si registra una variazione congiunturale nulla.</w:t>
      </w:r>
    </w:p>
    <w:p w:rsidR="00490F56" w:rsidRDefault="00D90435" w:rsidP="00D90435">
      <w:pPr>
        <w:pStyle w:val="Corpotesto"/>
        <w:tabs>
          <w:tab w:val="left" w:pos="6237"/>
        </w:tabs>
        <w:spacing w:after="120" w:line="240" w:lineRule="auto"/>
        <w:jc w:val="both"/>
        <w:rPr>
          <w:rFonts w:ascii="Arial" w:hAnsi="Arial" w:cs="Arial"/>
          <w:iCs/>
          <w:sz w:val="21"/>
          <w:szCs w:val="21"/>
        </w:rPr>
      </w:pPr>
      <w:r w:rsidRPr="00F157E2">
        <w:rPr>
          <w:rFonts w:ascii="Arial" w:hAnsi="Arial" w:cs="Arial"/>
          <w:iCs/>
          <w:sz w:val="21"/>
          <w:szCs w:val="21"/>
        </w:rPr>
        <w:t xml:space="preserve">Il ruolo delle diverse tipologie di prodotto nel determinare l’inflazione del mese di </w:t>
      </w:r>
      <w:r w:rsidR="00150619">
        <w:rPr>
          <w:rFonts w:ascii="Arial" w:hAnsi="Arial" w:cs="Arial"/>
          <w:iCs/>
          <w:sz w:val="21"/>
          <w:szCs w:val="21"/>
        </w:rPr>
        <w:t>novembre</w:t>
      </w:r>
      <w:r w:rsidRPr="00516709">
        <w:rPr>
          <w:rFonts w:ascii="Arial" w:hAnsi="Arial" w:cs="Arial"/>
          <w:iCs/>
          <w:sz w:val="21"/>
          <w:szCs w:val="21"/>
        </w:rPr>
        <w:t xml:space="preserve"> </w:t>
      </w:r>
      <w:r w:rsidRPr="00F157E2">
        <w:rPr>
          <w:rFonts w:ascii="Arial" w:hAnsi="Arial" w:cs="Arial"/>
          <w:iCs/>
          <w:sz w:val="21"/>
          <w:szCs w:val="21"/>
        </w:rPr>
        <w:t>è rappresentato dai contributi alla variazione dell’indice generale dei prezzi al consumo riportati nella figura 4.</w:t>
      </w:r>
    </w:p>
    <w:p w:rsidR="00490F56" w:rsidRDefault="00490F56" w:rsidP="00D90435">
      <w:pPr>
        <w:pStyle w:val="Corpotesto"/>
        <w:tabs>
          <w:tab w:val="left" w:pos="6237"/>
        </w:tabs>
        <w:spacing w:after="120" w:line="240" w:lineRule="auto"/>
        <w:jc w:val="both"/>
        <w:rPr>
          <w:rFonts w:ascii="Arial" w:hAnsi="Arial" w:cs="Arial"/>
          <w:iCs/>
          <w:sz w:val="21"/>
          <w:szCs w:val="21"/>
        </w:rPr>
      </w:pPr>
    </w:p>
    <w:p w:rsidR="00962041" w:rsidRDefault="00EB5D65" w:rsidP="00F629DF">
      <w:pPr>
        <w:pStyle w:val="001SottotitoloGra"/>
        <w:spacing w:after="0" w:line="240" w:lineRule="auto"/>
        <w:jc w:val="both"/>
        <w:rPr>
          <w:rFonts w:cs="Calibri"/>
          <w:b/>
          <w:bCs/>
          <w:kern w:val="0"/>
          <w:sz w:val="22"/>
          <w:szCs w:val="22"/>
        </w:rPr>
      </w:pPr>
      <w:r w:rsidRPr="00E87687">
        <w:rPr>
          <w:b/>
          <w:color w:val="E42618"/>
          <w:sz w:val="22"/>
          <w:szCs w:val="22"/>
        </w:rPr>
        <w:t>FIGURA 4</w:t>
      </w:r>
      <w:r w:rsidRPr="00E87687">
        <w:rPr>
          <w:b/>
          <w:color w:val="E42618"/>
        </w:rPr>
        <w:t>.</w:t>
      </w:r>
      <w:r w:rsidRPr="00E87687">
        <w:rPr>
          <w:b/>
        </w:rPr>
        <w:t xml:space="preserve"> </w:t>
      </w:r>
      <w:r w:rsidRPr="00E87687">
        <w:rPr>
          <w:rFonts w:cs="Calibri"/>
          <w:b/>
          <w:bCs/>
          <w:kern w:val="0"/>
          <w:sz w:val="22"/>
          <w:szCs w:val="22"/>
        </w:rPr>
        <w:t>INDICE DEI PREZZI AL CONSUMO NIC, CONTRIBUTI ALLA VARIAZIONE PERCENTUALE TENDENZIALE PER TIPOLOGIA DI PRODOTTO</w:t>
      </w:r>
      <w:r w:rsidR="00F629DF">
        <w:rPr>
          <w:rFonts w:cs="Calibri"/>
          <w:b/>
          <w:bCs/>
          <w:kern w:val="0"/>
          <w:sz w:val="22"/>
          <w:szCs w:val="22"/>
        </w:rPr>
        <w:t xml:space="preserve"> </w:t>
      </w:r>
    </w:p>
    <w:p w:rsidR="00EB5D65" w:rsidRDefault="00FD38B0" w:rsidP="00490F56">
      <w:pPr>
        <w:pStyle w:val="001SottotitoloGra"/>
        <w:spacing w:line="240" w:lineRule="auto"/>
        <w:jc w:val="both"/>
      </w:pPr>
      <w:r>
        <w:t>Novembre</w:t>
      </w:r>
      <w:r w:rsidR="0073130C">
        <w:t xml:space="preserve"> 2022</w:t>
      </w:r>
      <w:r w:rsidR="00EB5D65">
        <w:t xml:space="preserve">, punti percentuali </w:t>
      </w:r>
    </w:p>
    <w:p w:rsidR="00490F56" w:rsidRDefault="00150619" w:rsidP="00F629DF">
      <w:pPr>
        <w:pStyle w:val="001SottotitoloGra"/>
        <w:spacing w:after="0" w:line="240" w:lineRule="auto"/>
        <w:jc w:val="both"/>
      </w:pPr>
      <w:r>
        <w:rPr>
          <w:noProof/>
        </w:rPr>
        <w:drawing>
          <wp:inline distT="0" distB="0" distL="0" distR="0" wp14:anchorId="77BADEA9" wp14:editId="56FCDF39">
            <wp:extent cx="6480175" cy="2032725"/>
            <wp:effectExtent l="0" t="0" r="0" b="5715"/>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80175" cy="2032725"/>
                    </a:xfrm>
                    <a:prstGeom prst="rect">
                      <a:avLst/>
                    </a:prstGeom>
                    <a:noFill/>
                  </pic:spPr>
                </pic:pic>
              </a:graphicData>
            </a:graphic>
          </wp:inline>
        </w:drawing>
      </w:r>
    </w:p>
    <w:p w:rsidR="00490F56" w:rsidRDefault="00490F56" w:rsidP="00F629DF">
      <w:pPr>
        <w:pStyle w:val="001SottotitoloGra"/>
        <w:spacing w:after="0" w:line="240" w:lineRule="auto"/>
        <w:jc w:val="both"/>
      </w:pPr>
    </w:p>
    <w:p w:rsidR="003B6F86" w:rsidRDefault="003B6F86" w:rsidP="003B6F86">
      <w:pPr>
        <w:spacing w:before="0" w:after="120"/>
        <w:jc w:val="both"/>
        <w:rPr>
          <w:rFonts w:ascii="Arial" w:hAnsi="Arial" w:cs="Arial"/>
          <w:b/>
        </w:rPr>
        <w:sectPr w:rsidR="003B6F86" w:rsidSect="0083719A">
          <w:pgSz w:w="11907" w:h="16840" w:code="9"/>
          <w:pgMar w:top="1534" w:right="851" w:bottom="680" w:left="851" w:header="567" w:footer="567" w:gutter="0"/>
          <w:cols w:space="720"/>
          <w:noEndnote/>
          <w:docGrid w:linePitch="272"/>
        </w:sectPr>
      </w:pPr>
    </w:p>
    <w:p w:rsidR="00AE446C" w:rsidRDefault="00AE446C" w:rsidP="008153C3">
      <w:pPr>
        <w:spacing w:before="0" w:after="120"/>
        <w:jc w:val="both"/>
        <w:rPr>
          <w:rFonts w:ascii="Arial" w:hAnsi="Arial" w:cs="Arial"/>
          <w:b/>
        </w:rPr>
        <w:sectPr w:rsidR="00AE446C" w:rsidSect="00AE446C">
          <w:headerReference w:type="default" r:id="rId34"/>
          <w:footerReference w:type="default" r:id="rId35"/>
          <w:type w:val="continuous"/>
          <w:pgSz w:w="11907" w:h="16840" w:code="9"/>
          <w:pgMar w:top="1534" w:right="851" w:bottom="680" w:left="851" w:header="567" w:footer="567" w:gutter="0"/>
          <w:cols w:space="720"/>
          <w:noEndnote/>
          <w:docGrid w:linePitch="272"/>
        </w:sectPr>
      </w:pPr>
    </w:p>
    <w:p w:rsidR="0010672D" w:rsidRDefault="0010672D" w:rsidP="0010672D">
      <w:pPr>
        <w:spacing w:before="0" w:after="120"/>
        <w:jc w:val="both"/>
        <w:rPr>
          <w:rFonts w:ascii="Arial" w:hAnsi="Arial" w:cs="Arial"/>
          <w:b/>
          <w:bCs/>
        </w:rPr>
      </w:pPr>
    </w:p>
    <w:p w:rsidR="0010672D" w:rsidRPr="0052659F" w:rsidRDefault="0010672D" w:rsidP="0010672D">
      <w:pPr>
        <w:spacing w:before="0" w:after="120"/>
        <w:jc w:val="both"/>
        <w:rPr>
          <w:rFonts w:ascii="Arial" w:hAnsi="Arial" w:cs="Arial"/>
          <w:b/>
          <w:bCs/>
        </w:rPr>
      </w:pPr>
      <w:r w:rsidRPr="0052659F">
        <w:rPr>
          <w:rFonts w:ascii="Arial" w:hAnsi="Arial" w:cs="Arial"/>
          <w:b/>
          <w:bCs/>
        </w:rPr>
        <w:t>Altri beni</w:t>
      </w:r>
      <w:r w:rsidRPr="0052659F">
        <w:rPr>
          <w:rFonts w:ascii="Arial" w:hAnsi="Arial" w:cs="Arial"/>
          <w:bCs/>
        </w:rPr>
        <w:t>:</w:t>
      </w:r>
      <w:r w:rsidRPr="0052659F">
        <w:rPr>
          <w:rFonts w:ascii="Arial" w:hAnsi="Arial" w:cs="Arial"/>
          <w:b/>
          <w:bCs/>
        </w:rPr>
        <w:t xml:space="preserve"> </w:t>
      </w:r>
      <w:r w:rsidRPr="0052659F">
        <w:rPr>
          <w:rFonts w:ascii="Arial" w:hAnsi="Arial" w:cs="Arial"/>
          <w:bCs/>
        </w:rPr>
        <w:t>comprendono i beni di consumo ad esclusione dei beni alimentari, dei beni energetici e dei tabacchi.</w:t>
      </w:r>
    </w:p>
    <w:p w:rsidR="0010672D" w:rsidRPr="0052659F" w:rsidRDefault="0010672D" w:rsidP="0010672D">
      <w:pPr>
        <w:spacing w:before="0" w:after="120"/>
        <w:jc w:val="both"/>
        <w:rPr>
          <w:rFonts w:ascii="Arial" w:hAnsi="Arial" w:cs="Arial"/>
          <w:bCs/>
        </w:rPr>
      </w:pPr>
      <w:r w:rsidRPr="0052659F">
        <w:rPr>
          <w:rFonts w:ascii="Arial" w:hAnsi="Arial" w:cs="Arial"/>
          <w:b/>
          <w:bCs/>
        </w:rPr>
        <w:t>Altri beni regolamentati</w:t>
      </w:r>
      <w:r w:rsidRPr="0052659F">
        <w:rPr>
          <w:rFonts w:ascii="Arial" w:hAnsi="Arial" w:cs="Arial"/>
          <w:bCs/>
        </w:rPr>
        <w:t>: comprendono l’acqua potabile e i medicinali.</w:t>
      </w:r>
    </w:p>
    <w:p w:rsidR="0010672D" w:rsidRPr="000F531B" w:rsidRDefault="0010672D" w:rsidP="0010672D">
      <w:pPr>
        <w:spacing w:before="0" w:after="120"/>
        <w:jc w:val="both"/>
        <w:rPr>
          <w:rFonts w:ascii="Arial" w:hAnsi="Arial" w:cs="Arial"/>
          <w:bCs/>
        </w:rPr>
      </w:pPr>
      <w:r w:rsidRPr="0052659F">
        <w:rPr>
          <w:rFonts w:ascii="Arial" w:hAnsi="Arial" w:cs="Arial"/>
          <w:b/>
          <w:bCs/>
        </w:rPr>
        <w:t>Beni alimentari</w:t>
      </w:r>
      <w:r w:rsidRPr="0052659F">
        <w:rPr>
          <w:rFonts w:ascii="Arial" w:hAnsi="Arial" w:cs="Arial"/>
          <w:bCs/>
        </w:rPr>
        <w:t>: comprendono oltre ai generi alimentari (come, ad esempio, il pane, la carne, i formaggi), le bevande</w:t>
      </w:r>
      <w:r w:rsidRPr="000F531B">
        <w:rPr>
          <w:rFonts w:ascii="Arial" w:hAnsi="Arial" w:cs="Arial"/>
          <w:bCs/>
        </w:rPr>
        <w:t xml:space="preserve"> analcoliche e quelle alcoliche.</w:t>
      </w:r>
    </w:p>
    <w:p w:rsidR="0010672D" w:rsidRPr="000F531B" w:rsidRDefault="0010672D" w:rsidP="0010672D">
      <w:pPr>
        <w:spacing w:before="0" w:after="120"/>
        <w:jc w:val="both"/>
        <w:rPr>
          <w:rFonts w:ascii="Arial" w:hAnsi="Arial" w:cs="Arial"/>
          <w:bCs/>
        </w:rPr>
      </w:pPr>
      <w:r w:rsidRPr="000F531B">
        <w:rPr>
          <w:rFonts w:ascii="Arial" w:hAnsi="Arial" w:cs="Arial"/>
          <w:bCs/>
        </w:rPr>
        <w:t xml:space="preserve">Si definiscono </w:t>
      </w:r>
      <w:r w:rsidRPr="000F531B">
        <w:rPr>
          <w:rFonts w:ascii="Arial" w:hAnsi="Arial" w:cs="Arial"/>
          <w:bCs/>
          <w:i/>
        </w:rPr>
        <w:t>lavorati</w:t>
      </w:r>
      <w:r w:rsidRPr="000F531B">
        <w:rPr>
          <w:rFonts w:ascii="Arial" w:hAnsi="Arial" w:cs="Arial"/>
          <w:bCs/>
        </w:rPr>
        <w:t xml:space="preserve"> i beni alimentari destinati al consumo finale che sono il risultato di un processo di trasformazione industriale (come</w:t>
      </w:r>
      <w:r>
        <w:rPr>
          <w:rFonts w:ascii="Arial" w:hAnsi="Arial" w:cs="Arial"/>
          <w:bCs/>
        </w:rPr>
        <w:t>,</w:t>
      </w:r>
      <w:r w:rsidRPr="000F531B">
        <w:rPr>
          <w:rFonts w:ascii="Arial" w:hAnsi="Arial" w:cs="Arial"/>
          <w:bCs/>
        </w:rPr>
        <w:t xml:space="preserve"> ad esempio</w:t>
      </w:r>
      <w:r>
        <w:rPr>
          <w:rFonts w:ascii="Arial" w:hAnsi="Arial" w:cs="Arial"/>
          <w:bCs/>
        </w:rPr>
        <w:t>,</w:t>
      </w:r>
      <w:r w:rsidRPr="000F531B">
        <w:rPr>
          <w:rFonts w:ascii="Arial" w:hAnsi="Arial" w:cs="Arial"/>
          <w:bCs/>
        </w:rPr>
        <w:t xml:space="preserve"> i succhi di frutta, gli insaccati, i prodotti surgelati). Si dicono </w:t>
      </w:r>
      <w:r w:rsidRPr="000F531B">
        <w:rPr>
          <w:rFonts w:ascii="Arial" w:hAnsi="Arial" w:cs="Arial"/>
          <w:bCs/>
          <w:i/>
        </w:rPr>
        <w:t>non lavorati</w:t>
      </w:r>
      <w:r w:rsidRPr="000F531B">
        <w:rPr>
          <w:rFonts w:ascii="Arial" w:hAnsi="Arial" w:cs="Arial"/>
          <w:bCs/>
        </w:rPr>
        <w:t xml:space="preserve"> i beni alimentari non trasformati (come la carne fresca, il pesce fresco, la frutta e la verdura fresca).</w:t>
      </w:r>
    </w:p>
    <w:p w:rsidR="00F36E1D" w:rsidRPr="000F531B" w:rsidRDefault="00F36E1D" w:rsidP="00F36E1D">
      <w:pPr>
        <w:spacing w:before="0" w:after="120"/>
        <w:jc w:val="both"/>
        <w:rPr>
          <w:rFonts w:ascii="Arial" w:hAnsi="Arial" w:cs="Arial"/>
          <w:bCs/>
        </w:rPr>
      </w:pPr>
      <w:r w:rsidRPr="000F531B">
        <w:rPr>
          <w:rFonts w:ascii="Arial" w:hAnsi="Arial" w:cs="Arial"/>
          <w:b/>
          <w:bCs/>
        </w:rPr>
        <w:t>Beni alimentari, per la cura della casa e della persona</w:t>
      </w:r>
      <w:r>
        <w:rPr>
          <w:rFonts w:ascii="Arial" w:hAnsi="Arial" w:cs="Arial"/>
          <w:b/>
          <w:bCs/>
        </w:rPr>
        <w:t xml:space="preserve"> (</w:t>
      </w:r>
      <w:r w:rsidRPr="00FC185A">
        <w:rPr>
          <w:rFonts w:ascii="Arial" w:hAnsi="Arial" w:cs="Arial"/>
          <w:b/>
          <w:bCs/>
        </w:rPr>
        <w:t>cos</w:t>
      </w:r>
      <w:r>
        <w:rPr>
          <w:rFonts w:ascii="Arial" w:hAnsi="Arial" w:cs="Arial"/>
          <w:b/>
          <w:bCs/>
        </w:rPr>
        <w:t>i</w:t>
      </w:r>
      <w:r w:rsidRPr="00FC185A">
        <w:rPr>
          <w:rFonts w:ascii="Arial" w:hAnsi="Arial" w:cs="Arial"/>
          <w:b/>
          <w:bCs/>
        </w:rPr>
        <w:t>ddetto "carrello della spesa"</w:t>
      </w:r>
      <w:r>
        <w:rPr>
          <w:rFonts w:ascii="Arial" w:hAnsi="Arial" w:cs="Arial"/>
          <w:b/>
          <w:bCs/>
        </w:rPr>
        <w:t>)</w:t>
      </w:r>
      <w:r w:rsidRPr="000F531B">
        <w:rPr>
          <w:rFonts w:ascii="Arial" w:hAnsi="Arial" w:cs="Arial"/>
          <w:bCs/>
        </w:rPr>
        <w:t>: includono, oltre ai beni alimentari, i beni per la pulizia e la manutenzione ordinaria della casa e i beni per l’igiene personale e pr</w:t>
      </w:r>
      <w:r>
        <w:rPr>
          <w:rFonts w:ascii="Arial" w:hAnsi="Arial" w:cs="Arial"/>
          <w:bCs/>
        </w:rPr>
        <w:t>odotti di bellezza.</w:t>
      </w:r>
    </w:p>
    <w:p w:rsidR="0010672D" w:rsidRPr="000F531B" w:rsidRDefault="0010672D" w:rsidP="0010672D">
      <w:pPr>
        <w:spacing w:before="0" w:after="120"/>
        <w:jc w:val="both"/>
        <w:rPr>
          <w:rFonts w:ascii="Arial" w:hAnsi="Arial" w:cs="Arial"/>
          <w:b/>
          <w:bCs/>
        </w:rPr>
      </w:pPr>
      <w:r w:rsidRPr="000F531B">
        <w:rPr>
          <w:rFonts w:ascii="Arial" w:hAnsi="Arial" w:cs="Arial"/>
          <w:b/>
          <w:bCs/>
        </w:rPr>
        <w:t>Beni durevoli</w:t>
      </w:r>
      <w:r w:rsidRPr="000F531B">
        <w:rPr>
          <w:rFonts w:ascii="Arial" w:hAnsi="Arial" w:cs="Arial"/>
          <w:bCs/>
        </w:rPr>
        <w:t>: includono le autovetture, gli articoli di arredamento, gli elettrodomestici.</w:t>
      </w:r>
    </w:p>
    <w:p w:rsidR="0010672D" w:rsidRPr="000F531B" w:rsidRDefault="0010672D" w:rsidP="0010672D">
      <w:pPr>
        <w:spacing w:before="0" w:after="120"/>
        <w:jc w:val="both"/>
        <w:rPr>
          <w:rFonts w:ascii="Arial" w:hAnsi="Arial" w:cs="Arial"/>
          <w:b/>
          <w:bCs/>
        </w:rPr>
      </w:pPr>
      <w:r w:rsidRPr="000F531B">
        <w:rPr>
          <w:rFonts w:ascii="Arial" w:hAnsi="Arial" w:cs="Arial"/>
          <w:b/>
          <w:bCs/>
        </w:rPr>
        <w:t>Beni non durevoli</w:t>
      </w:r>
      <w:r w:rsidRPr="000F531B">
        <w:rPr>
          <w:rFonts w:ascii="Arial" w:hAnsi="Arial" w:cs="Arial"/>
          <w:bCs/>
        </w:rPr>
        <w:t>: comprendono i detergenti per la pulizia della casa, i prodotti per la cura della persona, i medicinali.</w:t>
      </w:r>
    </w:p>
    <w:p w:rsidR="0010672D" w:rsidRPr="000F531B" w:rsidRDefault="0010672D" w:rsidP="0010672D">
      <w:pPr>
        <w:spacing w:before="0" w:after="120"/>
        <w:jc w:val="both"/>
        <w:rPr>
          <w:rFonts w:ascii="Arial" w:hAnsi="Arial" w:cs="Arial"/>
          <w:b/>
          <w:bCs/>
        </w:rPr>
      </w:pPr>
      <w:r w:rsidRPr="000F531B">
        <w:rPr>
          <w:rFonts w:ascii="Arial" w:hAnsi="Arial" w:cs="Arial"/>
          <w:b/>
          <w:bCs/>
        </w:rPr>
        <w:t>Beni semidurevoli</w:t>
      </w:r>
      <w:r w:rsidRPr="000F531B">
        <w:rPr>
          <w:rFonts w:ascii="Arial" w:hAnsi="Arial" w:cs="Arial"/>
          <w:bCs/>
        </w:rPr>
        <w:t>: comprendono i capi di abbigliamento, le calzature, i libri.</w:t>
      </w:r>
      <w:r w:rsidRPr="000F531B">
        <w:rPr>
          <w:rFonts w:ascii="Arial" w:hAnsi="Arial" w:cs="Arial"/>
          <w:b/>
          <w:bCs/>
        </w:rPr>
        <w:t xml:space="preserve"> </w:t>
      </w:r>
    </w:p>
    <w:p w:rsidR="0010672D" w:rsidRPr="000F531B" w:rsidRDefault="0010672D" w:rsidP="0010672D">
      <w:pPr>
        <w:spacing w:before="0" w:after="120"/>
        <w:jc w:val="both"/>
        <w:rPr>
          <w:rFonts w:ascii="Arial" w:hAnsi="Arial" w:cs="Arial"/>
          <w:bCs/>
        </w:rPr>
      </w:pPr>
      <w:r w:rsidRPr="000F531B">
        <w:rPr>
          <w:rFonts w:ascii="Arial" w:hAnsi="Arial" w:cs="Arial"/>
          <w:b/>
          <w:bCs/>
        </w:rPr>
        <w:t>Beni energetici regolamentati</w:t>
      </w:r>
      <w:r w:rsidRPr="000F531B">
        <w:rPr>
          <w:rFonts w:ascii="Arial" w:hAnsi="Arial" w:cs="Arial"/>
          <w:bCs/>
        </w:rPr>
        <w:t xml:space="preserve">: includono le tariffe per l’energia elettrica </w:t>
      </w:r>
      <w:r>
        <w:rPr>
          <w:rFonts w:ascii="Arial" w:hAnsi="Arial" w:cs="Arial"/>
          <w:bCs/>
        </w:rPr>
        <w:t xml:space="preserve">mercato tutelato </w:t>
      </w:r>
      <w:r w:rsidRPr="000F531B">
        <w:rPr>
          <w:rFonts w:ascii="Arial" w:hAnsi="Arial" w:cs="Arial"/>
          <w:bCs/>
        </w:rPr>
        <w:t>e il gas di rete per uso domestico.</w:t>
      </w:r>
    </w:p>
    <w:p w:rsidR="0010672D" w:rsidRPr="000F531B" w:rsidRDefault="0010672D" w:rsidP="0010672D">
      <w:pPr>
        <w:spacing w:before="0" w:after="120"/>
        <w:jc w:val="both"/>
        <w:rPr>
          <w:rFonts w:ascii="Arial" w:hAnsi="Arial" w:cs="Arial"/>
          <w:bCs/>
        </w:rPr>
      </w:pPr>
      <w:r w:rsidRPr="000F531B">
        <w:rPr>
          <w:rFonts w:ascii="Arial" w:hAnsi="Arial" w:cs="Arial"/>
          <w:b/>
          <w:bCs/>
        </w:rPr>
        <w:t>Beni energetici non regolamentati</w:t>
      </w:r>
      <w:r w:rsidRPr="000F531B">
        <w:rPr>
          <w:rFonts w:ascii="Arial" w:hAnsi="Arial" w:cs="Arial"/>
          <w:bCs/>
        </w:rPr>
        <w:t>: comprendono i carburanti per g</w:t>
      </w:r>
      <w:r>
        <w:rPr>
          <w:rFonts w:ascii="Arial" w:hAnsi="Arial" w:cs="Arial"/>
          <w:bCs/>
        </w:rPr>
        <w:t>li autoveicoli, i lubrificanti,</w:t>
      </w:r>
      <w:r w:rsidRPr="000F531B">
        <w:rPr>
          <w:rFonts w:ascii="Arial" w:hAnsi="Arial" w:cs="Arial"/>
          <w:bCs/>
        </w:rPr>
        <w:t xml:space="preserve"> i combustibili per u</w:t>
      </w:r>
      <w:r>
        <w:rPr>
          <w:rFonts w:ascii="Arial" w:hAnsi="Arial" w:cs="Arial"/>
          <w:bCs/>
        </w:rPr>
        <w:t xml:space="preserve">so domestico non regolamentati </w:t>
      </w:r>
      <w:r w:rsidRPr="000F531B">
        <w:rPr>
          <w:rFonts w:ascii="Arial" w:hAnsi="Arial" w:cs="Arial"/>
          <w:bCs/>
        </w:rPr>
        <w:t xml:space="preserve">e l’energia elettrica </w:t>
      </w:r>
      <w:r>
        <w:rPr>
          <w:rFonts w:ascii="Arial" w:hAnsi="Arial" w:cs="Arial"/>
          <w:bCs/>
        </w:rPr>
        <w:t>mercato libero.</w:t>
      </w:r>
    </w:p>
    <w:p w:rsidR="0010672D" w:rsidRPr="000F531B" w:rsidRDefault="0010672D" w:rsidP="0010672D">
      <w:pPr>
        <w:spacing w:before="0" w:after="120"/>
        <w:jc w:val="both"/>
        <w:rPr>
          <w:rFonts w:ascii="Arial" w:hAnsi="Arial" w:cs="Arial"/>
          <w:bCs/>
        </w:rPr>
      </w:pPr>
      <w:r w:rsidRPr="000F531B">
        <w:rPr>
          <w:rFonts w:ascii="Arial" w:hAnsi="Arial" w:cs="Arial"/>
          <w:b/>
          <w:bCs/>
        </w:rPr>
        <w:t>Beni regolamentati</w:t>
      </w:r>
      <w:r w:rsidRPr="000F531B">
        <w:rPr>
          <w:rFonts w:ascii="Arial" w:hAnsi="Arial" w:cs="Arial"/>
          <w:bCs/>
        </w:rPr>
        <w:t>: includono i beni energetici regolamentati e gli altri beni regolamentati.</w:t>
      </w:r>
    </w:p>
    <w:p w:rsidR="0010672D" w:rsidRPr="000F531B" w:rsidRDefault="0010672D" w:rsidP="0010672D">
      <w:pPr>
        <w:spacing w:before="0" w:after="120"/>
        <w:jc w:val="both"/>
        <w:rPr>
          <w:rFonts w:ascii="Arial" w:hAnsi="Arial" w:cs="Arial"/>
          <w:bCs/>
        </w:rPr>
      </w:pPr>
      <w:r w:rsidRPr="000F531B">
        <w:rPr>
          <w:rFonts w:ascii="Arial" w:hAnsi="Arial" w:cs="Arial"/>
          <w:b/>
          <w:bCs/>
        </w:rPr>
        <w:t>COICOP</w:t>
      </w:r>
      <w:r w:rsidRPr="000F531B">
        <w:rPr>
          <w:rFonts w:ascii="Arial" w:hAnsi="Arial" w:cs="Arial"/>
          <w:bCs/>
        </w:rPr>
        <w:t>: classificazione dei consumi individuali secondo l’utilizzo finale</w:t>
      </w:r>
      <w:r>
        <w:rPr>
          <w:rFonts w:ascii="Arial" w:hAnsi="Arial" w:cs="Arial"/>
          <w:bCs/>
        </w:rPr>
        <w:t>.</w:t>
      </w:r>
    </w:p>
    <w:p w:rsidR="0010672D" w:rsidRPr="000F531B" w:rsidRDefault="0010672D" w:rsidP="0010672D">
      <w:pPr>
        <w:spacing w:before="0" w:after="120"/>
        <w:jc w:val="both"/>
        <w:rPr>
          <w:rFonts w:ascii="Arial" w:hAnsi="Arial" w:cs="Arial"/>
        </w:rPr>
      </w:pPr>
      <w:r w:rsidRPr="000F531B">
        <w:rPr>
          <w:rFonts w:ascii="Arial" w:hAnsi="Arial" w:cs="Arial"/>
          <w:b/>
        </w:rPr>
        <w:t>Componente di fondo</w:t>
      </w:r>
      <w:r w:rsidRPr="000F531B">
        <w:rPr>
          <w:rFonts w:ascii="Arial" w:hAnsi="Arial" w:cs="Arial"/>
        </w:rPr>
        <w:t xml:space="preserve">: viene calcolata escludendo i beni alimentari non lavorati e i beni energetici. </w:t>
      </w:r>
    </w:p>
    <w:p w:rsidR="0010672D" w:rsidRPr="000F531B" w:rsidRDefault="0010672D" w:rsidP="0010672D">
      <w:pPr>
        <w:spacing w:before="0" w:after="120"/>
        <w:jc w:val="both"/>
        <w:rPr>
          <w:rFonts w:ascii="Arial" w:hAnsi="Arial" w:cs="Arial"/>
          <w:bCs/>
        </w:rPr>
      </w:pPr>
      <w:r w:rsidRPr="000F531B">
        <w:rPr>
          <w:rFonts w:ascii="Arial" w:hAnsi="Arial" w:cs="Arial"/>
          <w:b/>
          <w:bCs/>
        </w:rPr>
        <w:t>Contributo alla variazione tendenziale dell’indice generale</w:t>
      </w:r>
      <w:r w:rsidRPr="000F531B">
        <w:rPr>
          <w:rFonts w:ascii="Arial" w:hAnsi="Arial" w:cs="Arial"/>
          <w:bCs/>
        </w:rPr>
        <w:t>: permette di valutare l’incidenza delle variazioni di prezzo delle singole componenti sull’aumento o sulla diminuzione dell’indice aggregato. A tal fine, il tasso di variazione tendenziale dell’indice generale viene scomposto nella somma degli effetti attribuibili a ciascuna delle variazioni delle sue componenti. Poiché si tratta di un indice concatenato, il contributo della componente i-esima alla variazione dell’indice generale è funzione della dinamica di prezzo di tale componente e della modifica del suo peso relativo nei due anni a confronto. I contributi alla variazione tendenziale dell’indice generale sono calcolati a partire dagli indici elementari di prezzo dei prodotti del paniere di riferimento. Per effetto degli arrotondamenti, la loro somma può differire dalla variazione dell’indice generale.</w:t>
      </w:r>
    </w:p>
    <w:p w:rsidR="0010672D" w:rsidRPr="000F531B" w:rsidRDefault="00EB61B1" w:rsidP="0010672D">
      <w:pPr>
        <w:spacing w:before="0" w:after="120"/>
        <w:jc w:val="both"/>
        <w:rPr>
          <w:rFonts w:ascii="Arial" w:hAnsi="Arial" w:cs="Arial"/>
          <w:b/>
          <w:bCs/>
        </w:rPr>
      </w:pPr>
      <w:hyperlink r:id="rId36" w:history="1">
        <w:r w:rsidR="0010672D" w:rsidRPr="00C55AE4">
          <w:rPr>
            <w:rStyle w:val="Collegamentoipertestuale"/>
            <w:rFonts w:ascii="Arial" w:hAnsi="Arial" w:cs="Arial"/>
            <w:b/>
            <w:bCs/>
          </w:rPr>
          <w:t>ECOICOP</w:t>
        </w:r>
      </w:hyperlink>
      <w:r w:rsidR="0010672D">
        <w:rPr>
          <w:rFonts w:ascii="Arial" w:hAnsi="Arial" w:cs="Arial"/>
          <w:bCs/>
        </w:rPr>
        <w:t xml:space="preserve">: </w:t>
      </w:r>
      <w:r w:rsidR="0010672D" w:rsidRPr="000F531B">
        <w:rPr>
          <w:rFonts w:ascii="Arial" w:hAnsi="Arial" w:cs="Arial"/>
          <w:bCs/>
        </w:rPr>
        <w:t>classificazione europea dei consumi individuali secondo l’utilizzo finale</w:t>
      </w:r>
      <w:r w:rsidR="0010672D" w:rsidRPr="00C55AE4">
        <w:rPr>
          <w:rFonts w:ascii="Arial" w:hAnsi="Arial" w:cs="Arial"/>
          <w:bCs/>
        </w:rPr>
        <w:t>, che prevede un livello di dettaglio (le sottoclassi) maggiore rispetto alla COICOP.</w:t>
      </w:r>
    </w:p>
    <w:p w:rsidR="0010672D" w:rsidRDefault="0010672D" w:rsidP="0010672D">
      <w:pPr>
        <w:spacing w:before="0" w:after="120"/>
        <w:jc w:val="both"/>
        <w:rPr>
          <w:rFonts w:ascii="Arial" w:hAnsi="Arial" w:cs="Arial"/>
          <w:bCs/>
        </w:rPr>
      </w:pPr>
      <w:r w:rsidRPr="000F531B">
        <w:rPr>
          <w:rFonts w:ascii="Arial" w:hAnsi="Arial" w:cs="Arial"/>
          <w:b/>
          <w:bCs/>
        </w:rPr>
        <w:t>FOI</w:t>
      </w:r>
      <w:r w:rsidRPr="000F531B">
        <w:rPr>
          <w:rFonts w:ascii="Arial" w:hAnsi="Arial" w:cs="Arial"/>
          <w:bCs/>
        </w:rPr>
        <w:t>: indice nazionale dei prezzi al consumo per le famiglie di operai e impiegati.</w:t>
      </w:r>
    </w:p>
    <w:p w:rsidR="0010672D" w:rsidRDefault="0010672D" w:rsidP="0010672D">
      <w:pPr>
        <w:spacing w:before="0" w:after="120"/>
        <w:jc w:val="both"/>
        <w:rPr>
          <w:rFonts w:ascii="Arial" w:hAnsi="Arial" w:cs="Arial"/>
          <w:bCs/>
        </w:rPr>
      </w:pPr>
      <w:r w:rsidRPr="00C96343">
        <w:rPr>
          <w:rFonts w:ascii="Arial" w:hAnsi="Arial" w:cs="Arial"/>
          <w:b/>
          <w:bCs/>
        </w:rPr>
        <w:t>Inflazione</w:t>
      </w:r>
      <w:r w:rsidRPr="00C96343">
        <w:rPr>
          <w:rFonts w:ascii="Arial" w:hAnsi="Arial" w:cs="Arial"/>
          <w:bCs/>
        </w:rPr>
        <w:t>: misura le variazioni nel tempo dei prezzi di un insieme di prodotti (paniere) rappresentativo di tutti i beni e servizi destinati al consumo finale delle famiglie, acquistabili sul mercato attraverso transazioni monetarie.</w:t>
      </w:r>
    </w:p>
    <w:p w:rsidR="0010672D" w:rsidRPr="000F531B" w:rsidRDefault="0010672D" w:rsidP="0010672D">
      <w:pPr>
        <w:spacing w:before="0" w:after="120"/>
        <w:jc w:val="both"/>
        <w:rPr>
          <w:rFonts w:ascii="Arial" w:hAnsi="Arial" w:cs="Arial"/>
          <w:bCs/>
        </w:rPr>
      </w:pPr>
      <w:r w:rsidRPr="000F531B">
        <w:rPr>
          <w:rFonts w:ascii="Arial" w:hAnsi="Arial" w:cs="Arial"/>
          <w:b/>
          <w:bCs/>
        </w:rPr>
        <w:t>Inflazione acquisita</w:t>
      </w:r>
      <w:r w:rsidRPr="000F531B">
        <w:rPr>
          <w:rFonts w:ascii="Arial" w:hAnsi="Arial" w:cs="Arial"/>
          <w:bCs/>
        </w:rPr>
        <w:t xml:space="preserve">: rappresenta la variazione media dell’indice nell’anno indicato, che si avrebbe ipotizzando che l’indice stesso rimanga al medesimo livello dell’ultimo dato mensile disponibile nella restante parte dell’anno. </w:t>
      </w:r>
    </w:p>
    <w:p w:rsidR="0010672D" w:rsidRPr="000F531B" w:rsidRDefault="0010672D" w:rsidP="0010672D">
      <w:pPr>
        <w:spacing w:before="0" w:after="120"/>
        <w:jc w:val="both"/>
        <w:rPr>
          <w:rFonts w:ascii="Arial" w:hAnsi="Arial" w:cs="Arial"/>
          <w:bCs/>
        </w:rPr>
      </w:pPr>
      <w:r w:rsidRPr="000F531B">
        <w:rPr>
          <w:rFonts w:ascii="Arial" w:hAnsi="Arial" w:cs="Arial"/>
          <w:b/>
          <w:bCs/>
        </w:rPr>
        <w:t>IPCA</w:t>
      </w:r>
      <w:r w:rsidRPr="000F531B">
        <w:rPr>
          <w:rFonts w:ascii="Arial" w:hAnsi="Arial" w:cs="Arial"/>
          <w:bCs/>
        </w:rPr>
        <w:t>: indice armonizzato dei prezzi al consumo per i Paesi dell’Unione europea.</w:t>
      </w:r>
    </w:p>
    <w:p w:rsidR="0010672D" w:rsidRPr="000F531B" w:rsidRDefault="0010672D" w:rsidP="0010672D">
      <w:pPr>
        <w:spacing w:before="0" w:after="120"/>
        <w:jc w:val="both"/>
        <w:rPr>
          <w:rFonts w:ascii="Arial" w:hAnsi="Arial" w:cs="Arial"/>
          <w:bCs/>
        </w:rPr>
      </w:pPr>
      <w:r w:rsidRPr="000F531B">
        <w:rPr>
          <w:rFonts w:ascii="Arial" w:hAnsi="Arial" w:cs="Arial"/>
          <w:b/>
          <w:bCs/>
        </w:rPr>
        <w:t>IPCA-AS</w:t>
      </w:r>
      <w:r w:rsidRPr="000F531B">
        <w:rPr>
          <w:rFonts w:ascii="Arial" w:hAnsi="Arial" w:cs="Arial"/>
          <w:bCs/>
        </w:rPr>
        <w:t>: indici armonizzati dei prezzi al consumo per aggregati speciali</w:t>
      </w:r>
      <w:r>
        <w:rPr>
          <w:rFonts w:ascii="Arial" w:hAnsi="Arial" w:cs="Arial"/>
          <w:bCs/>
        </w:rPr>
        <w:t xml:space="preserve"> s</w:t>
      </w:r>
      <w:r w:rsidRPr="000F531B">
        <w:rPr>
          <w:rFonts w:ascii="Arial" w:hAnsi="Arial" w:cs="Arial"/>
          <w:bCs/>
        </w:rPr>
        <w:t xml:space="preserve">ono indicatori costruiti secondo uno schema classificatorio </w:t>
      </w:r>
      <w:r>
        <w:rPr>
          <w:rFonts w:ascii="Arial" w:hAnsi="Arial" w:cs="Arial"/>
          <w:bCs/>
        </w:rPr>
        <w:t>diverso</w:t>
      </w:r>
      <w:r w:rsidRPr="000F531B">
        <w:rPr>
          <w:rFonts w:ascii="Arial" w:hAnsi="Arial" w:cs="Arial"/>
          <w:bCs/>
        </w:rPr>
        <w:t xml:space="preserve"> </w:t>
      </w:r>
      <w:r>
        <w:rPr>
          <w:rFonts w:ascii="Arial" w:hAnsi="Arial" w:cs="Arial"/>
          <w:bCs/>
        </w:rPr>
        <w:t>d</w:t>
      </w:r>
      <w:r w:rsidRPr="000F531B">
        <w:rPr>
          <w:rFonts w:ascii="Arial" w:hAnsi="Arial" w:cs="Arial"/>
          <w:bCs/>
        </w:rPr>
        <w:t>alla ECOICOP-IPCA e da quello utilizzato per gli indici NIC per tipologia di prodotto. L</w:t>
      </w:r>
      <w:r>
        <w:rPr>
          <w:rFonts w:ascii="Arial" w:hAnsi="Arial" w:cs="Arial"/>
          <w:bCs/>
        </w:rPr>
        <w:t>a struttura</w:t>
      </w:r>
      <w:r w:rsidRPr="000F531B">
        <w:rPr>
          <w:rFonts w:ascii="Arial" w:hAnsi="Arial" w:cs="Arial"/>
          <w:bCs/>
        </w:rPr>
        <w:t xml:space="preserve"> di classificazione </w:t>
      </w:r>
      <w:r>
        <w:rPr>
          <w:rFonts w:ascii="Arial" w:hAnsi="Arial" w:cs="Arial"/>
          <w:bCs/>
        </w:rPr>
        <w:t>e le procedure</w:t>
      </w:r>
      <w:r w:rsidRPr="000F531B">
        <w:rPr>
          <w:rFonts w:ascii="Arial" w:hAnsi="Arial" w:cs="Arial"/>
          <w:bCs/>
        </w:rPr>
        <w:t xml:space="preserve"> di calcolo sono comuni a quell</w:t>
      </w:r>
      <w:r>
        <w:rPr>
          <w:rFonts w:ascii="Arial" w:hAnsi="Arial" w:cs="Arial"/>
          <w:bCs/>
        </w:rPr>
        <w:t>e</w:t>
      </w:r>
      <w:r w:rsidRPr="000F531B">
        <w:rPr>
          <w:rFonts w:ascii="Arial" w:hAnsi="Arial" w:cs="Arial"/>
          <w:bCs/>
        </w:rPr>
        <w:t xml:space="preserve"> </w:t>
      </w:r>
      <w:r w:rsidRPr="000F531B">
        <w:rPr>
          <w:rFonts w:ascii="Arial" w:hAnsi="Arial" w:cs="Arial"/>
        </w:rPr>
        <w:t>utilizzat</w:t>
      </w:r>
      <w:r>
        <w:rPr>
          <w:rFonts w:ascii="Arial" w:hAnsi="Arial" w:cs="Arial"/>
        </w:rPr>
        <w:t>e</w:t>
      </w:r>
      <w:r w:rsidRPr="000F531B">
        <w:rPr>
          <w:rFonts w:ascii="Arial" w:hAnsi="Arial" w:cs="Arial"/>
        </w:rPr>
        <w:t xml:space="preserve"> da Eurostat</w:t>
      </w:r>
      <w:r>
        <w:rPr>
          <w:rFonts w:ascii="Arial" w:hAnsi="Arial" w:cs="Arial"/>
        </w:rPr>
        <w:t xml:space="preserve"> e ne condividono le innovazioni di carattere metodologico</w:t>
      </w:r>
      <w:r w:rsidRPr="000F531B">
        <w:rPr>
          <w:rFonts w:ascii="Arial" w:hAnsi="Arial" w:cs="Arial"/>
        </w:rPr>
        <w:t>.</w:t>
      </w:r>
      <w:r>
        <w:rPr>
          <w:rFonts w:ascii="Arial" w:hAnsi="Arial" w:cs="Arial"/>
        </w:rPr>
        <w:t xml:space="preserve"> In particolare, dalla diffusione degli indici definitivi di gennaio 2019 cambia il metodo di calcolo degli aggregati speciali dell’IPCA che sono ottenuti aggregando gli indici delle sottoclassi della ECOICOP (in precedenza, per il computo di questi indicatori erano utilizzati gli indici delle classi).</w:t>
      </w:r>
      <w:r w:rsidRPr="000F531B">
        <w:rPr>
          <w:rFonts w:ascii="Arial" w:hAnsi="Arial" w:cs="Arial"/>
          <w:bCs/>
        </w:rPr>
        <w:t xml:space="preserve"> </w:t>
      </w:r>
      <w:r>
        <w:rPr>
          <w:rFonts w:ascii="Arial" w:hAnsi="Arial" w:cs="Arial"/>
          <w:bCs/>
        </w:rPr>
        <w:t>Per una migliore fruibilità dei nuovi indicatori, le serie degli aggregati speciali, secondo il nuovo schema, sono state ricostruite per il periodo gennaio 2017 - dicembre 2018 e sostituiscono, per l’intervallo temporale in questione, quelle precedentemente diffuse, basate sulla vecchia metodologia di calcolo</w:t>
      </w:r>
      <w:r w:rsidRPr="000F531B">
        <w:rPr>
          <w:rFonts w:ascii="Arial" w:hAnsi="Arial" w:cs="Arial"/>
        </w:rPr>
        <w:t>.</w:t>
      </w:r>
      <w:r w:rsidRPr="000F531B">
        <w:rPr>
          <w:rFonts w:ascii="Arial" w:hAnsi="Arial" w:cs="Arial"/>
          <w:bCs/>
        </w:rPr>
        <w:t xml:space="preserve"> </w:t>
      </w:r>
    </w:p>
    <w:p w:rsidR="0010672D" w:rsidRPr="000F531B" w:rsidRDefault="0010672D" w:rsidP="0010672D">
      <w:pPr>
        <w:spacing w:before="0" w:after="120"/>
        <w:jc w:val="both"/>
        <w:rPr>
          <w:rFonts w:ascii="Arial" w:hAnsi="Arial" w:cs="Arial"/>
          <w:bCs/>
        </w:rPr>
      </w:pPr>
      <w:r w:rsidRPr="000F531B">
        <w:rPr>
          <w:rFonts w:ascii="Arial" w:hAnsi="Arial" w:cs="Arial"/>
          <w:b/>
          <w:bCs/>
        </w:rPr>
        <w:t>IPCA-TC</w:t>
      </w:r>
      <w:r w:rsidRPr="000F531B">
        <w:rPr>
          <w:rFonts w:ascii="Arial" w:hAnsi="Arial" w:cs="Arial"/>
          <w:bCs/>
        </w:rPr>
        <w:t>: indice armonizzato dei prezzi al consumo a tassazione costante per i Paesi dell’Unione europea.</w:t>
      </w:r>
    </w:p>
    <w:p w:rsidR="00F36E1D" w:rsidRDefault="00F36E1D" w:rsidP="0010672D">
      <w:pPr>
        <w:spacing w:before="0" w:after="120"/>
        <w:jc w:val="both"/>
        <w:rPr>
          <w:rFonts w:ascii="Arial" w:hAnsi="Arial" w:cs="Arial"/>
          <w:b/>
        </w:rPr>
      </w:pPr>
    </w:p>
    <w:p w:rsidR="00DF1C5A" w:rsidRDefault="00DF1C5A" w:rsidP="0010672D">
      <w:pPr>
        <w:spacing w:before="0" w:after="120"/>
        <w:jc w:val="both"/>
        <w:rPr>
          <w:rFonts w:ascii="Arial" w:hAnsi="Arial" w:cs="Arial"/>
          <w:b/>
        </w:rPr>
      </w:pPr>
    </w:p>
    <w:p w:rsidR="0010672D" w:rsidRPr="000F531B" w:rsidRDefault="0010672D" w:rsidP="0010672D">
      <w:pPr>
        <w:spacing w:before="0" w:after="120"/>
        <w:jc w:val="both"/>
        <w:rPr>
          <w:rFonts w:ascii="Arial" w:hAnsi="Arial" w:cs="Arial"/>
        </w:rPr>
      </w:pPr>
      <w:r w:rsidRPr="000F531B">
        <w:rPr>
          <w:rFonts w:ascii="Arial" w:hAnsi="Arial" w:cs="Arial"/>
          <w:b/>
        </w:rPr>
        <w:t>NIC</w:t>
      </w:r>
      <w:r w:rsidRPr="000F531B">
        <w:rPr>
          <w:rFonts w:ascii="Arial" w:hAnsi="Arial" w:cs="Arial"/>
        </w:rPr>
        <w:t>: indice nazionale dei prezzi al consumo per l’intera collettività.</w:t>
      </w:r>
    </w:p>
    <w:p w:rsidR="0010672D" w:rsidRPr="000F531B" w:rsidRDefault="0010672D" w:rsidP="0010672D">
      <w:pPr>
        <w:widowControl/>
        <w:overflowPunct/>
        <w:autoSpaceDE/>
        <w:adjustRightInd/>
        <w:spacing w:before="0" w:after="120"/>
        <w:jc w:val="both"/>
        <w:rPr>
          <w:rFonts w:ascii="Arial" w:hAnsi="Arial" w:cs="Arial"/>
        </w:rPr>
      </w:pPr>
      <w:r w:rsidRPr="000F531B">
        <w:rPr>
          <w:rFonts w:ascii="Arial" w:hAnsi="Arial" w:cs="Arial"/>
          <w:b/>
        </w:rPr>
        <w:t>Prodotti ad alta frequenza di acquisto</w:t>
      </w:r>
      <w:r w:rsidRPr="000F531B">
        <w:rPr>
          <w:rFonts w:ascii="Arial" w:hAnsi="Arial" w:cs="Arial"/>
        </w:rPr>
        <w:t>: includono, oltre ai generi alimentari, le bevande alcoliche e analcoliche, i tabacchi, le spese per l’affitto, i beni non durevoli per la casa, i servizi per la pulizia e manutenzione della casa, i carburanti, i trasporti urbani, i giornali e i periodici, i servizi di ristorazione, le spese di assistenza.</w:t>
      </w:r>
    </w:p>
    <w:p w:rsidR="0010672D" w:rsidRPr="000F531B" w:rsidRDefault="0010672D" w:rsidP="0010672D">
      <w:pPr>
        <w:spacing w:before="0" w:after="120"/>
        <w:ind w:right="38"/>
        <w:jc w:val="both"/>
        <w:rPr>
          <w:rFonts w:ascii="Arial" w:hAnsi="Arial" w:cs="Arial"/>
        </w:rPr>
      </w:pPr>
      <w:r w:rsidRPr="000F531B">
        <w:rPr>
          <w:rFonts w:ascii="Arial" w:hAnsi="Arial" w:cs="Arial"/>
          <w:b/>
        </w:rPr>
        <w:t>Prodotti a media frequenza</w:t>
      </w:r>
      <w:r w:rsidRPr="000F531B">
        <w:rPr>
          <w:rFonts w:ascii="Arial" w:hAnsi="Arial" w:cs="Arial"/>
        </w:rPr>
        <w:t xml:space="preserve"> </w:t>
      </w:r>
      <w:r w:rsidRPr="000F531B">
        <w:rPr>
          <w:rFonts w:ascii="Arial" w:hAnsi="Arial" w:cs="Arial"/>
          <w:b/>
        </w:rPr>
        <w:t>di acquisto</w:t>
      </w:r>
      <w:r w:rsidRPr="000F531B">
        <w:rPr>
          <w:rFonts w:ascii="Arial" w:hAnsi="Arial" w:cs="Arial"/>
        </w:rPr>
        <w:t xml:space="preserve">: comprendono, </w:t>
      </w:r>
      <w:r w:rsidRPr="00642DBC">
        <w:rPr>
          <w:rFonts w:ascii="Arial" w:hAnsi="Arial" w:cs="Arial"/>
        </w:rPr>
        <w:t>tra gli altri,</w:t>
      </w:r>
      <w:r w:rsidRPr="000F531B">
        <w:rPr>
          <w:rFonts w:ascii="Arial" w:hAnsi="Arial" w:cs="Arial"/>
        </w:rPr>
        <w:t xml:space="preserve"> le spese di abbigliamento, le tariffe elettriche e quelle relative all’acqua potabile e lo smaltimento dei rifiuti, i medicinali, i servizi medici e quelli dentistici, i trasporti stradali, ferroviari marittimi e aerei, i servizi postali e telefonici, i servizi ricreativi e culturali, i pacchetti vacanze, i libri, gli alberghi e gli altri servizi di alloggio.</w:t>
      </w:r>
    </w:p>
    <w:p w:rsidR="0010672D" w:rsidRPr="000F531B" w:rsidRDefault="0010672D" w:rsidP="0010672D">
      <w:pPr>
        <w:spacing w:before="0" w:after="120"/>
        <w:jc w:val="both"/>
        <w:rPr>
          <w:rFonts w:ascii="Arial" w:hAnsi="Arial" w:cs="Arial"/>
        </w:rPr>
      </w:pPr>
      <w:r w:rsidRPr="000F531B">
        <w:rPr>
          <w:rFonts w:ascii="Arial" w:hAnsi="Arial" w:cs="Arial"/>
          <w:b/>
        </w:rPr>
        <w:t>Prodotti a bassa frequenza di acquisto</w:t>
      </w:r>
      <w:r w:rsidRPr="000F531B">
        <w:rPr>
          <w:rFonts w:ascii="Arial" w:hAnsi="Arial" w:cs="Arial"/>
        </w:rPr>
        <w:t>: comprendono gli elettrodomestici, i servizi ospedalieri, l’acquisto dei mezzi di trasporto, i servizi di trasloco, gli apparecchi audiovisivi, fotografici e informatici, gli articoli sportivi.</w:t>
      </w:r>
    </w:p>
    <w:p w:rsidR="0010672D" w:rsidRPr="000F531B" w:rsidRDefault="0010672D" w:rsidP="0010672D">
      <w:pPr>
        <w:spacing w:before="0" w:after="120"/>
        <w:jc w:val="both"/>
        <w:rPr>
          <w:rFonts w:ascii="Arial" w:hAnsi="Arial" w:cs="Arial"/>
        </w:rPr>
      </w:pPr>
      <w:r w:rsidRPr="000F531B">
        <w:rPr>
          <w:rFonts w:ascii="Arial" w:hAnsi="Arial" w:cs="Arial"/>
          <w:b/>
        </w:rPr>
        <w:t>Servizi regolamentati</w:t>
      </w:r>
      <w:r w:rsidRPr="000F531B">
        <w:rPr>
          <w:rFonts w:ascii="Arial" w:hAnsi="Arial" w:cs="Arial"/>
        </w:rPr>
        <w:t>: tipologie di servizio i cui prezzi sono stabiliti da amministrazioni nazionali o locali e da servizi di pubblica utilità soggetti a regolamentazione da parte di specifiche Agenzie (Authority). Comprendono i certificati anagrafici, il passaporto, la tariffa per i rifiuti solidi, la tariffa per la raccolta di acque reflue, l’istruzione secondaria, le mense scolastiche, i trasporti urbani unimodali e multimodali (biglietti e abbonamenti), il trasporto extra-urbano su bus e quello extra-urbano multimodale, i taxi, i trasporti ferroviari regionali, i pedaggi autostradali, i concorsi pronostici, il canone tv, i servizi di telefonia fissa, la revisione auto, le tasse per il trasferimento della proprietà delle autovetture e dei motoveicoli e alcuni servizi postali.</w:t>
      </w:r>
    </w:p>
    <w:p w:rsidR="0010672D" w:rsidRPr="000F531B" w:rsidRDefault="0010672D" w:rsidP="0010672D">
      <w:pPr>
        <w:spacing w:before="0" w:after="120"/>
        <w:jc w:val="both"/>
        <w:rPr>
          <w:rFonts w:ascii="Arial" w:hAnsi="Arial" w:cs="Arial"/>
        </w:rPr>
      </w:pPr>
      <w:r w:rsidRPr="000F531B">
        <w:rPr>
          <w:rFonts w:ascii="Arial" w:hAnsi="Arial" w:cs="Arial"/>
          <w:b/>
        </w:rPr>
        <w:t>Servizi relativi all’abitazione</w:t>
      </w:r>
      <w:r w:rsidRPr="000F531B">
        <w:rPr>
          <w:rFonts w:ascii="Arial" w:hAnsi="Arial" w:cs="Arial"/>
        </w:rPr>
        <w:t>: comprendono i servizi di riparazione, la pulizia e la manutenzione della casa, la tariffa per i rifiuti solidi, la tariffa per la raccolta acque reflue, il canone d'affitto, le spese condominiali.</w:t>
      </w:r>
    </w:p>
    <w:p w:rsidR="0010672D" w:rsidRPr="000F531B" w:rsidRDefault="0010672D" w:rsidP="0010672D">
      <w:pPr>
        <w:spacing w:before="0" w:after="120"/>
        <w:jc w:val="both"/>
        <w:rPr>
          <w:rFonts w:ascii="Arial" w:hAnsi="Arial" w:cs="Arial"/>
        </w:rPr>
      </w:pPr>
      <w:r w:rsidRPr="000F531B">
        <w:rPr>
          <w:rFonts w:ascii="Arial" w:hAnsi="Arial" w:cs="Arial"/>
          <w:b/>
        </w:rPr>
        <w:t>Servizi relativi alle comunicazioni</w:t>
      </w:r>
      <w:r w:rsidRPr="000F531B">
        <w:rPr>
          <w:rFonts w:ascii="Arial" w:hAnsi="Arial" w:cs="Arial"/>
        </w:rPr>
        <w:t>: comprendono i servizi di telefonia e i servizi postali.</w:t>
      </w:r>
    </w:p>
    <w:p w:rsidR="0010672D" w:rsidRPr="000F531B" w:rsidRDefault="0010672D" w:rsidP="0010672D">
      <w:pPr>
        <w:spacing w:before="0" w:after="120"/>
        <w:jc w:val="both"/>
        <w:rPr>
          <w:rFonts w:ascii="Arial" w:hAnsi="Arial" w:cs="Arial"/>
        </w:rPr>
      </w:pPr>
      <w:r w:rsidRPr="000F531B">
        <w:rPr>
          <w:rFonts w:ascii="Arial" w:hAnsi="Arial" w:cs="Arial"/>
          <w:b/>
        </w:rPr>
        <w:t>Servizi ricreativi, culturali e per la cura della persona</w:t>
      </w:r>
      <w:r w:rsidRPr="000F531B">
        <w:rPr>
          <w:rFonts w:ascii="Arial" w:hAnsi="Arial" w:cs="Arial"/>
        </w:rPr>
        <w:t>: comprendono i pacchetti vacanza, i servizi di alloggio, i ristoranti, bar e simili, le mense, la riparazione di apparecchi audiovisivi, fotografici e informatici, i servizi per l'abbigliamento, i servizi per l</w:t>
      </w:r>
      <w:r>
        <w:rPr>
          <w:rFonts w:ascii="Arial" w:hAnsi="Arial" w:cs="Arial"/>
        </w:rPr>
        <w:t>’</w:t>
      </w:r>
      <w:r w:rsidRPr="000F531B">
        <w:rPr>
          <w:rFonts w:ascii="Arial" w:hAnsi="Arial" w:cs="Arial"/>
        </w:rPr>
        <w:t>igiene personale, i servizi ricreativi e culturali vari, i concorsi e le lotterie.</w:t>
      </w:r>
    </w:p>
    <w:p w:rsidR="0010672D" w:rsidRPr="000F531B" w:rsidRDefault="0010672D" w:rsidP="0010672D">
      <w:pPr>
        <w:spacing w:before="0" w:after="120"/>
        <w:jc w:val="both"/>
        <w:rPr>
          <w:rFonts w:ascii="Arial" w:hAnsi="Arial" w:cs="Arial"/>
        </w:rPr>
      </w:pPr>
      <w:r w:rsidRPr="000F531B">
        <w:rPr>
          <w:rFonts w:ascii="Arial" w:hAnsi="Arial" w:cs="Arial"/>
          <w:b/>
        </w:rPr>
        <w:t>Servizi relativi ai trasporti</w:t>
      </w:r>
      <w:r w:rsidRPr="000F531B">
        <w:rPr>
          <w:rFonts w:ascii="Arial" w:hAnsi="Arial" w:cs="Arial"/>
        </w:rPr>
        <w:t>: comprendono i trasporti aerei, marittimi, ferroviari, e stradali, i servizi di manutenzione e riparazione di mezzi di trasporto, le assicurazioni sui mezzi di trasporto.</w:t>
      </w:r>
    </w:p>
    <w:p w:rsidR="0010672D" w:rsidRPr="000F531B" w:rsidRDefault="0010672D" w:rsidP="0010672D">
      <w:pPr>
        <w:spacing w:before="0" w:after="120"/>
        <w:jc w:val="both"/>
        <w:rPr>
          <w:rFonts w:ascii="Arial" w:hAnsi="Arial" w:cs="Arial"/>
        </w:rPr>
      </w:pPr>
      <w:r w:rsidRPr="000F531B">
        <w:rPr>
          <w:rFonts w:ascii="Arial" w:hAnsi="Arial" w:cs="Arial"/>
          <w:b/>
        </w:rPr>
        <w:t>Servizi vari</w:t>
      </w:r>
      <w:r w:rsidRPr="000F531B">
        <w:rPr>
          <w:rFonts w:ascii="Arial" w:hAnsi="Arial" w:cs="Arial"/>
        </w:rPr>
        <w:t>:</w:t>
      </w:r>
      <w:r w:rsidRPr="000F531B">
        <w:rPr>
          <w:rFonts w:ascii="Arial" w:hAnsi="Arial" w:cs="Arial"/>
          <w:b/>
        </w:rPr>
        <w:t xml:space="preserve"> </w:t>
      </w:r>
      <w:r w:rsidRPr="000F531B">
        <w:rPr>
          <w:rFonts w:ascii="Arial" w:hAnsi="Arial" w:cs="Arial"/>
        </w:rPr>
        <w:t>comprendono l’istruzione, i servizi medici, i servizi per l’assistenza, i servizi finanziari; professioni liberali; servizio funebre; assicurazioni sugli infortuni.</w:t>
      </w:r>
    </w:p>
    <w:p w:rsidR="0010672D" w:rsidRPr="000F531B" w:rsidRDefault="0010672D" w:rsidP="0010672D">
      <w:pPr>
        <w:spacing w:before="0" w:after="120"/>
        <w:jc w:val="both"/>
        <w:rPr>
          <w:rFonts w:ascii="Arial" w:hAnsi="Arial" w:cs="Arial"/>
          <w:bCs/>
        </w:rPr>
      </w:pPr>
      <w:r w:rsidRPr="000F531B">
        <w:rPr>
          <w:rFonts w:ascii="Arial" w:hAnsi="Arial" w:cs="Arial"/>
          <w:b/>
          <w:bCs/>
        </w:rPr>
        <w:t>Variazione congiunturale</w:t>
      </w:r>
      <w:r w:rsidRPr="000F531B">
        <w:rPr>
          <w:rFonts w:ascii="Arial" w:hAnsi="Arial" w:cs="Arial"/>
          <w:bCs/>
        </w:rPr>
        <w:t>: variazione rispetto al periodo precedente.</w:t>
      </w:r>
    </w:p>
    <w:p w:rsidR="0010672D" w:rsidRDefault="0010672D" w:rsidP="0010672D">
      <w:pPr>
        <w:pStyle w:val="Corpodeltesto2"/>
        <w:tabs>
          <w:tab w:val="left" w:pos="0"/>
          <w:tab w:val="left" w:pos="6300"/>
        </w:tabs>
        <w:spacing w:line="240" w:lineRule="auto"/>
        <w:jc w:val="both"/>
        <w:rPr>
          <w:rFonts w:ascii="Arial" w:hAnsi="Arial" w:cs="Arial"/>
          <w:iCs/>
          <w:sz w:val="21"/>
          <w:szCs w:val="21"/>
        </w:rPr>
      </w:pPr>
      <w:r w:rsidRPr="000F531B">
        <w:rPr>
          <w:rFonts w:ascii="Arial" w:hAnsi="Arial" w:cs="Arial"/>
          <w:b/>
          <w:bCs/>
        </w:rPr>
        <w:t>Variazione tendenziale</w:t>
      </w:r>
      <w:r w:rsidRPr="000F531B">
        <w:rPr>
          <w:rFonts w:ascii="Arial" w:hAnsi="Arial" w:cs="Arial"/>
          <w:bCs/>
        </w:rPr>
        <w:t>:</w:t>
      </w:r>
      <w:r w:rsidRPr="000F531B">
        <w:rPr>
          <w:rFonts w:ascii="Arial" w:hAnsi="Arial" w:cs="Arial"/>
          <w:b/>
          <w:bCs/>
        </w:rPr>
        <w:t xml:space="preserve"> </w:t>
      </w:r>
      <w:r w:rsidRPr="000F531B">
        <w:rPr>
          <w:rFonts w:ascii="Arial" w:hAnsi="Arial" w:cs="Arial"/>
          <w:bCs/>
        </w:rPr>
        <w:t>variazione rispetto allo stesso periodo dell’anno precedente.</w:t>
      </w:r>
    </w:p>
    <w:p w:rsidR="0010672D" w:rsidRPr="00C8504B" w:rsidRDefault="0010672D" w:rsidP="0010672D">
      <w:pPr>
        <w:pStyle w:val="Corpodeltesto2"/>
        <w:tabs>
          <w:tab w:val="left" w:pos="0"/>
          <w:tab w:val="left" w:pos="6300"/>
        </w:tabs>
        <w:spacing w:line="240" w:lineRule="auto"/>
        <w:jc w:val="both"/>
        <w:rPr>
          <w:rFonts w:ascii="Arial" w:hAnsi="Arial" w:cs="Arial"/>
          <w:iCs/>
          <w:sz w:val="21"/>
          <w:szCs w:val="21"/>
        </w:rPr>
        <w:sectPr w:rsidR="0010672D" w:rsidRPr="00C8504B" w:rsidSect="001B6F33">
          <w:headerReference w:type="default" r:id="rId37"/>
          <w:pgSz w:w="11907" w:h="16840" w:code="9"/>
          <w:pgMar w:top="1537" w:right="851" w:bottom="680" w:left="851" w:header="567" w:footer="567" w:gutter="0"/>
          <w:cols w:space="720"/>
          <w:noEndnote/>
          <w:docGrid w:linePitch="272"/>
        </w:sectPr>
      </w:pPr>
    </w:p>
    <w:p w:rsidR="002272AE" w:rsidRPr="001969C1" w:rsidRDefault="002272AE" w:rsidP="002272AE">
      <w:pPr>
        <w:spacing w:before="0" w:after="120"/>
        <w:jc w:val="both"/>
        <w:rPr>
          <w:rFonts w:ascii="Arial" w:hAnsi="Arial" w:cs="Arial"/>
          <w:b/>
          <w:sz w:val="18"/>
          <w:szCs w:val="22"/>
        </w:rPr>
      </w:pPr>
    </w:p>
    <w:p w:rsidR="00F36E1D" w:rsidRPr="00C8504B" w:rsidRDefault="00F36E1D" w:rsidP="00F36E1D">
      <w:pPr>
        <w:spacing w:before="0" w:after="120"/>
        <w:jc w:val="both"/>
        <w:rPr>
          <w:rFonts w:ascii="Arial" w:hAnsi="Arial" w:cs="Arial"/>
          <w:b/>
          <w:sz w:val="22"/>
          <w:szCs w:val="22"/>
        </w:rPr>
      </w:pPr>
      <w:r w:rsidRPr="00C8504B">
        <w:rPr>
          <w:rFonts w:ascii="Arial" w:hAnsi="Arial" w:cs="Arial"/>
          <w:b/>
          <w:sz w:val="22"/>
          <w:szCs w:val="22"/>
        </w:rPr>
        <w:t>Introduzione e quadro normativo</w:t>
      </w:r>
    </w:p>
    <w:p w:rsidR="00F36E1D" w:rsidRDefault="00F36E1D" w:rsidP="00F36E1D">
      <w:pPr>
        <w:tabs>
          <w:tab w:val="left" w:pos="1843"/>
        </w:tabs>
        <w:spacing w:before="0" w:after="120"/>
        <w:jc w:val="both"/>
        <w:rPr>
          <w:rFonts w:ascii="Arial" w:hAnsi="Arial" w:cs="Arial"/>
          <w:szCs w:val="21"/>
        </w:rPr>
      </w:pPr>
      <w:r>
        <w:rPr>
          <w:rFonts w:ascii="Arial" w:hAnsi="Arial" w:cs="Arial"/>
          <w:szCs w:val="21"/>
        </w:rPr>
        <w:t>Gli indici</w:t>
      </w:r>
      <w:r w:rsidRPr="00784845">
        <w:rPr>
          <w:rFonts w:ascii="Arial" w:hAnsi="Arial" w:cs="Arial"/>
          <w:szCs w:val="21"/>
        </w:rPr>
        <w:t xml:space="preserve"> dei prezzi al consumo misura</w:t>
      </w:r>
      <w:r>
        <w:rPr>
          <w:rFonts w:ascii="Arial" w:hAnsi="Arial" w:cs="Arial"/>
          <w:szCs w:val="21"/>
        </w:rPr>
        <w:t>no</w:t>
      </w:r>
      <w:r w:rsidRPr="00784845">
        <w:rPr>
          <w:rFonts w:ascii="Arial" w:hAnsi="Arial" w:cs="Arial"/>
          <w:szCs w:val="21"/>
        </w:rPr>
        <w:t xml:space="preserve"> le variazioni nel tempo dei prezzi di un insieme di prodotti (paniere) rappresentativo di tutti i beni e servizi destinati al consumo finale delle famiglie, acquistabili sul mercato attraverso transazioni monetarie (sono escluse </w:t>
      </w:r>
      <w:r>
        <w:rPr>
          <w:rFonts w:ascii="Arial" w:hAnsi="Arial" w:cs="Arial"/>
          <w:szCs w:val="21"/>
        </w:rPr>
        <w:t xml:space="preserve">le </w:t>
      </w:r>
      <w:r w:rsidRPr="00784845">
        <w:rPr>
          <w:rFonts w:ascii="Arial" w:hAnsi="Arial" w:cs="Arial"/>
          <w:szCs w:val="21"/>
        </w:rPr>
        <w:t xml:space="preserve">transazioni a titolo gratuito, </w:t>
      </w:r>
      <w:r>
        <w:rPr>
          <w:rFonts w:ascii="Arial" w:hAnsi="Arial" w:cs="Arial"/>
          <w:szCs w:val="21"/>
        </w:rPr>
        <w:t xml:space="preserve">gli </w:t>
      </w:r>
      <w:r w:rsidRPr="00784845">
        <w:rPr>
          <w:rFonts w:ascii="Arial" w:hAnsi="Arial" w:cs="Arial"/>
          <w:szCs w:val="21"/>
        </w:rPr>
        <w:t xml:space="preserve">autoconsumi, </w:t>
      </w:r>
      <w:r>
        <w:rPr>
          <w:rFonts w:ascii="Arial" w:hAnsi="Arial" w:cs="Arial"/>
          <w:szCs w:val="21"/>
        </w:rPr>
        <w:t xml:space="preserve">i </w:t>
      </w:r>
      <w:r w:rsidRPr="00784845">
        <w:rPr>
          <w:rFonts w:ascii="Arial" w:hAnsi="Arial" w:cs="Arial"/>
          <w:szCs w:val="21"/>
        </w:rPr>
        <w:t>fitti figurativi, ecc</w:t>
      </w:r>
      <w:r>
        <w:rPr>
          <w:rFonts w:ascii="Arial" w:hAnsi="Arial" w:cs="Arial"/>
          <w:szCs w:val="21"/>
        </w:rPr>
        <w:t>.).</w:t>
      </w:r>
      <w:r w:rsidRPr="00784845">
        <w:rPr>
          <w:rFonts w:ascii="Arial" w:hAnsi="Arial" w:cs="Arial"/>
          <w:szCs w:val="21"/>
        </w:rPr>
        <w:t xml:space="preserve"> </w:t>
      </w:r>
    </w:p>
    <w:p w:rsidR="00F36E1D" w:rsidRDefault="00F36E1D" w:rsidP="00F36E1D">
      <w:pPr>
        <w:tabs>
          <w:tab w:val="left" w:pos="1843"/>
        </w:tabs>
        <w:spacing w:before="0" w:after="120"/>
        <w:jc w:val="both"/>
        <w:rPr>
          <w:rFonts w:ascii="Arial" w:hAnsi="Arial" w:cs="Arial"/>
          <w:szCs w:val="21"/>
        </w:rPr>
      </w:pPr>
      <w:r>
        <w:rPr>
          <w:rFonts w:ascii="Arial" w:hAnsi="Arial" w:cs="Arial"/>
          <w:szCs w:val="21"/>
        </w:rPr>
        <w:t xml:space="preserve">Il sistema degli indici dei prezzi al consumo è articolato in tre diversi indicatori: </w:t>
      </w:r>
    </w:p>
    <w:p w:rsidR="00F36E1D" w:rsidRDefault="00F36E1D" w:rsidP="00F36E1D">
      <w:pPr>
        <w:numPr>
          <w:ilvl w:val="0"/>
          <w:numId w:val="11"/>
        </w:numPr>
        <w:tabs>
          <w:tab w:val="left" w:pos="284"/>
          <w:tab w:val="left" w:pos="851"/>
          <w:tab w:val="left" w:pos="1843"/>
          <w:tab w:val="left" w:pos="2127"/>
          <w:tab w:val="left" w:pos="2410"/>
        </w:tabs>
        <w:spacing w:before="0" w:after="120"/>
        <w:ind w:left="0" w:firstLine="0"/>
        <w:jc w:val="both"/>
        <w:rPr>
          <w:rFonts w:ascii="Arial" w:hAnsi="Arial" w:cs="Arial"/>
          <w:szCs w:val="21"/>
        </w:rPr>
      </w:pPr>
      <w:r w:rsidRPr="00AC2EF0">
        <w:rPr>
          <w:rFonts w:ascii="Arial" w:hAnsi="Arial" w:cs="Arial"/>
          <w:b/>
          <w:bCs/>
          <w:szCs w:val="21"/>
        </w:rPr>
        <w:t xml:space="preserve">l’indice nazionale dei prezzi al consumo per l’intera collettività (NIC) </w:t>
      </w:r>
      <w:r w:rsidRPr="00AC2EF0">
        <w:rPr>
          <w:rFonts w:ascii="Arial" w:hAnsi="Arial" w:cs="Arial"/>
          <w:szCs w:val="21"/>
        </w:rPr>
        <w:t xml:space="preserve">è utilizzato come misura dell’inflazione per l’intero sistema economico; </w:t>
      </w:r>
    </w:p>
    <w:p w:rsidR="00F36E1D" w:rsidRPr="00AC2EF0" w:rsidRDefault="00F36E1D" w:rsidP="00F36E1D">
      <w:pPr>
        <w:numPr>
          <w:ilvl w:val="0"/>
          <w:numId w:val="11"/>
        </w:numPr>
        <w:tabs>
          <w:tab w:val="left" w:pos="284"/>
          <w:tab w:val="left" w:pos="851"/>
          <w:tab w:val="left" w:pos="1843"/>
          <w:tab w:val="left" w:pos="2127"/>
          <w:tab w:val="left" w:pos="2410"/>
        </w:tabs>
        <w:spacing w:before="0" w:after="120"/>
        <w:ind w:left="0" w:firstLine="0"/>
        <w:jc w:val="both"/>
        <w:rPr>
          <w:rFonts w:ascii="Arial" w:hAnsi="Arial" w:cs="Arial"/>
          <w:szCs w:val="21"/>
        </w:rPr>
      </w:pPr>
      <w:r w:rsidRPr="00AC2EF0">
        <w:rPr>
          <w:rFonts w:ascii="Arial" w:hAnsi="Arial" w:cs="Arial"/>
          <w:b/>
          <w:bCs/>
          <w:szCs w:val="21"/>
        </w:rPr>
        <w:t xml:space="preserve">l’indice dei prezzi al consumo per le famiglie di operai e impiegati (FOI) </w:t>
      </w:r>
      <w:r w:rsidRPr="00AC2EF0">
        <w:rPr>
          <w:rFonts w:ascii="Arial" w:hAnsi="Arial" w:cs="Arial"/>
          <w:szCs w:val="21"/>
        </w:rPr>
        <w:t xml:space="preserve">si riferisce ai consumi dell’insieme delle famiglie che fanno capo ad un lavoratore dipendente; </w:t>
      </w:r>
    </w:p>
    <w:p w:rsidR="00F36E1D" w:rsidRDefault="00F36E1D" w:rsidP="00F36E1D">
      <w:pPr>
        <w:numPr>
          <w:ilvl w:val="0"/>
          <w:numId w:val="12"/>
        </w:numPr>
        <w:tabs>
          <w:tab w:val="left" w:pos="284"/>
          <w:tab w:val="left" w:pos="1843"/>
          <w:tab w:val="left" w:pos="2127"/>
          <w:tab w:val="left" w:pos="2410"/>
        </w:tabs>
        <w:spacing w:before="0" w:after="120"/>
        <w:ind w:left="0" w:firstLine="0"/>
        <w:jc w:val="both"/>
        <w:rPr>
          <w:rFonts w:ascii="Arial" w:hAnsi="Arial" w:cs="Arial"/>
          <w:i/>
          <w:iCs/>
          <w:szCs w:val="21"/>
        </w:rPr>
      </w:pPr>
      <w:r>
        <w:rPr>
          <w:rFonts w:ascii="Arial" w:hAnsi="Arial" w:cs="Arial"/>
          <w:b/>
          <w:bCs/>
          <w:szCs w:val="21"/>
        </w:rPr>
        <w:t xml:space="preserve">l’indice dei prezzi al consumo armonizzato per i paesi dell’Unione europea (IPCA) </w:t>
      </w:r>
      <w:r>
        <w:rPr>
          <w:rFonts w:ascii="Arial" w:hAnsi="Arial" w:cs="Arial"/>
          <w:szCs w:val="21"/>
        </w:rPr>
        <w:t xml:space="preserve">assicura una misura dell’inflazione comparabile tra i diversi paesi europei, attraverso l’adozione di un impianto concettuale, metodologico e tecnico condiviso. </w:t>
      </w:r>
      <w:r w:rsidRPr="00E250D1">
        <w:rPr>
          <w:rFonts w:ascii="Arial" w:hAnsi="Arial" w:cs="Arial"/>
          <w:szCs w:val="21"/>
        </w:rPr>
        <w:t>In</w:t>
      </w:r>
      <w:r>
        <w:rPr>
          <w:rFonts w:ascii="Arial" w:hAnsi="Arial" w:cs="Arial"/>
          <w:szCs w:val="21"/>
        </w:rPr>
        <w:t xml:space="preserve"> ottemperanza alla normativa europea, e coerentemente agli standard previsti dai regolamenti, l’indice IPCA è elaborato anche nella versione “a tassazione costante (IPCA-TC)”.</w:t>
      </w:r>
    </w:p>
    <w:p w:rsidR="00F36E1D" w:rsidRDefault="00F36E1D" w:rsidP="00F36E1D">
      <w:pPr>
        <w:spacing w:before="0" w:after="120"/>
        <w:jc w:val="both"/>
        <w:rPr>
          <w:rFonts w:ascii="Arial" w:hAnsi="Arial" w:cs="Arial"/>
          <w:szCs w:val="21"/>
        </w:rPr>
      </w:pPr>
      <w:r w:rsidRPr="009D6334">
        <w:rPr>
          <w:rFonts w:ascii="Arial" w:hAnsi="Arial" w:cs="Arial"/>
          <w:szCs w:val="21"/>
        </w:rPr>
        <w:t>Le serie degli indici nazionali NIC e FOI hanno base di riferimento 2015=100.</w:t>
      </w:r>
      <w:r>
        <w:rPr>
          <w:rFonts w:ascii="Arial" w:hAnsi="Arial" w:cs="Arial"/>
          <w:szCs w:val="21"/>
        </w:rPr>
        <w:t xml:space="preserve"> </w:t>
      </w:r>
      <w:r w:rsidRPr="009D6334">
        <w:rPr>
          <w:rFonts w:ascii="Arial" w:hAnsi="Arial" w:cs="Arial"/>
          <w:szCs w:val="21"/>
        </w:rPr>
        <w:t xml:space="preserve">Anche l’indice IPCA è calcolato e diffuso con base di riferimento 2015=100, in linea con gli altri Paesi dell’Unione europea e in conformità al </w:t>
      </w:r>
      <w:hyperlink r:id="rId38" w:history="1">
        <w:r w:rsidRPr="00126020">
          <w:rPr>
            <w:rStyle w:val="Collegamentoipertestuale"/>
            <w:rFonts w:ascii="Arial" w:hAnsi="Arial" w:cs="Arial"/>
            <w:b/>
            <w:szCs w:val="21"/>
          </w:rPr>
          <w:t>Regolamento (UE) n. 2016/792</w:t>
        </w:r>
      </w:hyperlink>
      <w:r w:rsidRPr="009D6334">
        <w:rPr>
          <w:rFonts w:ascii="Arial" w:hAnsi="Arial" w:cs="Arial"/>
          <w:szCs w:val="21"/>
        </w:rPr>
        <w:t xml:space="preserve"> </w:t>
      </w:r>
      <w:r w:rsidRPr="00E250D1">
        <w:rPr>
          <w:rFonts w:ascii="Arial" w:hAnsi="Arial" w:cs="Arial"/>
          <w:szCs w:val="21"/>
        </w:rPr>
        <w:t>del Parlamento e del Consiglio</w:t>
      </w:r>
      <w:r w:rsidRPr="00651A91">
        <w:t xml:space="preserve"> </w:t>
      </w:r>
      <w:r w:rsidRPr="00651A91">
        <w:rPr>
          <w:rFonts w:ascii="Arial" w:hAnsi="Arial" w:cs="Arial"/>
          <w:szCs w:val="21"/>
        </w:rPr>
        <w:t xml:space="preserve">e con il </w:t>
      </w:r>
      <w:hyperlink r:id="rId39" w:history="1">
        <w:r w:rsidRPr="00651A91">
          <w:rPr>
            <w:rStyle w:val="Collegamentoipertestuale"/>
            <w:rFonts w:ascii="Arial" w:hAnsi="Arial" w:cs="Arial"/>
            <w:b/>
            <w:szCs w:val="21"/>
          </w:rPr>
          <w:t>Regolamento di Esecuzione (UE) n. 2020/1148</w:t>
        </w:r>
      </w:hyperlink>
      <w:r w:rsidRPr="00651A91">
        <w:rPr>
          <w:rFonts w:ascii="Arial" w:hAnsi="Arial" w:cs="Arial"/>
          <w:szCs w:val="21"/>
        </w:rPr>
        <w:t xml:space="preserve"> della </w:t>
      </w:r>
      <w:r>
        <w:rPr>
          <w:rFonts w:ascii="Arial" w:hAnsi="Arial" w:cs="Arial"/>
          <w:szCs w:val="21"/>
        </w:rPr>
        <w:t>Commissione del 31 luglio 2020.</w:t>
      </w:r>
    </w:p>
    <w:p w:rsidR="00F36E1D" w:rsidRDefault="00F36E1D" w:rsidP="00F36E1D">
      <w:pPr>
        <w:spacing w:before="0" w:after="120"/>
        <w:jc w:val="both"/>
        <w:rPr>
          <w:rFonts w:ascii="Arial" w:hAnsi="Arial" w:cs="Arial"/>
          <w:szCs w:val="21"/>
        </w:rPr>
      </w:pPr>
      <w:r w:rsidRPr="00A32505">
        <w:rPr>
          <w:rFonts w:ascii="Arial" w:hAnsi="Arial" w:cs="Arial"/>
          <w:szCs w:val="21"/>
        </w:rPr>
        <w:t xml:space="preserve">La rilevazione dei prezzi al consumo è </w:t>
      </w:r>
      <w:r>
        <w:rPr>
          <w:rFonts w:ascii="Arial" w:hAnsi="Arial" w:cs="Arial"/>
          <w:szCs w:val="21"/>
        </w:rPr>
        <w:t>disciplinata anche da diverse</w:t>
      </w:r>
      <w:r w:rsidRPr="00A32505">
        <w:rPr>
          <w:rFonts w:ascii="Arial" w:hAnsi="Arial" w:cs="Arial"/>
          <w:szCs w:val="21"/>
        </w:rPr>
        <w:t xml:space="preserve"> leggi e regolamenti</w:t>
      </w:r>
      <w:r>
        <w:rPr>
          <w:rFonts w:ascii="Arial" w:hAnsi="Arial" w:cs="Arial"/>
          <w:szCs w:val="21"/>
        </w:rPr>
        <w:t xml:space="preserve"> che </w:t>
      </w:r>
      <w:r w:rsidRPr="00A32505">
        <w:rPr>
          <w:rFonts w:ascii="Arial" w:hAnsi="Arial" w:cs="Arial"/>
          <w:szCs w:val="21"/>
        </w:rPr>
        <w:t xml:space="preserve">definiscono </w:t>
      </w:r>
      <w:r>
        <w:rPr>
          <w:rFonts w:ascii="Arial" w:hAnsi="Arial" w:cs="Arial"/>
          <w:szCs w:val="21"/>
        </w:rPr>
        <w:t xml:space="preserve">i </w:t>
      </w:r>
      <w:r w:rsidRPr="00A32505">
        <w:rPr>
          <w:rFonts w:ascii="Arial" w:hAnsi="Arial" w:cs="Arial"/>
          <w:szCs w:val="21"/>
        </w:rPr>
        <w:t xml:space="preserve">soggetti </w:t>
      </w:r>
      <w:r>
        <w:rPr>
          <w:rFonts w:ascii="Arial" w:hAnsi="Arial" w:cs="Arial"/>
          <w:szCs w:val="21"/>
        </w:rPr>
        <w:t>coinvolti (l’</w:t>
      </w:r>
      <w:r w:rsidRPr="00A32505">
        <w:rPr>
          <w:rFonts w:ascii="Arial" w:hAnsi="Arial" w:cs="Arial"/>
          <w:szCs w:val="21"/>
        </w:rPr>
        <w:t>Istituto nazionale di statistica e i Comuni</w:t>
      </w:r>
      <w:r>
        <w:rPr>
          <w:rFonts w:ascii="Arial" w:hAnsi="Arial" w:cs="Arial"/>
          <w:szCs w:val="21"/>
        </w:rPr>
        <w:t>)</w:t>
      </w:r>
      <w:r w:rsidRPr="00A32505">
        <w:rPr>
          <w:rFonts w:ascii="Arial" w:hAnsi="Arial" w:cs="Arial"/>
          <w:szCs w:val="21"/>
        </w:rPr>
        <w:t xml:space="preserve"> e </w:t>
      </w:r>
      <w:r>
        <w:rPr>
          <w:rFonts w:ascii="Arial" w:hAnsi="Arial" w:cs="Arial"/>
          <w:szCs w:val="21"/>
        </w:rPr>
        <w:t xml:space="preserve">le relative </w:t>
      </w:r>
      <w:r w:rsidRPr="00E250D1">
        <w:rPr>
          <w:rFonts w:ascii="Arial" w:hAnsi="Arial" w:cs="Arial"/>
          <w:szCs w:val="21"/>
        </w:rPr>
        <w:t>funzioni:</w:t>
      </w:r>
    </w:p>
    <w:p w:rsidR="00F36E1D" w:rsidRPr="00936CFD" w:rsidRDefault="00F36E1D" w:rsidP="00F36E1D">
      <w:pPr>
        <w:numPr>
          <w:ilvl w:val="0"/>
          <w:numId w:val="28"/>
        </w:numPr>
        <w:spacing w:before="0" w:after="0"/>
        <w:ind w:left="426" w:hanging="284"/>
        <w:jc w:val="both"/>
        <w:rPr>
          <w:rFonts w:ascii="Arial" w:hAnsi="Arial" w:cs="Arial"/>
          <w:spacing w:val="-4"/>
          <w:szCs w:val="21"/>
        </w:rPr>
      </w:pPr>
      <w:r w:rsidRPr="00E250D1">
        <w:rPr>
          <w:rFonts w:ascii="Arial" w:hAnsi="Arial" w:cs="Arial"/>
          <w:szCs w:val="21"/>
        </w:rPr>
        <w:t xml:space="preserve">il </w:t>
      </w:r>
      <w:r w:rsidRPr="00E250D1">
        <w:rPr>
          <w:rFonts w:ascii="Arial" w:hAnsi="Arial" w:cs="Arial"/>
          <w:b/>
          <w:szCs w:val="21"/>
        </w:rPr>
        <w:t xml:space="preserve">Regio Decreto Legge </w:t>
      </w:r>
      <w:r w:rsidRPr="00E250D1">
        <w:rPr>
          <w:rFonts w:ascii="Arial" w:hAnsi="Arial" w:cs="Arial"/>
          <w:b/>
          <w:iCs/>
          <w:szCs w:val="21"/>
        </w:rPr>
        <w:t>n. 222/1927</w:t>
      </w:r>
      <w:r w:rsidRPr="00E250D1">
        <w:rPr>
          <w:rFonts w:ascii="Arial" w:hAnsi="Arial" w:cs="Arial"/>
          <w:szCs w:val="21"/>
        </w:rPr>
        <w:t>, che</w:t>
      </w:r>
      <w:r>
        <w:rPr>
          <w:rFonts w:ascii="Arial" w:hAnsi="Arial" w:cs="Arial"/>
          <w:i/>
          <w:iCs/>
          <w:szCs w:val="21"/>
        </w:rPr>
        <w:t xml:space="preserve"> </w:t>
      </w:r>
      <w:r>
        <w:rPr>
          <w:rFonts w:ascii="Arial" w:hAnsi="Arial" w:cs="Arial"/>
          <w:szCs w:val="21"/>
        </w:rPr>
        <w:t>conferisce l’incarico all’Istituto centrale di statistica di promuovere la formazione di indici del costo della vita in tutti i comuni con più di 100.000 abitanti e in altri, preferibilmente scelti tra i capoluoghi di provincia o tra quelli con più di 50.000 abitanti che abbiano uffici di statistica idonei;</w:t>
      </w:r>
    </w:p>
    <w:p w:rsidR="00F36E1D" w:rsidRPr="00BE18E0" w:rsidRDefault="00F36E1D" w:rsidP="00F36E1D">
      <w:pPr>
        <w:numPr>
          <w:ilvl w:val="0"/>
          <w:numId w:val="28"/>
        </w:numPr>
        <w:spacing w:before="0" w:after="0"/>
        <w:ind w:left="426" w:hanging="284"/>
        <w:jc w:val="both"/>
        <w:rPr>
          <w:rFonts w:ascii="Arial" w:hAnsi="Arial" w:cs="Arial"/>
          <w:spacing w:val="-4"/>
          <w:szCs w:val="21"/>
        </w:rPr>
      </w:pPr>
      <w:r w:rsidRPr="00BE18E0">
        <w:rPr>
          <w:rFonts w:ascii="Arial" w:hAnsi="Arial" w:cs="Arial"/>
          <w:color w:val="000000"/>
          <w:szCs w:val="21"/>
        </w:rPr>
        <w:t xml:space="preserve">la </w:t>
      </w:r>
      <w:r w:rsidRPr="00BE18E0">
        <w:rPr>
          <w:rFonts w:ascii="Arial" w:hAnsi="Arial" w:cs="Arial"/>
          <w:b/>
          <w:iCs/>
          <w:szCs w:val="21"/>
        </w:rPr>
        <w:t>Legge n. 621/1975</w:t>
      </w:r>
      <w:r w:rsidRPr="00BE18E0">
        <w:rPr>
          <w:rFonts w:ascii="Arial" w:hAnsi="Arial" w:cs="Arial"/>
          <w:i/>
          <w:iCs/>
          <w:szCs w:val="21"/>
        </w:rPr>
        <w:t xml:space="preserve"> </w:t>
      </w:r>
      <w:r w:rsidRPr="00BE18E0">
        <w:rPr>
          <w:rFonts w:ascii="Arial" w:hAnsi="Arial" w:cs="Arial"/>
          <w:color w:val="000000"/>
          <w:szCs w:val="21"/>
        </w:rPr>
        <w:t>modifica come di seguito il regio decreto relativamente ai comuni cui spetta l’obbligo di condurre l’indagine sui prezzi al consumo: “tra i comuni di cui all’art. 1 … devono intendersi compresi tutti i comuni capoluogo di provincia e quelli con oltre 30.000 abitanti che abbiano un ufficio di statistica idoneo”</w:t>
      </w:r>
      <w:r>
        <w:rPr>
          <w:rFonts w:ascii="Arial" w:hAnsi="Arial" w:cs="Arial"/>
          <w:color w:val="000000"/>
          <w:szCs w:val="21"/>
        </w:rPr>
        <w:t>;</w:t>
      </w:r>
    </w:p>
    <w:p w:rsidR="00F36E1D" w:rsidRPr="0022162A" w:rsidRDefault="00F36E1D" w:rsidP="00F36E1D">
      <w:pPr>
        <w:numPr>
          <w:ilvl w:val="0"/>
          <w:numId w:val="28"/>
        </w:numPr>
        <w:spacing w:before="0" w:after="0"/>
        <w:ind w:left="426" w:hanging="284"/>
        <w:jc w:val="both"/>
        <w:rPr>
          <w:rFonts w:ascii="Arial" w:hAnsi="Arial" w:cs="Arial"/>
          <w:spacing w:val="-4"/>
          <w:szCs w:val="21"/>
        </w:rPr>
      </w:pPr>
      <w:r>
        <w:rPr>
          <w:rFonts w:ascii="Arial" w:hAnsi="Arial" w:cs="Arial"/>
          <w:szCs w:val="21"/>
        </w:rPr>
        <w:t xml:space="preserve">il </w:t>
      </w:r>
      <w:hyperlink r:id="rId40" w:history="1">
        <w:r w:rsidRPr="00126020">
          <w:rPr>
            <w:rStyle w:val="Collegamentoipertestuale"/>
            <w:rFonts w:ascii="Arial" w:hAnsi="Arial" w:cs="Arial"/>
            <w:b/>
            <w:szCs w:val="21"/>
          </w:rPr>
          <w:t>D.lgs n. 322/1989</w:t>
        </w:r>
      </w:hyperlink>
      <w:r w:rsidRPr="00881841">
        <w:rPr>
          <w:rFonts w:ascii="Arial" w:hAnsi="Arial" w:cs="Arial"/>
          <w:color w:val="000000"/>
          <w:szCs w:val="21"/>
        </w:rPr>
        <w:t>,</w:t>
      </w:r>
      <w:r>
        <w:rPr>
          <w:rFonts w:ascii="Arial" w:hAnsi="Arial" w:cs="Arial"/>
          <w:i/>
          <w:iCs/>
          <w:szCs w:val="21"/>
        </w:rPr>
        <w:t xml:space="preserve"> </w:t>
      </w:r>
      <w:r w:rsidRPr="00881841">
        <w:rPr>
          <w:rFonts w:ascii="Arial" w:hAnsi="Arial" w:cs="Arial"/>
          <w:color w:val="000000"/>
          <w:szCs w:val="21"/>
        </w:rPr>
        <w:t xml:space="preserve">che </w:t>
      </w:r>
      <w:r>
        <w:rPr>
          <w:rFonts w:ascii="Arial" w:hAnsi="Arial" w:cs="Arial"/>
          <w:color w:val="000000"/>
          <w:szCs w:val="21"/>
        </w:rPr>
        <w:t>disciplina le attività di rilevazione, elaborazione, analisi e diffusione e archiviazione dei dati statistici svolte dagli enti e organismi pubblici di informazione statistica, al fine di realizzare l’unità di indirizzo, l’omogeneità organizzativa e la razionalizzazione dei flussi a livello centrale e locale.</w:t>
      </w:r>
    </w:p>
    <w:p w:rsidR="00F36E1D" w:rsidRPr="005F5A44" w:rsidRDefault="00F36E1D" w:rsidP="00F36E1D">
      <w:pPr>
        <w:spacing w:before="0" w:after="120"/>
        <w:jc w:val="both"/>
        <w:rPr>
          <w:rFonts w:ascii="Arial" w:hAnsi="Arial" w:cs="Arial"/>
          <w:sz w:val="16"/>
        </w:rPr>
      </w:pPr>
    </w:p>
    <w:p w:rsidR="00F36E1D" w:rsidRPr="00C8504B" w:rsidRDefault="00F36E1D" w:rsidP="00F36E1D">
      <w:pPr>
        <w:spacing w:before="0" w:after="120"/>
        <w:jc w:val="both"/>
        <w:rPr>
          <w:rFonts w:ascii="Arial" w:hAnsi="Arial" w:cs="Arial"/>
          <w:b/>
          <w:sz w:val="22"/>
          <w:szCs w:val="22"/>
        </w:rPr>
      </w:pPr>
      <w:r w:rsidRPr="00C8504B">
        <w:rPr>
          <w:rFonts w:ascii="Arial" w:hAnsi="Arial" w:cs="Arial"/>
          <w:b/>
          <w:sz w:val="22"/>
          <w:szCs w:val="22"/>
        </w:rPr>
        <w:t xml:space="preserve">Copertura dell’indagine e organizzazione della rilevazione </w:t>
      </w:r>
    </w:p>
    <w:p w:rsidR="00F36E1D" w:rsidRDefault="00F36E1D" w:rsidP="00F36E1D">
      <w:pPr>
        <w:spacing w:before="0" w:after="80"/>
        <w:jc w:val="both"/>
        <w:rPr>
          <w:rFonts w:ascii="Arial" w:hAnsi="Arial" w:cs="Arial"/>
          <w:szCs w:val="21"/>
        </w:rPr>
      </w:pPr>
      <w:r>
        <w:rPr>
          <w:rFonts w:ascii="Arial" w:hAnsi="Arial" w:cs="Arial"/>
          <w:szCs w:val="21"/>
        </w:rPr>
        <w:t xml:space="preserve">I dati che concorrono alla costruzione degli indici mensili dei prezzi al consumo sono raccolti attraverso l’utilizzo di una pluralità di fonti: la </w:t>
      </w:r>
      <w:r w:rsidRPr="00161B2D">
        <w:rPr>
          <w:rFonts w:ascii="Arial" w:hAnsi="Arial" w:cs="Arial"/>
          <w:i/>
          <w:szCs w:val="21"/>
        </w:rPr>
        <w:t>rilevazione territoriale</w:t>
      </w:r>
      <w:r>
        <w:rPr>
          <w:rFonts w:ascii="Arial" w:hAnsi="Arial" w:cs="Arial"/>
          <w:szCs w:val="21"/>
        </w:rPr>
        <w:t>, condotta dagli Uffici comunali di statistica (UCS);</w:t>
      </w:r>
      <w:r w:rsidRPr="005B714C">
        <w:rPr>
          <w:rFonts w:ascii="Arial" w:hAnsi="Arial" w:cs="Arial"/>
          <w:szCs w:val="21"/>
        </w:rPr>
        <w:t xml:space="preserve"> </w:t>
      </w:r>
      <w:r w:rsidRPr="00161B2D">
        <w:rPr>
          <w:rFonts w:ascii="Arial" w:hAnsi="Arial" w:cs="Arial"/>
          <w:szCs w:val="21"/>
        </w:rPr>
        <w:t xml:space="preserve">la </w:t>
      </w:r>
      <w:r w:rsidRPr="00161B2D">
        <w:rPr>
          <w:rFonts w:ascii="Arial" w:hAnsi="Arial" w:cs="Arial"/>
          <w:i/>
          <w:szCs w:val="21"/>
        </w:rPr>
        <w:t>rilevazione centralizzata</w:t>
      </w:r>
      <w:r w:rsidRPr="00161B2D">
        <w:rPr>
          <w:rFonts w:ascii="Arial" w:hAnsi="Arial" w:cs="Arial"/>
          <w:szCs w:val="21"/>
        </w:rPr>
        <w:t xml:space="preserve">, </w:t>
      </w:r>
      <w:r>
        <w:rPr>
          <w:rFonts w:ascii="Arial" w:hAnsi="Arial" w:cs="Arial"/>
          <w:szCs w:val="21"/>
        </w:rPr>
        <w:t xml:space="preserve">condotta dall’Istat </w:t>
      </w:r>
      <w:r w:rsidRPr="00161B2D">
        <w:rPr>
          <w:rFonts w:ascii="Arial" w:hAnsi="Arial" w:cs="Arial"/>
          <w:szCs w:val="21"/>
        </w:rPr>
        <w:t xml:space="preserve">direttamente </w:t>
      </w:r>
      <w:r>
        <w:rPr>
          <w:rFonts w:ascii="Arial" w:hAnsi="Arial" w:cs="Arial"/>
          <w:szCs w:val="21"/>
        </w:rPr>
        <w:t xml:space="preserve">o attraverso la collaborazione con grandi fornitori di dati; gli </w:t>
      </w:r>
      <w:r w:rsidRPr="00FA5D30">
        <w:rPr>
          <w:rFonts w:ascii="Arial" w:hAnsi="Arial" w:cs="Arial"/>
          <w:szCs w:val="21"/>
        </w:rPr>
        <w:t>scanner data</w:t>
      </w:r>
      <w:r>
        <w:rPr>
          <w:rFonts w:ascii="Arial" w:hAnsi="Arial" w:cs="Arial"/>
          <w:szCs w:val="21"/>
        </w:rPr>
        <w:t xml:space="preserve"> provenienti dalla Grande Distribuzione Organizzata (GDO); la </w:t>
      </w:r>
      <w:r w:rsidRPr="001F3EF6">
        <w:rPr>
          <w:rFonts w:ascii="Arial" w:hAnsi="Arial" w:cs="Arial"/>
          <w:i/>
          <w:szCs w:val="21"/>
        </w:rPr>
        <w:t>fonte amministrativa</w:t>
      </w:r>
      <w:r>
        <w:rPr>
          <w:rFonts w:ascii="Arial" w:hAnsi="Arial" w:cs="Arial"/>
          <w:szCs w:val="21"/>
        </w:rPr>
        <w:t>.</w:t>
      </w:r>
      <w:r w:rsidRPr="00161B2D">
        <w:rPr>
          <w:rFonts w:ascii="Arial" w:hAnsi="Arial" w:cs="Arial"/>
          <w:szCs w:val="21"/>
        </w:rPr>
        <w:t xml:space="preserve"> </w:t>
      </w:r>
    </w:p>
    <w:p w:rsidR="00F36E1D" w:rsidRPr="008A6A18" w:rsidRDefault="00F36E1D" w:rsidP="00F36E1D">
      <w:pPr>
        <w:jc w:val="both"/>
        <w:rPr>
          <w:rFonts w:ascii="Arial" w:hAnsi="Arial" w:cs="Arial"/>
          <w:szCs w:val="21"/>
        </w:rPr>
      </w:pPr>
      <w:r w:rsidRPr="001E01EB">
        <w:rPr>
          <w:rFonts w:ascii="Arial" w:hAnsi="Arial" w:cs="Arial"/>
          <w:szCs w:val="21"/>
        </w:rPr>
        <w:t>Nel 2022, i prodotti rilevati in modo esclusivo mediante la rilevazione territoriale ammontano, in termini di peso, a circa il 51,</w:t>
      </w:r>
      <w:r>
        <w:rPr>
          <w:rFonts w:ascii="Arial" w:hAnsi="Arial" w:cs="Arial"/>
          <w:szCs w:val="21"/>
        </w:rPr>
        <w:t>7</w:t>
      </w:r>
      <w:r w:rsidRPr="001E01EB">
        <w:rPr>
          <w:rFonts w:ascii="Arial" w:hAnsi="Arial" w:cs="Arial"/>
          <w:szCs w:val="21"/>
        </w:rPr>
        <w:t>% del paniere (dal 56,2% nel 2021), contro il 22,</w:t>
      </w:r>
      <w:r>
        <w:rPr>
          <w:rFonts w:ascii="Arial" w:hAnsi="Arial" w:cs="Arial"/>
          <w:szCs w:val="21"/>
        </w:rPr>
        <w:t>3</w:t>
      </w:r>
      <w:r w:rsidRPr="001E01EB">
        <w:rPr>
          <w:rFonts w:ascii="Arial" w:hAnsi="Arial" w:cs="Arial"/>
          <w:szCs w:val="21"/>
        </w:rPr>
        <w:t xml:space="preserve">% dei beni e servizi a rilevazione esclusivamente centralizzata (dal 22,8% nel 2021). Tramite l’acquisizione dei dati scanner dalla GDO vengono rilevati tutti i prodotti cosiddetti </w:t>
      </w:r>
      <w:r w:rsidRPr="00AD74D1">
        <w:rPr>
          <w:rFonts w:ascii="Arial" w:hAnsi="Arial" w:cs="Arial"/>
          <w:i/>
          <w:szCs w:val="21"/>
        </w:rPr>
        <w:t xml:space="preserve">grocery </w:t>
      </w:r>
      <w:r w:rsidRPr="00AD74D1">
        <w:rPr>
          <w:rFonts w:ascii="Arial" w:hAnsi="Arial" w:cs="Arial"/>
          <w:szCs w:val="21"/>
        </w:rPr>
        <w:t>(</w:t>
      </w:r>
      <w:r>
        <w:rPr>
          <w:rFonts w:ascii="Arial" w:hAnsi="Arial" w:cs="Arial"/>
          <w:szCs w:val="21"/>
        </w:rPr>
        <w:t>beni alimentari confezionati e beni per la cura della casa e della persona)</w:t>
      </w:r>
      <w:r w:rsidRPr="006D152C">
        <w:rPr>
          <w:rFonts w:ascii="Arial" w:hAnsi="Arial" w:cs="Arial"/>
          <w:szCs w:val="21"/>
        </w:rPr>
        <w:t>,</w:t>
      </w:r>
      <w:r w:rsidRPr="001E01EB">
        <w:rPr>
          <w:rFonts w:ascii="Arial" w:hAnsi="Arial" w:cs="Arial"/>
          <w:szCs w:val="21"/>
        </w:rPr>
        <w:t xml:space="preserve"> che rappresentano il </w:t>
      </w:r>
      <w:r>
        <w:rPr>
          <w:rFonts w:ascii="Arial" w:hAnsi="Arial" w:cs="Arial"/>
          <w:szCs w:val="21"/>
        </w:rPr>
        <w:t>12,9</w:t>
      </w:r>
      <w:r w:rsidRPr="001E01EB">
        <w:rPr>
          <w:rFonts w:ascii="Arial" w:hAnsi="Arial" w:cs="Arial"/>
          <w:szCs w:val="21"/>
        </w:rPr>
        <w:t>% in termini di peso. A queste tre modalità si aggiunge l’utilizzo delle fonti amministrative: la base dati</w:t>
      </w:r>
      <w:r>
        <w:rPr>
          <w:rFonts w:ascii="Arial" w:hAnsi="Arial" w:cs="Arial"/>
          <w:szCs w:val="21"/>
        </w:rPr>
        <w:t xml:space="preserve"> MISE dei prezzi dei carburanti,</w:t>
      </w:r>
      <w:r w:rsidRPr="001E01EB">
        <w:rPr>
          <w:rFonts w:ascii="Arial" w:hAnsi="Arial" w:cs="Arial"/>
          <w:szCs w:val="21"/>
        </w:rPr>
        <w:t xml:space="preserve"> che pesa per il 4,5% sul paniere, </w:t>
      </w:r>
      <w:r>
        <w:rPr>
          <w:rFonts w:ascii="Arial" w:hAnsi="Arial" w:cs="Arial"/>
          <w:szCs w:val="21"/>
        </w:rPr>
        <w:t>i dati forniti dall</w:t>
      </w:r>
      <w:r w:rsidRPr="001E01EB">
        <w:rPr>
          <w:rFonts w:ascii="Arial" w:hAnsi="Arial" w:cs="Arial"/>
          <w:szCs w:val="21"/>
        </w:rPr>
        <w:t>’Osservatorio immobiliare dell’Agenzia delle entrate (</w:t>
      </w:r>
      <w:r>
        <w:rPr>
          <w:rFonts w:ascii="Arial" w:hAnsi="Arial" w:cs="Arial"/>
          <w:szCs w:val="21"/>
        </w:rPr>
        <w:t>il cui utilizzo è stato avviato</w:t>
      </w:r>
      <w:r w:rsidRPr="001E01EB">
        <w:rPr>
          <w:rFonts w:ascii="Arial" w:hAnsi="Arial" w:cs="Arial"/>
          <w:szCs w:val="21"/>
        </w:rPr>
        <w:t xml:space="preserve"> quest’anno) per la rilevazione dei prezzi degli Affitti reali per abitazioni di privati che pesa per il 2,7% e l’Agenzia delle dogane e dei monopoli per la rilevazione dei tabacchi che incide sul paniere per il 2,</w:t>
      </w:r>
      <w:r>
        <w:rPr>
          <w:rFonts w:ascii="Arial" w:hAnsi="Arial" w:cs="Arial"/>
          <w:szCs w:val="21"/>
        </w:rPr>
        <w:t>2</w:t>
      </w:r>
      <w:r w:rsidRPr="001E01EB">
        <w:rPr>
          <w:rFonts w:ascii="Arial" w:hAnsi="Arial" w:cs="Arial"/>
          <w:szCs w:val="21"/>
        </w:rPr>
        <w:t>%. Infine per alcuni p</w:t>
      </w:r>
      <w:r>
        <w:rPr>
          <w:rFonts w:ascii="Arial" w:hAnsi="Arial" w:cs="Arial"/>
          <w:szCs w:val="21"/>
        </w:rPr>
        <w:t>rodotti, che incidono per il 3,7</w:t>
      </w:r>
      <w:r w:rsidRPr="001E01EB">
        <w:rPr>
          <w:rFonts w:ascii="Arial" w:hAnsi="Arial" w:cs="Arial"/>
          <w:szCs w:val="21"/>
        </w:rPr>
        <w:t>%, la rilevazione viene effettuata con modalità mista.</w:t>
      </w:r>
    </w:p>
    <w:p w:rsidR="00F36E1D" w:rsidRDefault="00F36E1D" w:rsidP="00F36E1D">
      <w:pPr>
        <w:spacing w:before="0" w:after="120"/>
        <w:jc w:val="both"/>
        <w:rPr>
          <w:rFonts w:ascii="Arial" w:hAnsi="Arial" w:cs="Arial"/>
        </w:rPr>
      </w:pPr>
      <w:r>
        <w:rPr>
          <w:rFonts w:ascii="Arial" w:hAnsi="Arial" w:cs="Arial"/>
          <w:szCs w:val="21"/>
        </w:rPr>
        <w:t>Nel 2022 i comuni che concorrono al calcolo degli indici sono 80 per tutti gli aggregati di prodotto del paniere (di cui 19 capoluoghi di regione, 60 capoluoghi di provincia, 1 comune non capoluogo con più di 30.000 abitanti</w:t>
      </w:r>
      <w:r>
        <w:rPr>
          <w:rStyle w:val="Rimandonotaapidipagina"/>
          <w:rFonts w:ascii="Arial" w:hAnsi="Arial" w:cs="Arial"/>
          <w:szCs w:val="21"/>
        </w:rPr>
        <w:footnoteReference w:id="1"/>
      </w:r>
      <w:r>
        <w:rPr>
          <w:rFonts w:ascii="Arial" w:hAnsi="Arial" w:cs="Arial"/>
          <w:szCs w:val="21"/>
        </w:rPr>
        <w:t>); sono invece 12 i comuni</w:t>
      </w:r>
      <w:r>
        <w:rPr>
          <w:rStyle w:val="Rimandonotaapidipagina"/>
          <w:rFonts w:ascii="Arial" w:hAnsi="Arial"/>
          <w:szCs w:val="21"/>
        </w:rPr>
        <w:footnoteReference w:id="2"/>
      </w:r>
      <w:r>
        <w:rPr>
          <w:rFonts w:ascii="Arial" w:hAnsi="Arial" w:cs="Arial"/>
          <w:szCs w:val="21"/>
        </w:rPr>
        <w:t xml:space="preserve"> che partecipano al calcolo degli indici per un sottoinsieme di prodotti (</w:t>
      </w:r>
      <w:r>
        <w:rPr>
          <w:rFonts w:ascii="Arial" w:hAnsi="Arial" w:cs="Arial"/>
        </w:rPr>
        <w:t>tariffe locali quali fornitura acqua, raccolta rifiuti, raccolta acque reflue, gas di rete per uso domestico, trasporti urbani, taxi, mense scolastiche, nido d’infanzia comunale, e altri servizi come manifestazioni sportive, cinema, spettacoli teatrali, istruzione secondaria superiore, mense universitarie, ecc.).</w:t>
      </w:r>
    </w:p>
    <w:p w:rsidR="00F36E1D" w:rsidRDefault="00F36E1D" w:rsidP="00F36E1D">
      <w:pPr>
        <w:widowControl/>
        <w:overflowPunct/>
        <w:spacing w:before="120" w:after="60"/>
        <w:jc w:val="both"/>
        <w:rPr>
          <w:rFonts w:ascii="Arial" w:hAnsi="Arial" w:cs="Arial"/>
          <w:szCs w:val="21"/>
        </w:rPr>
      </w:pPr>
    </w:p>
    <w:p w:rsidR="00F36E1D" w:rsidRDefault="00F36E1D" w:rsidP="00F36E1D">
      <w:pPr>
        <w:widowControl/>
        <w:overflowPunct/>
        <w:spacing w:before="120" w:after="60"/>
        <w:jc w:val="both"/>
        <w:rPr>
          <w:rFonts w:ascii="Arial" w:hAnsi="Arial" w:cs="Arial"/>
          <w:szCs w:val="21"/>
        </w:rPr>
      </w:pPr>
      <w:r w:rsidRPr="008A6A18">
        <w:rPr>
          <w:rFonts w:ascii="Arial" w:hAnsi="Arial" w:cs="Arial"/>
          <w:szCs w:val="21"/>
        </w:rPr>
        <w:t>Nei 92 comuni (80 per il paniere completo e 12 per un sottoinsieme di prodotti) che partecipano nel 2022 alla rilevazione dei prezzi al consumo si contano 43mila unità di rilevazione (tra punti vendita, imprese e istituzioni) dove gli Uffici comunali di statistica monitorano il prezzo di almeno un prodotto; a queste si aggiungono quasi 2.200 le abitazioni per la rilevazione dei canoni di affitto d</w:t>
      </w:r>
      <w:r>
        <w:rPr>
          <w:rFonts w:ascii="Arial" w:hAnsi="Arial" w:cs="Arial"/>
          <w:szCs w:val="21"/>
        </w:rPr>
        <w:t>i abitazioni di Enti pubblici</w:t>
      </w:r>
      <w:r>
        <w:rPr>
          <w:rStyle w:val="Rimandonotaapidipagina"/>
          <w:rFonts w:ascii="Arial" w:hAnsi="Arial"/>
          <w:szCs w:val="21"/>
        </w:rPr>
        <w:footnoteReference w:id="3"/>
      </w:r>
      <w:r>
        <w:rPr>
          <w:rFonts w:ascii="Arial" w:hAnsi="Arial" w:cs="Arial"/>
          <w:szCs w:val="21"/>
        </w:rPr>
        <w:t xml:space="preserve">. </w:t>
      </w:r>
      <w:r w:rsidRPr="008A6A18">
        <w:rPr>
          <w:rFonts w:ascii="Arial" w:hAnsi="Arial" w:cs="Arial"/>
          <w:szCs w:val="21"/>
        </w:rPr>
        <w:t>Nel complesso sono circa 392mila le quotazioni che contribuiscono al calcolo dell’inflazione, inviate mensilmente all’Istat dagli Uffici comunali di statistica (erano 390mila del 2021). A seguito dell’aggiornamento annuale dei piani di rilevazione comunali sono nuove il 4,9% delle attuali referenze di prodotto (6,7% nel 2021): di queste, il 2,2% sono referenze di prodotti nuovi mentre nel restante 2,7% si tratta di referenze di prodotti già presenti nel paniere dello scorso anno.</w:t>
      </w:r>
    </w:p>
    <w:p w:rsidR="00F36E1D" w:rsidRDefault="00F36E1D" w:rsidP="00F36E1D">
      <w:pPr>
        <w:widowControl/>
        <w:overflowPunct/>
        <w:spacing w:before="120" w:after="60"/>
        <w:jc w:val="both"/>
        <w:rPr>
          <w:rFonts w:ascii="Arial" w:hAnsi="Arial" w:cs="Arial"/>
          <w:kern w:val="0"/>
        </w:rPr>
      </w:pPr>
      <w:r w:rsidRPr="00243145">
        <w:rPr>
          <w:rFonts w:ascii="Arial" w:hAnsi="Arial" w:cs="Arial"/>
        </w:rPr>
        <w:t>Nel 20</w:t>
      </w:r>
      <w:r>
        <w:rPr>
          <w:rFonts w:ascii="Arial" w:hAnsi="Arial" w:cs="Arial"/>
        </w:rPr>
        <w:t>22</w:t>
      </w:r>
      <w:r w:rsidRPr="00243145">
        <w:rPr>
          <w:rFonts w:ascii="Arial" w:hAnsi="Arial" w:cs="Arial"/>
        </w:rPr>
        <w:t xml:space="preserve">, </w:t>
      </w:r>
      <w:r>
        <w:rPr>
          <w:rFonts w:ascii="Arial" w:hAnsi="Arial" w:cs="Arial"/>
        </w:rPr>
        <w:t>oltre</w:t>
      </w:r>
      <w:r w:rsidRPr="00243145">
        <w:rPr>
          <w:rFonts w:ascii="Arial" w:hAnsi="Arial" w:cs="Arial"/>
        </w:rPr>
        <w:t xml:space="preserve"> </w:t>
      </w:r>
      <w:r>
        <w:rPr>
          <w:rFonts w:ascii="Arial" w:hAnsi="Arial" w:cs="Arial"/>
        </w:rPr>
        <w:t>100mila</w:t>
      </w:r>
      <w:r w:rsidRPr="00243145">
        <w:rPr>
          <w:rFonts w:ascii="Arial" w:hAnsi="Arial" w:cs="Arial"/>
        </w:rPr>
        <w:t xml:space="preserve"> quotazioni di prezzo </w:t>
      </w:r>
      <w:r>
        <w:rPr>
          <w:rFonts w:ascii="Arial" w:hAnsi="Arial" w:cs="Arial"/>
        </w:rPr>
        <w:t xml:space="preserve">vengono </w:t>
      </w:r>
      <w:r w:rsidRPr="00243145">
        <w:rPr>
          <w:rFonts w:ascii="Arial" w:hAnsi="Arial" w:cs="Arial"/>
        </w:rPr>
        <w:t>raccolte ogni mese centralmente dall’Istat</w:t>
      </w:r>
      <w:r w:rsidRPr="003A6759">
        <w:rPr>
          <w:rFonts w:ascii="Arial" w:hAnsi="Arial" w:cs="Arial"/>
        </w:rPr>
        <w:t>.</w:t>
      </w:r>
      <w:r w:rsidRPr="00B929DD">
        <w:rPr>
          <w:rFonts w:ascii="Arial" w:hAnsi="Arial" w:cs="Arial"/>
        </w:rPr>
        <w:t xml:space="preserve"> Di queste </w:t>
      </w:r>
      <w:r>
        <w:rPr>
          <w:rFonts w:ascii="Arial" w:hAnsi="Arial" w:cs="Arial"/>
          <w:kern w:val="0"/>
        </w:rPr>
        <w:t>quasi</w:t>
      </w:r>
      <w:r w:rsidRPr="00B929DD">
        <w:rPr>
          <w:rFonts w:ascii="Arial" w:hAnsi="Arial" w:cs="Arial"/>
          <w:kern w:val="0"/>
        </w:rPr>
        <w:t xml:space="preserve"> </w:t>
      </w:r>
      <w:r>
        <w:rPr>
          <w:rFonts w:ascii="Arial" w:hAnsi="Arial" w:cs="Arial"/>
          <w:kern w:val="0"/>
        </w:rPr>
        <w:t>100mila</w:t>
      </w:r>
      <w:r w:rsidRPr="00B929DD">
        <w:rPr>
          <w:rFonts w:ascii="Arial" w:hAnsi="Arial" w:cs="Arial"/>
          <w:kern w:val="0"/>
        </w:rPr>
        <w:t xml:space="preserve"> </w:t>
      </w:r>
      <w:r>
        <w:rPr>
          <w:rFonts w:ascii="Arial" w:hAnsi="Arial" w:cs="Arial"/>
          <w:kern w:val="0"/>
        </w:rPr>
        <w:t xml:space="preserve">sono </w:t>
      </w:r>
      <w:r w:rsidRPr="00B929DD">
        <w:rPr>
          <w:rFonts w:ascii="Arial" w:hAnsi="Arial" w:cs="Arial"/>
          <w:kern w:val="0"/>
        </w:rPr>
        <w:t xml:space="preserve">acquisite tramite web, anche con l’utilizzo di procedure di raccolta automatica dei dati da web (tecniche di </w:t>
      </w:r>
      <w:r w:rsidRPr="00B929DD">
        <w:rPr>
          <w:rFonts w:ascii="Arial" w:hAnsi="Arial" w:cs="Arial"/>
          <w:i/>
          <w:kern w:val="0"/>
        </w:rPr>
        <w:t>web scraping</w:t>
      </w:r>
      <w:r w:rsidRPr="00B929DD">
        <w:rPr>
          <w:rFonts w:ascii="Arial" w:hAnsi="Arial" w:cs="Arial"/>
          <w:kern w:val="0"/>
        </w:rPr>
        <w:t>)</w:t>
      </w:r>
      <w:r>
        <w:rPr>
          <w:rFonts w:ascii="Arial" w:hAnsi="Arial" w:cs="Arial"/>
          <w:kern w:val="0"/>
        </w:rPr>
        <w:t>,</w:t>
      </w:r>
      <w:r w:rsidRPr="00B929DD">
        <w:rPr>
          <w:rFonts w:ascii="Arial" w:hAnsi="Arial" w:cs="Arial"/>
          <w:i/>
          <w:kern w:val="0"/>
        </w:rPr>
        <w:t xml:space="preserve"> </w:t>
      </w:r>
      <w:r w:rsidRPr="00B929DD">
        <w:rPr>
          <w:rFonts w:ascii="Arial" w:hAnsi="Arial" w:cs="Arial"/>
          <w:kern w:val="0"/>
        </w:rPr>
        <w:t>circa 400</w:t>
      </w:r>
      <w:r>
        <w:rPr>
          <w:rFonts w:ascii="Arial" w:hAnsi="Arial" w:cs="Arial"/>
          <w:kern w:val="0"/>
        </w:rPr>
        <w:t xml:space="preserve"> vengono</w:t>
      </w:r>
      <w:r w:rsidRPr="00B929DD">
        <w:rPr>
          <w:rFonts w:ascii="Arial" w:hAnsi="Arial" w:cs="Arial"/>
          <w:kern w:val="0"/>
        </w:rPr>
        <w:t xml:space="preserve"> rilevate mediante indagine diretta presso le imprese di assicurazione per la rilevazione dei prezzi </w:t>
      </w:r>
      <w:r w:rsidRPr="00B929DD">
        <w:rPr>
          <w:rFonts w:ascii="Arial" w:hAnsi="Arial" w:cs="Arial"/>
          <w:szCs w:val="21"/>
        </w:rPr>
        <w:t>dei servizi assicurativi sull’abitazione</w:t>
      </w:r>
      <w:r>
        <w:rPr>
          <w:rFonts w:ascii="Arial" w:hAnsi="Arial" w:cs="Arial"/>
          <w:kern w:val="0"/>
        </w:rPr>
        <w:t xml:space="preserve"> e oltre 7</w:t>
      </w:r>
      <w:r w:rsidRPr="003A6759">
        <w:rPr>
          <w:rFonts w:ascii="Arial" w:hAnsi="Arial" w:cs="Arial"/>
          <w:kern w:val="0"/>
        </w:rPr>
        <w:t xml:space="preserve">00 </w:t>
      </w:r>
      <w:r>
        <w:rPr>
          <w:rFonts w:ascii="Arial" w:hAnsi="Arial" w:cs="Arial"/>
          <w:kern w:val="0"/>
        </w:rPr>
        <w:t xml:space="preserve">sono </w:t>
      </w:r>
      <w:r w:rsidRPr="003A6759">
        <w:rPr>
          <w:rFonts w:ascii="Arial" w:hAnsi="Arial" w:cs="Arial"/>
          <w:kern w:val="0"/>
        </w:rPr>
        <w:t>rilevate da fonti interne.</w:t>
      </w:r>
    </w:p>
    <w:p w:rsidR="00F36E1D" w:rsidRPr="00841D46" w:rsidRDefault="00F36E1D" w:rsidP="00F36E1D">
      <w:pPr>
        <w:widowControl/>
        <w:spacing w:before="0" w:after="120"/>
        <w:jc w:val="both"/>
        <w:rPr>
          <w:rFonts w:ascii="Arial" w:hAnsi="Arial" w:cs="Arial"/>
          <w:szCs w:val="21"/>
        </w:rPr>
      </w:pPr>
      <w:r w:rsidRPr="008A6A18">
        <w:rPr>
          <w:rFonts w:ascii="Arial" w:hAnsi="Arial" w:cs="Arial"/>
          <w:szCs w:val="21"/>
        </w:rPr>
        <w:t>La rilevazione dei prezzi al consumo tramite scanner data interessa cinque tipologie distributive della Grande Distribuzione Organizzata: ipermercati, supermercati, discount, piccole superfici di vendita (note anche come “libero servizio”, punti vendita con superficie compresa tra i 100 e i 400 mq) e specialist drug (specialisti dei prodotti per la cura della casa e della persona). Nel complesso, la rilevazione dei prezzi tramite scanner data interessa 84 aggregati di prodotto, appartenenti a sei divisioni della ECOICOP (Prodotti alimentari e bevande analcoliche, Bevande alcoliche e tabacchi, Mobili articoli e servizi per la casa, Servizi sanitari e spese per la salute, Ricreazione spettacoli e cultura, Altri beni e servizi).</w:t>
      </w:r>
    </w:p>
    <w:p w:rsidR="00F36E1D" w:rsidRPr="008A6A18" w:rsidRDefault="00F36E1D" w:rsidP="00F36E1D">
      <w:pPr>
        <w:widowControl/>
        <w:overflowPunct/>
        <w:spacing w:before="0" w:after="120"/>
        <w:jc w:val="both"/>
        <w:rPr>
          <w:rFonts w:ascii="Arial" w:hAnsi="Arial" w:cs="Arial"/>
          <w:szCs w:val="21"/>
        </w:rPr>
      </w:pPr>
      <w:r w:rsidRPr="008A6A18">
        <w:rPr>
          <w:rFonts w:ascii="Arial" w:hAnsi="Arial" w:cs="Arial"/>
          <w:szCs w:val="21"/>
        </w:rPr>
        <w:t>L’Istat acquisisce i dati settimanali di fatturato e quantità distinti per punto vendita e per GTIN (codice a barre), per singolo punto vendita di 21 grandi gruppi della GDO in Italia per tutte le 107 province del territorio nazionale. Il campione dei punti vendita è rappresentativo di tutto l’universo delle cinque tipologie distributive della GDO e comprende circa 4mila punti vendita distribuiti sull’intero territorio nazionale.</w:t>
      </w:r>
    </w:p>
    <w:p w:rsidR="00F36E1D" w:rsidRPr="008A6A18" w:rsidRDefault="00F36E1D" w:rsidP="00F36E1D">
      <w:pPr>
        <w:widowControl/>
        <w:overflowPunct/>
        <w:spacing w:before="0" w:after="120"/>
        <w:jc w:val="both"/>
        <w:rPr>
          <w:rFonts w:ascii="Arial" w:hAnsi="Arial" w:cs="Arial"/>
          <w:szCs w:val="21"/>
        </w:rPr>
      </w:pPr>
      <w:r w:rsidRPr="008A6A18">
        <w:rPr>
          <w:rFonts w:ascii="Arial" w:hAnsi="Arial" w:cs="Arial"/>
          <w:szCs w:val="21"/>
        </w:rPr>
        <w:t>L’individuazione delle referenze che entrano nel calcolo dell’indice avviene tramite i codici a barre (GTIN), che identificano univocamente i prodotti sull’intero territorio nazionale. Il valore unitario del prezzo per ciascun codice a barre è la media dei prezzi effettivamente pagati dai consumatori per quei prodotti.</w:t>
      </w:r>
      <w:r>
        <w:rPr>
          <w:rFonts w:ascii="Arial" w:hAnsi="Arial" w:cs="Arial"/>
          <w:szCs w:val="21"/>
        </w:rPr>
        <w:t xml:space="preserve"> </w:t>
      </w:r>
      <w:r w:rsidRPr="008A6A18">
        <w:rPr>
          <w:rFonts w:ascii="Arial" w:hAnsi="Arial" w:cs="Arial"/>
          <w:szCs w:val="21"/>
        </w:rPr>
        <w:t>Per la selezione delle referenze, l’Istat utilizza un approccio di tipo dinamico che implica una selezione del campione di referenze in ciascun mese. L’approccio dinamico permette di utilizzare l’informazione proveniente dall’universo dei GTIN venduti in ciascun punto vendita e di seguire l’evoluzione dei prodotti che entrano ed escono dal mercato nei dodici mesi dell’anno.</w:t>
      </w:r>
    </w:p>
    <w:p w:rsidR="00F36E1D" w:rsidRDefault="00F36E1D" w:rsidP="00F36E1D">
      <w:pPr>
        <w:widowControl/>
        <w:overflowPunct/>
        <w:spacing w:before="0" w:after="120"/>
        <w:jc w:val="both"/>
        <w:rPr>
          <w:rFonts w:ascii="Arial" w:hAnsi="Arial" w:cs="Arial"/>
          <w:szCs w:val="21"/>
        </w:rPr>
      </w:pPr>
      <w:r w:rsidRPr="008A6A18">
        <w:rPr>
          <w:rFonts w:ascii="Arial" w:hAnsi="Arial" w:cs="Arial"/>
          <w:szCs w:val="21"/>
        </w:rPr>
        <w:t>Nel complesso, per ciascuna settimana, si utilizzano per il calcolo degli indici oltre 19 milioni di referenze il cui prezzo settimanale viene calcolato sulla base dei dati di fatturato e quantità vendute in ciascun punto vendita e relative a circa 240 mila GTIN distinti. A seguito della selezione dinamica contribuiscono quindi mediamente ogni mese al calcolo degli indici oltre 11 milioni di referenze, per un totale di oltre 30 milioni di quotazioni di prezzo.</w:t>
      </w:r>
    </w:p>
    <w:p w:rsidR="00F36E1D" w:rsidRPr="002A49A5" w:rsidRDefault="00F36E1D" w:rsidP="00F36E1D">
      <w:pPr>
        <w:widowControl/>
        <w:overflowPunct/>
        <w:spacing w:before="0" w:after="120"/>
        <w:jc w:val="both"/>
        <w:rPr>
          <w:rFonts w:ascii="Arial" w:hAnsi="Arial" w:cs="Arial"/>
          <w:kern w:val="0"/>
        </w:rPr>
      </w:pPr>
      <w:r w:rsidRPr="002A49A5">
        <w:rPr>
          <w:rFonts w:ascii="Arial" w:hAnsi="Arial" w:cs="Arial"/>
          <w:kern w:val="0"/>
        </w:rPr>
        <w:t xml:space="preserve">Le rilevazioni di fonte amministrativa per il calcolo dei prezzi al consumo sono diverse. Tra queste rientrano quelle relative ai Tabacchi i cui dati sono forniti dall’Agenzia delle accise, dogane e monopoli (ADM). Gli indici calcolati sono relativi a tre aggregati di prodotto: Sigarette, Sigari e sigaretti e Altri tabacchi (trinciati per sigarette, tabacco da fiuto e da mastico, altri tabacchi da fumo, tabacchi da inalazione). </w:t>
      </w:r>
    </w:p>
    <w:p w:rsidR="00F36E1D" w:rsidRPr="002A49A5" w:rsidRDefault="00F36E1D" w:rsidP="00F36E1D">
      <w:pPr>
        <w:widowControl/>
        <w:overflowPunct/>
        <w:spacing w:before="0" w:after="120"/>
        <w:jc w:val="both"/>
        <w:rPr>
          <w:rFonts w:ascii="Arial" w:hAnsi="Arial" w:cs="Arial"/>
          <w:kern w:val="0"/>
        </w:rPr>
      </w:pPr>
      <w:r w:rsidRPr="002A49A5">
        <w:rPr>
          <w:rFonts w:ascii="Arial" w:hAnsi="Arial" w:cs="Arial"/>
          <w:kern w:val="0"/>
        </w:rPr>
        <w:t xml:space="preserve">Dal 2017 anche per i prezzi al consumo dei carburanti si utilizzano dati di fonte amministrativa, grazie a un accordo siglato con il Ministero dello Sviluppo economico (MISE) che, in ottemperanza alla normativa vigente, raccoglie i dati </w:t>
      </w:r>
      <w:r>
        <w:rPr>
          <w:rFonts w:ascii="Arial" w:hAnsi="Arial" w:cs="Arial"/>
          <w:kern w:val="0"/>
        </w:rPr>
        <w:t xml:space="preserve">sui prezzi di questi prodotti. </w:t>
      </w:r>
      <w:r w:rsidRPr="002A49A5">
        <w:rPr>
          <w:rFonts w:ascii="Arial" w:hAnsi="Arial" w:cs="Arial"/>
          <w:kern w:val="0"/>
        </w:rPr>
        <w:t>Nel 2022 l’indice è calcolato attraverso l’elaborazione di 68mila osservazioni di prezzo al mese, provenienti da oltre 12.800 impianti, pari al 66,8% di quelli attivi e presenti nella banca dati del MISE. La copertura dei distributori di carburanti per area territoriale comprende</w:t>
      </w:r>
      <w:r>
        <w:rPr>
          <w:rFonts w:ascii="Arial" w:hAnsi="Arial" w:cs="Arial"/>
          <w:kern w:val="0"/>
        </w:rPr>
        <w:t xml:space="preserve"> oltre 3.200 impianti nel Nord-Ovest, circa 2.800 nel Nord-E</w:t>
      </w:r>
      <w:r w:rsidRPr="002A49A5">
        <w:rPr>
          <w:rFonts w:ascii="Arial" w:hAnsi="Arial" w:cs="Arial"/>
          <w:kern w:val="0"/>
        </w:rPr>
        <w:t>st, quasi 2.900 nel Centro, oltre 2.800 al Sud e quasi 1.200 nelle Isole.</w:t>
      </w:r>
      <w:r>
        <w:rPr>
          <w:rFonts w:ascii="Arial" w:hAnsi="Arial" w:cs="Arial"/>
          <w:kern w:val="0"/>
        </w:rPr>
        <w:t xml:space="preserve"> </w:t>
      </w:r>
      <w:r w:rsidRPr="002A49A5">
        <w:rPr>
          <w:rFonts w:ascii="Arial" w:hAnsi="Arial" w:cs="Arial"/>
          <w:kern w:val="0"/>
        </w:rPr>
        <w:t>I dati del Ministero dello Sviluppo economico coprono i 4 aggregati di prodotto riferiti ai carburanti per autotrazione che compongono il paniere: Benzina, Gasolio per mezzi di trasporto, Gas GPL e Gas metano per autotrazione.</w:t>
      </w:r>
    </w:p>
    <w:p w:rsidR="00F36E1D" w:rsidRDefault="00F36E1D" w:rsidP="00F36E1D">
      <w:pPr>
        <w:widowControl/>
        <w:overflowPunct/>
        <w:spacing w:before="0" w:after="120"/>
        <w:jc w:val="both"/>
        <w:rPr>
          <w:rFonts w:ascii="Arial" w:hAnsi="Arial" w:cs="Arial"/>
          <w:kern w:val="0"/>
        </w:rPr>
      </w:pPr>
      <w:r w:rsidRPr="002A49A5">
        <w:rPr>
          <w:rFonts w:ascii="Arial" w:hAnsi="Arial" w:cs="Arial"/>
          <w:kern w:val="0"/>
        </w:rPr>
        <w:t>Infine, a partire dal 2022 la rilevazione sui canoni di affitto per le abitazioni di proprietà privata viene effettuata dall’Istat utilizzando la base dati locazioni immobiliari dell’Osservatorio del mercato immobiliare dell’Agenzia delle entrate. L’indice viene elaborato mensilmente utilizzando circa un milione e mezzo di canoni di affitto.</w:t>
      </w:r>
    </w:p>
    <w:p w:rsidR="00F36E1D" w:rsidRDefault="00F36E1D" w:rsidP="00F36E1D">
      <w:pPr>
        <w:widowControl/>
        <w:overflowPunct/>
        <w:spacing w:before="0" w:after="120"/>
        <w:jc w:val="both"/>
        <w:rPr>
          <w:rFonts w:ascii="Arial" w:hAnsi="Arial" w:cs="Arial"/>
          <w:kern w:val="0"/>
        </w:rPr>
      </w:pPr>
    </w:p>
    <w:p w:rsidR="00F36E1D" w:rsidRDefault="00F36E1D" w:rsidP="00F36E1D">
      <w:pPr>
        <w:widowControl/>
        <w:overflowPunct/>
        <w:spacing w:before="0" w:after="120"/>
        <w:jc w:val="both"/>
        <w:rPr>
          <w:rFonts w:ascii="Arial" w:hAnsi="Arial" w:cs="Arial"/>
          <w:kern w:val="0"/>
        </w:rPr>
      </w:pPr>
    </w:p>
    <w:p w:rsidR="00F36E1D" w:rsidRPr="00B929DD" w:rsidRDefault="00F36E1D" w:rsidP="00F36E1D">
      <w:pPr>
        <w:widowControl/>
        <w:overflowPunct/>
        <w:spacing w:before="0" w:after="120"/>
        <w:jc w:val="both"/>
        <w:rPr>
          <w:rFonts w:ascii="Arial" w:hAnsi="Arial" w:cs="Arial"/>
          <w:kern w:val="0"/>
        </w:rPr>
      </w:pPr>
    </w:p>
    <w:p w:rsidR="00F36E1D" w:rsidRPr="00C8504B" w:rsidRDefault="00F36E1D" w:rsidP="00F36E1D">
      <w:pPr>
        <w:spacing w:before="0" w:after="120"/>
        <w:jc w:val="both"/>
        <w:rPr>
          <w:rFonts w:ascii="Arial" w:hAnsi="Arial" w:cs="Arial"/>
          <w:b/>
          <w:sz w:val="6"/>
          <w:szCs w:val="6"/>
        </w:rPr>
      </w:pPr>
      <w:r w:rsidRPr="00C8504B">
        <w:rPr>
          <w:rFonts w:ascii="Arial" w:hAnsi="Arial" w:cs="Arial"/>
          <w:b/>
          <w:sz w:val="22"/>
          <w:szCs w:val="22"/>
        </w:rPr>
        <w:t>Metodologia di calcolo degli indici e delle variazioni</w:t>
      </w:r>
    </w:p>
    <w:p w:rsidR="00F36E1D" w:rsidRPr="00C8504B" w:rsidRDefault="00F36E1D" w:rsidP="00F36E1D">
      <w:pPr>
        <w:spacing w:before="0" w:after="120"/>
        <w:jc w:val="both"/>
        <w:rPr>
          <w:rFonts w:ascii="Arial" w:hAnsi="Arial" w:cs="Arial"/>
          <w:b/>
          <w:sz w:val="18"/>
          <w:szCs w:val="18"/>
        </w:rPr>
      </w:pPr>
      <w:r w:rsidRPr="00C8504B">
        <w:rPr>
          <w:rFonts w:ascii="Arial" w:hAnsi="Arial" w:cs="Arial"/>
          <w:b/>
        </w:rPr>
        <w:t xml:space="preserve">Struttura di ponderazione </w:t>
      </w:r>
    </w:p>
    <w:p w:rsidR="00F36E1D" w:rsidRDefault="00F36E1D" w:rsidP="00F36E1D">
      <w:pPr>
        <w:tabs>
          <w:tab w:val="left" w:pos="10206"/>
        </w:tabs>
        <w:spacing w:before="0" w:after="120"/>
        <w:jc w:val="both"/>
        <w:rPr>
          <w:rFonts w:ascii="Arial" w:hAnsi="Arial" w:cs="Arial"/>
          <w:szCs w:val="21"/>
        </w:rPr>
      </w:pPr>
      <w:r>
        <w:rPr>
          <w:rFonts w:ascii="Arial" w:hAnsi="Arial" w:cs="Arial"/>
          <w:szCs w:val="21"/>
        </w:rPr>
        <w:t>N</w:t>
      </w:r>
      <w:r w:rsidRPr="002A6B23">
        <w:rPr>
          <w:rFonts w:ascii="Arial" w:hAnsi="Arial" w:cs="Arial"/>
          <w:szCs w:val="21"/>
        </w:rPr>
        <w:t xml:space="preserve">on tutti i beni e i servizi che entrano nel paniere hanno la stessa importanza nei consumi della popolazione. </w:t>
      </w:r>
      <w:r>
        <w:rPr>
          <w:rFonts w:ascii="Arial" w:hAnsi="Arial" w:cs="Arial"/>
          <w:szCs w:val="21"/>
        </w:rPr>
        <w:t>Di conseguenza, l</w:t>
      </w:r>
      <w:r w:rsidRPr="002A6B23">
        <w:rPr>
          <w:rFonts w:ascii="Arial" w:hAnsi="Arial" w:cs="Arial"/>
          <w:szCs w:val="21"/>
        </w:rPr>
        <w:t>’esigenza di misurare il livello dei prezzi e la loro dinamica temporale attraverso indicatori di sintesi richiede la definizione di un sistema di ponderazione che consenta di elaborare tali indicatori tenendo conto della diversa rilevanza che i singoli prodotti assumono sulla spesa complessiva per consumi delle famiglie.</w:t>
      </w:r>
    </w:p>
    <w:p w:rsidR="00F36E1D" w:rsidRPr="007F5CA7" w:rsidRDefault="00F36E1D" w:rsidP="00F36E1D">
      <w:pPr>
        <w:tabs>
          <w:tab w:val="left" w:pos="10206"/>
        </w:tabs>
        <w:spacing w:before="0" w:after="120"/>
        <w:jc w:val="both"/>
        <w:rPr>
          <w:rFonts w:ascii="Arial" w:hAnsi="Arial" w:cs="Arial"/>
          <w:szCs w:val="21"/>
        </w:rPr>
      </w:pPr>
      <w:r w:rsidRPr="007F5CA7">
        <w:rPr>
          <w:rFonts w:ascii="Arial" w:hAnsi="Arial" w:cs="Arial"/>
          <w:szCs w:val="21"/>
        </w:rPr>
        <w:t>Ogni anno, i coefficienti di ponderazione degli indici sono aggiornati per tener conto dell’evoluzione dei consumi finali delle famiglie, come risulta dalle stime della Contabilità nazionale dell’Istat e dell’indagine sulle Spese delle famiglie, oltre che dai dati provenienti da altre fonti ausiliarie interne e esterne all’Istituto, tra le quali le basi dati di importanti società di analisi e ricerche di mercato, quali A.C. Nielsen e GfK Italia S.r.l..</w:t>
      </w:r>
    </w:p>
    <w:p w:rsidR="00F36E1D" w:rsidRDefault="00F36E1D" w:rsidP="00F36E1D">
      <w:pPr>
        <w:tabs>
          <w:tab w:val="left" w:pos="10206"/>
        </w:tabs>
        <w:spacing w:before="0" w:after="120"/>
        <w:jc w:val="both"/>
        <w:rPr>
          <w:rFonts w:ascii="Arial" w:hAnsi="Arial" w:cs="Arial"/>
          <w:szCs w:val="21"/>
        </w:rPr>
      </w:pPr>
      <w:r w:rsidRPr="007F5CA7">
        <w:rPr>
          <w:rFonts w:ascii="Arial" w:hAnsi="Arial" w:cs="Arial"/>
          <w:szCs w:val="21"/>
        </w:rPr>
        <w:t xml:space="preserve">Tale operazione garantisce che il sistema dei pesi utilizzato per la stima dell’inflazione mantenga elevato nel tempo il suo grado di rappresentatività delle quote di spesa che i consumatori destinano all’acquisto dei beni e servizi finali. </w:t>
      </w:r>
    </w:p>
    <w:p w:rsidR="00F36E1D" w:rsidRDefault="00F36E1D" w:rsidP="00F36E1D">
      <w:pPr>
        <w:tabs>
          <w:tab w:val="left" w:pos="10206"/>
        </w:tabs>
        <w:spacing w:before="0" w:after="120"/>
        <w:jc w:val="both"/>
        <w:rPr>
          <w:rFonts w:ascii="Arial" w:hAnsi="Arial" w:cs="Arial"/>
          <w:szCs w:val="21"/>
        </w:rPr>
      </w:pPr>
      <w:r w:rsidRPr="003F5B16">
        <w:rPr>
          <w:rFonts w:ascii="Arial" w:hAnsi="Arial" w:cs="Arial"/>
          <w:szCs w:val="21"/>
        </w:rPr>
        <w:t xml:space="preserve">È da rilevare che lo scorso anno, in un quadro di relativa attenuazione dell’emergenza sanitaria dovuta al Covid-19, le spese delle famiglie sono state influenzate in misura minore rispetto al 2020 dagli effetti delle misure di contenimento della pandemia. Pertanto, </w:t>
      </w:r>
      <w:r>
        <w:rPr>
          <w:rFonts w:ascii="Arial" w:hAnsi="Arial" w:cs="Arial"/>
          <w:szCs w:val="21"/>
        </w:rPr>
        <w:t>analogamente a quanto</w:t>
      </w:r>
      <w:r w:rsidRPr="003F5B16">
        <w:rPr>
          <w:rFonts w:ascii="Arial" w:hAnsi="Arial" w:cs="Arial"/>
          <w:szCs w:val="21"/>
        </w:rPr>
        <w:t xml:space="preserve"> fatto per il paniere 2021, al fine di salvaguardare la coerenza tra la struttura di ponderazione degli indici e quella dei bilanci delle famiglie, e nel rispetto delle linee guida Eurostat, anche nel 2022 per la revisione dei pesi sono stati utilizzati i dati delle principali fonti interne più recenti a disposizione: le stime della Contabilità nazionale e le informazioni della indagine sulle Spese del famiglie relative al 2021</w:t>
      </w:r>
      <w:r w:rsidRPr="00B8724C">
        <w:rPr>
          <w:rStyle w:val="Rimandonotaapidipagina"/>
          <w:rFonts w:ascii="Arial" w:hAnsi="Arial" w:cs="Arial"/>
        </w:rPr>
        <w:footnoteReference w:id="4"/>
      </w:r>
      <w:r w:rsidRPr="00B8724C">
        <w:rPr>
          <w:rFonts w:ascii="Arial" w:hAnsi="Arial" w:cs="Arial"/>
          <w:szCs w:val="21"/>
        </w:rPr>
        <w:t>.</w:t>
      </w:r>
      <w:r w:rsidRPr="007F5CA7">
        <w:rPr>
          <w:rFonts w:ascii="Arial" w:hAnsi="Arial" w:cs="Arial"/>
          <w:szCs w:val="21"/>
        </w:rPr>
        <w:t xml:space="preserve"> </w:t>
      </w:r>
    </w:p>
    <w:p w:rsidR="00F36E1D" w:rsidRPr="003F5B16" w:rsidRDefault="00F36E1D" w:rsidP="00F36E1D">
      <w:pPr>
        <w:tabs>
          <w:tab w:val="left" w:pos="10206"/>
        </w:tabs>
        <w:spacing w:before="0" w:after="120"/>
        <w:jc w:val="both"/>
        <w:rPr>
          <w:rFonts w:ascii="Arial" w:hAnsi="Arial" w:cs="Arial"/>
        </w:rPr>
      </w:pPr>
      <w:r w:rsidRPr="003F5B16">
        <w:rPr>
          <w:rFonts w:ascii="Arial" w:hAnsi="Arial" w:cs="Arial"/>
        </w:rPr>
        <w:t xml:space="preserve">Per ragioni di tempestività, il sistema dei pesi usato per la stima preliminare dell’inflazione di gennaio 2022 è stato calcolato sulla base dei dati della Contabilità nazionale disponibili a dicembre scorso, relativi ai primi tre trimestri dell’anno. </w:t>
      </w:r>
    </w:p>
    <w:p w:rsidR="00F36E1D" w:rsidRPr="007F5CA7" w:rsidRDefault="00F36E1D" w:rsidP="00F36E1D">
      <w:pPr>
        <w:tabs>
          <w:tab w:val="left" w:pos="10206"/>
        </w:tabs>
        <w:spacing w:before="0" w:after="120"/>
        <w:jc w:val="both"/>
        <w:rPr>
          <w:rFonts w:ascii="Arial" w:hAnsi="Arial" w:cs="Arial"/>
          <w:szCs w:val="21"/>
        </w:rPr>
      </w:pPr>
      <w:r w:rsidRPr="003F5B16">
        <w:rPr>
          <w:rFonts w:ascii="Arial" w:hAnsi="Arial" w:cs="Arial"/>
        </w:rPr>
        <w:t>L’ampliamento della base informativa, a copertura dell’intero anno solare, ha poi consentito un ulteriore raffinamento delle strutture di ponderazione in occasione del rilascio delle stime definitive.</w:t>
      </w:r>
      <w:r>
        <w:rPr>
          <w:rFonts w:ascii="Arial" w:hAnsi="Arial" w:cs="Arial"/>
        </w:rPr>
        <w:t xml:space="preserve"> </w:t>
      </w:r>
      <w:r w:rsidRPr="00501BF7">
        <w:rPr>
          <w:rFonts w:ascii="Arial" w:hAnsi="Arial" w:cs="Arial"/>
        </w:rPr>
        <w:t>Tuttavia, al fine di misurare le quote di spesa</w:t>
      </w:r>
      <w:r>
        <w:rPr>
          <w:rFonts w:ascii="Arial" w:hAnsi="Arial" w:cs="Arial"/>
        </w:rPr>
        <w:t xml:space="preserve"> con cui ciascun aggregato contribuisce alla stima dell’inflazione,</w:t>
      </w:r>
      <w:r w:rsidRPr="00501BF7">
        <w:rPr>
          <w:rFonts w:ascii="Arial" w:hAnsi="Arial" w:cs="Arial"/>
        </w:rPr>
        <w:t xml:space="preserve"> con riferimento al valore del periodo base di calcolo degli indici (dicembre 2021), i dati sui consumi finali delle famiglie </w:t>
      </w:r>
      <w:r>
        <w:rPr>
          <w:rFonts w:ascii="Arial" w:hAnsi="Arial" w:cs="Arial"/>
        </w:rPr>
        <w:t xml:space="preserve">sono stati aggiornati </w:t>
      </w:r>
      <w:r w:rsidRPr="00501BF7">
        <w:rPr>
          <w:rFonts w:ascii="Arial" w:hAnsi="Arial" w:cs="Arial"/>
        </w:rPr>
        <w:t>utilizzando le variazioni di prezzo misurate tra la media dell'anno 2021 e dicembre 2021</w:t>
      </w:r>
      <w:r>
        <w:rPr>
          <w:rFonts w:ascii="Arial" w:hAnsi="Arial" w:cs="Arial"/>
        </w:rPr>
        <w:t>.</w:t>
      </w:r>
    </w:p>
    <w:p w:rsidR="00F36E1D" w:rsidRDefault="00F36E1D" w:rsidP="00F36E1D">
      <w:pPr>
        <w:tabs>
          <w:tab w:val="left" w:pos="10206"/>
        </w:tabs>
        <w:spacing w:before="0" w:after="120"/>
        <w:jc w:val="both"/>
        <w:rPr>
          <w:rFonts w:ascii="Arial" w:hAnsi="Arial" w:cs="Arial"/>
        </w:rPr>
      </w:pPr>
      <w:r w:rsidRPr="00703E31">
        <w:rPr>
          <w:rFonts w:ascii="Arial" w:hAnsi="Arial" w:cs="Arial"/>
        </w:rPr>
        <w:t xml:space="preserve">Nel Prospetto </w:t>
      </w:r>
      <w:r>
        <w:rPr>
          <w:rFonts w:ascii="Arial" w:hAnsi="Arial" w:cs="Arial"/>
        </w:rPr>
        <w:t>1</w:t>
      </w:r>
      <w:r w:rsidRPr="00703E31">
        <w:rPr>
          <w:rFonts w:ascii="Arial" w:hAnsi="Arial" w:cs="Arial"/>
        </w:rPr>
        <w:t xml:space="preserve"> è </w:t>
      </w:r>
      <w:r>
        <w:rPr>
          <w:rFonts w:ascii="Arial" w:hAnsi="Arial" w:cs="Arial"/>
        </w:rPr>
        <w:t xml:space="preserve">quindi </w:t>
      </w:r>
      <w:r w:rsidRPr="00703E31">
        <w:rPr>
          <w:rFonts w:ascii="Arial" w:hAnsi="Arial" w:cs="Arial"/>
        </w:rPr>
        <w:t xml:space="preserve">riportata la struttura dei pesi </w:t>
      </w:r>
      <w:r>
        <w:rPr>
          <w:rFonts w:ascii="Arial" w:hAnsi="Arial" w:cs="Arial"/>
        </w:rPr>
        <w:t xml:space="preserve">finali </w:t>
      </w:r>
      <w:r w:rsidRPr="00703E31">
        <w:rPr>
          <w:rFonts w:ascii="Arial" w:hAnsi="Arial" w:cs="Arial"/>
        </w:rPr>
        <w:t>per divis</w:t>
      </w:r>
      <w:r>
        <w:rPr>
          <w:rFonts w:ascii="Arial" w:hAnsi="Arial" w:cs="Arial"/>
        </w:rPr>
        <w:t xml:space="preserve">ione di spesa utilizzata per il </w:t>
      </w:r>
      <w:r w:rsidRPr="00703E31">
        <w:rPr>
          <w:rFonts w:ascii="Arial" w:hAnsi="Arial" w:cs="Arial"/>
        </w:rPr>
        <w:t>calcolo dei tre indici dei prezzi al consumo (NIC, IPCA e FOI)</w:t>
      </w:r>
      <w:r>
        <w:rPr>
          <w:rFonts w:ascii="Arial" w:hAnsi="Arial" w:cs="Arial"/>
        </w:rPr>
        <w:t xml:space="preserve"> per la stima preliminare dell’inflazione di gennaio 2022</w:t>
      </w:r>
      <w:r w:rsidRPr="00703E31">
        <w:rPr>
          <w:rFonts w:ascii="Arial" w:hAnsi="Arial" w:cs="Arial"/>
        </w:rPr>
        <w:t>.</w:t>
      </w:r>
    </w:p>
    <w:p w:rsidR="00F36E1D" w:rsidRDefault="00F36E1D" w:rsidP="00F36E1D">
      <w:pPr>
        <w:tabs>
          <w:tab w:val="left" w:pos="10206"/>
        </w:tabs>
        <w:spacing w:before="0" w:after="120"/>
        <w:jc w:val="both"/>
        <w:rPr>
          <w:rFonts w:ascii="Arial" w:hAnsi="Arial" w:cs="Arial"/>
        </w:rPr>
      </w:pPr>
    </w:p>
    <w:p w:rsidR="00F36E1D" w:rsidRPr="00881841" w:rsidRDefault="00F36E1D" w:rsidP="00F36E1D">
      <w:pPr>
        <w:pStyle w:val="001TitoGra"/>
        <w:spacing w:after="120" w:line="240" w:lineRule="auto"/>
        <w:jc w:val="both"/>
        <w:rPr>
          <w:b w:val="0"/>
          <w:sz w:val="20"/>
          <w:szCs w:val="20"/>
        </w:rPr>
      </w:pPr>
      <w:r w:rsidRPr="001611C8">
        <w:rPr>
          <w:rStyle w:val="001TitoGraRed"/>
        </w:rPr>
        <w:t xml:space="preserve">PROSPETTO </w:t>
      </w:r>
      <w:r>
        <w:rPr>
          <w:rStyle w:val="001TitoGraRed"/>
        </w:rPr>
        <w:t>1</w:t>
      </w:r>
      <w:r w:rsidRPr="001611C8">
        <w:rPr>
          <w:rStyle w:val="001TitoGraRed"/>
        </w:rPr>
        <w:t>.</w:t>
      </w:r>
      <w:r w:rsidRPr="00703E31">
        <w:t xml:space="preserve"> PESI UTILIZZATI PER IL CALCOLO DEGLI INDICI NAZIONALI DEI PREZZI AL CONSUMO, PER DIVISIONI DI SPESA</w:t>
      </w:r>
      <w:r>
        <w:t xml:space="preserve">. </w:t>
      </w:r>
      <w:r>
        <w:rPr>
          <w:b w:val="0"/>
          <w:sz w:val="20"/>
          <w:szCs w:val="20"/>
        </w:rPr>
        <w:t>Anno 2022</w:t>
      </w:r>
      <w:r w:rsidRPr="00881841">
        <w:rPr>
          <w:b w:val="0"/>
          <w:sz w:val="20"/>
          <w:szCs w:val="20"/>
        </w:rPr>
        <w:t xml:space="preserve">, valori percentuali </w:t>
      </w:r>
    </w:p>
    <w:tbl>
      <w:tblPr>
        <w:tblW w:w="10206" w:type="dxa"/>
        <w:tblInd w:w="70" w:type="dxa"/>
        <w:tblBorders>
          <w:top w:val="single" w:sz="4" w:space="0" w:color="auto"/>
          <w:bottom w:val="single" w:sz="4" w:space="0" w:color="auto"/>
          <w:insideH w:val="single" w:sz="4" w:space="0" w:color="auto"/>
        </w:tblBorders>
        <w:tblCellMar>
          <w:left w:w="70" w:type="dxa"/>
          <w:right w:w="70" w:type="dxa"/>
        </w:tblCellMar>
        <w:tblLook w:val="00A0" w:firstRow="1" w:lastRow="0" w:firstColumn="1" w:lastColumn="0" w:noHBand="0" w:noVBand="0"/>
      </w:tblPr>
      <w:tblGrid>
        <w:gridCol w:w="4872"/>
        <w:gridCol w:w="1778"/>
        <w:gridCol w:w="1778"/>
        <w:gridCol w:w="1778"/>
      </w:tblGrid>
      <w:tr w:rsidR="00F36E1D" w:rsidRPr="00881841" w:rsidTr="00F36E1D">
        <w:trPr>
          <w:trHeight w:val="255"/>
        </w:trPr>
        <w:tc>
          <w:tcPr>
            <w:tcW w:w="4872" w:type="dxa"/>
            <w:vMerge w:val="restart"/>
            <w:shd w:val="clear" w:color="auto" w:fill="FFFFFF"/>
            <w:vAlign w:val="center"/>
            <w:hideMark/>
          </w:tcPr>
          <w:p w:rsidR="00F36E1D" w:rsidRPr="0046573B" w:rsidRDefault="00F36E1D" w:rsidP="00F36E1D">
            <w:pPr>
              <w:widowControl/>
              <w:overflowPunct/>
              <w:autoSpaceDE/>
              <w:adjustRightInd/>
              <w:spacing w:before="0" w:after="0"/>
              <w:rPr>
                <w:rFonts w:ascii="Arial Narrow" w:hAnsi="Arial Narrow" w:cs="Calibri"/>
                <w:b/>
                <w:bCs/>
                <w:color w:val="000000"/>
                <w:kern w:val="0"/>
                <w:sz w:val="18"/>
                <w:szCs w:val="18"/>
              </w:rPr>
            </w:pPr>
            <w:r w:rsidRPr="0046573B">
              <w:rPr>
                <w:rFonts w:ascii="Arial Narrow" w:hAnsi="Arial Narrow" w:cs="Calibri"/>
                <w:b/>
                <w:bCs/>
                <w:color w:val="000000"/>
                <w:kern w:val="0"/>
                <w:sz w:val="18"/>
                <w:szCs w:val="18"/>
              </w:rPr>
              <w:t>DIVISIONI DI SPESA</w:t>
            </w:r>
          </w:p>
        </w:tc>
        <w:tc>
          <w:tcPr>
            <w:tcW w:w="5334" w:type="dxa"/>
            <w:gridSpan w:val="3"/>
            <w:shd w:val="clear" w:color="auto" w:fill="D9D9D9"/>
            <w:vAlign w:val="center"/>
            <w:hideMark/>
          </w:tcPr>
          <w:p w:rsidR="00F36E1D" w:rsidRPr="00881841" w:rsidRDefault="00F36E1D" w:rsidP="00F36E1D">
            <w:pPr>
              <w:spacing w:before="0" w:after="0"/>
              <w:jc w:val="center"/>
              <w:rPr>
                <w:rFonts w:ascii="Arial Narrow" w:hAnsi="Arial Narrow" w:cs="Arial"/>
                <w:b/>
                <w:sz w:val="18"/>
                <w:szCs w:val="18"/>
              </w:rPr>
            </w:pPr>
            <w:r w:rsidRPr="0046573B">
              <w:rPr>
                <w:rFonts w:ascii="Arial Narrow" w:hAnsi="Arial Narrow" w:cs="Calibri"/>
                <w:b/>
                <w:bCs/>
                <w:color w:val="000000"/>
                <w:kern w:val="0"/>
                <w:sz w:val="18"/>
                <w:szCs w:val="18"/>
              </w:rPr>
              <w:t>Pesi</w:t>
            </w:r>
          </w:p>
        </w:tc>
      </w:tr>
      <w:tr w:rsidR="00F36E1D" w:rsidRPr="00881841" w:rsidTr="00F36E1D">
        <w:trPr>
          <w:trHeight w:val="255"/>
        </w:trPr>
        <w:tc>
          <w:tcPr>
            <w:tcW w:w="4872" w:type="dxa"/>
            <w:vMerge/>
            <w:vAlign w:val="center"/>
            <w:hideMark/>
          </w:tcPr>
          <w:p w:rsidR="00F36E1D" w:rsidRPr="0046573B" w:rsidRDefault="00F36E1D" w:rsidP="00F36E1D">
            <w:pPr>
              <w:widowControl/>
              <w:overflowPunct/>
              <w:autoSpaceDE/>
              <w:autoSpaceDN/>
              <w:adjustRightInd/>
              <w:spacing w:before="0" w:after="0"/>
              <w:rPr>
                <w:rFonts w:ascii="Arial Narrow" w:hAnsi="Arial Narrow" w:cs="Calibri"/>
                <w:b/>
                <w:bCs/>
                <w:color w:val="000000"/>
                <w:kern w:val="0"/>
                <w:sz w:val="18"/>
                <w:szCs w:val="18"/>
              </w:rPr>
            </w:pPr>
          </w:p>
        </w:tc>
        <w:tc>
          <w:tcPr>
            <w:tcW w:w="1778" w:type="dxa"/>
            <w:shd w:val="clear" w:color="auto" w:fill="auto"/>
            <w:vAlign w:val="center"/>
            <w:hideMark/>
          </w:tcPr>
          <w:p w:rsidR="00F36E1D" w:rsidRPr="0046573B" w:rsidRDefault="00F36E1D" w:rsidP="00F36E1D">
            <w:pPr>
              <w:widowControl/>
              <w:overflowPunct/>
              <w:autoSpaceDE/>
              <w:adjustRightInd/>
              <w:spacing w:before="0" w:after="0"/>
              <w:jc w:val="center"/>
              <w:rPr>
                <w:rFonts w:ascii="Arial Narrow" w:hAnsi="Arial Narrow" w:cs="Calibri"/>
                <w:b/>
                <w:bCs/>
                <w:color w:val="000000"/>
                <w:kern w:val="0"/>
                <w:sz w:val="18"/>
                <w:szCs w:val="18"/>
              </w:rPr>
            </w:pPr>
            <w:r w:rsidRPr="0046573B">
              <w:rPr>
                <w:rFonts w:ascii="Arial Narrow" w:hAnsi="Arial Narrow" w:cs="Calibri"/>
                <w:b/>
                <w:bCs/>
                <w:color w:val="000000"/>
                <w:kern w:val="0"/>
                <w:sz w:val="18"/>
                <w:szCs w:val="18"/>
              </w:rPr>
              <w:t>NIC</w:t>
            </w:r>
          </w:p>
        </w:tc>
        <w:tc>
          <w:tcPr>
            <w:tcW w:w="1778" w:type="dxa"/>
            <w:shd w:val="clear" w:color="auto" w:fill="auto"/>
            <w:vAlign w:val="center"/>
            <w:hideMark/>
          </w:tcPr>
          <w:p w:rsidR="00F36E1D" w:rsidRPr="0046573B" w:rsidRDefault="00F36E1D" w:rsidP="00F36E1D">
            <w:pPr>
              <w:widowControl/>
              <w:overflowPunct/>
              <w:autoSpaceDE/>
              <w:adjustRightInd/>
              <w:spacing w:before="0" w:after="0"/>
              <w:jc w:val="center"/>
              <w:rPr>
                <w:rFonts w:ascii="Arial Narrow" w:hAnsi="Arial Narrow" w:cs="Calibri"/>
                <w:b/>
                <w:bCs/>
                <w:color w:val="000000"/>
                <w:kern w:val="0"/>
                <w:sz w:val="18"/>
                <w:szCs w:val="18"/>
              </w:rPr>
            </w:pPr>
            <w:r w:rsidRPr="0046573B">
              <w:rPr>
                <w:rFonts w:ascii="Arial Narrow" w:hAnsi="Arial Narrow" w:cs="Calibri"/>
                <w:b/>
                <w:bCs/>
                <w:color w:val="000000"/>
                <w:kern w:val="0"/>
                <w:sz w:val="18"/>
                <w:szCs w:val="18"/>
              </w:rPr>
              <w:t>IPCA</w:t>
            </w:r>
          </w:p>
        </w:tc>
        <w:tc>
          <w:tcPr>
            <w:tcW w:w="1778" w:type="dxa"/>
            <w:shd w:val="clear" w:color="auto" w:fill="auto"/>
            <w:vAlign w:val="center"/>
            <w:hideMark/>
          </w:tcPr>
          <w:p w:rsidR="00F36E1D" w:rsidRPr="0046573B" w:rsidRDefault="00F36E1D" w:rsidP="00F36E1D">
            <w:pPr>
              <w:widowControl/>
              <w:overflowPunct/>
              <w:autoSpaceDE/>
              <w:adjustRightInd/>
              <w:spacing w:before="0" w:after="0"/>
              <w:jc w:val="center"/>
              <w:rPr>
                <w:rFonts w:ascii="Arial Narrow" w:hAnsi="Arial Narrow" w:cs="Calibri"/>
                <w:b/>
                <w:bCs/>
                <w:color w:val="000000"/>
                <w:kern w:val="0"/>
                <w:sz w:val="18"/>
                <w:szCs w:val="18"/>
              </w:rPr>
            </w:pPr>
            <w:r w:rsidRPr="0046573B">
              <w:rPr>
                <w:rFonts w:ascii="Arial Narrow" w:hAnsi="Arial Narrow" w:cs="Calibri"/>
                <w:b/>
                <w:bCs/>
                <w:color w:val="000000"/>
                <w:kern w:val="0"/>
                <w:sz w:val="18"/>
                <w:szCs w:val="18"/>
              </w:rPr>
              <w:t>FOI</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Prodotti alimentari e bevande analcoliche</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18,3676</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19,4554</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17,2515</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Bevande alcoliche e tabacchi</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3,4038</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3,6056</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3,6654</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Abbigliamento e calzature</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6,3855</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7,3176</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7,1436</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Abitazione, acqua, elettricità e combustibili</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10,9684</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11,6179</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11,0001</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Mobili, articoli e servizi per la casa</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7,995</w:t>
            </w:r>
            <w:r>
              <w:rPr>
                <w:rFonts w:ascii="Arial Narrow" w:hAnsi="Arial Narrow" w:cs="Calibri"/>
                <w:color w:val="000000"/>
                <w:kern w:val="0"/>
                <w:sz w:val="18"/>
                <w:szCs w:val="18"/>
              </w:rPr>
              <w:t>0</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8,4989</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6,9834</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Servizi sanitari e spese per la salute</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8,8946</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4,6145</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7,1232</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Trasporti</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14,4843</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15,3242</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15,9564</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Comunicazioni</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2,5749</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2,7265</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2,9772</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Ricreazione, spettacoli e cultura</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7,054</w:t>
            </w:r>
            <w:r>
              <w:rPr>
                <w:rFonts w:ascii="Arial Narrow" w:hAnsi="Arial Narrow" w:cs="Calibri"/>
                <w:color w:val="000000"/>
                <w:kern w:val="0"/>
                <w:sz w:val="18"/>
                <w:szCs w:val="18"/>
              </w:rPr>
              <w:t>0</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5,7663</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7,4398</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Istruzione</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1,0835</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1,1474</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1,2182</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Servizi ricettivi e di ristorazione</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9,3754</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9,9319</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9,9741</w:t>
            </w:r>
          </w:p>
        </w:tc>
      </w:tr>
      <w:tr w:rsidR="00F36E1D" w:rsidRPr="00881841" w:rsidTr="00F36E1D">
        <w:trPr>
          <w:trHeight w:val="255"/>
        </w:trPr>
        <w:tc>
          <w:tcPr>
            <w:tcW w:w="4872" w:type="dxa"/>
            <w:vAlign w:val="center"/>
            <w:hideMark/>
          </w:tcPr>
          <w:p w:rsidR="00F36E1D" w:rsidRPr="0046573B" w:rsidRDefault="00F36E1D" w:rsidP="00F36E1D">
            <w:pPr>
              <w:widowControl/>
              <w:overflowPunct/>
              <w:autoSpaceDE/>
              <w:adjustRightInd/>
              <w:spacing w:before="0" w:after="0"/>
              <w:jc w:val="both"/>
              <w:rPr>
                <w:rFonts w:ascii="Arial Narrow" w:hAnsi="Arial Narrow" w:cs="Calibri"/>
                <w:color w:val="000000"/>
                <w:kern w:val="0"/>
                <w:sz w:val="18"/>
                <w:szCs w:val="18"/>
              </w:rPr>
            </w:pPr>
            <w:r w:rsidRPr="0046573B">
              <w:rPr>
                <w:rFonts w:ascii="Arial Narrow" w:hAnsi="Arial Narrow" w:cs="Calibri"/>
                <w:color w:val="000000"/>
                <w:kern w:val="0"/>
                <w:sz w:val="18"/>
                <w:szCs w:val="18"/>
              </w:rPr>
              <w:t xml:space="preserve">Altri beni e servizi </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9,413</w:t>
            </w:r>
            <w:r>
              <w:rPr>
                <w:rFonts w:ascii="Arial Narrow" w:hAnsi="Arial Narrow" w:cs="Calibri"/>
                <w:color w:val="000000"/>
                <w:kern w:val="0"/>
                <w:sz w:val="18"/>
                <w:szCs w:val="18"/>
              </w:rPr>
              <w:t>0</w:t>
            </w:r>
          </w:p>
        </w:tc>
        <w:tc>
          <w:tcPr>
            <w:tcW w:w="1778" w:type="dxa"/>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9,9938</w:t>
            </w:r>
          </w:p>
        </w:tc>
        <w:tc>
          <w:tcPr>
            <w:tcW w:w="1778" w:type="dxa"/>
            <w:shd w:val="clear" w:color="auto" w:fill="E6E6E6"/>
            <w:vAlign w:val="center"/>
            <w:hideMark/>
          </w:tcPr>
          <w:p w:rsidR="00F36E1D" w:rsidRPr="005519C4" w:rsidRDefault="00F36E1D" w:rsidP="00F36E1D">
            <w:pPr>
              <w:widowControl/>
              <w:overflowPunct/>
              <w:autoSpaceDE/>
              <w:autoSpaceDN/>
              <w:adjustRightInd/>
              <w:spacing w:before="0" w:after="0"/>
              <w:jc w:val="center"/>
              <w:rPr>
                <w:rFonts w:ascii="Arial Narrow" w:hAnsi="Arial Narrow" w:cs="Calibri"/>
                <w:color w:val="000000"/>
                <w:kern w:val="0"/>
                <w:sz w:val="18"/>
                <w:szCs w:val="18"/>
              </w:rPr>
            </w:pPr>
            <w:r w:rsidRPr="005519C4">
              <w:rPr>
                <w:rFonts w:ascii="Arial Narrow" w:hAnsi="Arial Narrow" w:cs="Calibri"/>
                <w:color w:val="000000"/>
                <w:kern w:val="0"/>
                <w:sz w:val="18"/>
                <w:szCs w:val="18"/>
              </w:rPr>
              <w:t>9,2671</w:t>
            </w:r>
          </w:p>
        </w:tc>
      </w:tr>
      <w:tr w:rsidR="00F36E1D" w:rsidRPr="00881841" w:rsidTr="00F36E1D">
        <w:trPr>
          <w:trHeight w:val="255"/>
        </w:trPr>
        <w:tc>
          <w:tcPr>
            <w:tcW w:w="4872" w:type="dxa"/>
            <w:shd w:val="clear" w:color="auto" w:fill="E31C18"/>
            <w:vAlign w:val="center"/>
            <w:hideMark/>
          </w:tcPr>
          <w:p w:rsidR="00F36E1D" w:rsidRPr="0046573B" w:rsidRDefault="00F36E1D" w:rsidP="00F36E1D">
            <w:pPr>
              <w:widowControl/>
              <w:overflowPunct/>
              <w:autoSpaceDE/>
              <w:adjustRightInd/>
              <w:spacing w:before="0" w:after="0"/>
              <w:rPr>
                <w:rFonts w:ascii="Arial Narrow" w:hAnsi="Arial Narrow" w:cs="Calibri"/>
                <w:b/>
                <w:bCs/>
                <w:color w:val="FFFFFF"/>
                <w:kern w:val="0"/>
                <w:sz w:val="18"/>
                <w:szCs w:val="18"/>
              </w:rPr>
            </w:pPr>
            <w:r w:rsidRPr="0046573B">
              <w:rPr>
                <w:rFonts w:ascii="Arial Narrow" w:hAnsi="Arial Narrow" w:cs="Calibri"/>
                <w:b/>
                <w:bCs/>
                <w:color w:val="FFFFFF"/>
                <w:kern w:val="0"/>
                <w:sz w:val="18"/>
                <w:szCs w:val="18"/>
              </w:rPr>
              <w:t>Indice generale</w:t>
            </w:r>
          </w:p>
        </w:tc>
        <w:tc>
          <w:tcPr>
            <w:tcW w:w="1778" w:type="dxa"/>
            <w:shd w:val="clear" w:color="auto" w:fill="E31C18"/>
            <w:vAlign w:val="center"/>
            <w:hideMark/>
          </w:tcPr>
          <w:p w:rsidR="00F36E1D" w:rsidRPr="00074AC4" w:rsidRDefault="00F36E1D" w:rsidP="00F36E1D">
            <w:pPr>
              <w:widowControl/>
              <w:overflowPunct/>
              <w:autoSpaceDE/>
              <w:adjustRightInd/>
              <w:spacing w:before="0" w:after="0"/>
              <w:jc w:val="center"/>
              <w:rPr>
                <w:rFonts w:ascii="Arial Narrow" w:hAnsi="Arial Narrow" w:cs="Calibri"/>
                <w:b/>
                <w:color w:val="FFFFFF" w:themeColor="background1"/>
                <w:kern w:val="0"/>
                <w:sz w:val="18"/>
                <w:szCs w:val="18"/>
              </w:rPr>
            </w:pPr>
            <w:r w:rsidRPr="00074AC4">
              <w:rPr>
                <w:rFonts w:ascii="Arial Narrow" w:hAnsi="Arial Narrow" w:cs="Calibri"/>
                <w:b/>
                <w:color w:val="FFFFFF" w:themeColor="background1"/>
                <w:kern w:val="0"/>
                <w:sz w:val="18"/>
                <w:szCs w:val="18"/>
              </w:rPr>
              <w:t>100,0000</w:t>
            </w:r>
          </w:p>
        </w:tc>
        <w:tc>
          <w:tcPr>
            <w:tcW w:w="1778" w:type="dxa"/>
            <w:shd w:val="clear" w:color="auto" w:fill="E31C18"/>
            <w:vAlign w:val="center"/>
            <w:hideMark/>
          </w:tcPr>
          <w:p w:rsidR="00F36E1D" w:rsidRPr="00074AC4" w:rsidRDefault="00F36E1D" w:rsidP="00F36E1D">
            <w:pPr>
              <w:widowControl/>
              <w:overflowPunct/>
              <w:autoSpaceDE/>
              <w:adjustRightInd/>
              <w:spacing w:before="0" w:after="0"/>
              <w:jc w:val="center"/>
              <w:rPr>
                <w:rFonts w:ascii="Arial Narrow" w:hAnsi="Arial Narrow" w:cs="Calibri"/>
                <w:b/>
                <w:color w:val="FFFFFF" w:themeColor="background1"/>
                <w:kern w:val="0"/>
                <w:sz w:val="18"/>
                <w:szCs w:val="18"/>
              </w:rPr>
            </w:pPr>
            <w:r w:rsidRPr="00074AC4">
              <w:rPr>
                <w:rFonts w:ascii="Arial Narrow" w:hAnsi="Arial Narrow" w:cs="Calibri"/>
                <w:b/>
                <w:color w:val="FFFFFF" w:themeColor="background1"/>
                <w:kern w:val="0"/>
                <w:sz w:val="18"/>
                <w:szCs w:val="18"/>
              </w:rPr>
              <w:t>100,0000</w:t>
            </w:r>
          </w:p>
        </w:tc>
        <w:tc>
          <w:tcPr>
            <w:tcW w:w="1778" w:type="dxa"/>
            <w:shd w:val="clear" w:color="auto" w:fill="E31C18"/>
            <w:vAlign w:val="center"/>
            <w:hideMark/>
          </w:tcPr>
          <w:p w:rsidR="00F36E1D" w:rsidRPr="00074AC4" w:rsidRDefault="00F36E1D" w:rsidP="00F36E1D">
            <w:pPr>
              <w:widowControl/>
              <w:overflowPunct/>
              <w:autoSpaceDE/>
              <w:adjustRightInd/>
              <w:spacing w:before="0" w:after="0"/>
              <w:jc w:val="center"/>
              <w:rPr>
                <w:rFonts w:ascii="Arial Narrow" w:hAnsi="Arial Narrow" w:cs="Calibri"/>
                <w:b/>
                <w:color w:val="FFFFFF" w:themeColor="background1"/>
                <w:kern w:val="0"/>
                <w:sz w:val="18"/>
                <w:szCs w:val="18"/>
              </w:rPr>
            </w:pPr>
            <w:r w:rsidRPr="00074AC4">
              <w:rPr>
                <w:rFonts w:ascii="Arial Narrow" w:hAnsi="Arial Narrow" w:cs="Calibri"/>
                <w:b/>
                <w:color w:val="FFFFFF" w:themeColor="background1"/>
                <w:kern w:val="0"/>
                <w:sz w:val="18"/>
                <w:szCs w:val="18"/>
              </w:rPr>
              <w:t>100,0000</w:t>
            </w:r>
          </w:p>
        </w:tc>
      </w:tr>
    </w:tbl>
    <w:p w:rsidR="00F36E1D" w:rsidRDefault="00F36E1D" w:rsidP="00F36E1D">
      <w:pPr>
        <w:tabs>
          <w:tab w:val="left" w:pos="10206"/>
        </w:tabs>
        <w:spacing w:before="0" w:after="120"/>
        <w:jc w:val="both"/>
        <w:rPr>
          <w:rFonts w:ascii="Arial" w:hAnsi="Arial" w:cs="Arial"/>
          <w:szCs w:val="21"/>
        </w:rPr>
      </w:pPr>
    </w:p>
    <w:p w:rsidR="00F36E1D" w:rsidRPr="00C8504B" w:rsidRDefault="00F36E1D" w:rsidP="00F36E1D">
      <w:pPr>
        <w:tabs>
          <w:tab w:val="left" w:pos="-788"/>
          <w:tab w:val="left" w:pos="-567"/>
          <w:tab w:val="left" w:pos="565"/>
          <w:tab w:val="left" w:pos="849"/>
          <w:tab w:val="left" w:pos="1132"/>
          <w:tab w:val="left" w:pos="1698"/>
          <w:tab w:val="left" w:pos="2264"/>
          <w:tab w:val="left" w:pos="2830"/>
          <w:tab w:val="left" w:pos="3396"/>
          <w:tab w:val="left" w:pos="3962"/>
          <w:tab w:val="left" w:pos="4528"/>
          <w:tab w:val="left" w:pos="5094"/>
          <w:tab w:val="left" w:pos="5660"/>
          <w:tab w:val="left" w:pos="6226"/>
          <w:tab w:val="left" w:pos="6792"/>
          <w:tab w:val="left" w:pos="7358"/>
          <w:tab w:val="left" w:pos="7924"/>
          <w:tab w:val="left" w:pos="8490"/>
          <w:tab w:val="left" w:pos="9056"/>
          <w:tab w:val="left" w:pos="9622"/>
        </w:tabs>
        <w:spacing w:before="0" w:after="120"/>
        <w:jc w:val="both"/>
        <w:rPr>
          <w:rFonts w:ascii="Arial" w:hAnsi="Arial" w:cs="Arial"/>
          <w:sz w:val="2"/>
        </w:rPr>
      </w:pPr>
    </w:p>
    <w:p w:rsidR="00F36E1D" w:rsidRPr="00C8504B" w:rsidRDefault="00F36E1D" w:rsidP="00F36E1D">
      <w:pPr>
        <w:pStyle w:val="Titolo4"/>
        <w:spacing w:before="0" w:after="120"/>
        <w:rPr>
          <w:rFonts w:ascii="Arial" w:hAnsi="Arial" w:cs="Arial"/>
          <w:bCs w:val="0"/>
          <w:i w:val="0"/>
          <w:color w:val="auto"/>
          <w:szCs w:val="22"/>
        </w:rPr>
      </w:pPr>
      <w:r w:rsidRPr="00C8504B">
        <w:rPr>
          <w:rFonts w:ascii="Arial" w:hAnsi="Arial" w:cs="Arial"/>
          <w:bCs w:val="0"/>
          <w:i w:val="0"/>
          <w:color w:val="auto"/>
          <w:szCs w:val="22"/>
        </w:rPr>
        <w:t xml:space="preserve">Indici nazionali e territoriali </w:t>
      </w:r>
    </w:p>
    <w:p w:rsidR="00F355C1" w:rsidRPr="00F07A0F" w:rsidRDefault="00F355C1" w:rsidP="00F355C1">
      <w:pPr>
        <w:spacing w:before="0" w:after="120"/>
        <w:jc w:val="both"/>
        <w:rPr>
          <w:rFonts w:ascii="Arial" w:hAnsi="Arial" w:cs="Arial"/>
          <w:szCs w:val="21"/>
        </w:rPr>
      </w:pPr>
      <w:r w:rsidRPr="00F07A0F">
        <w:rPr>
          <w:rFonts w:ascii="Arial" w:hAnsi="Arial" w:cs="Arial"/>
          <w:szCs w:val="21"/>
        </w:rPr>
        <w:t xml:space="preserve">La metodologia di calcolo degli indici dei prezzi al consumo prevede quattro diversi processi di sintesi degli indici di ciascun aggregato di prodotto calcolati per ogni capoluogo di provincia. </w:t>
      </w:r>
    </w:p>
    <w:p w:rsidR="00F355C1" w:rsidRPr="00C8504B" w:rsidRDefault="00F355C1" w:rsidP="00F355C1">
      <w:pPr>
        <w:spacing w:before="0" w:after="120"/>
        <w:ind w:firstLine="567"/>
        <w:jc w:val="both"/>
        <w:rPr>
          <w:rFonts w:ascii="Arial" w:hAnsi="Arial" w:cs="Arial"/>
          <w:szCs w:val="21"/>
        </w:rPr>
      </w:pPr>
      <w:r w:rsidRPr="00F07A0F">
        <w:rPr>
          <w:rFonts w:ascii="Arial" w:hAnsi="Arial" w:cs="Arial"/>
          <w:bCs/>
          <w:szCs w:val="21"/>
        </w:rPr>
        <w:t>L’</w:t>
      </w:r>
      <w:r w:rsidRPr="00F07A0F">
        <w:rPr>
          <w:rFonts w:ascii="Arial" w:hAnsi="Arial" w:cs="Arial"/>
          <w:bCs/>
          <w:i/>
          <w:szCs w:val="21"/>
        </w:rPr>
        <w:t>indice nazionale</w:t>
      </w:r>
      <w:r w:rsidRPr="00F07A0F">
        <w:rPr>
          <w:rFonts w:ascii="Arial" w:hAnsi="Arial" w:cs="Arial"/>
          <w:bCs/>
          <w:szCs w:val="21"/>
        </w:rPr>
        <w:t xml:space="preserve"> si ottiene nel modo seguente</w:t>
      </w:r>
      <w:r w:rsidRPr="00F07A0F">
        <w:rPr>
          <w:rFonts w:ascii="Arial" w:hAnsi="Arial" w:cs="Arial"/>
          <w:szCs w:val="21"/>
        </w:rPr>
        <w:t>:</w:t>
      </w:r>
    </w:p>
    <w:p w:rsidR="00F355C1" w:rsidRPr="00B629AE" w:rsidRDefault="00F355C1" w:rsidP="00F355C1">
      <w:pPr>
        <w:widowControl/>
        <w:numPr>
          <w:ilvl w:val="0"/>
          <w:numId w:val="27"/>
        </w:numPr>
        <w:tabs>
          <w:tab w:val="clear" w:pos="720"/>
          <w:tab w:val="left" w:pos="284"/>
        </w:tabs>
        <w:spacing w:before="0" w:after="120"/>
        <w:ind w:left="0" w:firstLine="0"/>
        <w:jc w:val="both"/>
        <w:rPr>
          <w:rFonts w:ascii="Arial" w:hAnsi="Arial" w:cs="Arial"/>
          <w:szCs w:val="21"/>
        </w:rPr>
      </w:pPr>
      <w:r w:rsidRPr="00B629AE">
        <w:rPr>
          <w:rFonts w:ascii="Arial" w:hAnsi="Arial" w:cs="Arial"/>
          <w:szCs w:val="21"/>
        </w:rPr>
        <w:t>si aggregano tra loro gli indici provinciali di aggregato di prodotto per costruire l’indice regionale di aggregato di prodotto. Per quanto riguarda i beni alimentari (esclusi i prodotti freschi) e per la cura della casa e della persona, gli indici regionali di aggregato di prodotto sono calcolati tenendo distinte le diverse tipologie distributive (ipermercati, supermercati, discount, libero servizio, specialist drug) per i quali si utilizzano le informazioni provenienti dai registratori elettronici di cassa (scanner data). Per un numero limitato di aggregati, l’indice viene calcolato integran</w:t>
      </w:r>
      <w:r>
        <w:rPr>
          <w:rFonts w:ascii="Arial" w:hAnsi="Arial" w:cs="Arial"/>
          <w:szCs w:val="21"/>
        </w:rPr>
        <w:t xml:space="preserve">do le informazioni provenienti </w:t>
      </w:r>
      <w:r w:rsidRPr="00B629AE">
        <w:rPr>
          <w:rFonts w:ascii="Arial" w:hAnsi="Arial" w:cs="Arial"/>
          <w:szCs w:val="21"/>
        </w:rPr>
        <w:t>dagli scanner data con quelle rilevate direttamente dagli Uffici Comunali di Statistica. I coefficienti di ponderazione adoperati per le sintesi degli indici provinciali si basano, in generale, sul peso di ciascun capoluogo di provincia in termini di popolazione residente;</w:t>
      </w:r>
    </w:p>
    <w:p w:rsidR="00F355C1" w:rsidRDefault="00F355C1" w:rsidP="00F355C1">
      <w:pPr>
        <w:widowControl/>
        <w:numPr>
          <w:ilvl w:val="0"/>
          <w:numId w:val="27"/>
        </w:numPr>
        <w:tabs>
          <w:tab w:val="clear" w:pos="720"/>
          <w:tab w:val="left" w:pos="284"/>
        </w:tabs>
        <w:spacing w:before="0" w:after="120"/>
        <w:ind w:left="0" w:firstLine="0"/>
        <w:jc w:val="both"/>
        <w:rPr>
          <w:rFonts w:ascii="Arial" w:hAnsi="Arial" w:cs="Arial"/>
          <w:szCs w:val="21"/>
        </w:rPr>
      </w:pPr>
      <w:r w:rsidRPr="001F5498">
        <w:rPr>
          <w:rFonts w:ascii="Arial" w:hAnsi="Arial" w:cs="Arial"/>
          <w:szCs w:val="21"/>
        </w:rPr>
        <w:t>si aggregano tra loro gli indici regionali di aggregato di prodotto per costruire l’indice nazionale di aggregato di prodotto. I coefficienti di ponderazione utilizzati si basano sul peso di ciascuna regione in termini di consumi delle famiglie;</w:t>
      </w:r>
    </w:p>
    <w:p w:rsidR="00F355C1" w:rsidRPr="00963ACB" w:rsidRDefault="00F355C1" w:rsidP="00F355C1">
      <w:pPr>
        <w:widowControl/>
        <w:numPr>
          <w:ilvl w:val="0"/>
          <w:numId w:val="27"/>
        </w:numPr>
        <w:tabs>
          <w:tab w:val="clear" w:pos="720"/>
          <w:tab w:val="left" w:pos="284"/>
        </w:tabs>
        <w:spacing w:before="0" w:after="120"/>
        <w:ind w:left="0" w:firstLine="0"/>
        <w:jc w:val="both"/>
        <w:rPr>
          <w:rFonts w:ascii="Arial" w:hAnsi="Arial" w:cs="Arial"/>
          <w:szCs w:val="21"/>
        </w:rPr>
      </w:pPr>
      <w:r w:rsidRPr="001F5498">
        <w:rPr>
          <w:rFonts w:ascii="Arial" w:hAnsi="Arial" w:cs="Arial"/>
          <w:szCs w:val="21"/>
        </w:rPr>
        <w:t>l’indice generale nazionale dei prezzi al consumo si ottiene come media ponderata degli indici nazionali di aggregato di prodotto. I coefficienti di ponderazione utilizzati si basano sul peso di ciascun aggregato di prodotto in termini di consumi delle famiglie.</w:t>
      </w:r>
    </w:p>
    <w:p w:rsidR="00F355C1" w:rsidRPr="00C8504B" w:rsidRDefault="00F355C1" w:rsidP="00F355C1">
      <w:pPr>
        <w:tabs>
          <w:tab w:val="left" w:pos="2098"/>
        </w:tabs>
        <w:spacing w:before="0" w:after="120"/>
        <w:ind w:firstLine="567"/>
        <w:jc w:val="both"/>
        <w:rPr>
          <w:rFonts w:ascii="Arial" w:hAnsi="Arial" w:cs="Arial"/>
          <w:szCs w:val="21"/>
        </w:rPr>
      </w:pPr>
      <w:r>
        <w:rPr>
          <w:rFonts w:ascii="Arial" w:hAnsi="Arial" w:cs="Arial"/>
          <w:bCs/>
          <w:szCs w:val="21"/>
        </w:rPr>
        <w:t xml:space="preserve">Gli </w:t>
      </w:r>
      <w:r>
        <w:rPr>
          <w:rFonts w:ascii="Arial" w:hAnsi="Arial" w:cs="Arial"/>
          <w:i/>
          <w:szCs w:val="21"/>
        </w:rPr>
        <w:t xml:space="preserve">indici per </w:t>
      </w:r>
      <w:r w:rsidRPr="00910289">
        <w:rPr>
          <w:rFonts w:ascii="Arial" w:hAnsi="Arial" w:cs="Arial"/>
          <w:bCs/>
          <w:i/>
          <w:szCs w:val="21"/>
        </w:rPr>
        <w:t>capoluogo di provincia</w:t>
      </w:r>
      <w:r>
        <w:rPr>
          <w:rFonts w:ascii="Arial" w:hAnsi="Arial" w:cs="Arial"/>
          <w:bCs/>
          <w:i/>
          <w:szCs w:val="21"/>
        </w:rPr>
        <w:t>, regione e</w:t>
      </w:r>
      <w:r w:rsidRPr="00910289">
        <w:rPr>
          <w:rFonts w:ascii="Arial" w:hAnsi="Arial" w:cs="Arial"/>
          <w:bCs/>
          <w:szCs w:val="21"/>
        </w:rPr>
        <w:t xml:space="preserve"> </w:t>
      </w:r>
      <w:r>
        <w:rPr>
          <w:rFonts w:ascii="Arial" w:hAnsi="Arial" w:cs="Arial"/>
          <w:i/>
          <w:szCs w:val="21"/>
        </w:rPr>
        <w:t>ripartizione geografica</w:t>
      </w:r>
      <w:r>
        <w:rPr>
          <w:rFonts w:ascii="Arial" w:hAnsi="Arial" w:cs="Arial"/>
          <w:szCs w:val="21"/>
        </w:rPr>
        <w:t xml:space="preserve"> si ottengono come segue:</w:t>
      </w:r>
    </w:p>
    <w:p w:rsidR="00F355C1" w:rsidRPr="00BE0AE9" w:rsidRDefault="00F355C1" w:rsidP="00F355C1">
      <w:pPr>
        <w:widowControl/>
        <w:numPr>
          <w:ilvl w:val="0"/>
          <w:numId w:val="13"/>
        </w:numPr>
        <w:tabs>
          <w:tab w:val="clear" w:pos="720"/>
          <w:tab w:val="left" w:pos="284"/>
        </w:tabs>
        <w:spacing w:before="0" w:after="120"/>
        <w:ind w:left="0" w:firstLine="0"/>
        <w:jc w:val="both"/>
        <w:rPr>
          <w:rFonts w:ascii="Arial" w:hAnsi="Arial" w:cs="Arial"/>
          <w:szCs w:val="21"/>
        </w:rPr>
      </w:pPr>
      <w:r w:rsidRPr="00BE0AE9">
        <w:rPr>
          <w:rFonts w:ascii="Arial" w:hAnsi="Arial" w:cs="Arial"/>
          <w:szCs w:val="21"/>
        </w:rPr>
        <w:t xml:space="preserve">l’indice generale per </w:t>
      </w:r>
      <w:r>
        <w:rPr>
          <w:rFonts w:ascii="Arial" w:hAnsi="Arial" w:cs="Arial"/>
          <w:szCs w:val="21"/>
        </w:rPr>
        <w:t xml:space="preserve">regione e per </w:t>
      </w:r>
      <w:r w:rsidRPr="00BE0AE9">
        <w:rPr>
          <w:rFonts w:ascii="Arial" w:hAnsi="Arial" w:cs="Arial"/>
          <w:szCs w:val="21"/>
        </w:rPr>
        <w:t xml:space="preserve">ripartizione geografica dei prezzi </w:t>
      </w:r>
      <w:r>
        <w:rPr>
          <w:rFonts w:ascii="Arial" w:hAnsi="Arial" w:cs="Arial"/>
          <w:szCs w:val="21"/>
        </w:rPr>
        <w:t xml:space="preserve">sono calcolati rispettivamente </w:t>
      </w:r>
      <w:r w:rsidRPr="00BE0AE9">
        <w:rPr>
          <w:rFonts w:ascii="Arial" w:hAnsi="Arial" w:cs="Arial"/>
          <w:szCs w:val="21"/>
        </w:rPr>
        <w:t xml:space="preserve">come media ponderata degli indici </w:t>
      </w:r>
      <w:r>
        <w:rPr>
          <w:rFonts w:ascii="Arial" w:hAnsi="Arial" w:cs="Arial"/>
          <w:szCs w:val="21"/>
        </w:rPr>
        <w:t xml:space="preserve">regionali e </w:t>
      </w:r>
      <w:r w:rsidRPr="00BE0AE9">
        <w:rPr>
          <w:rFonts w:ascii="Arial" w:hAnsi="Arial" w:cs="Arial"/>
          <w:szCs w:val="21"/>
        </w:rPr>
        <w:t>ripartizionali di aggregato di prodotto. I coefficienti di ponderazione utilizzat</w:t>
      </w:r>
      <w:r>
        <w:rPr>
          <w:rFonts w:ascii="Arial" w:hAnsi="Arial" w:cs="Arial"/>
          <w:szCs w:val="21"/>
        </w:rPr>
        <w:t>i si basano sul peso di ciascun</w:t>
      </w:r>
      <w:r w:rsidRPr="00BE0AE9">
        <w:rPr>
          <w:rFonts w:ascii="Arial" w:hAnsi="Arial" w:cs="Arial"/>
          <w:szCs w:val="21"/>
        </w:rPr>
        <w:t xml:space="preserve"> aggregato di prodotto in termini di consumi delle famiglie.</w:t>
      </w:r>
    </w:p>
    <w:p w:rsidR="00F355C1" w:rsidRDefault="00F355C1" w:rsidP="00F355C1">
      <w:pPr>
        <w:widowControl/>
        <w:numPr>
          <w:ilvl w:val="0"/>
          <w:numId w:val="13"/>
        </w:numPr>
        <w:tabs>
          <w:tab w:val="clear" w:pos="720"/>
          <w:tab w:val="left" w:pos="284"/>
        </w:tabs>
        <w:spacing w:before="0" w:after="120"/>
        <w:ind w:left="0" w:firstLine="0"/>
        <w:jc w:val="both"/>
        <w:rPr>
          <w:rFonts w:ascii="Arial" w:hAnsi="Arial" w:cs="Arial"/>
          <w:szCs w:val="21"/>
        </w:rPr>
      </w:pPr>
      <w:r>
        <w:rPr>
          <w:rFonts w:ascii="Arial" w:hAnsi="Arial" w:cs="Arial"/>
          <w:szCs w:val="21"/>
        </w:rPr>
        <w:t xml:space="preserve">l’indice generale provinciale si ottiene come media aritmetica ponderata </w:t>
      </w:r>
      <w:r w:rsidRPr="002C6C87">
        <w:rPr>
          <w:rFonts w:ascii="Arial" w:hAnsi="Arial" w:cs="Arial"/>
          <w:szCs w:val="21"/>
        </w:rPr>
        <w:t xml:space="preserve">degli aggregati di prodotto calcolati a livello di capoluogo di provincia. I coefficienti di ponderazione utilizzati si basano sul peso di ciascun aggregato di prodotto in termini di consumi delle famiglie. La struttura di ponderazione utilizzata è </w:t>
      </w:r>
      <w:r>
        <w:rPr>
          <w:rFonts w:ascii="Arial" w:hAnsi="Arial" w:cs="Arial"/>
          <w:szCs w:val="21"/>
        </w:rPr>
        <w:t xml:space="preserve">quella </w:t>
      </w:r>
      <w:r w:rsidRPr="002C6C87">
        <w:rPr>
          <w:rFonts w:ascii="Arial" w:hAnsi="Arial" w:cs="Arial"/>
          <w:szCs w:val="21"/>
        </w:rPr>
        <w:t>definita a livello regionale.</w:t>
      </w:r>
    </w:p>
    <w:p w:rsidR="00F36E1D" w:rsidRPr="00963ACB" w:rsidRDefault="00F36E1D" w:rsidP="00F36E1D">
      <w:pPr>
        <w:widowControl/>
        <w:tabs>
          <w:tab w:val="left" w:pos="284"/>
        </w:tabs>
        <w:spacing w:before="0" w:after="120"/>
        <w:jc w:val="both"/>
        <w:rPr>
          <w:rFonts w:ascii="Arial" w:hAnsi="Arial" w:cs="Arial"/>
          <w:szCs w:val="21"/>
        </w:rPr>
      </w:pPr>
    </w:p>
    <w:p w:rsidR="00F36E1D" w:rsidRPr="00833545" w:rsidRDefault="00F36E1D" w:rsidP="00F36E1D">
      <w:pPr>
        <w:tabs>
          <w:tab w:val="left" w:pos="10206"/>
        </w:tabs>
        <w:spacing w:before="0" w:after="120"/>
        <w:jc w:val="both"/>
        <w:rPr>
          <w:rFonts w:ascii="Arial" w:hAnsi="Arial" w:cs="Arial"/>
          <w:b/>
          <w:sz w:val="22"/>
          <w:szCs w:val="22"/>
        </w:rPr>
      </w:pPr>
      <w:r w:rsidRPr="00833545">
        <w:rPr>
          <w:rFonts w:ascii="Arial" w:hAnsi="Arial" w:cs="Arial"/>
          <w:b/>
          <w:sz w:val="22"/>
          <w:szCs w:val="22"/>
        </w:rPr>
        <w:t>Classificazione degli indici dei prezzi al consumo</w:t>
      </w:r>
    </w:p>
    <w:p w:rsidR="00F355C1" w:rsidRDefault="00F355C1" w:rsidP="00F355C1">
      <w:pPr>
        <w:widowControl/>
        <w:tabs>
          <w:tab w:val="left" w:pos="10206"/>
        </w:tabs>
        <w:overflowPunct/>
        <w:spacing w:before="0" w:after="120"/>
        <w:jc w:val="both"/>
        <w:rPr>
          <w:rFonts w:ascii="Arial" w:hAnsi="Arial" w:cs="Arial"/>
          <w:szCs w:val="21"/>
        </w:rPr>
      </w:pPr>
      <w:r w:rsidRPr="00320159">
        <w:rPr>
          <w:rFonts w:ascii="Arial" w:hAnsi="Arial" w:cs="Arial"/>
          <w:szCs w:val="21"/>
        </w:rPr>
        <w:t xml:space="preserve">La classificazione adottata per gli indici dei prezzi al consumo è la </w:t>
      </w:r>
      <w:r w:rsidRPr="00320159">
        <w:rPr>
          <w:rFonts w:ascii="Arial" w:hAnsi="Arial" w:cs="Arial"/>
          <w:i/>
          <w:szCs w:val="21"/>
        </w:rPr>
        <w:t xml:space="preserve">European </w:t>
      </w:r>
      <w:r w:rsidRPr="00320159">
        <w:rPr>
          <w:rFonts w:ascii="Arial" w:hAnsi="Arial" w:cs="Arial"/>
          <w:i/>
          <w:iCs/>
          <w:szCs w:val="21"/>
        </w:rPr>
        <w:t>Classification of Individual Consumption by Purpose</w:t>
      </w:r>
      <w:r w:rsidRPr="00320159">
        <w:rPr>
          <w:rFonts w:ascii="Arial" w:hAnsi="Arial" w:cs="Arial"/>
          <w:szCs w:val="21"/>
        </w:rPr>
        <w:t xml:space="preserve"> (ECO</w:t>
      </w:r>
      <w:r>
        <w:rPr>
          <w:rFonts w:ascii="Arial" w:hAnsi="Arial" w:cs="Arial"/>
          <w:szCs w:val="21"/>
        </w:rPr>
        <w:t>I</w:t>
      </w:r>
      <w:r w:rsidRPr="00320159">
        <w:rPr>
          <w:rFonts w:ascii="Arial" w:hAnsi="Arial" w:cs="Arial"/>
          <w:szCs w:val="21"/>
        </w:rPr>
        <w:t>COP), allegata al nuovo Regolamento quadro europeo degli indici dei prezzi al consumo armonizzati e dell’indice dei prezzi delle abitazioni (</w:t>
      </w:r>
      <w:r w:rsidRPr="00320159">
        <w:rPr>
          <w:rFonts w:ascii="Arial" w:hAnsi="Arial" w:cs="Arial"/>
          <w:b/>
          <w:szCs w:val="21"/>
        </w:rPr>
        <w:t>Reg. n. 2016/792</w:t>
      </w:r>
      <w:r w:rsidRPr="00320159">
        <w:rPr>
          <w:rFonts w:ascii="Arial" w:hAnsi="Arial" w:cs="Arial"/>
          <w:szCs w:val="21"/>
        </w:rPr>
        <w:t>). La struttura gerarchica prevista secondo la classificazione ECO</w:t>
      </w:r>
      <w:r>
        <w:rPr>
          <w:rFonts w:ascii="Arial" w:hAnsi="Arial" w:cs="Arial"/>
          <w:szCs w:val="21"/>
        </w:rPr>
        <w:t>I</w:t>
      </w:r>
      <w:r w:rsidRPr="00320159">
        <w:rPr>
          <w:rFonts w:ascii="Arial" w:hAnsi="Arial" w:cs="Arial"/>
          <w:szCs w:val="21"/>
        </w:rPr>
        <w:t>COP presenta quattro livelli di disaggregazione: Divisioni di spesa, Gruppi di prodotto, Classi di prodotto e Sottoclassi di prodotto (in luogo dei primi tre livelli della classificazione COICOP vigente fino a dicembre 2015).</w:t>
      </w:r>
    </w:p>
    <w:p w:rsidR="00F355C1" w:rsidRPr="00DC0F68" w:rsidRDefault="00F355C1" w:rsidP="00F355C1">
      <w:pPr>
        <w:widowControl/>
        <w:tabs>
          <w:tab w:val="left" w:pos="10206"/>
        </w:tabs>
        <w:overflowPunct/>
        <w:spacing w:before="0" w:after="120"/>
        <w:jc w:val="both"/>
        <w:rPr>
          <w:rFonts w:ascii="Arial" w:hAnsi="Arial" w:cs="Arial"/>
          <w:szCs w:val="21"/>
        </w:rPr>
      </w:pPr>
      <w:r>
        <w:rPr>
          <w:rFonts w:ascii="Arial" w:hAnsi="Arial" w:cs="Arial"/>
          <w:szCs w:val="21"/>
        </w:rPr>
        <w:t>Ai fini del calcolo degli indici dei prezzi al consumo, le Sottoclassi di prodotto sono ulteriormente disaggregate in Segmenti di consumo.</w:t>
      </w:r>
    </w:p>
    <w:p w:rsidR="00F355C1" w:rsidRPr="00E7690A" w:rsidRDefault="00F355C1" w:rsidP="00F355C1">
      <w:pPr>
        <w:widowControl/>
        <w:tabs>
          <w:tab w:val="left" w:pos="10206"/>
        </w:tabs>
        <w:overflowPunct/>
        <w:spacing w:before="0" w:after="120"/>
        <w:jc w:val="both"/>
        <w:rPr>
          <w:rFonts w:ascii="Arial" w:hAnsi="Arial" w:cs="Arial"/>
          <w:szCs w:val="21"/>
        </w:rPr>
      </w:pPr>
      <w:r w:rsidRPr="00E7690A">
        <w:rPr>
          <w:rFonts w:ascii="Arial" w:hAnsi="Arial" w:cs="Arial"/>
          <w:szCs w:val="21"/>
        </w:rPr>
        <w:t>In base alla struttura di classificazione degli indici e al dettaglio territoriale, gli indici NIC sono pubblicati fino al livello dei segmenti di consumo se riferiti all’intero territorio nazionale</w:t>
      </w:r>
      <w:r w:rsidRPr="00E7690A">
        <w:rPr>
          <w:rFonts w:ascii="Arial" w:hAnsi="Arial"/>
          <w:szCs w:val="21"/>
          <w:vertAlign w:val="superscript"/>
        </w:rPr>
        <w:footnoteReference w:id="5"/>
      </w:r>
      <w:r w:rsidRPr="00E7690A">
        <w:rPr>
          <w:rFonts w:ascii="Arial" w:hAnsi="Arial" w:cs="Arial"/>
          <w:szCs w:val="21"/>
        </w:rPr>
        <w:t xml:space="preserve">, fino a quello dei gruppi di prodotto se riferiti a ripartizione, regione e provincia. Gli indici FOI sono diffusi a livello nazionale e provinciale fino alle divisioni di spesa. </w:t>
      </w:r>
    </w:p>
    <w:p w:rsidR="00F36E1D" w:rsidRDefault="00F355C1" w:rsidP="00F355C1">
      <w:pPr>
        <w:widowControl/>
        <w:overflowPunct/>
        <w:spacing w:before="0" w:after="120"/>
        <w:jc w:val="both"/>
        <w:rPr>
          <w:rFonts w:ascii="Arial" w:hAnsi="Arial" w:cs="Arial"/>
        </w:rPr>
      </w:pPr>
      <w:r>
        <w:rPr>
          <w:rFonts w:ascii="Arial" w:hAnsi="Arial" w:cs="Arial"/>
        </w:rPr>
        <w:t>In aggiunta, sia con riferimento all’indice NIC sia all’IPCA, vengono calcolati indici dei prezzi basati su schemi classificatori alternativi alla classificazione ECOICOP, rispettivamente gli indici per tipologia di prodotto e quelli degli aggregati speciali (IPCA-AS). In particolare,</w:t>
      </w:r>
      <w:r>
        <w:rPr>
          <w:rFonts w:ascii="Arial" w:hAnsi="Arial" w:cs="Arial"/>
          <w:szCs w:val="21"/>
        </w:rPr>
        <w:t xml:space="preserve"> </w:t>
      </w:r>
      <w:r>
        <w:rPr>
          <w:rFonts w:ascii="Arial" w:hAnsi="Arial" w:cs="Arial"/>
        </w:rPr>
        <w:t>g</w:t>
      </w:r>
      <w:r w:rsidRPr="000E4583">
        <w:rPr>
          <w:rFonts w:ascii="Arial" w:hAnsi="Arial" w:cs="Arial"/>
        </w:rPr>
        <w:t>li IPCA-AS sono elaborati adottando lo stesso metodo di calcolo utilizzato</w:t>
      </w:r>
      <w:r>
        <w:rPr>
          <w:rFonts w:ascii="Arial" w:hAnsi="Arial" w:cs="Arial"/>
        </w:rPr>
        <w:t xml:space="preserve"> da Eurostat (diverso</w:t>
      </w:r>
      <w:r w:rsidRPr="000E4583">
        <w:rPr>
          <w:rFonts w:ascii="Arial" w:hAnsi="Arial" w:cs="Arial"/>
        </w:rPr>
        <w:t xml:space="preserve"> da quello </w:t>
      </w:r>
      <w:r>
        <w:rPr>
          <w:rFonts w:ascii="Arial" w:hAnsi="Arial" w:cs="Arial"/>
        </w:rPr>
        <w:t>adottato</w:t>
      </w:r>
      <w:r w:rsidRPr="000E4583">
        <w:rPr>
          <w:rFonts w:ascii="Arial" w:hAnsi="Arial" w:cs="Arial"/>
        </w:rPr>
        <w:t xml:space="preserve"> per le tipologie di prodotto del NIC), al fine di permettere </w:t>
      </w:r>
      <w:r>
        <w:rPr>
          <w:rFonts w:ascii="Arial" w:hAnsi="Arial" w:cs="Arial"/>
        </w:rPr>
        <w:t>l</w:t>
      </w:r>
      <w:r w:rsidRPr="000E4583">
        <w:rPr>
          <w:rFonts w:ascii="Arial" w:hAnsi="Arial" w:cs="Arial"/>
        </w:rPr>
        <w:t>a piena</w:t>
      </w:r>
      <w:r>
        <w:rPr>
          <w:rFonts w:ascii="Arial" w:hAnsi="Arial" w:cs="Arial"/>
        </w:rPr>
        <w:t xml:space="preserve"> </w:t>
      </w:r>
      <w:r w:rsidRPr="000E4583">
        <w:rPr>
          <w:rFonts w:ascii="Arial" w:hAnsi="Arial" w:cs="Arial"/>
        </w:rPr>
        <w:t xml:space="preserve">comparabilità tra gli indici italiani e quelli elaborati da Eurostat per l’Ue, la zona euro e gli altri </w:t>
      </w:r>
      <w:r w:rsidRPr="00FE6E08">
        <w:rPr>
          <w:rFonts w:ascii="Arial" w:hAnsi="Arial" w:cs="Arial"/>
        </w:rPr>
        <w:t>Paesi europei</w:t>
      </w:r>
      <w:r w:rsidRPr="00FE6E08">
        <w:rPr>
          <w:rFonts w:ascii="Arial" w:hAnsi="Arial"/>
          <w:vertAlign w:val="superscript"/>
        </w:rPr>
        <w:footnoteReference w:id="6"/>
      </w:r>
      <w:r w:rsidRPr="00FE6E08">
        <w:rPr>
          <w:rFonts w:ascii="Arial" w:hAnsi="Arial" w:cs="Arial"/>
        </w:rPr>
        <w:t xml:space="preserve">. Gli </w:t>
      </w:r>
      <w:r w:rsidR="00F36E1D" w:rsidRPr="00FE6E08">
        <w:rPr>
          <w:rFonts w:ascii="Arial" w:hAnsi="Arial" w:cs="Arial"/>
        </w:rPr>
        <w:lastRenderedPageBreak/>
        <w:t>IPCA-AS a partire dai dati definitivi di gennaio 2019 sono calcolati aggregando gli indici delle sottoclassi della ECOICOP (in precedenza, per il computo di questi indicatori erano utilizzati gli indici delle classi). Per una migliore fruibilità dei nuovi indicatori, le serie degli aggregati speciali, secondo il nuovo schema, sono state ricostruite per il periodo gennaio 2017 - dicembre 2018.</w:t>
      </w:r>
    </w:p>
    <w:p w:rsidR="00F36E1D" w:rsidRPr="008E006C" w:rsidRDefault="00F36E1D" w:rsidP="00F36E1D">
      <w:pPr>
        <w:widowControl/>
        <w:tabs>
          <w:tab w:val="left" w:pos="10206"/>
        </w:tabs>
        <w:overflowPunct/>
        <w:spacing w:before="0" w:after="120"/>
        <w:jc w:val="both"/>
        <w:rPr>
          <w:rFonts w:ascii="Arial" w:hAnsi="Arial" w:cs="Arial"/>
          <w:szCs w:val="21"/>
        </w:rPr>
      </w:pPr>
    </w:p>
    <w:p w:rsidR="00F36E1D" w:rsidRPr="00833545" w:rsidRDefault="00F36E1D" w:rsidP="00F36E1D">
      <w:pPr>
        <w:pStyle w:val="Rientrocorpodeltesto"/>
        <w:spacing w:before="0"/>
        <w:ind w:left="0" w:hanging="1"/>
        <w:rPr>
          <w:rFonts w:ascii="Arial" w:hAnsi="Arial" w:cs="Arial"/>
          <w:b/>
          <w:bCs/>
          <w:szCs w:val="22"/>
        </w:rPr>
      </w:pPr>
      <w:r w:rsidRPr="00833545">
        <w:rPr>
          <w:rFonts w:ascii="Arial" w:hAnsi="Arial" w:cs="Arial"/>
          <w:b/>
          <w:bCs/>
          <w:szCs w:val="22"/>
        </w:rPr>
        <w:t>Rilevazione e calcolo degli indici dei prezzi dei prodotti stagionali</w:t>
      </w:r>
    </w:p>
    <w:p w:rsidR="00F355C1" w:rsidRDefault="00F355C1" w:rsidP="00F355C1">
      <w:pPr>
        <w:spacing w:before="0" w:after="120"/>
        <w:jc w:val="both"/>
        <w:rPr>
          <w:rFonts w:ascii="Arial" w:hAnsi="Arial" w:cs="Arial"/>
        </w:rPr>
      </w:pPr>
      <w:r>
        <w:rPr>
          <w:rFonts w:ascii="Arial" w:hAnsi="Arial" w:cs="Arial"/>
        </w:rPr>
        <w:t>Dai dati di gennaio 2011 viene adottata la met</w:t>
      </w:r>
      <w:r w:rsidRPr="00463B41">
        <w:rPr>
          <w:rFonts w:ascii="Arial" w:hAnsi="Arial" w:cs="Arial"/>
        </w:rPr>
        <w:t xml:space="preserve">odologia di rilevazione e calcolo degli indici dei prezzi dei prodotti stagionali, </w:t>
      </w:r>
      <w:r w:rsidRPr="008C214F">
        <w:rPr>
          <w:rFonts w:ascii="Arial" w:hAnsi="Arial" w:cs="Arial"/>
        </w:rPr>
        <w:t xml:space="preserve">conforme alle norme previste </w:t>
      </w:r>
      <w:r>
        <w:rPr>
          <w:rFonts w:ascii="Arial" w:hAnsi="Arial" w:cs="Arial"/>
        </w:rPr>
        <w:t xml:space="preserve">prima dal Regolamento </w:t>
      </w:r>
      <w:r w:rsidRPr="00FC6C36">
        <w:rPr>
          <w:rFonts w:ascii="Arial" w:hAnsi="Arial" w:cs="Arial"/>
        </w:rPr>
        <w:t xml:space="preserve">(CE) n. 330/2009 del 22 aprile 2009 </w:t>
      </w:r>
      <w:r>
        <w:rPr>
          <w:rFonts w:ascii="Arial" w:hAnsi="Arial" w:cs="Arial"/>
        </w:rPr>
        <w:t>e poi dal</w:t>
      </w:r>
      <w:r w:rsidRPr="009927F3">
        <w:rPr>
          <w:rFonts w:ascii="Arial" w:hAnsi="Arial" w:cs="Arial"/>
        </w:rPr>
        <w:t xml:space="preserve"> Regolamento di Esecuzione (UE) n. 2020/1148 della Commissione del 31 luglio 2020</w:t>
      </w:r>
      <w:r>
        <w:rPr>
          <w:rFonts w:ascii="Arial" w:hAnsi="Arial" w:cs="Arial"/>
        </w:rPr>
        <w:t xml:space="preserve"> (che ha abrogato il Regolamento 330/2009)</w:t>
      </w:r>
      <w:r w:rsidRPr="008C214F">
        <w:rPr>
          <w:rFonts w:ascii="Arial" w:hAnsi="Arial" w:cs="Arial"/>
        </w:rPr>
        <w:t xml:space="preserve">, per i prodotti stagionali appartenenti </w:t>
      </w:r>
      <w:r>
        <w:rPr>
          <w:rFonts w:ascii="Arial" w:hAnsi="Arial" w:cs="Arial"/>
        </w:rPr>
        <w:t>ai gruppi e classi di prodotto</w:t>
      </w:r>
      <w:r w:rsidRPr="008C214F">
        <w:rPr>
          <w:rFonts w:ascii="Arial" w:hAnsi="Arial" w:cs="Arial"/>
        </w:rPr>
        <w:t xml:space="preserve"> </w:t>
      </w:r>
      <w:r w:rsidRPr="008C214F">
        <w:rPr>
          <w:rFonts w:ascii="Arial" w:hAnsi="Arial" w:cs="Arial"/>
          <w:i/>
        </w:rPr>
        <w:t>Frutta,</w:t>
      </w:r>
      <w:r w:rsidRPr="008C214F">
        <w:rPr>
          <w:rFonts w:ascii="Arial" w:hAnsi="Arial" w:cs="Arial"/>
        </w:rPr>
        <w:t xml:space="preserve"> </w:t>
      </w:r>
      <w:r w:rsidRPr="008C214F">
        <w:rPr>
          <w:rFonts w:ascii="Arial" w:hAnsi="Arial" w:cs="Arial"/>
          <w:i/>
        </w:rPr>
        <w:t>Vegetali</w:t>
      </w:r>
      <w:r w:rsidRPr="008C214F">
        <w:rPr>
          <w:rFonts w:ascii="Arial" w:hAnsi="Arial" w:cs="Arial"/>
        </w:rPr>
        <w:t xml:space="preserve">, </w:t>
      </w:r>
      <w:r w:rsidRPr="008C214F">
        <w:rPr>
          <w:rFonts w:ascii="Arial" w:hAnsi="Arial" w:cs="Arial"/>
          <w:i/>
        </w:rPr>
        <w:t>Abbigliamento e Calzature</w:t>
      </w:r>
      <w:r w:rsidRPr="008C214F">
        <w:rPr>
          <w:rFonts w:ascii="Arial" w:hAnsi="Arial" w:cs="Arial"/>
        </w:rPr>
        <w:t>.</w:t>
      </w:r>
      <w:r>
        <w:rPr>
          <w:rFonts w:ascii="Arial" w:hAnsi="Arial" w:cs="Arial"/>
        </w:rPr>
        <w:t xml:space="preserve"> La</w:t>
      </w:r>
      <w:r w:rsidRPr="00463B41">
        <w:rPr>
          <w:rFonts w:ascii="Arial" w:hAnsi="Arial" w:cs="Arial"/>
        </w:rPr>
        <w:t xml:space="preserve"> metodologia è </w:t>
      </w:r>
      <w:r>
        <w:rPr>
          <w:rFonts w:ascii="Arial" w:hAnsi="Arial" w:cs="Arial"/>
        </w:rPr>
        <w:t>adottata</w:t>
      </w:r>
      <w:r w:rsidRPr="00463B41">
        <w:rPr>
          <w:rFonts w:ascii="Arial" w:hAnsi="Arial" w:cs="Arial"/>
        </w:rPr>
        <w:t xml:space="preserve"> per</w:t>
      </w:r>
      <w:r>
        <w:rPr>
          <w:rFonts w:ascii="Arial" w:hAnsi="Arial" w:cs="Arial"/>
        </w:rPr>
        <w:t xml:space="preserve"> i tre</w:t>
      </w:r>
      <w:r w:rsidRPr="00463B41">
        <w:rPr>
          <w:rFonts w:ascii="Arial" w:hAnsi="Arial" w:cs="Arial"/>
        </w:rPr>
        <w:t xml:space="preserve"> indici NIC</w:t>
      </w:r>
      <w:r>
        <w:rPr>
          <w:rFonts w:ascii="Arial" w:hAnsi="Arial" w:cs="Arial"/>
        </w:rPr>
        <w:t>,</w:t>
      </w:r>
      <w:r w:rsidRPr="00463B41">
        <w:rPr>
          <w:rFonts w:ascii="Arial" w:hAnsi="Arial" w:cs="Arial"/>
        </w:rPr>
        <w:t xml:space="preserve"> FOI</w:t>
      </w:r>
      <w:r>
        <w:rPr>
          <w:rFonts w:ascii="Arial" w:hAnsi="Arial" w:cs="Arial"/>
        </w:rPr>
        <w:t xml:space="preserve"> e IPCA</w:t>
      </w:r>
      <w:r w:rsidRPr="00463B41">
        <w:rPr>
          <w:rFonts w:ascii="Arial" w:hAnsi="Arial" w:cs="Arial"/>
        </w:rPr>
        <w:t>.</w:t>
      </w:r>
    </w:p>
    <w:p w:rsidR="00F355C1" w:rsidRPr="00EF5CEA" w:rsidRDefault="00F355C1" w:rsidP="00F355C1">
      <w:pPr>
        <w:spacing w:before="0" w:after="120"/>
        <w:jc w:val="both"/>
        <w:rPr>
          <w:rFonts w:ascii="Arial" w:hAnsi="Arial" w:cs="Arial"/>
        </w:rPr>
      </w:pPr>
      <w:r w:rsidRPr="00EF5CEA">
        <w:rPr>
          <w:rFonts w:ascii="Arial" w:hAnsi="Arial" w:cs="Arial"/>
        </w:rPr>
        <w:t xml:space="preserve">Secondo il citato Regolamento si definisce </w:t>
      </w:r>
      <w:r w:rsidRPr="00EF5CEA">
        <w:rPr>
          <w:rFonts w:ascii="Arial" w:hAnsi="Arial" w:cs="Arial"/>
          <w:i/>
        </w:rPr>
        <w:t>prodotto stagionale</w:t>
      </w:r>
      <w:r w:rsidRPr="00EF5CEA">
        <w:rPr>
          <w:rFonts w:ascii="Arial" w:hAnsi="Arial" w:cs="Arial"/>
        </w:rPr>
        <w:t xml:space="preserve"> </w:t>
      </w:r>
      <w:r w:rsidRPr="00BA7814">
        <w:rPr>
          <w:rFonts w:ascii="Arial" w:hAnsi="Arial" w:cs="Arial"/>
        </w:rPr>
        <w:t>un singolo prodotto acquistabile o acquistato in quantità significative solo durante una parte</w:t>
      </w:r>
      <w:r>
        <w:rPr>
          <w:rFonts w:ascii="Arial" w:hAnsi="Arial" w:cs="Arial"/>
        </w:rPr>
        <w:t xml:space="preserve"> </w:t>
      </w:r>
      <w:r w:rsidRPr="00BA7814">
        <w:rPr>
          <w:rFonts w:ascii="Arial" w:hAnsi="Arial" w:cs="Arial"/>
        </w:rPr>
        <w:t>dell’anno secondo uno schema ricorrente</w:t>
      </w:r>
      <w:r w:rsidRPr="00EF5CEA">
        <w:rPr>
          <w:rFonts w:ascii="Arial" w:hAnsi="Arial" w:cs="Arial"/>
        </w:rPr>
        <w:t xml:space="preserve">. </w:t>
      </w:r>
    </w:p>
    <w:p w:rsidR="00F355C1" w:rsidRDefault="00F355C1" w:rsidP="00F355C1">
      <w:pPr>
        <w:pStyle w:val="Default"/>
        <w:spacing w:after="120"/>
        <w:jc w:val="both"/>
        <w:rPr>
          <w:rFonts w:ascii="Arial" w:hAnsi="Arial" w:cs="Arial"/>
          <w:sz w:val="20"/>
          <w:szCs w:val="20"/>
        </w:rPr>
      </w:pPr>
      <w:r w:rsidRPr="00463B41">
        <w:rPr>
          <w:rFonts w:ascii="Arial" w:hAnsi="Arial" w:cs="Arial"/>
          <w:sz w:val="20"/>
          <w:szCs w:val="20"/>
        </w:rPr>
        <w:t>Il Regolamento stabilisce</w:t>
      </w:r>
      <w:r>
        <w:rPr>
          <w:rFonts w:ascii="Arial" w:hAnsi="Arial" w:cs="Arial"/>
          <w:sz w:val="20"/>
          <w:szCs w:val="20"/>
        </w:rPr>
        <w:t>,</w:t>
      </w:r>
      <w:r w:rsidRPr="00463B41">
        <w:rPr>
          <w:rFonts w:ascii="Arial" w:hAnsi="Arial" w:cs="Arial"/>
          <w:sz w:val="20"/>
          <w:szCs w:val="20"/>
        </w:rPr>
        <w:t xml:space="preserve"> inoltre</w:t>
      </w:r>
      <w:r>
        <w:rPr>
          <w:rFonts w:ascii="Arial" w:hAnsi="Arial" w:cs="Arial"/>
          <w:sz w:val="20"/>
          <w:szCs w:val="20"/>
        </w:rPr>
        <w:t>,</w:t>
      </w:r>
      <w:r w:rsidRPr="00463B41">
        <w:rPr>
          <w:rFonts w:ascii="Arial" w:hAnsi="Arial" w:cs="Arial"/>
          <w:sz w:val="20"/>
          <w:szCs w:val="20"/>
        </w:rPr>
        <w:t xml:space="preserve"> che, in un dato mese, i prodotti stagionali </w:t>
      </w:r>
      <w:r>
        <w:rPr>
          <w:rFonts w:ascii="Arial" w:hAnsi="Arial" w:cs="Arial"/>
          <w:sz w:val="20"/>
          <w:szCs w:val="20"/>
        </w:rPr>
        <w:t>siano</w:t>
      </w:r>
      <w:r w:rsidRPr="00463B41">
        <w:rPr>
          <w:rFonts w:ascii="Arial" w:hAnsi="Arial" w:cs="Arial"/>
          <w:sz w:val="20"/>
          <w:szCs w:val="20"/>
        </w:rPr>
        <w:t xml:space="preserve"> considerati “in stagione” o “fuori stagione”. Sulla base di tale norma</w:t>
      </w:r>
      <w:r>
        <w:rPr>
          <w:rFonts w:ascii="Arial" w:hAnsi="Arial" w:cs="Arial"/>
          <w:sz w:val="20"/>
          <w:szCs w:val="20"/>
        </w:rPr>
        <w:t xml:space="preserve">, ogni anno, l’Istat provvede alla definizione del </w:t>
      </w:r>
      <w:r w:rsidRPr="00463B41">
        <w:rPr>
          <w:rFonts w:ascii="Arial" w:hAnsi="Arial" w:cs="Arial"/>
          <w:sz w:val="20"/>
          <w:szCs w:val="20"/>
        </w:rPr>
        <w:t xml:space="preserve">calendario mensile </w:t>
      </w:r>
      <w:r>
        <w:rPr>
          <w:rFonts w:ascii="Arial" w:hAnsi="Arial" w:cs="Arial"/>
          <w:sz w:val="20"/>
          <w:szCs w:val="20"/>
        </w:rPr>
        <w:t xml:space="preserve">valido </w:t>
      </w:r>
      <w:r w:rsidRPr="00463B41">
        <w:rPr>
          <w:rFonts w:ascii="Arial" w:hAnsi="Arial" w:cs="Arial"/>
          <w:sz w:val="20"/>
          <w:szCs w:val="20"/>
        </w:rPr>
        <w:t xml:space="preserve">per tutto </w:t>
      </w:r>
      <w:r>
        <w:rPr>
          <w:rFonts w:ascii="Arial" w:hAnsi="Arial" w:cs="Arial"/>
          <w:sz w:val="20"/>
          <w:szCs w:val="20"/>
        </w:rPr>
        <w:t>l’anno</w:t>
      </w:r>
      <w:r w:rsidRPr="00463B41">
        <w:rPr>
          <w:rFonts w:ascii="Arial" w:hAnsi="Arial" w:cs="Arial"/>
          <w:sz w:val="20"/>
          <w:szCs w:val="20"/>
        </w:rPr>
        <w:t xml:space="preserve">, che stabilisce in un dato mese quando </w:t>
      </w:r>
      <w:r>
        <w:rPr>
          <w:rFonts w:ascii="Arial" w:hAnsi="Arial" w:cs="Arial"/>
          <w:sz w:val="20"/>
          <w:szCs w:val="20"/>
        </w:rPr>
        <w:t>ogni</w:t>
      </w:r>
      <w:r w:rsidRPr="00463B41">
        <w:rPr>
          <w:rFonts w:ascii="Arial" w:hAnsi="Arial" w:cs="Arial"/>
          <w:sz w:val="20"/>
          <w:szCs w:val="20"/>
        </w:rPr>
        <w:t xml:space="preserve"> specifico prodotto, appartenente alle suddette categorie o ai suddetti gruppi, deve essere considerato </w:t>
      </w:r>
      <w:r>
        <w:rPr>
          <w:rFonts w:ascii="Arial" w:hAnsi="Arial" w:cs="Arial"/>
          <w:sz w:val="20"/>
          <w:szCs w:val="20"/>
        </w:rPr>
        <w:t>“</w:t>
      </w:r>
      <w:r w:rsidRPr="00463B41">
        <w:rPr>
          <w:rFonts w:ascii="Arial" w:hAnsi="Arial" w:cs="Arial"/>
          <w:i/>
          <w:sz w:val="20"/>
          <w:szCs w:val="20"/>
        </w:rPr>
        <w:t>in stagione</w:t>
      </w:r>
      <w:r>
        <w:rPr>
          <w:rFonts w:ascii="Arial" w:hAnsi="Arial" w:cs="Arial"/>
          <w:i/>
          <w:sz w:val="20"/>
          <w:szCs w:val="20"/>
        </w:rPr>
        <w:t>”</w:t>
      </w:r>
      <w:r w:rsidRPr="00463B41">
        <w:rPr>
          <w:rFonts w:ascii="Arial" w:hAnsi="Arial" w:cs="Arial"/>
          <w:sz w:val="20"/>
          <w:szCs w:val="20"/>
        </w:rPr>
        <w:t xml:space="preserve"> oppure </w:t>
      </w:r>
      <w:r>
        <w:rPr>
          <w:rFonts w:ascii="Arial" w:hAnsi="Arial" w:cs="Arial"/>
          <w:sz w:val="20"/>
          <w:szCs w:val="20"/>
        </w:rPr>
        <w:t>“</w:t>
      </w:r>
      <w:r w:rsidRPr="00463B41">
        <w:rPr>
          <w:rFonts w:ascii="Arial" w:hAnsi="Arial" w:cs="Arial"/>
          <w:i/>
          <w:sz w:val="20"/>
          <w:szCs w:val="20"/>
        </w:rPr>
        <w:t>fuori stagione</w:t>
      </w:r>
      <w:r>
        <w:rPr>
          <w:rFonts w:ascii="Arial" w:hAnsi="Arial" w:cs="Arial"/>
          <w:i/>
          <w:sz w:val="20"/>
          <w:szCs w:val="20"/>
        </w:rPr>
        <w:t>”</w:t>
      </w:r>
      <w:r w:rsidRPr="00463B41">
        <w:rPr>
          <w:rFonts w:ascii="Arial" w:hAnsi="Arial" w:cs="Arial"/>
          <w:sz w:val="20"/>
          <w:szCs w:val="20"/>
        </w:rPr>
        <w:t>.</w:t>
      </w:r>
      <w:r>
        <w:rPr>
          <w:rFonts w:ascii="Arial" w:hAnsi="Arial" w:cs="Arial"/>
          <w:sz w:val="20"/>
          <w:szCs w:val="20"/>
        </w:rPr>
        <w:t xml:space="preserve"> </w:t>
      </w:r>
      <w:r w:rsidRPr="00463B41">
        <w:rPr>
          <w:rFonts w:ascii="Arial" w:hAnsi="Arial" w:cs="Arial"/>
          <w:sz w:val="20"/>
          <w:szCs w:val="20"/>
        </w:rPr>
        <w:t>L’adozione di un calendar</w:t>
      </w:r>
      <w:r>
        <w:rPr>
          <w:rFonts w:ascii="Arial" w:hAnsi="Arial" w:cs="Arial"/>
          <w:sz w:val="20"/>
          <w:szCs w:val="20"/>
        </w:rPr>
        <w:t xml:space="preserve">io della stagionalità comporta che la </w:t>
      </w:r>
      <w:r w:rsidRPr="00463B41">
        <w:rPr>
          <w:rFonts w:ascii="Arial" w:hAnsi="Arial" w:cs="Arial"/>
          <w:sz w:val="20"/>
          <w:szCs w:val="20"/>
        </w:rPr>
        <w:t>rilevazione territoriale dei prezzi al consumo</w:t>
      </w:r>
      <w:r>
        <w:rPr>
          <w:rFonts w:ascii="Arial" w:hAnsi="Arial" w:cs="Arial"/>
          <w:sz w:val="20"/>
          <w:szCs w:val="20"/>
        </w:rPr>
        <w:t xml:space="preserve"> sia effettuata</w:t>
      </w:r>
      <w:r w:rsidRPr="00463B41">
        <w:rPr>
          <w:rFonts w:ascii="Arial" w:hAnsi="Arial" w:cs="Arial"/>
          <w:sz w:val="20"/>
          <w:szCs w:val="20"/>
        </w:rPr>
        <w:t xml:space="preserve"> solo nei mesi in cui il prodotto in questione è definito “</w:t>
      </w:r>
      <w:r w:rsidRPr="00463B41">
        <w:rPr>
          <w:rFonts w:ascii="Arial" w:hAnsi="Arial" w:cs="Arial"/>
          <w:i/>
          <w:sz w:val="20"/>
          <w:szCs w:val="20"/>
        </w:rPr>
        <w:t>in stagione</w:t>
      </w:r>
      <w:r w:rsidRPr="00463B41">
        <w:rPr>
          <w:rFonts w:ascii="Arial" w:hAnsi="Arial" w:cs="Arial"/>
          <w:sz w:val="20"/>
          <w:szCs w:val="20"/>
        </w:rPr>
        <w:t>”</w:t>
      </w:r>
      <w:r>
        <w:rPr>
          <w:rFonts w:ascii="Arial" w:hAnsi="Arial" w:cs="Arial"/>
          <w:sz w:val="20"/>
          <w:szCs w:val="20"/>
        </w:rPr>
        <w:t>, mentre i</w:t>
      </w:r>
      <w:r w:rsidRPr="00463B41">
        <w:rPr>
          <w:rFonts w:ascii="Arial" w:hAnsi="Arial" w:cs="Arial"/>
          <w:sz w:val="20"/>
          <w:szCs w:val="20"/>
        </w:rPr>
        <w:t xml:space="preserve"> prezzi dei prodotti “</w:t>
      </w:r>
      <w:r w:rsidRPr="00463B41">
        <w:rPr>
          <w:rFonts w:ascii="Arial" w:hAnsi="Arial" w:cs="Arial"/>
          <w:i/>
          <w:sz w:val="20"/>
          <w:szCs w:val="20"/>
        </w:rPr>
        <w:t>fuori stagione</w:t>
      </w:r>
      <w:r w:rsidRPr="00463B41">
        <w:rPr>
          <w:rFonts w:ascii="Arial" w:hAnsi="Arial" w:cs="Arial"/>
          <w:sz w:val="20"/>
          <w:szCs w:val="20"/>
        </w:rPr>
        <w:t>”</w:t>
      </w:r>
      <w:r>
        <w:rPr>
          <w:rFonts w:ascii="Arial" w:hAnsi="Arial" w:cs="Arial"/>
          <w:sz w:val="20"/>
          <w:szCs w:val="20"/>
        </w:rPr>
        <w:t xml:space="preserve"> sono stimati sulla base di una metodologia coerente con le indicazioni contenute nel Regolamento europeo</w:t>
      </w:r>
      <w:r w:rsidRPr="00463B41">
        <w:rPr>
          <w:rFonts w:ascii="Arial" w:hAnsi="Arial" w:cs="Arial"/>
          <w:sz w:val="20"/>
          <w:szCs w:val="20"/>
        </w:rPr>
        <w:t>.</w:t>
      </w:r>
    </w:p>
    <w:p w:rsidR="00F36E1D" w:rsidRDefault="00F36E1D" w:rsidP="00F36E1D">
      <w:pPr>
        <w:pStyle w:val="Default"/>
        <w:spacing w:after="120"/>
        <w:jc w:val="both"/>
        <w:rPr>
          <w:rFonts w:ascii="Arial" w:hAnsi="Arial" w:cs="Arial"/>
          <w:sz w:val="20"/>
          <w:szCs w:val="20"/>
        </w:rPr>
      </w:pPr>
    </w:p>
    <w:p w:rsidR="00F36E1D" w:rsidRPr="001D642A" w:rsidRDefault="00F36E1D" w:rsidP="00F36E1D">
      <w:pPr>
        <w:spacing w:before="0" w:after="120"/>
        <w:jc w:val="both"/>
        <w:rPr>
          <w:rFonts w:ascii="Arial" w:hAnsi="Arial" w:cs="Arial"/>
          <w:b/>
          <w:szCs w:val="22"/>
        </w:rPr>
      </w:pPr>
      <w:r w:rsidRPr="001D642A">
        <w:rPr>
          <w:rFonts w:ascii="Arial" w:hAnsi="Arial" w:cs="Arial"/>
          <w:b/>
          <w:szCs w:val="22"/>
        </w:rPr>
        <w:t>Stim</w:t>
      </w:r>
      <w:r>
        <w:rPr>
          <w:rFonts w:ascii="Arial" w:hAnsi="Arial" w:cs="Arial"/>
          <w:b/>
          <w:szCs w:val="22"/>
        </w:rPr>
        <w:t>a</w:t>
      </w:r>
      <w:r w:rsidRPr="001D642A">
        <w:rPr>
          <w:rFonts w:ascii="Arial" w:hAnsi="Arial" w:cs="Arial"/>
          <w:b/>
          <w:szCs w:val="22"/>
        </w:rPr>
        <w:t xml:space="preserve"> delle </w:t>
      </w:r>
      <w:r>
        <w:rPr>
          <w:rFonts w:ascii="Arial" w:hAnsi="Arial" w:cs="Arial"/>
          <w:b/>
          <w:szCs w:val="22"/>
        </w:rPr>
        <w:t>osservazioni</w:t>
      </w:r>
      <w:r w:rsidRPr="001D642A">
        <w:rPr>
          <w:rFonts w:ascii="Arial" w:hAnsi="Arial" w:cs="Arial"/>
          <w:b/>
          <w:szCs w:val="22"/>
        </w:rPr>
        <w:t xml:space="preserve"> </w:t>
      </w:r>
      <w:r>
        <w:rPr>
          <w:rFonts w:ascii="Arial" w:hAnsi="Arial" w:cs="Arial"/>
          <w:b/>
          <w:szCs w:val="22"/>
        </w:rPr>
        <w:t xml:space="preserve">mancanti </w:t>
      </w:r>
      <w:r w:rsidRPr="001D642A">
        <w:rPr>
          <w:rFonts w:ascii="Arial" w:hAnsi="Arial" w:cs="Arial"/>
          <w:b/>
          <w:szCs w:val="22"/>
        </w:rPr>
        <w:t>negli indici dei prezzi al consumo</w:t>
      </w:r>
    </w:p>
    <w:p w:rsidR="00F355C1" w:rsidRPr="001D642A" w:rsidRDefault="00F355C1" w:rsidP="00F355C1">
      <w:pPr>
        <w:pStyle w:val="Default"/>
        <w:spacing w:after="120"/>
        <w:jc w:val="both"/>
        <w:rPr>
          <w:rFonts w:ascii="Arial" w:hAnsi="Arial" w:cs="Arial"/>
          <w:sz w:val="20"/>
          <w:szCs w:val="20"/>
        </w:rPr>
      </w:pPr>
      <w:r w:rsidRPr="001D642A">
        <w:rPr>
          <w:rFonts w:ascii="Arial" w:hAnsi="Arial" w:cs="Arial"/>
          <w:sz w:val="20"/>
          <w:szCs w:val="20"/>
        </w:rPr>
        <w:t xml:space="preserve">Le procedure di imputazione delle </w:t>
      </w:r>
      <w:r>
        <w:rPr>
          <w:rFonts w:ascii="Arial" w:hAnsi="Arial" w:cs="Arial"/>
          <w:sz w:val="20"/>
          <w:szCs w:val="20"/>
        </w:rPr>
        <w:t xml:space="preserve">osservazioni mancanti </w:t>
      </w:r>
      <w:r w:rsidRPr="001D642A">
        <w:rPr>
          <w:rFonts w:ascii="Arial" w:hAnsi="Arial" w:cs="Arial"/>
          <w:sz w:val="20"/>
          <w:szCs w:val="20"/>
        </w:rPr>
        <w:t>adottate dall’Istat per la stima dell’inflazione sono coerenti con l’impianto metodologico indicato da Eurostat e condiviso con gli Stati membri dell’Unione europea</w:t>
      </w:r>
      <w:r w:rsidRPr="001D642A">
        <w:rPr>
          <w:rStyle w:val="Rimandonotaapidipagina"/>
          <w:rFonts w:ascii="Arial" w:hAnsi="Arial"/>
          <w:sz w:val="20"/>
          <w:szCs w:val="20"/>
        </w:rPr>
        <w:footnoteReference w:id="7"/>
      </w:r>
      <w:r w:rsidRPr="001D642A">
        <w:rPr>
          <w:rFonts w:ascii="Arial" w:hAnsi="Arial" w:cs="Arial"/>
          <w:sz w:val="20"/>
          <w:szCs w:val="20"/>
        </w:rPr>
        <w:t xml:space="preserve">. </w:t>
      </w:r>
    </w:p>
    <w:p w:rsidR="00F355C1" w:rsidRPr="001D642A" w:rsidRDefault="00F355C1" w:rsidP="00F355C1">
      <w:pPr>
        <w:pStyle w:val="Default"/>
        <w:spacing w:after="120"/>
        <w:jc w:val="both"/>
        <w:rPr>
          <w:rFonts w:ascii="Arial" w:hAnsi="Arial" w:cs="Arial"/>
          <w:sz w:val="20"/>
          <w:szCs w:val="20"/>
        </w:rPr>
      </w:pPr>
      <w:r w:rsidRPr="001D642A">
        <w:rPr>
          <w:rFonts w:ascii="Arial" w:hAnsi="Arial" w:cs="Arial"/>
          <w:sz w:val="20"/>
          <w:szCs w:val="20"/>
        </w:rPr>
        <w:t xml:space="preserve">Questo impianto, che riguarda tutti e tre gli indici (NIC, FOI e IPCA), si basa su tre principi: </w:t>
      </w:r>
    </w:p>
    <w:p w:rsidR="00F355C1" w:rsidRPr="001D642A" w:rsidRDefault="00F355C1" w:rsidP="00F355C1">
      <w:pPr>
        <w:pStyle w:val="Default"/>
        <w:spacing w:after="120"/>
        <w:ind w:left="284"/>
        <w:jc w:val="both"/>
        <w:rPr>
          <w:rFonts w:ascii="Arial" w:hAnsi="Arial" w:cs="Arial"/>
          <w:sz w:val="20"/>
          <w:szCs w:val="20"/>
        </w:rPr>
      </w:pPr>
      <w:r w:rsidRPr="001D642A">
        <w:rPr>
          <w:rFonts w:ascii="Arial" w:hAnsi="Arial" w:cs="Arial"/>
          <w:sz w:val="20"/>
          <w:szCs w:val="20"/>
        </w:rPr>
        <w:t>1.</w:t>
      </w:r>
      <w:r w:rsidRPr="001D642A">
        <w:rPr>
          <w:rFonts w:ascii="Arial" w:hAnsi="Arial" w:cs="Arial"/>
          <w:sz w:val="20"/>
          <w:szCs w:val="20"/>
        </w:rPr>
        <w:tab/>
        <w:t>stabilità dei pesi degli aggregati di prodotto che compongono il paniere,</w:t>
      </w:r>
    </w:p>
    <w:p w:rsidR="00F355C1" w:rsidRPr="001D642A" w:rsidRDefault="00F355C1" w:rsidP="00F355C1">
      <w:pPr>
        <w:pStyle w:val="Default"/>
        <w:spacing w:after="120"/>
        <w:ind w:left="284"/>
        <w:jc w:val="both"/>
        <w:rPr>
          <w:rFonts w:ascii="Arial" w:hAnsi="Arial" w:cs="Arial"/>
          <w:sz w:val="20"/>
          <w:szCs w:val="20"/>
        </w:rPr>
      </w:pPr>
      <w:r w:rsidRPr="001D642A">
        <w:rPr>
          <w:rFonts w:ascii="Arial" w:hAnsi="Arial" w:cs="Arial"/>
          <w:sz w:val="20"/>
          <w:szCs w:val="20"/>
        </w:rPr>
        <w:t>2.</w:t>
      </w:r>
      <w:r w:rsidRPr="001D642A">
        <w:rPr>
          <w:rFonts w:ascii="Arial" w:hAnsi="Arial" w:cs="Arial"/>
          <w:sz w:val="20"/>
          <w:szCs w:val="20"/>
        </w:rPr>
        <w:tab/>
        <w:t>calcolo degli indici per tutti gli aggregati di prodotto e i diversi livelli di disaggregazione previsti dalla ECOICOP,</w:t>
      </w:r>
    </w:p>
    <w:p w:rsidR="00F355C1" w:rsidRPr="001D642A" w:rsidRDefault="00F355C1" w:rsidP="00F355C1">
      <w:pPr>
        <w:pStyle w:val="Default"/>
        <w:spacing w:after="120"/>
        <w:ind w:left="284"/>
        <w:jc w:val="both"/>
        <w:rPr>
          <w:rFonts w:ascii="Arial" w:hAnsi="Arial" w:cs="Arial"/>
          <w:sz w:val="20"/>
          <w:szCs w:val="20"/>
        </w:rPr>
      </w:pPr>
      <w:r w:rsidRPr="001D642A">
        <w:rPr>
          <w:rFonts w:ascii="Arial" w:hAnsi="Arial" w:cs="Arial"/>
          <w:sz w:val="20"/>
          <w:szCs w:val="20"/>
        </w:rPr>
        <w:t>3.</w:t>
      </w:r>
      <w:r w:rsidRPr="001D642A">
        <w:rPr>
          <w:rFonts w:ascii="Arial" w:hAnsi="Arial" w:cs="Arial"/>
          <w:sz w:val="20"/>
          <w:szCs w:val="20"/>
        </w:rPr>
        <w:tab/>
        <w:t>minimizzazione del numero di prezzi imputati</w:t>
      </w:r>
      <w:r w:rsidRPr="001D642A">
        <w:rPr>
          <w:rStyle w:val="Rimandonotaapidipagina"/>
          <w:rFonts w:ascii="Arial" w:hAnsi="Arial"/>
          <w:sz w:val="20"/>
          <w:szCs w:val="20"/>
        </w:rPr>
        <w:footnoteReference w:id="8"/>
      </w:r>
      <w:r w:rsidRPr="001D642A">
        <w:rPr>
          <w:rFonts w:ascii="Arial" w:hAnsi="Arial" w:cs="Arial"/>
          <w:sz w:val="20"/>
          <w:szCs w:val="20"/>
        </w:rPr>
        <w:t>.</w:t>
      </w:r>
    </w:p>
    <w:p w:rsidR="00F355C1" w:rsidRPr="001D642A" w:rsidRDefault="00F355C1" w:rsidP="00F355C1">
      <w:pPr>
        <w:pStyle w:val="Default"/>
        <w:spacing w:after="120"/>
        <w:jc w:val="both"/>
        <w:rPr>
          <w:rFonts w:ascii="Arial" w:hAnsi="Arial" w:cs="Arial"/>
          <w:sz w:val="20"/>
          <w:szCs w:val="20"/>
        </w:rPr>
      </w:pPr>
      <w:r w:rsidRPr="001D642A">
        <w:rPr>
          <w:rFonts w:ascii="Arial" w:hAnsi="Arial" w:cs="Arial"/>
          <w:sz w:val="20"/>
          <w:szCs w:val="20"/>
        </w:rPr>
        <w:t xml:space="preserve">Le regole di imputazione si applicano sia ai casi in cui non è possibile rilevare il prezzo di un prodotto, sia ai casi nei quali l’assenza del prezzo deriva dalla sua indisponibilità nel mercato, e comportano l’applicazione di procedure di ricostruzione del prezzo mancante della referenza, basate </w:t>
      </w:r>
      <w:r>
        <w:rPr>
          <w:rFonts w:ascii="Arial" w:hAnsi="Arial" w:cs="Arial"/>
          <w:sz w:val="20"/>
          <w:szCs w:val="20"/>
        </w:rPr>
        <w:t>prevalentemente</w:t>
      </w:r>
      <w:r w:rsidRPr="001D642A">
        <w:rPr>
          <w:rFonts w:ascii="Arial" w:hAnsi="Arial" w:cs="Arial"/>
          <w:sz w:val="20"/>
          <w:szCs w:val="20"/>
        </w:rPr>
        <w:t xml:space="preserve"> sulla variazione del prezzo </w:t>
      </w:r>
      <w:r>
        <w:rPr>
          <w:rFonts w:ascii="Arial" w:hAnsi="Arial" w:cs="Arial"/>
          <w:sz w:val="20"/>
          <w:szCs w:val="20"/>
        </w:rPr>
        <w:t>rispetto al</w:t>
      </w:r>
      <w:r w:rsidRPr="001D642A">
        <w:rPr>
          <w:rFonts w:ascii="Arial" w:hAnsi="Arial" w:cs="Arial"/>
          <w:sz w:val="20"/>
          <w:szCs w:val="20"/>
        </w:rPr>
        <w:t xml:space="preserve"> mese precedente. </w:t>
      </w:r>
    </w:p>
    <w:p w:rsidR="00F355C1" w:rsidRDefault="00F355C1" w:rsidP="00F355C1">
      <w:pPr>
        <w:pStyle w:val="Default"/>
        <w:spacing w:after="120"/>
        <w:jc w:val="both"/>
        <w:rPr>
          <w:rFonts w:ascii="Arial" w:hAnsi="Arial" w:cs="Arial"/>
          <w:sz w:val="20"/>
          <w:szCs w:val="20"/>
        </w:rPr>
      </w:pPr>
      <w:r w:rsidRPr="001D642A">
        <w:rPr>
          <w:rFonts w:ascii="Arial" w:hAnsi="Arial" w:cs="Arial"/>
          <w:sz w:val="20"/>
          <w:szCs w:val="20"/>
        </w:rPr>
        <w:t xml:space="preserve">L’individuazione della variazione </w:t>
      </w:r>
      <w:r>
        <w:rPr>
          <w:rFonts w:ascii="Arial" w:hAnsi="Arial" w:cs="Arial"/>
          <w:sz w:val="20"/>
          <w:szCs w:val="20"/>
        </w:rPr>
        <w:t xml:space="preserve">congiunturale </w:t>
      </w:r>
      <w:r w:rsidRPr="001D642A">
        <w:rPr>
          <w:rFonts w:ascii="Arial" w:hAnsi="Arial" w:cs="Arial"/>
          <w:sz w:val="20"/>
          <w:szCs w:val="20"/>
        </w:rPr>
        <w:t xml:space="preserve">più idonea per la procedura di imputazione non è univocamente determinata, ma dipende da diversi fattori (tra i quali la quota di mancate rilevazioni per prodotto, la sua posizione nella struttura gerarchica, il suo grado di volatilità mensile e il carattere stagionale della dinamica dei prezzi). </w:t>
      </w:r>
    </w:p>
    <w:p w:rsidR="00F355C1" w:rsidRPr="001D642A" w:rsidRDefault="00F355C1" w:rsidP="00F355C1">
      <w:pPr>
        <w:pStyle w:val="Default"/>
        <w:spacing w:after="120"/>
        <w:jc w:val="both"/>
        <w:rPr>
          <w:rFonts w:ascii="Arial" w:hAnsi="Arial" w:cs="Arial"/>
          <w:sz w:val="20"/>
          <w:szCs w:val="20"/>
        </w:rPr>
      </w:pPr>
      <w:r>
        <w:rPr>
          <w:rFonts w:ascii="Arial" w:hAnsi="Arial" w:cs="Arial"/>
          <w:sz w:val="20"/>
          <w:szCs w:val="20"/>
        </w:rPr>
        <w:t>L</w:t>
      </w:r>
      <w:r w:rsidRPr="001D642A">
        <w:rPr>
          <w:rFonts w:ascii="Arial" w:hAnsi="Arial" w:cs="Arial"/>
          <w:sz w:val="20"/>
          <w:szCs w:val="20"/>
        </w:rPr>
        <w:t>e regole di imputazione delle mancate rilevazioni dei prezzi applicate ai prodotti delle diverse categorie merceologiche, sono di seguito elencate:</w:t>
      </w:r>
    </w:p>
    <w:p w:rsidR="00F355C1" w:rsidRPr="001D642A" w:rsidRDefault="00F355C1" w:rsidP="00F355C1">
      <w:pPr>
        <w:pStyle w:val="Default"/>
        <w:numPr>
          <w:ilvl w:val="0"/>
          <w:numId w:val="37"/>
        </w:numPr>
        <w:ind w:left="567" w:hanging="357"/>
        <w:jc w:val="both"/>
        <w:rPr>
          <w:rFonts w:ascii="Arial" w:hAnsi="Arial" w:cs="Arial"/>
          <w:sz w:val="20"/>
          <w:szCs w:val="20"/>
        </w:rPr>
      </w:pPr>
      <w:r w:rsidRPr="001D642A">
        <w:rPr>
          <w:rFonts w:ascii="Arial" w:hAnsi="Arial" w:cs="Arial"/>
          <w:sz w:val="20"/>
          <w:szCs w:val="20"/>
        </w:rPr>
        <w:t xml:space="preserve">Per i prodotti grocery rilevati tramite scanner data, nell’ambito dell’approccio dinamico utilizzato per il calcolo degli indici e in accordo </w:t>
      </w:r>
      <w:r>
        <w:rPr>
          <w:rFonts w:ascii="Arial" w:hAnsi="Arial" w:cs="Arial"/>
          <w:sz w:val="20"/>
          <w:szCs w:val="20"/>
        </w:rPr>
        <w:t>con le</w:t>
      </w:r>
      <w:r w:rsidRPr="001D642A">
        <w:rPr>
          <w:rFonts w:ascii="Arial" w:hAnsi="Arial" w:cs="Arial"/>
          <w:sz w:val="20"/>
          <w:szCs w:val="20"/>
        </w:rPr>
        <w:t xml:space="preserve"> linee guida dell’Eurostat, i prezzi delle referenze </w:t>
      </w:r>
      <w:r>
        <w:rPr>
          <w:rFonts w:ascii="Arial" w:hAnsi="Arial" w:cs="Arial"/>
          <w:sz w:val="20"/>
          <w:szCs w:val="20"/>
        </w:rPr>
        <w:t xml:space="preserve">(GTIN) </w:t>
      </w:r>
      <w:r w:rsidRPr="001D642A">
        <w:rPr>
          <w:rFonts w:ascii="Arial" w:hAnsi="Arial" w:cs="Arial"/>
          <w:sz w:val="20"/>
          <w:szCs w:val="20"/>
        </w:rPr>
        <w:t>temporaneamente assenti (per cause stagionali o accidentali) vengono imputati per un massimo di 14 mesi consecutivi.</w:t>
      </w:r>
    </w:p>
    <w:p w:rsidR="00F355C1" w:rsidRDefault="00F355C1" w:rsidP="00F355C1">
      <w:pPr>
        <w:pStyle w:val="Default"/>
        <w:spacing w:before="120"/>
        <w:ind w:left="567"/>
        <w:jc w:val="both"/>
        <w:rPr>
          <w:rFonts w:ascii="Arial" w:hAnsi="Arial" w:cs="Arial"/>
          <w:sz w:val="20"/>
          <w:szCs w:val="20"/>
        </w:rPr>
      </w:pPr>
      <w:r w:rsidRPr="001D642A">
        <w:rPr>
          <w:rFonts w:ascii="Arial" w:hAnsi="Arial" w:cs="Arial"/>
          <w:sz w:val="20"/>
          <w:szCs w:val="20"/>
        </w:rPr>
        <w:t>In particolare, qualora i prezzi mensili di alcune referenze di un determinato aggregato di prodotto risultino mancanti (come nel caso di assenza di vendite di un prodotto), essi vengono imputati per variazione, utilizzando il tasso di crescita su base mensile delle altre referenze, tenendo conto delle regole di aggregazione, per step succes</w:t>
      </w:r>
      <w:r>
        <w:rPr>
          <w:rFonts w:ascii="Arial" w:hAnsi="Arial" w:cs="Arial"/>
          <w:sz w:val="20"/>
          <w:szCs w:val="20"/>
        </w:rPr>
        <w:t>s</w:t>
      </w:r>
      <w:r w:rsidRPr="001D642A">
        <w:rPr>
          <w:rFonts w:ascii="Arial" w:hAnsi="Arial" w:cs="Arial"/>
          <w:sz w:val="20"/>
          <w:szCs w:val="20"/>
        </w:rPr>
        <w:t>ivi, adottate per la sintesi degli indici</w:t>
      </w:r>
      <w:r w:rsidRPr="001D642A">
        <w:rPr>
          <w:rStyle w:val="Rimandonotaapidipagina"/>
          <w:rFonts w:ascii="Arial" w:hAnsi="Arial"/>
          <w:sz w:val="20"/>
          <w:szCs w:val="20"/>
        </w:rPr>
        <w:footnoteReference w:id="9"/>
      </w:r>
      <w:r w:rsidRPr="001D642A">
        <w:rPr>
          <w:rFonts w:ascii="Arial" w:hAnsi="Arial" w:cs="Arial"/>
          <w:sz w:val="20"/>
          <w:szCs w:val="20"/>
        </w:rPr>
        <w:t xml:space="preserve">. </w:t>
      </w:r>
    </w:p>
    <w:p w:rsidR="00F36E1D" w:rsidRPr="001D642A" w:rsidRDefault="00F36E1D" w:rsidP="00F36E1D">
      <w:pPr>
        <w:pStyle w:val="Default"/>
        <w:spacing w:before="120"/>
        <w:ind w:left="567"/>
        <w:jc w:val="both"/>
        <w:rPr>
          <w:rFonts w:ascii="Arial" w:hAnsi="Arial" w:cs="Arial"/>
          <w:sz w:val="20"/>
          <w:szCs w:val="20"/>
        </w:rPr>
      </w:pPr>
    </w:p>
    <w:p w:rsidR="00F355C1" w:rsidRDefault="00F355C1" w:rsidP="00F355C1">
      <w:pPr>
        <w:pStyle w:val="Default"/>
        <w:spacing w:before="120"/>
        <w:ind w:left="567"/>
        <w:jc w:val="both"/>
        <w:rPr>
          <w:rFonts w:ascii="Arial" w:hAnsi="Arial" w:cs="Arial"/>
          <w:sz w:val="20"/>
          <w:szCs w:val="20"/>
        </w:rPr>
      </w:pPr>
      <w:r w:rsidRPr="001D642A">
        <w:rPr>
          <w:rFonts w:ascii="Arial" w:hAnsi="Arial" w:cs="Arial"/>
          <w:sz w:val="20"/>
          <w:szCs w:val="20"/>
        </w:rPr>
        <w:t>Più in dettaglio, i prezzi mancanti vengono imputati all’interno di ciascun punto vendita stimando l’evoluzione dei prezzi dei GTIN effettivamente venduti nel mercato ECR cui il GTIN mancante appartiene. Per i GTIN che non trovano donatori all’interno del mercato ECR si considera lo strato cui appartiene il punto vendita e i prezzi mancanti vengono stimati seguendo l’evoluzione dei prezzi dello stesso mercato nello strato</w:t>
      </w:r>
      <w:r>
        <w:rPr>
          <w:rFonts w:ascii="Arial" w:hAnsi="Arial" w:cs="Arial"/>
          <w:sz w:val="20"/>
          <w:szCs w:val="20"/>
        </w:rPr>
        <w:t>.</w:t>
      </w:r>
      <w:r w:rsidRPr="001D642A">
        <w:rPr>
          <w:rFonts w:ascii="Arial" w:hAnsi="Arial" w:cs="Arial"/>
          <w:sz w:val="20"/>
          <w:szCs w:val="20"/>
        </w:rPr>
        <w:t xml:space="preserve"> Qualora non esistano donatori la procedura di stima sale di livello (provincia/aggregato di prodotto) fino ad imputare tutti i prezzi delle referenze mancanti. La metodologia implementata garantisce che la variazione degli aggregati di prodotto tenga conto delle sole informazioni effettivamente disponibili (l’imputazione è neutrale rispetto all’aggregazione).</w:t>
      </w:r>
    </w:p>
    <w:p w:rsidR="00F355C1" w:rsidRPr="001D642A" w:rsidRDefault="00F355C1" w:rsidP="00F355C1">
      <w:pPr>
        <w:pStyle w:val="Default"/>
        <w:spacing w:before="120"/>
        <w:ind w:left="567"/>
        <w:jc w:val="both"/>
        <w:rPr>
          <w:rFonts w:ascii="Arial" w:hAnsi="Arial" w:cs="Arial"/>
          <w:sz w:val="20"/>
          <w:szCs w:val="20"/>
        </w:rPr>
      </w:pPr>
      <w:r w:rsidRPr="001D642A">
        <w:rPr>
          <w:rFonts w:ascii="Arial" w:hAnsi="Arial" w:cs="Arial"/>
          <w:sz w:val="20"/>
          <w:szCs w:val="20"/>
        </w:rPr>
        <w:t>Le stesse regole di imputazione valgono nel caso in cui l’indisponibilità delle informazioni è dovuta alla chiusura del punto vendita. In tal caso vengono imputati i prezzi di tutte le corrispondenti referenze.</w:t>
      </w:r>
    </w:p>
    <w:p w:rsidR="00F355C1" w:rsidRPr="001D642A" w:rsidRDefault="00F355C1" w:rsidP="00F355C1">
      <w:pPr>
        <w:pStyle w:val="Default"/>
        <w:numPr>
          <w:ilvl w:val="0"/>
          <w:numId w:val="37"/>
        </w:numPr>
        <w:spacing w:before="120" w:after="120"/>
        <w:ind w:left="568" w:hanging="284"/>
        <w:jc w:val="both"/>
        <w:rPr>
          <w:rFonts w:ascii="Arial" w:hAnsi="Arial" w:cs="Arial"/>
          <w:sz w:val="20"/>
          <w:szCs w:val="20"/>
        </w:rPr>
      </w:pPr>
      <w:r w:rsidRPr="001D642A">
        <w:rPr>
          <w:rFonts w:ascii="Arial" w:hAnsi="Arial" w:cs="Arial"/>
          <w:sz w:val="20"/>
          <w:szCs w:val="20"/>
        </w:rPr>
        <w:t>Nel settore dell’abbigliamento e calzature e per i prodotti alimentari freschi, quali frutta e vegetali freschi, per i quali è prevista la rilevazione bimensile, nel caso in cui non siano disponibili i prezzi per entrambe le date di rilevazione, le mancate risposte sono imputate per variazione dei prezzi delle referenze che sono state rilevate per lo stesso prodotto nel capoluogo di provincia, oppure nella regione o a livello nazionale, applicando le consuete procedure per la stima dei prezzi dei prodotti stagionali.</w:t>
      </w:r>
    </w:p>
    <w:p w:rsidR="00F355C1" w:rsidRPr="001D642A" w:rsidRDefault="00F355C1" w:rsidP="00F355C1">
      <w:pPr>
        <w:pStyle w:val="Default"/>
        <w:numPr>
          <w:ilvl w:val="0"/>
          <w:numId w:val="37"/>
        </w:numPr>
        <w:spacing w:after="120"/>
        <w:ind w:left="567"/>
        <w:jc w:val="both"/>
        <w:rPr>
          <w:rFonts w:ascii="Arial" w:hAnsi="Arial" w:cs="Arial"/>
          <w:sz w:val="20"/>
          <w:szCs w:val="20"/>
        </w:rPr>
      </w:pPr>
      <w:r w:rsidRPr="001D642A">
        <w:rPr>
          <w:rFonts w:ascii="Arial" w:hAnsi="Arial" w:cs="Arial"/>
          <w:sz w:val="20"/>
          <w:szCs w:val="20"/>
        </w:rPr>
        <w:t>Per la stima dei prezzi dei prodotti alimentari freschi (per i quali è prevista la rilevazione mensile), dei prodotti ittici freschi (per i quali è prevista la rilevazione bimensile, nel caso in cui non siano disponibili i prezzi per entrambe le date di rilevazione), dei farmaci SOP, OTC e degli altri prodotti medicali rilevati mensilmente dagli UCS, le mancate risposte sono imputate per variazione dei prezzi delle referenze rilevate per lo stesso prodotto nel capoluogo di provincia, oppure nella</w:t>
      </w:r>
      <w:r>
        <w:rPr>
          <w:rFonts w:ascii="Arial" w:hAnsi="Arial" w:cs="Arial"/>
          <w:sz w:val="20"/>
          <w:szCs w:val="20"/>
        </w:rPr>
        <w:t xml:space="preserve"> regione o a livello nazionale.</w:t>
      </w:r>
    </w:p>
    <w:p w:rsidR="00F355C1" w:rsidRPr="001D642A" w:rsidRDefault="00F355C1" w:rsidP="00F355C1">
      <w:pPr>
        <w:pStyle w:val="Default"/>
        <w:numPr>
          <w:ilvl w:val="0"/>
          <w:numId w:val="37"/>
        </w:numPr>
        <w:spacing w:after="120"/>
        <w:ind w:left="567" w:hanging="283"/>
        <w:jc w:val="both"/>
        <w:rPr>
          <w:rFonts w:ascii="Arial" w:hAnsi="Arial" w:cs="Arial"/>
          <w:sz w:val="20"/>
          <w:szCs w:val="20"/>
        </w:rPr>
      </w:pPr>
      <w:r>
        <w:rPr>
          <w:rFonts w:ascii="Arial" w:hAnsi="Arial" w:cs="Arial"/>
          <w:sz w:val="20"/>
          <w:szCs w:val="20"/>
        </w:rPr>
        <w:t>P</w:t>
      </w:r>
      <w:r w:rsidRPr="001D642A">
        <w:rPr>
          <w:rFonts w:ascii="Arial" w:hAnsi="Arial" w:cs="Arial"/>
          <w:sz w:val="20"/>
          <w:szCs w:val="20"/>
        </w:rPr>
        <w:t>er i prodotti (definiti in base alla categoria) che compongono l’aggregato camera d’albergo, a partire da gennaio 2022, le mancate risposte imputate utilizzando la variazione congiunturale dei prezzi degli alberghi rilevati nella provincia per la stessa categoria di alberghi, oppure nello stesso aggregato o, se il numero di osservazioni disponibili nel mese di riferimento non lo consente, la variazione congiunturale osservata nella provincia nello stesso mese dell’anno precedente, al fine di preservare la din</w:t>
      </w:r>
      <w:r>
        <w:rPr>
          <w:rFonts w:ascii="Arial" w:hAnsi="Arial" w:cs="Arial"/>
          <w:sz w:val="20"/>
          <w:szCs w:val="20"/>
        </w:rPr>
        <w:t>amica stagionale dell’aggregato.</w:t>
      </w:r>
    </w:p>
    <w:p w:rsidR="00F355C1" w:rsidRPr="001D642A" w:rsidRDefault="00F355C1" w:rsidP="00F355C1">
      <w:pPr>
        <w:pStyle w:val="Default"/>
        <w:numPr>
          <w:ilvl w:val="0"/>
          <w:numId w:val="37"/>
        </w:numPr>
        <w:spacing w:after="120"/>
        <w:ind w:left="567" w:hanging="283"/>
        <w:jc w:val="both"/>
        <w:rPr>
          <w:rFonts w:ascii="Arial" w:hAnsi="Arial" w:cs="Arial"/>
          <w:sz w:val="20"/>
          <w:szCs w:val="20"/>
        </w:rPr>
      </w:pPr>
      <w:r>
        <w:rPr>
          <w:rFonts w:ascii="Arial" w:hAnsi="Arial" w:cs="Arial"/>
          <w:sz w:val="20"/>
          <w:szCs w:val="20"/>
        </w:rPr>
        <w:t>P</w:t>
      </w:r>
      <w:r w:rsidRPr="001D642A">
        <w:rPr>
          <w:rFonts w:ascii="Arial" w:hAnsi="Arial" w:cs="Arial"/>
          <w:sz w:val="20"/>
          <w:szCs w:val="20"/>
        </w:rPr>
        <w:t xml:space="preserve">er i prezzi dei prodotti di arredamento e dei prodotti per la casa si applica il metodo del </w:t>
      </w:r>
      <w:r w:rsidRPr="001D642A">
        <w:rPr>
          <w:rFonts w:ascii="Arial" w:hAnsi="Arial" w:cs="Arial"/>
          <w:i/>
          <w:sz w:val="20"/>
          <w:szCs w:val="20"/>
        </w:rPr>
        <w:t>carry forward</w:t>
      </w:r>
      <w:r w:rsidRPr="001D642A">
        <w:rPr>
          <w:rFonts w:ascii="Arial" w:hAnsi="Arial" w:cs="Arial"/>
          <w:sz w:val="20"/>
          <w:szCs w:val="20"/>
        </w:rPr>
        <w:t xml:space="preserve"> (ripetizione del prezzo del mese precedente), data la limitata variabilità temporale dei prezzi </w:t>
      </w:r>
      <w:r>
        <w:rPr>
          <w:rFonts w:ascii="Arial" w:hAnsi="Arial" w:cs="Arial"/>
          <w:sz w:val="20"/>
          <w:szCs w:val="20"/>
        </w:rPr>
        <w:t>di questa categoria di prodotti.</w:t>
      </w:r>
    </w:p>
    <w:p w:rsidR="00F355C1" w:rsidRPr="001D642A" w:rsidRDefault="00F355C1" w:rsidP="00F355C1">
      <w:pPr>
        <w:pStyle w:val="Default"/>
        <w:numPr>
          <w:ilvl w:val="0"/>
          <w:numId w:val="37"/>
        </w:numPr>
        <w:spacing w:after="120"/>
        <w:ind w:left="567" w:hanging="283"/>
        <w:jc w:val="both"/>
        <w:rPr>
          <w:rFonts w:ascii="Arial" w:hAnsi="Arial" w:cs="Arial"/>
          <w:sz w:val="20"/>
          <w:szCs w:val="20"/>
        </w:rPr>
      </w:pPr>
      <w:r>
        <w:rPr>
          <w:rFonts w:ascii="Arial" w:hAnsi="Arial" w:cs="Arial"/>
          <w:sz w:val="20"/>
          <w:szCs w:val="20"/>
        </w:rPr>
        <w:t>A</w:t>
      </w:r>
      <w:r w:rsidRPr="001D642A">
        <w:rPr>
          <w:rFonts w:ascii="Arial" w:hAnsi="Arial" w:cs="Arial"/>
          <w:sz w:val="20"/>
          <w:szCs w:val="20"/>
        </w:rPr>
        <w:t xml:space="preserve">nalogamente il metodo del </w:t>
      </w:r>
      <w:r w:rsidRPr="001D642A">
        <w:rPr>
          <w:rFonts w:ascii="Arial" w:hAnsi="Arial" w:cs="Arial"/>
          <w:i/>
          <w:sz w:val="20"/>
          <w:szCs w:val="20"/>
        </w:rPr>
        <w:t>carry forward</w:t>
      </w:r>
      <w:r w:rsidRPr="001D642A">
        <w:rPr>
          <w:rFonts w:ascii="Arial" w:hAnsi="Arial" w:cs="Arial"/>
          <w:sz w:val="20"/>
          <w:szCs w:val="20"/>
        </w:rPr>
        <w:t xml:space="preserve"> viene adottato per i prezzi dei servizi di ristorazione e dei servizi culturali e di intrattenimento.</w:t>
      </w:r>
    </w:p>
    <w:p w:rsidR="00F355C1" w:rsidRDefault="00F355C1" w:rsidP="00F355C1">
      <w:pPr>
        <w:pStyle w:val="Default"/>
        <w:numPr>
          <w:ilvl w:val="0"/>
          <w:numId w:val="37"/>
        </w:numPr>
        <w:spacing w:after="120"/>
        <w:ind w:left="567" w:hanging="283"/>
        <w:jc w:val="both"/>
        <w:rPr>
          <w:rFonts w:ascii="Arial" w:hAnsi="Arial" w:cs="Arial"/>
          <w:sz w:val="20"/>
          <w:szCs w:val="20"/>
        </w:rPr>
      </w:pPr>
      <w:r>
        <w:rPr>
          <w:rFonts w:ascii="Arial" w:hAnsi="Arial" w:cs="Arial"/>
          <w:sz w:val="20"/>
          <w:szCs w:val="20"/>
        </w:rPr>
        <w:t>P</w:t>
      </w:r>
      <w:r w:rsidRPr="001D642A">
        <w:rPr>
          <w:rFonts w:ascii="Arial" w:hAnsi="Arial" w:cs="Arial"/>
          <w:sz w:val="20"/>
          <w:szCs w:val="20"/>
        </w:rPr>
        <w:t>er i prodotti rilevati centralmente dall’Istat ogni quotazione mancante viene stimata utilizzando la variazione congiunturale degli indici che appartengono allo stesso strato; qualora i prezzi di uno strato risultino completamente assenti, la procedura di stima è basata sulla variazione degli indici di strato superiori.</w:t>
      </w:r>
    </w:p>
    <w:p w:rsidR="00F355C1" w:rsidRPr="005B0AE5" w:rsidRDefault="00F355C1" w:rsidP="00F355C1">
      <w:pPr>
        <w:pStyle w:val="Default"/>
        <w:numPr>
          <w:ilvl w:val="0"/>
          <w:numId w:val="37"/>
        </w:numPr>
        <w:spacing w:after="120"/>
        <w:ind w:left="567" w:hanging="283"/>
        <w:jc w:val="both"/>
        <w:rPr>
          <w:rFonts w:ascii="Arial" w:hAnsi="Arial" w:cs="Arial"/>
        </w:rPr>
      </w:pPr>
      <w:r>
        <w:rPr>
          <w:rFonts w:ascii="Arial" w:hAnsi="Arial" w:cs="Arial"/>
          <w:sz w:val="20"/>
          <w:szCs w:val="20"/>
        </w:rPr>
        <w:t>P</w:t>
      </w:r>
      <w:r w:rsidRPr="00FF77B1">
        <w:rPr>
          <w:rFonts w:ascii="Arial" w:hAnsi="Arial" w:cs="Arial"/>
          <w:sz w:val="20"/>
          <w:szCs w:val="20"/>
        </w:rPr>
        <w:t xml:space="preserve">er i prodotti indisponibili alla fruizione da parte delle famiglie </w:t>
      </w:r>
      <w:r>
        <w:rPr>
          <w:rFonts w:ascii="Arial" w:hAnsi="Arial" w:cs="Arial"/>
          <w:sz w:val="20"/>
          <w:szCs w:val="20"/>
        </w:rPr>
        <w:t xml:space="preserve">(come accaduto nei periodi di lockdown durante la pandemia causata dal Covid-19) </w:t>
      </w:r>
      <w:r w:rsidRPr="00FF77B1">
        <w:rPr>
          <w:rFonts w:ascii="Arial" w:hAnsi="Arial" w:cs="Arial"/>
          <w:sz w:val="20"/>
          <w:szCs w:val="20"/>
        </w:rPr>
        <w:t xml:space="preserve">e che presentano un chiaro profilo stagionale, </w:t>
      </w:r>
      <w:r>
        <w:rPr>
          <w:rFonts w:ascii="Arial" w:hAnsi="Arial" w:cs="Arial"/>
          <w:sz w:val="20"/>
          <w:szCs w:val="20"/>
        </w:rPr>
        <w:t xml:space="preserve">viene utilizzata </w:t>
      </w:r>
      <w:r w:rsidRPr="00FF77B1">
        <w:rPr>
          <w:rFonts w:ascii="Arial" w:hAnsi="Arial" w:cs="Arial"/>
          <w:sz w:val="20"/>
          <w:szCs w:val="20"/>
        </w:rPr>
        <w:t>la variazione dell’indice generale calcolata al netto di questi stessi prodotti.</w:t>
      </w:r>
    </w:p>
    <w:p w:rsidR="00F355C1" w:rsidRDefault="00F355C1" w:rsidP="00F355C1">
      <w:pPr>
        <w:pStyle w:val="Default"/>
        <w:spacing w:after="120"/>
        <w:jc w:val="both"/>
        <w:rPr>
          <w:rFonts w:ascii="Arial" w:hAnsi="Arial" w:cs="Arial"/>
          <w:sz w:val="20"/>
          <w:szCs w:val="20"/>
        </w:rPr>
      </w:pPr>
      <w:r w:rsidRPr="001D642A">
        <w:rPr>
          <w:rFonts w:ascii="Arial" w:hAnsi="Arial" w:cs="Arial"/>
          <w:sz w:val="20"/>
          <w:szCs w:val="20"/>
        </w:rPr>
        <w:t>Gli indici ai diversi livelli di aggregazione qualora abbiano una quota di imputazioni superiore al 50% (in termini di prezzi mancanti e/o di peso) sono segnalate, sulla base delle indicazioni di Eurostat, mediante l’utilizzo del flag “i” (dato imputato) sia nelle tabelle del Comunicato stampa, sia su I.Stat e nelle altre pubblicazioni. Per quanto riguarda gli indici diffusi su Rivaluta, in occasione del rilascio dei dati definitivi, quelli che presentano una quota di imputazioni superiore al 50% (in termini di prezzi mancanti e/o di peso) non sono resi disponibili.</w:t>
      </w:r>
    </w:p>
    <w:p w:rsidR="00F36E1D" w:rsidRPr="001D642A" w:rsidRDefault="00F36E1D" w:rsidP="00F36E1D">
      <w:pPr>
        <w:pStyle w:val="Default"/>
        <w:spacing w:after="120"/>
        <w:jc w:val="both"/>
        <w:rPr>
          <w:rFonts w:ascii="Arial" w:hAnsi="Arial" w:cs="Arial"/>
          <w:sz w:val="20"/>
          <w:szCs w:val="20"/>
        </w:rPr>
      </w:pPr>
    </w:p>
    <w:p w:rsidR="00F36E1D" w:rsidRPr="001D642A" w:rsidRDefault="00F36E1D" w:rsidP="00F36E1D">
      <w:pPr>
        <w:spacing w:before="0" w:after="120"/>
        <w:jc w:val="both"/>
        <w:rPr>
          <w:rFonts w:ascii="Arial" w:hAnsi="Arial" w:cs="Arial"/>
          <w:b/>
          <w:sz w:val="22"/>
          <w:szCs w:val="22"/>
        </w:rPr>
      </w:pPr>
      <w:r w:rsidRPr="001D642A">
        <w:rPr>
          <w:rFonts w:ascii="Arial" w:hAnsi="Arial" w:cs="Arial"/>
          <w:b/>
          <w:sz w:val="22"/>
          <w:szCs w:val="22"/>
        </w:rPr>
        <w:t>Stima preliminare degli indici dei prezzi al consumo IPCA: accuratezza e metodologia di calcolo</w:t>
      </w:r>
    </w:p>
    <w:p w:rsidR="00F355C1" w:rsidRPr="001D642A" w:rsidRDefault="00F355C1" w:rsidP="00F355C1">
      <w:pPr>
        <w:widowControl/>
        <w:overflowPunct/>
        <w:spacing w:before="0" w:after="120"/>
        <w:jc w:val="both"/>
        <w:rPr>
          <w:rFonts w:ascii="Arial" w:hAnsi="Arial" w:cs="Arial"/>
          <w:kern w:val="0"/>
        </w:rPr>
      </w:pPr>
      <w:r w:rsidRPr="001D642A">
        <w:rPr>
          <w:rFonts w:ascii="Arial" w:hAnsi="Arial" w:cs="Arial"/>
          <w:kern w:val="0"/>
        </w:rPr>
        <w:t xml:space="preserve">La diffusione degli indici dei prezzi al consumo avviene in due successivi istanti temporali secondo una diversa modalità di rilascio dei dati: prima come stima provvisoria, poi come stima definitiva. La diffusione della stima provvisoria degli indici IPCA (e degli indici NIC) avviene alla fine del mese di riferimento nel rispetto del calendario Eurostat di diffusione della stima anticipata dell’inflazione nell’area euro. Il rilascio dei dati definitivi avviene intorno alla metà del mese successivo a quello di riferimento. </w:t>
      </w:r>
    </w:p>
    <w:p w:rsidR="00F36E1D" w:rsidRDefault="00F355C1" w:rsidP="00F355C1">
      <w:pPr>
        <w:spacing w:before="0" w:after="120"/>
        <w:jc w:val="both"/>
        <w:rPr>
          <w:rFonts w:ascii="Arial" w:hAnsi="Arial" w:cs="Arial"/>
        </w:rPr>
      </w:pPr>
      <w:r w:rsidRPr="001D642A">
        <w:rPr>
          <w:rFonts w:ascii="Arial" w:hAnsi="Arial" w:cs="Arial"/>
        </w:rPr>
        <w:t>La finalità della diffusione dei dati provvisori, sia dell’indice IPCA sia dall’indice NIC, è quella di fornire informazioni più tempestive sull’andamento dei prezzi al consumo, stimando nel modo più accurato possibile il dato definitivo dell’inflazione rilasciato circa due settimane dopo. In questo contesto, l’analisi delle revisioni delle stime provvisorie dei tassi tendenziali rappresenta un importante strumento per valutare il corretto bilanciamento tra le due dimensioni della qualità dei dati, tempestività e accuratezza.</w:t>
      </w:r>
    </w:p>
    <w:p w:rsidR="00F355C1" w:rsidRDefault="00F355C1" w:rsidP="00F36E1D">
      <w:pPr>
        <w:spacing w:before="0" w:after="120"/>
        <w:jc w:val="both"/>
        <w:rPr>
          <w:rFonts w:ascii="Arial" w:hAnsi="Arial" w:cs="Arial"/>
        </w:rPr>
      </w:pPr>
    </w:p>
    <w:p w:rsidR="00F36E1D" w:rsidRPr="001D642A" w:rsidRDefault="00F36E1D" w:rsidP="00F36E1D">
      <w:pPr>
        <w:spacing w:before="0" w:after="120"/>
        <w:jc w:val="both"/>
        <w:rPr>
          <w:rFonts w:ascii="Arial" w:hAnsi="Arial" w:cs="Arial"/>
          <w:szCs w:val="21"/>
        </w:rPr>
      </w:pPr>
      <w:r w:rsidRPr="001D642A">
        <w:rPr>
          <w:rFonts w:ascii="Arial" w:hAnsi="Arial" w:cs="Arial"/>
        </w:rPr>
        <w:t>In linea con la politica di diffusione di Eurostat, che pubblica mensilmente una nota sull’accuratezza della stima anticipata dell’inflazione per l’area euro, questa sezione è dedicata all’</w:t>
      </w:r>
      <w:r w:rsidRPr="001D642A">
        <w:rPr>
          <w:rFonts w:ascii="Arial" w:hAnsi="Arial" w:cs="Arial"/>
          <w:szCs w:val="21"/>
        </w:rPr>
        <w:t>analisi dell’accuratezza e alla metodologia utilizzata per il calcolo della stima preliminare dell’indice IPCA.</w:t>
      </w:r>
    </w:p>
    <w:p w:rsidR="00F36E1D" w:rsidRPr="001D642A" w:rsidRDefault="00F36E1D" w:rsidP="00F36E1D">
      <w:pPr>
        <w:spacing w:before="0" w:after="120"/>
        <w:jc w:val="both"/>
        <w:rPr>
          <w:rFonts w:ascii="Arial" w:hAnsi="Arial" w:cs="Arial"/>
        </w:rPr>
      </w:pPr>
    </w:p>
    <w:p w:rsidR="00F36E1D" w:rsidRPr="001D642A" w:rsidRDefault="00F36E1D" w:rsidP="00F36E1D">
      <w:pPr>
        <w:pStyle w:val="Rientrocorpodeltesto"/>
        <w:spacing w:before="0"/>
        <w:ind w:left="0" w:hanging="1"/>
        <w:rPr>
          <w:rFonts w:ascii="Arial" w:hAnsi="Arial" w:cs="Arial"/>
          <w:b/>
          <w:bCs/>
          <w:szCs w:val="22"/>
        </w:rPr>
      </w:pPr>
      <w:r w:rsidRPr="001D642A">
        <w:rPr>
          <w:rFonts w:ascii="Arial" w:hAnsi="Arial" w:cs="Arial"/>
          <w:b/>
          <w:bCs/>
          <w:szCs w:val="22"/>
        </w:rPr>
        <w:t>Accuratezza delle stime preliminari</w:t>
      </w:r>
    </w:p>
    <w:p w:rsidR="00150619" w:rsidRPr="001D642A" w:rsidRDefault="00150619" w:rsidP="00150619">
      <w:pPr>
        <w:widowControl/>
        <w:overflowPunct/>
        <w:spacing w:before="0" w:after="120"/>
        <w:jc w:val="both"/>
        <w:rPr>
          <w:rFonts w:ascii="Arial" w:hAnsi="Arial" w:cs="Arial"/>
        </w:rPr>
      </w:pPr>
      <w:r w:rsidRPr="001D642A">
        <w:rPr>
          <w:rFonts w:ascii="Arial" w:hAnsi="Arial" w:cs="Arial"/>
        </w:rPr>
        <w:t>Nel Prospetto 2 sono confrontati i tassi di variazione tendenziale definitivi e provvisori dell’indice generale IPCA e dei principali aggregati speciali per gli ultimi tredici mesi. In questo arco temporale, la differenza maggiore tra la stima definitiva e quella provvisoria del tasso tendenziale dell’</w:t>
      </w:r>
      <w:r>
        <w:rPr>
          <w:rFonts w:ascii="Arial" w:hAnsi="Arial" w:cs="Arial"/>
        </w:rPr>
        <w:t>indice generale è stata pari a -0,3</w:t>
      </w:r>
      <w:r w:rsidRPr="001D642A">
        <w:rPr>
          <w:rFonts w:ascii="Arial" w:hAnsi="Arial" w:cs="Arial"/>
        </w:rPr>
        <w:t xml:space="preserve"> punti perce</w:t>
      </w:r>
      <w:r>
        <w:rPr>
          <w:rFonts w:ascii="Arial" w:hAnsi="Arial" w:cs="Arial"/>
        </w:rPr>
        <w:t>ntuali, osservata ad aprile 2022</w:t>
      </w:r>
      <w:r w:rsidRPr="001D642A">
        <w:rPr>
          <w:rFonts w:ascii="Arial" w:hAnsi="Arial" w:cs="Arial"/>
        </w:rPr>
        <w:t xml:space="preserve">. Con riferimento ai principali aggregati speciali, le differenze maggiori tra la stima definitiva e quella provvisoria in termini di tassi tendenziali hanno interessato l’aggregato degli Alimentari lavorati (-0,4 </w:t>
      </w:r>
      <w:r>
        <w:rPr>
          <w:rFonts w:ascii="Arial" w:hAnsi="Arial" w:cs="Arial"/>
        </w:rPr>
        <w:t>punti percentuali ad aprile 2022</w:t>
      </w:r>
      <w:r w:rsidRPr="001D642A">
        <w:rPr>
          <w:rFonts w:ascii="Arial" w:hAnsi="Arial" w:cs="Arial"/>
        </w:rPr>
        <w:t xml:space="preserve">), </w:t>
      </w:r>
      <w:r>
        <w:rPr>
          <w:rFonts w:ascii="Arial" w:hAnsi="Arial" w:cs="Arial"/>
        </w:rPr>
        <w:t xml:space="preserve">quindi quello dei </w:t>
      </w:r>
      <w:r w:rsidRPr="00BB1420">
        <w:rPr>
          <w:rFonts w:ascii="Arial" w:hAnsi="Arial" w:cs="Arial"/>
        </w:rPr>
        <w:t>Beni alimentari (incluse bevande alcoliche) e tabacchi</w:t>
      </w:r>
      <w:r>
        <w:rPr>
          <w:rFonts w:ascii="Arial" w:hAnsi="Arial" w:cs="Arial"/>
        </w:rPr>
        <w:t xml:space="preserve"> (-0,3 ad aprile 2022)</w:t>
      </w:r>
      <w:r w:rsidRPr="00BB1420">
        <w:rPr>
          <w:rFonts w:ascii="Arial" w:hAnsi="Arial" w:cs="Arial"/>
        </w:rPr>
        <w:t xml:space="preserve">, </w:t>
      </w:r>
      <w:r w:rsidRPr="001D642A">
        <w:rPr>
          <w:rFonts w:ascii="Arial" w:hAnsi="Arial" w:cs="Arial"/>
        </w:rPr>
        <w:t>quello dell’Ene</w:t>
      </w:r>
      <w:r>
        <w:rPr>
          <w:rFonts w:ascii="Arial" w:hAnsi="Arial" w:cs="Arial"/>
        </w:rPr>
        <w:t>rgia (</w:t>
      </w:r>
      <w:r w:rsidRPr="001D642A">
        <w:rPr>
          <w:rFonts w:ascii="Arial" w:hAnsi="Arial" w:cs="Arial"/>
        </w:rPr>
        <w:t>+1,9 a ottobre 2021</w:t>
      </w:r>
      <w:r>
        <w:rPr>
          <w:rFonts w:ascii="Arial" w:hAnsi="Arial" w:cs="Arial"/>
        </w:rPr>
        <w:t>, -2,0 a marzo 2022, -2,8 ad aprile 2022 e -2,2 questo mese</w:t>
      </w:r>
      <w:r w:rsidRPr="001D642A">
        <w:rPr>
          <w:rFonts w:ascii="Arial" w:hAnsi="Arial" w:cs="Arial"/>
        </w:rPr>
        <w:t>) e quello dei Beni industriali non energetici (-0,8 a gennaio 2022</w:t>
      </w:r>
      <w:r>
        <w:rPr>
          <w:rFonts w:ascii="Arial" w:hAnsi="Arial" w:cs="Arial"/>
        </w:rPr>
        <w:t xml:space="preserve"> e +0,3 ad agosto 2022</w:t>
      </w:r>
      <w:r w:rsidRPr="001D642A">
        <w:rPr>
          <w:rFonts w:ascii="Arial" w:hAnsi="Arial" w:cs="Arial"/>
        </w:rPr>
        <w:t>).</w:t>
      </w:r>
    </w:p>
    <w:p w:rsidR="00150619" w:rsidRDefault="00150619" w:rsidP="00150619">
      <w:pPr>
        <w:widowControl/>
        <w:overflowPunct/>
        <w:spacing w:before="0" w:after="120"/>
        <w:jc w:val="both"/>
        <w:rPr>
          <w:rFonts w:ascii="Arial" w:hAnsi="Arial" w:cs="Arial"/>
        </w:rPr>
      </w:pPr>
      <w:r w:rsidRPr="001D642A">
        <w:rPr>
          <w:rFonts w:ascii="Arial" w:hAnsi="Arial" w:cs="Arial"/>
        </w:rPr>
        <w:t>La più elevata frequenza delle revisioni è osservata negli aggregati dei Beni alimentari lavorati (</w:t>
      </w:r>
      <w:r>
        <w:rPr>
          <w:rFonts w:ascii="Arial" w:hAnsi="Arial" w:cs="Arial"/>
        </w:rPr>
        <w:t>9</w:t>
      </w:r>
      <w:r w:rsidRPr="001D642A">
        <w:rPr>
          <w:rFonts w:ascii="Arial" w:hAnsi="Arial" w:cs="Arial"/>
        </w:rPr>
        <w:t xml:space="preserve"> mesi sui 13 in esame, imputabile in larga parte all’utilizzo, per la stima preliminare, degli scanner data, riferiti ai prezzi dei prodotti grocery provenienti dalla GDO, di una/due settimane rispetto alle tre incluse nell’indice definitivo)</w:t>
      </w:r>
      <w:r>
        <w:rPr>
          <w:rFonts w:ascii="Arial" w:hAnsi="Arial" w:cs="Arial"/>
        </w:rPr>
        <w:t>, di Energia (8 mesi su 13)</w:t>
      </w:r>
      <w:r w:rsidRPr="001D642A">
        <w:rPr>
          <w:rFonts w:ascii="Arial" w:hAnsi="Arial" w:cs="Arial"/>
        </w:rPr>
        <w:t xml:space="preserve"> e dei Beni industriali </w:t>
      </w:r>
      <w:r>
        <w:rPr>
          <w:rFonts w:ascii="Arial" w:hAnsi="Arial" w:cs="Arial"/>
        </w:rPr>
        <w:t>non energetici (7</w:t>
      </w:r>
      <w:r w:rsidRPr="001D642A">
        <w:rPr>
          <w:rFonts w:ascii="Arial" w:hAnsi="Arial" w:cs="Arial"/>
        </w:rPr>
        <w:t xml:space="preserve"> mesi su 13, da ascrivere principalmente alla dinamica dei saldi dell’Abbigliamento e calzature e alla disponibilità per la stima preliminare, con riferimento ad alcune categorie di Beni durevoli,</w:t>
      </w:r>
      <w:r w:rsidRPr="001D642A">
        <w:t xml:space="preserve"> </w:t>
      </w:r>
      <w:r w:rsidRPr="001D642A">
        <w:rPr>
          <w:rFonts w:ascii="Arial" w:hAnsi="Arial" w:cs="Arial"/>
        </w:rPr>
        <w:t>dei dati riferiti a una/due settimane rispetto alle tre incluse nell’indice definitivo); l’incompletezza delle informazioni utilizzate per il calcolo ha un impatto maggiore sulle stime provvisorie di questi aggregati speciali che, di conseguenza, risultano essere meno accurate</w:t>
      </w:r>
      <w:r>
        <w:rPr>
          <w:rFonts w:ascii="Arial" w:hAnsi="Arial" w:cs="Arial"/>
        </w:rPr>
        <w:t>.</w:t>
      </w:r>
    </w:p>
    <w:p w:rsidR="00150619" w:rsidRPr="001D642A" w:rsidRDefault="00150619" w:rsidP="00150619">
      <w:pPr>
        <w:widowControl/>
        <w:overflowPunct/>
        <w:spacing w:before="0" w:after="120"/>
        <w:jc w:val="both"/>
        <w:rPr>
          <w:rFonts w:ascii="Arial" w:hAnsi="Arial" w:cs="Arial"/>
        </w:rPr>
      </w:pPr>
    </w:p>
    <w:p w:rsidR="00150619" w:rsidRPr="001D642A" w:rsidRDefault="00150619" w:rsidP="00150619">
      <w:pPr>
        <w:pStyle w:val="001TitoGra"/>
        <w:spacing w:after="120" w:line="240" w:lineRule="auto"/>
        <w:jc w:val="both"/>
        <w:rPr>
          <w:vertAlign w:val="superscript"/>
        </w:rPr>
      </w:pPr>
      <w:r w:rsidRPr="001D642A">
        <w:rPr>
          <w:rStyle w:val="001TitoGraRed"/>
        </w:rPr>
        <w:t>PROSPETTO 2.</w:t>
      </w:r>
      <w:r w:rsidRPr="001D642A">
        <w:t xml:space="preserve"> STIME PRELIMINARI E DEFINITIVE DEGLI INDICI DEI PREZZI AL CONSUMO IPCA E DEI PRINCIPALI AGGREGATI SPECIALI</w:t>
      </w:r>
      <w:r w:rsidRPr="001D642A">
        <w:rPr>
          <w:b w:val="0"/>
          <w:sz w:val="20"/>
          <w:szCs w:val="20"/>
        </w:rPr>
        <w:t xml:space="preserve">. </w:t>
      </w:r>
      <w:r>
        <w:rPr>
          <w:b w:val="0"/>
          <w:sz w:val="20"/>
          <w:szCs w:val="20"/>
        </w:rPr>
        <w:t>Ottobre</w:t>
      </w:r>
      <w:r w:rsidRPr="001D642A">
        <w:rPr>
          <w:b w:val="0"/>
          <w:sz w:val="20"/>
          <w:szCs w:val="20"/>
        </w:rPr>
        <w:t xml:space="preserve"> 2021 – </w:t>
      </w:r>
      <w:r>
        <w:rPr>
          <w:b w:val="0"/>
          <w:sz w:val="20"/>
          <w:szCs w:val="20"/>
        </w:rPr>
        <w:t xml:space="preserve">ottobre </w:t>
      </w:r>
      <w:r w:rsidRPr="001D642A">
        <w:rPr>
          <w:b w:val="0"/>
          <w:sz w:val="20"/>
          <w:szCs w:val="20"/>
        </w:rPr>
        <w:t>2022, valori percentuali tendenziali (base 2015=100)</w:t>
      </w:r>
    </w:p>
    <w:tbl>
      <w:tblPr>
        <w:tblW w:w="10290" w:type="dxa"/>
        <w:jc w:val="center"/>
        <w:tblCellMar>
          <w:left w:w="70" w:type="dxa"/>
          <w:right w:w="70" w:type="dxa"/>
        </w:tblCellMar>
        <w:tblLook w:val="04A0" w:firstRow="1" w:lastRow="0" w:firstColumn="1" w:lastColumn="0" w:noHBand="0" w:noVBand="1"/>
      </w:tblPr>
      <w:tblGrid>
        <w:gridCol w:w="3261"/>
        <w:gridCol w:w="285"/>
        <w:gridCol w:w="510"/>
        <w:gridCol w:w="510"/>
        <w:gridCol w:w="510"/>
        <w:gridCol w:w="510"/>
        <w:gridCol w:w="510"/>
        <w:gridCol w:w="510"/>
        <w:gridCol w:w="510"/>
        <w:gridCol w:w="510"/>
        <w:gridCol w:w="510"/>
        <w:gridCol w:w="510"/>
        <w:gridCol w:w="510"/>
        <w:gridCol w:w="567"/>
        <w:gridCol w:w="567"/>
      </w:tblGrid>
      <w:tr w:rsidR="00150619" w:rsidRPr="00363206" w:rsidTr="00AA5E5F">
        <w:trPr>
          <w:trHeight w:val="316"/>
          <w:jc w:val="center"/>
        </w:trPr>
        <w:tc>
          <w:tcPr>
            <w:tcW w:w="3261" w:type="dxa"/>
            <w:tcBorders>
              <w:top w:val="single" w:sz="4" w:space="0" w:color="auto"/>
              <w:left w:val="nil"/>
              <w:bottom w:val="single" w:sz="4" w:space="0" w:color="auto"/>
              <w:right w:val="nil"/>
            </w:tcBorders>
            <w:shd w:val="clear" w:color="000000" w:fill="FFFFFF"/>
            <w:noWrap/>
            <w:vAlign w:val="center"/>
            <w:hideMark/>
          </w:tcPr>
          <w:p w:rsidR="00150619" w:rsidRPr="00363206" w:rsidRDefault="00150619" w:rsidP="00AA5E5F">
            <w:pPr>
              <w:ind w:right="-13"/>
              <w:rPr>
                <w:rFonts w:ascii="Arial Narrow" w:hAnsi="Arial Narrow"/>
                <w:b/>
                <w:bCs/>
                <w:color w:val="000000"/>
                <w:kern w:val="0"/>
                <w:sz w:val="16"/>
                <w:szCs w:val="18"/>
              </w:rPr>
            </w:pPr>
            <w:r w:rsidRPr="00363206">
              <w:rPr>
                <w:rFonts w:ascii="Arial Narrow" w:hAnsi="Arial Narrow"/>
                <w:b/>
                <w:bCs/>
                <w:color w:val="000000"/>
                <w:kern w:val="0"/>
                <w:sz w:val="16"/>
                <w:szCs w:val="18"/>
              </w:rPr>
              <w:t>Aggregati speciali</w:t>
            </w:r>
          </w:p>
        </w:tc>
        <w:tc>
          <w:tcPr>
            <w:tcW w:w="285" w:type="dxa"/>
            <w:tcBorders>
              <w:top w:val="single" w:sz="4" w:space="0" w:color="auto"/>
              <w:left w:val="nil"/>
              <w:bottom w:val="single" w:sz="4" w:space="0" w:color="auto"/>
              <w:right w:val="nil"/>
            </w:tcBorders>
            <w:shd w:val="clear" w:color="000000" w:fill="FFFFFF"/>
            <w:noWrap/>
            <w:vAlign w:val="center"/>
            <w:hideMark/>
          </w:tcPr>
          <w:p w:rsidR="00150619" w:rsidRPr="00363206" w:rsidRDefault="00150619" w:rsidP="00AA5E5F">
            <w:pPr>
              <w:ind w:left="-153" w:right="-13"/>
              <w:jc w:val="right"/>
              <w:rPr>
                <w:rFonts w:ascii="Arial Narrow" w:hAnsi="Arial Narrow"/>
                <w:b/>
                <w:bCs/>
                <w:color w:val="000000"/>
                <w:kern w:val="0"/>
                <w:sz w:val="16"/>
                <w:szCs w:val="18"/>
              </w:rPr>
            </w:pPr>
            <w:r w:rsidRPr="00363206">
              <w:rPr>
                <w:rFonts w:ascii="Arial Narrow" w:hAnsi="Arial Narrow"/>
                <w:b/>
                <w:bCs/>
                <w:color w:val="000000"/>
                <w:kern w:val="0"/>
                <w:sz w:val="16"/>
                <w:szCs w:val="18"/>
              </w:rPr>
              <w:t> </w:t>
            </w:r>
          </w:p>
        </w:tc>
        <w:tc>
          <w:tcPr>
            <w:tcW w:w="510" w:type="dxa"/>
            <w:tcBorders>
              <w:top w:val="single" w:sz="4" w:space="0" w:color="auto"/>
              <w:left w:val="nil"/>
              <w:bottom w:val="single" w:sz="4" w:space="0" w:color="auto"/>
              <w:right w:val="nil"/>
            </w:tcBorders>
            <w:shd w:val="clear" w:color="000000" w:fill="FFFFFF"/>
          </w:tcPr>
          <w:p w:rsidR="00150619" w:rsidRPr="001D642A" w:rsidRDefault="00150619" w:rsidP="00AA5E5F">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ott-21</w:t>
            </w:r>
          </w:p>
        </w:tc>
        <w:tc>
          <w:tcPr>
            <w:tcW w:w="510" w:type="dxa"/>
            <w:tcBorders>
              <w:top w:val="single" w:sz="4" w:space="0" w:color="auto"/>
              <w:left w:val="nil"/>
              <w:bottom w:val="single" w:sz="4" w:space="0" w:color="auto"/>
              <w:right w:val="nil"/>
            </w:tcBorders>
            <w:shd w:val="clear" w:color="000000" w:fill="FFFFFF"/>
            <w:vAlign w:val="center"/>
          </w:tcPr>
          <w:p w:rsidR="00150619" w:rsidRPr="001D642A" w:rsidRDefault="00150619" w:rsidP="00AA5E5F">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nov-21</w:t>
            </w:r>
          </w:p>
        </w:tc>
        <w:tc>
          <w:tcPr>
            <w:tcW w:w="510" w:type="dxa"/>
            <w:tcBorders>
              <w:top w:val="single" w:sz="4" w:space="0" w:color="auto"/>
              <w:left w:val="nil"/>
              <w:bottom w:val="single" w:sz="4" w:space="0" w:color="auto"/>
              <w:right w:val="nil"/>
            </w:tcBorders>
            <w:shd w:val="clear" w:color="000000" w:fill="FFFFFF"/>
          </w:tcPr>
          <w:p w:rsidR="00150619" w:rsidRPr="001D642A" w:rsidRDefault="00150619" w:rsidP="00AA5E5F">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dic-21</w:t>
            </w:r>
          </w:p>
        </w:tc>
        <w:tc>
          <w:tcPr>
            <w:tcW w:w="510" w:type="dxa"/>
            <w:tcBorders>
              <w:top w:val="single" w:sz="4" w:space="0" w:color="auto"/>
              <w:left w:val="nil"/>
              <w:bottom w:val="single" w:sz="4" w:space="0" w:color="auto"/>
              <w:right w:val="nil"/>
            </w:tcBorders>
            <w:shd w:val="clear" w:color="000000" w:fill="FFFFFF"/>
          </w:tcPr>
          <w:p w:rsidR="00150619" w:rsidRPr="001D642A" w:rsidRDefault="00150619" w:rsidP="00AA5E5F">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gen-22</w:t>
            </w:r>
          </w:p>
        </w:tc>
        <w:tc>
          <w:tcPr>
            <w:tcW w:w="510" w:type="dxa"/>
            <w:tcBorders>
              <w:top w:val="single" w:sz="4" w:space="0" w:color="auto"/>
              <w:left w:val="nil"/>
              <w:bottom w:val="single" w:sz="4" w:space="0" w:color="auto"/>
              <w:right w:val="nil"/>
            </w:tcBorders>
            <w:shd w:val="clear" w:color="000000" w:fill="FFFFFF"/>
          </w:tcPr>
          <w:p w:rsidR="00150619" w:rsidRPr="001D642A" w:rsidRDefault="00150619" w:rsidP="00AA5E5F">
            <w:pPr>
              <w:ind w:left="-153" w:right="-13"/>
              <w:jc w:val="right"/>
              <w:rPr>
                <w:rFonts w:ascii="Arial Narrow" w:hAnsi="Arial Narrow"/>
                <w:b/>
                <w:bCs/>
                <w:color w:val="000000"/>
                <w:kern w:val="0"/>
                <w:sz w:val="16"/>
                <w:szCs w:val="18"/>
              </w:rPr>
            </w:pPr>
            <w:r w:rsidRPr="001D642A">
              <w:rPr>
                <w:rFonts w:ascii="Arial Narrow" w:hAnsi="Arial Narrow"/>
                <w:b/>
                <w:bCs/>
                <w:color w:val="000000"/>
                <w:kern w:val="0"/>
                <w:sz w:val="16"/>
                <w:szCs w:val="18"/>
              </w:rPr>
              <w:t>feb-22</w:t>
            </w:r>
          </w:p>
        </w:tc>
        <w:tc>
          <w:tcPr>
            <w:tcW w:w="510" w:type="dxa"/>
            <w:tcBorders>
              <w:top w:val="single" w:sz="4" w:space="0" w:color="auto"/>
              <w:left w:val="nil"/>
              <w:bottom w:val="single" w:sz="4" w:space="0" w:color="auto"/>
              <w:right w:val="nil"/>
            </w:tcBorders>
            <w:shd w:val="clear" w:color="000000" w:fill="FFFFFF"/>
            <w:vAlign w:val="center"/>
          </w:tcPr>
          <w:p w:rsidR="00150619" w:rsidRPr="00363206" w:rsidRDefault="00150619" w:rsidP="00AA5E5F">
            <w:pPr>
              <w:ind w:left="-153" w:right="-13"/>
              <w:jc w:val="right"/>
              <w:rPr>
                <w:rFonts w:ascii="Arial Narrow" w:hAnsi="Arial Narrow"/>
                <w:b/>
                <w:bCs/>
                <w:color w:val="000000"/>
                <w:kern w:val="0"/>
                <w:sz w:val="16"/>
                <w:szCs w:val="18"/>
              </w:rPr>
            </w:pPr>
            <w:r w:rsidRPr="00363206">
              <w:rPr>
                <w:rFonts w:ascii="Arial Narrow" w:hAnsi="Arial Narrow"/>
                <w:b/>
                <w:bCs/>
                <w:color w:val="000000"/>
                <w:kern w:val="0"/>
                <w:sz w:val="16"/>
                <w:szCs w:val="18"/>
              </w:rPr>
              <w:t>mar-22</w:t>
            </w:r>
          </w:p>
        </w:tc>
        <w:tc>
          <w:tcPr>
            <w:tcW w:w="510" w:type="dxa"/>
            <w:tcBorders>
              <w:top w:val="single" w:sz="4" w:space="0" w:color="auto"/>
              <w:left w:val="nil"/>
              <w:bottom w:val="single" w:sz="4" w:space="0" w:color="auto"/>
              <w:right w:val="nil"/>
            </w:tcBorders>
            <w:shd w:val="clear" w:color="000000" w:fill="FFFFFF"/>
            <w:vAlign w:val="center"/>
          </w:tcPr>
          <w:p w:rsidR="00150619" w:rsidRPr="00363206" w:rsidRDefault="00150619" w:rsidP="00AA5E5F">
            <w:pPr>
              <w:ind w:left="-153" w:right="-13"/>
              <w:jc w:val="right"/>
              <w:rPr>
                <w:rFonts w:ascii="Arial Narrow" w:hAnsi="Arial Narrow"/>
                <w:b/>
                <w:bCs/>
                <w:color w:val="000000"/>
                <w:kern w:val="0"/>
                <w:sz w:val="16"/>
                <w:szCs w:val="18"/>
              </w:rPr>
            </w:pPr>
            <w:r w:rsidRPr="00363206">
              <w:rPr>
                <w:rFonts w:ascii="Arial Narrow" w:hAnsi="Arial Narrow"/>
                <w:b/>
                <w:bCs/>
                <w:color w:val="000000"/>
                <w:kern w:val="0"/>
                <w:sz w:val="16"/>
                <w:szCs w:val="18"/>
              </w:rPr>
              <w:t xml:space="preserve">apr-22 </w:t>
            </w:r>
          </w:p>
        </w:tc>
        <w:tc>
          <w:tcPr>
            <w:tcW w:w="510" w:type="dxa"/>
            <w:tcBorders>
              <w:top w:val="single" w:sz="4" w:space="0" w:color="auto"/>
              <w:left w:val="nil"/>
              <w:bottom w:val="single" w:sz="4" w:space="0" w:color="auto"/>
              <w:right w:val="nil"/>
            </w:tcBorders>
            <w:shd w:val="clear" w:color="000000" w:fill="FFFFFF"/>
            <w:vAlign w:val="center"/>
          </w:tcPr>
          <w:p w:rsidR="00150619" w:rsidRPr="006A00D9" w:rsidRDefault="00150619" w:rsidP="00AA5E5F">
            <w:pPr>
              <w:ind w:left="-153" w:right="-13"/>
              <w:jc w:val="right"/>
              <w:rPr>
                <w:rFonts w:ascii="Arial Narrow" w:hAnsi="Arial Narrow"/>
                <w:b/>
                <w:bCs/>
                <w:color w:val="000000"/>
                <w:kern w:val="0"/>
                <w:sz w:val="16"/>
                <w:szCs w:val="18"/>
              </w:rPr>
            </w:pPr>
            <w:r w:rsidRPr="006A00D9">
              <w:rPr>
                <w:rFonts w:ascii="Arial Narrow" w:hAnsi="Arial Narrow"/>
                <w:b/>
                <w:bCs/>
                <w:color w:val="000000"/>
                <w:kern w:val="0"/>
                <w:sz w:val="16"/>
                <w:szCs w:val="18"/>
              </w:rPr>
              <w:t>mag-22</w:t>
            </w:r>
          </w:p>
        </w:tc>
        <w:tc>
          <w:tcPr>
            <w:tcW w:w="510" w:type="dxa"/>
            <w:tcBorders>
              <w:top w:val="single" w:sz="4" w:space="0" w:color="auto"/>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ind w:left="-132"/>
              <w:jc w:val="right"/>
              <w:rPr>
                <w:rFonts w:ascii="Arial Narrow" w:hAnsi="Arial Narrow"/>
                <w:b/>
                <w:bCs/>
                <w:color w:val="000000"/>
                <w:kern w:val="0"/>
                <w:sz w:val="18"/>
                <w:szCs w:val="18"/>
              </w:rPr>
            </w:pPr>
            <w:r>
              <w:rPr>
                <w:rFonts w:ascii="Arial Narrow" w:hAnsi="Arial Narrow"/>
                <w:b/>
                <w:bCs/>
                <w:color w:val="000000"/>
                <w:sz w:val="18"/>
                <w:szCs w:val="18"/>
              </w:rPr>
              <w:t>giu-22</w:t>
            </w:r>
          </w:p>
        </w:tc>
        <w:tc>
          <w:tcPr>
            <w:tcW w:w="510" w:type="dxa"/>
            <w:tcBorders>
              <w:top w:val="single" w:sz="4" w:space="0" w:color="auto"/>
              <w:left w:val="nil"/>
              <w:bottom w:val="single" w:sz="4" w:space="0" w:color="auto"/>
              <w:right w:val="nil"/>
            </w:tcBorders>
            <w:shd w:val="clear" w:color="000000" w:fill="FFFFFF"/>
          </w:tcPr>
          <w:p w:rsidR="00150619" w:rsidRPr="001D642A" w:rsidRDefault="00150619" w:rsidP="00AA5E5F">
            <w:pPr>
              <w:ind w:left="-153" w:right="-13"/>
              <w:jc w:val="right"/>
              <w:rPr>
                <w:rFonts w:ascii="Arial Narrow" w:hAnsi="Arial Narrow"/>
                <w:b/>
                <w:bCs/>
                <w:color w:val="000000"/>
                <w:kern w:val="0"/>
                <w:sz w:val="16"/>
                <w:szCs w:val="18"/>
              </w:rPr>
            </w:pPr>
            <w:r>
              <w:rPr>
                <w:rFonts w:ascii="Arial Narrow" w:hAnsi="Arial Narrow"/>
                <w:b/>
                <w:bCs/>
                <w:color w:val="000000"/>
                <w:kern w:val="0"/>
                <w:sz w:val="16"/>
                <w:szCs w:val="18"/>
              </w:rPr>
              <w:t>lug-22</w:t>
            </w:r>
          </w:p>
        </w:tc>
        <w:tc>
          <w:tcPr>
            <w:tcW w:w="510" w:type="dxa"/>
            <w:tcBorders>
              <w:top w:val="single" w:sz="4" w:space="0" w:color="auto"/>
              <w:left w:val="nil"/>
              <w:bottom w:val="single" w:sz="4" w:space="0" w:color="auto"/>
              <w:right w:val="nil"/>
            </w:tcBorders>
            <w:shd w:val="clear" w:color="000000" w:fill="FFFFFF"/>
            <w:vAlign w:val="center"/>
          </w:tcPr>
          <w:p w:rsidR="00150619" w:rsidRDefault="00150619" w:rsidP="00AA5E5F">
            <w:pPr>
              <w:ind w:left="-153" w:right="-13"/>
              <w:jc w:val="right"/>
              <w:rPr>
                <w:rFonts w:ascii="Arial Narrow" w:hAnsi="Arial Narrow"/>
                <w:b/>
                <w:bCs/>
                <w:color w:val="000000"/>
                <w:kern w:val="0"/>
                <w:sz w:val="18"/>
                <w:szCs w:val="18"/>
              </w:rPr>
            </w:pPr>
            <w:r w:rsidRPr="009158DE">
              <w:rPr>
                <w:rFonts w:ascii="Arial Narrow" w:hAnsi="Arial Narrow"/>
                <w:b/>
                <w:bCs/>
                <w:color w:val="000000"/>
                <w:kern w:val="0"/>
                <w:sz w:val="16"/>
                <w:szCs w:val="18"/>
              </w:rPr>
              <w:t>ago-22</w:t>
            </w:r>
          </w:p>
        </w:tc>
        <w:tc>
          <w:tcPr>
            <w:tcW w:w="567" w:type="dxa"/>
            <w:tcBorders>
              <w:top w:val="single" w:sz="4" w:space="0" w:color="auto"/>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ind w:left="-132"/>
              <w:jc w:val="right"/>
              <w:rPr>
                <w:rFonts w:ascii="Arial Narrow" w:hAnsi="Arial Narrow"/>
                <w:b/>
                <w:bCs/>
                <w:color w:val="000000"/>
                <w:kern w:val="0"/>
                <w:sz w:val="18"/>
                <w:szCs w:val="18"/>
              </w:rPr>
            </w:pPr>
            <w:r>
              <w:rPr>
                <w:rFonts w:ascii="Arial Narrow" w:hAnsi="Arial Narrow"/>
                <w:b/>
                <w:bCs/>
                <w:color w:val="000000"/>
                <w:sz w:val="18"/>
                <w:szCs w:val="18"/>
              </w:rPr>
              <w:t>set-22</w:t>
            </w:r>
          </w:p>
        </w:tc>
        <w:tc>
          <w:tcPr>
            <w:tcW w:w="567" w:type="dxa"/>
            <w:tcBorders>
              <w:top w:val="single" w:sz="4" w:space="0" w:color="auto"/>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ind w:left="-132"/>
              <w:jc w:val="right"/>
              <w:rPr>
                <w:rFonts w:ascii="Arial Narrow" w:hAnsi="Arial Narrow"/>
                <w:b/>
                <w:bCs/>
                <w:color w:val="000000"/>
                <w:kern w:val="0"/>
                <w:sz w:val="18"/>
                <w:szCs w:val="18"/>
              </w:rPr>
            </w:pPr>
            <w:r>
              <w:rPr>
                <w:rFonts w:ascii="Arial Narrow" w:hAnsi="Arial Narrow"/>
                <w:b/>
                <w:bCs/>
                <w:color w:val="000000"/>
                <w:sz w:val="18"/>
                <w:szCs w:val="18"/>
              </w:rPr>
              <w:t>ott-22</w:t>
            </w:r>
          </w:p>
        </w:tc>
      </w:tr>
      <w:tr w:rsidR="00150619" w:rsidRPr="001D642A" w:rsidTr="00AA5E5F">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Beni alimentari (incluse bevande alcoliche) e tabacchi, di cui:</w:t>
            </w: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1,1</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2,5</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3,4</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4,3</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5,1</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5,8</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6,5</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8,0</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8,8</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9,3</w:t>
            </w:r>
          </w:p>
        </w:tc>
        <w:tc>
          <w:tcPr>
            <w:tcW w:w="567" w:type="dxa"/>
            <w:tcBorders>
              <w:top w:val="nil"/>
              <w:left w:val="nil"/>
              <w:bottom w:val="single" w:sz="4" w:space="0" w:color="auto"/>
              <w:right w:val="nil"/>
            </w:tcBorders>
            <w:shd w:val="clear" w:color="000000" w:fill="FFFFFF"/>
            <w:vAlign w:val="center"/>
          </w:tcPr>
          <w:p w:rsidR="00150619" w:rsidRPr="00C8411E"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10,4</w:t>
            </w:r>
          </w:p>
        </w:tc>
        <w:tc>
          <w:tcPr>
            <w:tcW w:w="567" w:type="dxa"/>
            <w:tcBorders>
              <w:top w:val="nil"/>
              <w:left w:val="nil"/>
              <w:bottom w:val="single" w:sz="4" w:space="0" w:color="auto"/>
              <w:right w:val="nil"/>
            </w:tcBorders>
            <w:shd w:val="clear" w:color="000000" w:fill="FFFFFF"/>
            <w:vAlign w:val="center"/>
          </w:tcPr>
          <w:p w:rsidR="00150619" w:rsidRPr="00E74E7A"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11,9</w:t>
            </w:r>
          </w:p>
        </w:tc>
      </w:tr>
      <w:tr w:rsidR="00150619" w:rsidRPr="001D642A" w:rsidTr="00AA5E5F">
        <w:trPr>
          <w:trHeight w:val="255"/>
          <w:jc w:val="center"/>
        </w:trPr>
        <w:tc>
          <w:tcPr>
            <w:tcW w:w="3261" w:type="dxa"/>
            <w:vMerge/>
            <w:tcBorders>
              <w:top w:val="nil"/>
              <w:left w:val="nil"/>
              <w:bottom w:val="single" w:sz="4" w:space="0" w:color="000000"/>
              <w:right w:val="nil"/>
            </w:tcBorders>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2,5</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3,2</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4,2</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5,0</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5,5</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6,4</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7,9</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8,8</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9,2</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10,2</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11,8</w:t>
            </w:r>
          </w:p>
        </w:tc>
      </w:tr>
      <w:tr w:rsidR="00150619" w:rsidRPr="001D642A" w:rsidTr="00AA5E5F">
        <w:trPr>
          <w:trHeight w:val="255"/>
          <w:jc w:val="center"/>
        </w:trPr>
        <w:tc>
          <w:tcPr>
            <w:tcW w:w="3261" w:type="dxa"/>
            <w:vMerge w:val="restart"/>
            <w:tcBorders>
              <w:top w:val="nil"/>
              <w:left w:val="nil"/>
              <w:bottom w:val="nil"/>
              <w:right w:val="nil"/>
            </w:tcBorders>
            <w:shd w:val="clear" w:color="000000" w:fill="FFFFFF"/>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 xml:space="preserve">    Alimentari lavorati</w:t>
            </w: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2,1</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2,8</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3,4</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4,6</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5,7</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7,0</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8,1</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8,9</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10,0</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11,3</w:t>
            </w:r>
          </w:p>
        </w:tc>
      </w:tr>
      <w:tr w:rsidR="00150619" w:rsidRPr="001D642A" w:rsidTr="00AA5E5F">
        <w:trPr>
          <w:trHeight w:val="255"/>
          <w:jc w:val="center"/>
        </w:trPr>
        <w:tc>
          <w:tcPr>
            <w:tcW w:w="3261" w:type="dxa"/>
            <w:vMerge/>
            <w:tcBorders>
              <w:top w:val="nil"/>
              <w:left w:val="nil"/>
              <w:bottom w:val="nil"/>
              <w:right w:val="nil"/>
            </w:tcBorders>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1,0</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1,9</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2,7</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3,4</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4,2</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5,6</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6,9</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8,1</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8,8</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9,8</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11,3</w:t>
            </w:r>
          </w:p>
        </w:tc>
      </w:tr>
      <w:tr w:rsidR="00150619" w:rsidRPr="001D642A" w:rsidTr="00AA5E5F">
        <w:trPr>
          <w:trHeight w:val="127"/>
          <w:jc w:val="center"/>
        </w:trPr>
        <w:tc>
          <w:tcPr>
            <w:tcW w:w="3261" w:type="dxa"/>
            <w:vMerge w:val="restart"/>
            <w:tcBorders>
              <w:top w:val="single" w:sz="4" w:space="0" w:color="auto"/>
              <w:left w:val="nil"/>
              <w:bottom w:val="single" w:sz="4" w:space="0" w:color="000000"/>
              <w:right w:val="nil"/>
            </w:tcBorders>
            <w:shd w:val="clear" w:color="000000" w:fill="FFFFFF"/>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 xml:space="preserve">    Alimentari non lavorati</w:t>
            </w: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3,9</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6,1</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7,7</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8,8</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8,7</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8,6</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10,3</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10,1</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10,1</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11,4</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13,1</w:t>
            </w:r>
          </w:p>
        </w:tc>
      </w:tr>
      <w:tr w:rsidR="00150619" w:rsidRPr="001D642A" w:rsidTr="00AA5E5F">
        <w:trPr>
          <w:trHeight w:val="255"/>
          <w:jc w:val="center"/>
        </w:trPr>
        <w:tc>
          <w:tcPr>
            <w:tcW w:w="3261" w:type="dxa"/>
            <w:vMerge/>
            <w:tcBorders>
              <w:top w:val="single" w:sz="4" w:space="0" w:color="auto"/>
              <w:left w:val="nil"/>
              <w:bottom w:val="single" w:sz="4" w:space="0" w:color="000000"/>
              <w:right w:val="nil"/>
            </w:tcBorders>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4,0</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6,1</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7,8</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8,8</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8,7</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8,6</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10,3</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10,1</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10,1</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11,4</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13,1</w:t>
            </w:r>
          </w:p>
        </w:tc>
      </w:tr>
      <w:tr w:rsidR="00150619" w:rsidRPr="001D642A" w:rsidTr="00AA5E5F">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Energia</w:t>
            </w: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23,4</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31,2</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29,6</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39,0</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46,4</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53,5</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42,8</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42,6</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49,1</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43,3</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45,4</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45,0</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73,9</w:t>
            </w:r>
          </w:p>
        </w:tc>
      </w:tr>
      <w:tr w:rsidR="00150619" w:rsidRPr="001D642A" w:rsidTr="00AA5E5F">
        <w:trPr>
          <w:trHeight w:val="255"/>
          <w:jc w:val="center"/>
        </w:trPr>
        <w:tc>
          <w:tcPr>
            <w:tcW w:w="3261" w:type="dxa"/>
            <w:vMerge/>
            <w:tcBorders>
              <w:top w:val="nil"/>
              <w:left w:val="nil"/>
              <w:bottom w:val="single" w:sz="4" w:space="0" w:color="000000"/>
              <w:right w:val="nil"/>
            </w:tcBorders>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25,3</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31,2</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29,6</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39,1</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46,5</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51,5</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40,0</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42,9</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49,1</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43,</w:t>
            </w:r>
            <w:r>
              <w:rPr>
                <w:rFonts w:ascii="Arial Narrow" w:hAnsi="Arial Narrow"/>
                <w:color w:val="000000"/>
                <w:sz w:val="18"/>
                <w:szCs w:val="18"/>
              </w:rPr>
              <w:t>4</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45,4</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45,0</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71,7</w:t>
            </w:r>
          </w:p>
        </w:tc>
      </w:tr>
      <w:tr w:rsidR="00150619" w:rsidRPr="001D642A" w:rsidTr="00AA5E5F">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Beni industriali non energetici</w:t>
            </w: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0,9</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0,8</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1,1</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1,1</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1,8</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2,1</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2,6</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3,0</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2,5</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3,8</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4,4</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4,8</w:t>
            </w:r>
          </w:p>
        </w:tc>
      </w:tr>
      <w:tr w:rsidR="00150619" w:rsidRPr="001D642A" w:rsidTr="00AA5E5F">
        <w:trPr>
          <w:trHeight w:val="255"/>
          <w:jc w:val="center"/>
        </w:trPr>
        <w:tc>
          <w:tcPr>
            <w:tcW w:w="3261" w:type="dxa"/>
            <w:vMerge/>
            <w:tcBorders>
              <w:top w:val="nil"/>
              <w:left w:val="nil"/>
              <w:bottom w:val="single" w:sz="4" w:space="0" w:color="000000"/>
              <w:right w:val="nil"/>
            </w:tcBorders>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0,8</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0,6</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1,1</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0,3</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1,8</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2,1</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2,6</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2,9</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2,5</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4,1</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4,4</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4,9</w:t>
            </w:r>
          </w:p>
        </w:tc>
      </w:tr>
      <w:tr w:rsidR="00150619" w:rsidRPr="001D642A" w:rsidTr="00AA5E5F">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Servizi</w:t>
            </w: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1,8</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1,9</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2,0</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1,9</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2,3</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3,3</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3,7</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4,0</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4,0</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4,4</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4,2</w:t>
            </w:r>
          </w:p>
        </w:tc>
      </w:tr>
      <w:tr w:rsidR="00150619" w:rsidRPr="001D642A" w:rsidTr="00AA5E5F">
        <w:trPr>
          <w:trHeight w:val="255"/>
          <w:jc w:val="center"/>
        </w:trPr>
        <w:tc>
          <w:tcPr>
            <w:tcW w:w="3261" w:type="dxa"/>
            <w:vMerge/>
            <w:tcBorders>
              <w:top w:val="nil"/>
              <w:left w:val="nil"/>
              <w:bottom w:val="single" w:sz="4" w:space="0" w:color="000000"/>
              <w:right w:val="nil"/>
            </w:tcBorders>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1,8</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2,0</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1,9</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2,0</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2,4</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3,3</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3,7</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4,0</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4,0</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4,4</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4,3</w:t>
            </w:r>
          </w:p>
        </w:tc>
      </w:tr>
      <w:tr w:rsidR="00150619" w:rsidRPr="001D642A" w:rsidTr="00AA5E5F">
        <w:trPr>
          <w:trHeight w:val="255"/>
          <w:jc w:val="center"/>
        </w:trPr>
        <w:tc>
          <w:tcPr>
            <w:tcW w:w="3261" w:type="dxa"/>
            <w:vMerge w:val="restart"/>
            <w:tcBorders>
              <w:top w:val="nil"/>
              <w:left w:val="nil"/>
              <w:bottom w:val="single" w:sz="4" w:space="0" w:color="000000"/>
              <w:right w:val="nil"/>
            </w:tcBorders>
            <w:shd w:val="clear" w:color="000000" w:fill="FF0000"/>
            <w:vAlign w:val="center"/>
            <w:hideMark/>
          </w:tcPr>
          <w:p w:rsidR="00150619" w:rsidRPr="001D642A" w:rsidRDefault="00150619" w:rsidP="00AA5E5F">
            <w:pPr>
              <w:widowControl/>
              <w:overflowPunct/>
              <w:autoSpaceDE/>
              <w:autoSpaceDN/>
              <w:adjustRightInd/>
              <w:spacing w:before="0" w:after="0"/>
              <w:rPr>
                <w:rFonts w:ascii="Arial Narrow" w:hAnsi="Arial Narrow"/>
                <w:b/>
                <w:bCs/>
                <w:color w:val="FFFFFF"/>
                <w:kern w:val="0"/>
                <w:sz w:val="18"/>
                <w:szCs w:val="18"/>
              </w:rPr>
            </w:pPr>
            <w:r w:rsidRPr="001D642A">
              <w:rPr>
                <w:rFonts w:ascii="Arial Narrow" w:hAnsi="Arial Narrow"/>
                <w:b/>
                <w:bCs/>
                <w:color w:val="FFFFFF"/>
                <w:kern w:val="0"/>
                <w:sz w:val="18"/>
                <w:szCs w:val="18"/>
              </w:rPr>
              <w:t>Indice generale</w:t>
            </w: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3,1</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4,0</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4,2</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5,3</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6,2</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b/>
                <w:color w:val="000000"/>
                <w:sz w:val="18"/>
                <w:szCs w:val="18"/>
              </w:rPr>
            </w:pPr>
            <w:r w:rsidRPr="00E31451">
              <w:rPr>
                <w:rFonts w:ascii="Arial Narrow" w:hAnsi="Arial Narrow"/>
                <w:b/>
                <w:color w:val="000000"/>
                <w:sz w:val="18"/>
                <w:szCs w:val="18"/>
              </w:rPr>
              <w:t>7,0</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b/>
                <w:color w:val="000000"/>
                <w:sz w:val="18"/>
                <w:szCs w:val="18"/>
              </w:rPr>
            </w:pPr>
            <w:r w:rsidRPr="00BB1420">
              <w:rPr>
                <w:rFonts w:ascii="Arial Narrow" w:hAnsi="Arial Narrow"/>
                <w:b/>
                <w:color w:val="000000"/>
                <w:sz w:val="18"/>
                <w:szCs w:val="18"/>
              </w:rPr>
              <w:t>6,6</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b/>
                <w:color w:val="000000"/>
                <w:sz w:val="18"/>
                <w:szCs w:val="18"/>
              </w:rPr>
            </w:pPr>
            <w:r w:rsidRPr="006A00D9">
              <w:rPr>
                <w:rFonts w:ascii="Arial Narrow" w:hAnsi="Arial Narrow"/>
                <w:b/>
                <w:color w:val="000000"/>
                <w:sz w:val="18"/>
                <w:szCs w:val="18"/>
              </w:rPr>
              <w:t>7,3</w:t>
            </w:r>
          </w:p>
        </w:tc>
        <w:tc>
          <w:tcPr>
            <w:tcW w:w="510" w:type="dxa"/>
            <w:tcBorders>
              <w:top w:val="nil"/>
              <w:left w:val="nil"/>
              <w:bottom w:val="single" w:sz="4" w:space="0" w:color="auto"/>
              <w:right w:val="nil"/>
            </w:tcBorders>
            <w:shd w:val="clear" w:color="000000" w:fill="FFFFFF"/>
            <w:vAlign w:val="center"/>
          </w:tcPr>
          <w:p w:rsidR="00150619" w:rsidRPr="00D25BC6" w:rsidRDefault="00150619" w:rsidP="00AA5E5F">
            <w:pPr>
              <w:widowControl/>
              <w:overflowPunct/>
              <w:autoSpaceDE/>
              <w:autoSpaceDN/>
              <w:adjustRightInd/>
              <w:spacing w:before="0" w:after="0"/>
              <w:jc w:val="right"/>
              <w:rPr>
                <w:rFonts w:ascii="Arial Narrow" w:hAnsi="Arial Narrow"/>
                <w:b/>
                <w:color w:val="000000"/>
                <w:sz w:val="18"/>
                <w:szCs w:val="18"/>
              </w:rPr>
            </w:pPr>
            <w:r w:rsidRPr="00D25BC6">
              <w:rPr>
                <w:rFonts w:ascii="Arial Narrow" w:hAnsi="Arial Narrow"/>
                <w:b/>
                <w:color w:val="000000"/>
                <w:sz w:val="18"/>
                <w:szCs w:val="18"/>
              </w:rPr>
              <w:t>8</w:t>
            </w:r>
            <w:r>
              <w:rPr>
                <w:rFonts w:ascii="Arial Narrow" w:hAnsi="Arial Narrow"/>
                <w:b/>
                <w:color w:val="000000"/>
                <w:sz w:val="18"/>
                <w:szCs w:val="18"/>
              </w:rPr>
              <w:t>,</w:t>
            </w:r>
            <w:r w:rsidRPr="00D25BC6">
              <w:rPr>
                <w:rFonts w:ascii="Arial Narrow" w:hAnsi="Arial Narrow"/>
                <w:b/>
                <w:color w:val="000000"/>
                <w:sz w:val="18"/>
                <w:szCs w:val="18"/>
              </w:rPr>
              <w:t>5</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b/>
                <w:color w:val="000000"/>
                <w:sz w:val="18"/>
                <w:szCs w:val="18"/>
              </w:rPr>
            </w:pPr>
            <w:r w:rsidRPr="009A6FDB">
              <w:rPr>
                <w:rFonts w:ascii="Arial Narrow" w:hAnsi="Arial Narrow"/>
                <w:b/>
                <w:color w:val="000000"/>
                <w:sz w:val="18"/>
                <w:szCs w:val="18"/>
              </w:rPr>
              <w:t>8,4</w:t>
            </w:r>
          </w:p>
        </w:tc>
        <w:tc>
          <w:tcPr>
            <w:tcW w:w="510" w:type="dxa"/>
            <w:tcBorders>
              <w:top w:val="nil"/>
              <w:left w:val="nil"/>
              <w:bottom w:val="single" w:sz="4" w:space="0" w:color="auto"/>
              <w:right w:val="nil"/>
            </w:tcBorders>
            <w:shd w:val="clear" w:color="000000" w:fill="FFFFFF"/>
            <w:vAlign w:val="center"/>
          </w:tcPr>
          <w:p w:rsidR="00150619" w:rsidRPr="009158DE" w:rsidRDefault="00150619" w:rsidP="00AA5E5F">
            <w:pPr>
              <w:widowControl/>
              <w:overflowPunct/>
              <w:autoSpaceDE/>
              <w:autoSpaceDN/>
              <w:adjustRightInd/>
              <w:spacing w:before="0" w:after="0"/>
              <w:jc w:val="right"/>
              <w:rPr>
                <w:rFonts w:ascii="Arial Narrow" w:hAnsi="Arial Narrow"/>
                <w:b/>
                <w:color w:val="000000"/>
                <w:sz w:val="18"/>
                <w:szCs w:val="18"/>
              </w:rPr>
            </w:pPr>
            <w:r w:rsidRPr="009158DE">
              <w:rPr>
                <w:rFonts w:ascii="Arial Narrow" w:hAnsi="Arial Narrow"/>
                <w:b/>
                <w:color w:val="000000"/>
                <w:sz w:val="18"/>
                <w:szCs w:val="18"/>
              </w:rPr>
              <w:t>9,0</w:t>
            </w:r>
          </w:p>
        </w:tc>
        <w:tc>
          <w:tcPr>
            <w:tcW w:w="567" w:type="dxa"/>
            <w:tcBorders>
              <w:top w:val="nil"/>
              <w:left w:val="nil"/>
              <w:bottom w:val="single" w:sz="4" w:space="0" w:color="auto"/>
              <w:right w:val="nil"/>
            </w:tcBorders>
            <w:shd w:val="clear" w:color="000000" w:fill="FFFFFF"/>
            <w:vAlign w:val="center"/>
          </w:tcPr>
          <w:p w:rsidR="00150619" w:rsidRPr="00C8411E" w:rsidRDefault="00150619" w:rsidP="00AA5E5F">
            <w:pPr>
              <w:widowControl/>
              <w:overflowPunct/>
              <w:autoSpaceDE/>
              <w:autoSpaceDN/>
              <w:adjustRightInd/>
              <w:spacing w:before="0" w:after="0"/>
              <w:jc w:val="right"/>
              <w:rPr>
                <w:rFonts w:ascii="Arial Narrow" w:hAnsi="Arial Narrow"/>
                <w:b/>
                <w:color w:val="000000"/>
                <w:sz w:val="18"/>
                <w:szCs w:val="18"/>
              </w:rPr>
            </w:pPr>
            <w:r w:rsidRPr="00C8411E">
              <w:rPr>
                <w:rFonts w:ascii="Arial Narrow" w:hAnsi="Arial Narrow"/>
                <w:b/>
                <w:color w:val="000000"/>
                <w:sz w:val="18"/>
                <w:szCs w:val="18"/>
              </w:rPr>
              <w:t>9,5</w:t>
            </w:r>
          </w:p>
        </w:tc>
        <w:tc>
          <w:tcPr>
            <w:tcW w:w="567" w:type="dxa"/>
            <w:tcBorders>
              <w:top w:val="nil"/>
              <w:left w:val="nil"/>
              <w:bottom w:val="single" w:sz="4" w:space="0" w:color="auto"/>
              <w:right w:val="nil"/>
            </w:tcBorders>
            <w:shd w:val="clear" w:color="000000" w:fill="FFFFFF"/>
            <w:vAlign w:val="center"/>
          </w:tcPr>
          <w:p w:rsidR="00150619" w:rsidRPr="00E74E7A" w:rsidRDefault="00150619" w:rsidP="00AA5E5F">
            <w:pPr>
              <w:widowControl/>
              <w:overflowPunct/>
              <w:autoSpaceDE/>
              <w:autoSpaceDN/>
              <w:adjustRightInd/>
              <w:spacing w:before="0" w:after="0"/>
              <w:jc w:val="right"/>
              <w:rPr>
                <w:rFonts w:ascii="Arial Narrow" w:hAnsi="Arial Narrow"/>
                <w:b/>
                <w:color w:val="000000"/>
                <w:sz w:val="18"/>
                <w:szCs w:val="18"/>
              </w:rPr>
            </w:pPr>
            <w:r w:rsidRPr="00E74E7A">
              <w:rPr>
                <w:rFonts w:ascii="Arial Narrow" w:hAnsi="Arial Narrow"/>
                <w:b/>
                <w:color w:val="000000"/>
                <w:sz w:val="18"/>
                <w:szCs w:val="18"/>
              </w:rPr>
              <w:t>12,8</w:t>
            </w:r>
          </w:p>
        </w:tc>
      </w:tr>
      <w:tr w:rsidR="00150619" w:rsidRPr="001D642A" w:rsidTr="00AA5E5F">
        <w:trPr>
          <w:trHeight w:val="255"/>
          <w:jc w:val="center"/>
        </w:trPr>
        <w:tc>
          <w:tcPr>
            <w:tcW w:w="3261" w:type="dxa"/>
            <w:vMerge/>
            <w:tcBorders>
              <w:top w:val="nil"/>
              <w:left w:val="nil"/>
              <w:bottom w:val="single" w:sz="4" w:space="0" w:color="000000"/>
              <w:right w:val="nil"/>
            </w:tcBorders>
            <w:vAlign w:val="center"/>
            <w:hideMark/>
          </w:tcPr>
          <w:p w:rsidR="00150619" w:rsidRPr="001D642A" w:rsidRDefault="00150619" w:rsidP="00AA5E5F">
            <w:pPr>
              <w:widowControl/>
              <w:overflowPunct/>
              <w:autoSpaceDE/>
              <w:autoSpaceDN/>
              <w:adjustRightInd/>
              <w:spacing w:before="0" w:after="0"/>
              <w:rPr>
                <w:rFonts w:ascii="Arial Narrow" w:hAnsi="Arial Narrow"/>
                <w:b/>
                <w:bCs/>
                <w:color w:val="FFFFFF"/>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3,2</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3,9</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4,2</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5,1</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b/>
                <w:color w:val="000000"/>
                <w:sz w:val="18"/>
                <w:szCs w:val="18"/>
              </w:rPr>
            </w:pPr>
            <w:r w:rsidRPr="001D642A">
              <w:rPr>
                <w:rFonts w:ascii="Arial Narrow" w:hAnsi="Arial Narrow"/>
                <w:b/>
                <w:color w:val="000000"/>
                <w:sz w:val="18"/>
                <w:szCs w:val="18"/>
              </w:rPr>
              <w:t>6,2</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b/>
                <w:color w:val="000000"/>
                <w:sz w:val="18"/>
                <w:szCs w:val="18"/>
              </w:rPr>
            </w:pPr>
            <w:r w:rsidRPr="00E31451">
              <w:rPr>
                <w:rFonts w:ascii="Arial Narrow" w:hAnsi="Arial Narrow"/>
                <w:b/>
                <w:color w:val="000000"/>
                <w:sz w:val="18"/>
                <w:szCs w:val="18"/>
              </w:rPr>
              <w:t>6,8</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b/>
                <w:color w:val="000000"/>
                <w:sz w:val="18"/>
                <w:szCs w:val="18"/>
              </w:rPr>
            </w:pPr>
            <w:r w:rsidRPr="00BB1420">
              <w:rPr>
                <w:rFonts w:ascii="Arial Narrow" w:hAnsi="Arial Narrow"/>
                <w:b/>
                <w:color w:val="000000"/>
                <w:sz w:val="18"/>
                <w:szCs w:val="18"/>
              </w:rPr>
              <w:t>6,3</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b/>
                <w:color w:val="000000"/>
                <w:sz w:val="18"/>
                <w:szCs w:val="18"/>
              </w:rPr>
            </w:pPr>
            <w:r w:rsidRPr="006A00D9">
              <w:rPr>
                <w:rFonts w:ascii="Arial Narrow" w:hAnsi="Arial Narrow"/>
                <w:b/>
                <w:color w:val="000000"/>
                <w:sz w:val="18"/>
                <w:szCs w:val="18"/>
              </w:rPr>
              <w:t>7,3</w:t>
            </w:r>
          </w:p>
        </w:tc>
        <w:tc>
          <w:tcPr>
            <w:tcW w:w="510" w:type="dxa"/>
            <w:tcBorders>
              <w:top w:val="nil"/>
              <w:left w:val="nil"/>
              <w:bottom w:val="single" w:sz="4" w:space="0" w:color="auto"/>
              <w:right w:val="nil"/>
            </w:tcBorders>
            <w:shd w:val="clear" w:color="000000" w:fill="FFFFFF"/>
            <w:vAlign w:val="center"/>
          </w:tcPr>
          <w:p w:rsidR="00150619" w:rsidRPr="00D25BC6" w:rsidRDefault="00150619" w:rsidP="00AA5E5F">
            <w:pPr>
              <w:widowControl/>
              <w:overflowPunct/>
              <w:autoSpaceDE/>
              <w:autoSpaceDN/>
              <w:adjustRightInd/>
              <w:spacing w:before="0" w:after="0"/>
              <w:jc w:val="right"/>
              <w:rPr>
                <w:rFonts w:ascii="Arial Narrow" w:hAnsi="Arial Narrow"/>
                <w:b/>
                <w:color w:val="000000"/>
                <w:sz w:val="18"/>
                <w:szCs w:val="18"/>
              </w:rPr>
            </w:pPr>
            <w:r w:rsidRPr="00D25BC6">
              <w:rPr>
                <w:rFonts w:ascii="Arial Narrow" w:hAnsi="Arial Narrow"/>
                <w:b/>
                <w:color w:val="000000"/>
                <w:sz w:val="18"/>
                <w:szCs w:val="18"/>
              </w:rPr>
              <w:t>8</w:t>
            </w:r>
            <w:r>
              <w:rPr>
                <w:rFonts w:ascii="Arial Narrow" w:hAnsi="Arial Narrow"/>
                <w:b/>
                <w:color w:val="000000"/>
                <w:sz w:val="18"/>
                <w:szCs w:val="18"/>
              </w:rPr>
              <w:t>,</w:t>
            </w:r>
            <w:r w:rsidRPr="00D25BC6">
              <w:rPr>
                <w:rFonts w:ascii="Arial Narrow" w:hAnsi="Arial Narrow"/>
                <w:b/>
                <w:color w:val="000000"/>
                <w:sz w:val="18"/>
                <w:szCs w:val="18"/>
              </w:rPr>
              <w:t>5</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b/>
                <w:color w:val="000000"/>
                <w:sz w:val="18"/>
                <w:szCs w:val="18"/>
              </w:rPr>
            </w:pPr>
            <w:r w:rsidRPr="009A6FDB">
              <w:rPr>
                <w:rFonts w:ascii="Arial Narrow" w:hAnsi="Arial Narrow"/>
                <w:b/>
                <w:color w:val="000000"/>
                <w:sz w:val="18"/>
                <w:szCs w:val="18"/>
              </w:rPr>
              <w:t>8,4</w:t>
            </w:r>
          </w:p>
        </w:tc>
        <w:tc>
          <w:tcPr>
            <w:tcW w:w="510" w:type="dxa"/>
            <w:tcBorders>
              <w:top w:val="nil"/>
              <w:left w:val="nil"/>
              <w:bottom w:val="single" w:sz="4" w:space="0" w:color="auto"/>
              <w:right w:val="nil"/>
            </w:tcBorders>
            <w:shd w:val="clear" w:color="000000" w:fill="FFFFFF"/>
            <w:vAlign w:val="center"/>
          </w:tcPr>
          <w:p w:rsidR="00150619" w:rsidRPr="009158DE" w:rsidRDefault="00150619" w:rsidP="00AA5E5F">
            <w:pPr>
              <w:widowControl/>
              <w:overflowPunct/>
              <w:autoSpaceDE/>
              <w:autoSpaceDN/>
              <w:adjustRightInd/>
              <w:spacing w:before="0" w:after="0"/>
              <w:jc w:val="right"/>
              <w:rPr>
                <w:rFonts w:ascii="Arial Narrow" w:hAnsi="Arial Narrow"/>
                <w:b/>
                <w:color w:val="000000"/>
                <w:sz w:val="18"/>
                <w:szCs w:val="18"/>
              </w:rPr>
            </w:pPr>
            <w:r w:rsidRPr="009158DE">
              <w:rPr>
                <w:rFonts w:ascii="Arial Narrow" w:hAnsi="Arial Narrow"/>
                <w:b/>
                <w:color w:val="000000"/>
                <w:sz w:val="18"/>
                <w:szCs w:val="18"/>
              </w:rPr>
              <w:t>9,1</w:t>
            </w:r>
          </w:p>
        </w:tc>
        <w:tc>
          <w:tcPr>
            <w:tcW w:w="567" w:type="dxa"/>
            <w:tcBorders>
              <w:top w:val="nil"/>
              <w:left w:val="nil"/>
              <w:bottom w:val="single" w:sz="4" w:space="0" w:color="auto"/>
              <w:right w:val="nil"/>
            </w:tcBorders>
            <w:shd w:val="clear" w:color="000000" w:fill="FFFFFF"/>
            <w:vAlign w:val="center"/>
          </w:tcPr>
          <w:p w:rsidR="00150619" w:rsidRPr="00C8411E" w:rsidRDefault="00150619" w:rsidP="00AA5E5F">
            <w:pPr>
              <w:widowControl/>
              <w:overflowPunct/>
              <w:autoSpaceDE/>
              <w:autoSpaceDN/>
              <w:adjustRightInd/>
              <w:spacing w:before="0" w:after="0"/>
              <w:jc w:val="right"/>
              <w:rPr>
                <w:rFonts w:ascii="Arial Narrow" w:hAnsi="Arial Narrow"/>
                <w:b/>
                <w:color w:val="000000"/>
                <w:sz w:val="18"/>
                <w:szCs w:val="18"/>
              </w:rPr>
            </w:pPr>
            <w:r w:rsidRPr="00C8411E">
              <w:rPr>
                <w:rFonts w:ascii="Arial Narrow" w:hAnsi="Arial Narrow"/>
                <w:b/>
                <w:color w:val="000000"/>
                <w:sz w:val="18"/>
                <w:szCs w:val="18"/>
              </w:rPr>
              <w:t>9,4</w:t>
            </w:r>
          </w:p>
        </w:tc>
        <w:tc>
          <w:tcPr>
            <w:tcW w:w="567" w:type="dxa"/>
            <w:tcBorders>
              <w:top w:val="nil"/>
              <w:left w:val="nil"/>
              <w:bottom w:val="single" w:sz="4" w:space="0" w:color="auto"/>
              <w:right w:val="nil"/>
            </w:tcBorders>
            <w:shd w:val="clear" w:color="000000" w:fill="FFFFFF"/>
            <w:vAlign w:val="center"/>
          </w:tcPr>
          <w:p w:rsidR="00150619" w:rsidRPr="00E74E7A" w:rsidRDefault="00150619" w:rsidP="00AA5E5F">
            <w:pPr>
              <w:widowControl/>
              <w:overflowPunct/>
              <w:autoSpaceDE/>
              <w:autoSpaceDN/>
              <w:adjustRightInd/>
              <w:spacing w:before="0" w:after="0"/>
              <w:jc w:val="right"/>
              <w:rPr>
                <w:rFonts w:ascii="Arial Narrow" w:hAnsi="Arial Narrow"/>
                <w:b/>
                <w:color w:val="000000"/>
                <w:sz w:val="18"/>
                <w:szCs w:val="18"/>
              </w:rPr>
            </w:pPr>
            <w:r w:rsidRPr="00E74E7A">
              <w:rPr>
                <w:rFonts w:ascii="Arial Narrow" w:hAnsi="Arial Narrow"/>
                <w:b/>
                <w:color w:val="000000"/>
                <w:sz w:val="18"/>
                <w:szCs w:val="18"/>
              </w:rPr>
              <w:t>12,6</w:t>
            </w:r>
          </w:p>
        </w:tc>
      </w:tr>
      <w:tr w:rsidR="00150619" w:rsidRPr="001D642A" w:rsidTr="00AA5E5F">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Indice generale al netto dell’energia e degli alimentari freschi (Componente di fondo)</w:t>
            </w: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1,5</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1,8</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1,9</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2,1</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2,7</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3,4</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4,1</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4,3</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4,8</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5,4</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5,7</w:t>
            </w:r>
          </w:p>
        </w:tc>
      </w:tr>
      <w:tr w:rsidR="00150619" w:rsidRPr="001D642A" w:rsidTr="00AA5E5F">
        <w:trPr>
          <w:trHeight w:val="255"/>
          <w:jc w:val="center"/>
        </w:trPr>
        <w:tc>
          <w:tcPr>
            <w:tcW w:w="3261" w:type="dxa"/>
            <w:vMerge/>
            <w:tcBorders>
              <w:top w:val="nil"/>
              <w:left w:val="nil"/>
              <w:bottom w:val="single" w:sz="4" w:space="0" w:color="000000"/>
              <w:right w:val="nil"/>
            </w:tcBorders>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1,5</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1,5</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1,9</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2,1</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2,6</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3,4</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4,0</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4,3</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4,9</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5,3</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5,7</w:t>
            </w:r>
          </w:p>
        </w:tc>
      </w:tr>
      <w:tr w:rsidR="00150619" w:rsidRPr="001D642A" w:rsidTr="00AA5E5F">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150619" w:rsidRPr="001D642A" w:rsidRDefault="00150619" w:rsidP="00AA5E5F">
            <w:pPr>
              <w:widowControl/>
              <w:overflowPunct/>
              <w:autoSpaceDE/>
              <w:autoSpaceDN/>
              <w:adjustRightInd/>
              <w:spacing w:before="0" w:after="0"/>
              <w:ind w:right="-70"/>
              <w:rPr>
                <w:rFonts w:ascii="Arial Narrow" w:hAnsi="Arial Narrow"/>
                <w:color w:val="000000"/>
                <w:kern w:val="0"/>
                <w:sz w:val="18"/>
                <w:szCs w:val="18"/>
              </w:rPr>
            </w:pPr>
            <w:r w:rsidRPr="001D642A">
              <w:rPr>
                <w:rFonts w:ascii="Arial Narrow" w:hAnsi="Arial Narrow"/>
                <w:color w:val="000000"/>
                <w:kern w:val="0"/>
                <w:sz w:val="18"/>
                <w:szCs w:val="18"/>
              </w:rPr>
              <w:t>Indice generale al netto di energia, alimentari (incluse bevande alcoliche) e tabacchi</w:t>
            </w: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1,5</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1,6</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1,8</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2,2</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2,9</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3,4</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3,4</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3,9</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4,4</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4,5</w:t>
            </w:r>
          </w:p>
        </w:tc>
      </w:tr>
      <w:tr w:rsidR="00150619" w:rsidRPr="001D642A" w:rsidTr="00AA5E5F">
        <w:trPr>
          <w:trHeight w:val="255"/>
          <w:jc w:val="center"/>
        </w:trPr>
        <w:tc>
          <w:tcPr>
            <w:tcW w:w="3261" w:type="dxa"/>
            <w:vMerge/>
            <w:tcBorders>
              <w:top w:val="nil"/>
              <w:left w:val="nil"/>
              <w:bottom w:val="single" w:sz="4" w:space="0" w:color="000000"/>
              <w:right w:val="nil"/>
            </w:tcBorders>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1,5</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1,8</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2,2</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3,0</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3,4</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3,4</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4,1</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4,4</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4,6</w:t>
            </w:r>
          </w:p>
        </w:tc>
      </w:tr>
      <w:tr w:rsidR="00150619" w:rsidRPr="001D642A" w:rsidTr="00AA5E5F">
        <w:trPr>
          <w:trHeight w:val="255"/>
          <w:jc w:val="center"/>
        </w:trPr>
        <w:tc>
          <w:tcPr>
            <w:tcW w:w="3261" w:type="dxa"/>
            <w:vMerge w:val="restart"/>
            <w:tcBorders>
              <w:top w:val="nil"/>
              <w:left w:val="nil"/>
              <w:bottom w:val="single" w:sz="4" w:space="0" w:color="000000"/>
              <w:right w:val="nil"/>
            </w:tcBorders>
            <w:shd w:val="clear" w:color="000000" w:fill="FFFFFF"/>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r w:rsidRPr="001D642A">
              <w:rPr>
                <w:rFonts w:ascii="Arial Narrow" w:hAnsi="Arial Narrow"/>
                <w:color w:val="000000"/>
                <w:kern w:val="0"/>
                <w:sz w:val="18"/>
                <w:szCs w:val="18"/>
              </w:rPr>
              <w:t>Indice generale esclusi energetici</w:t>
            </w: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P</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1,4</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1,8</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2,0</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2,3</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2,7</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3,1</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3,9</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4,6</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4,8</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5,2</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5,9</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6,4</w:t>
            </w:r>
          </w:p>
        </w:tc>
      </w:tr>
      <w:tr w:rsidR="00150619" w:rsidRPr="001D642A" w:rsidTr="00AA5E5F">
        <w:trPr>
          <w:trHeight w:val="255"/>
          <w:jc w:val="center"/>
        </w:trPr>
        <w:tc>
          <w:tcPr>
            <w:tcW w:w="3261" w:type="dxa"/>
            <w:vMerge/>
            <w:tcBorders>
              <w:top w:val="nil"/>
              <w:left w:val="nil"/>
              <w:bottom w:val="single" w:sz="4" w:space="0" w:color="000000"/>
              <w:right w:val="nil"/>
            </w:tcBorders>
            <w:vAlign w:val="center"/>
            <w:hideMark/>
          </w:tcPr>
          <w:p w:rsidR="00150619" w:rsidRPr="001D642A" w:rsidRDefault="00150619" w:rsidP="00AA5E5F">
            <w:pPr>
              <w:widowControl/>
              <w:overflowPunct/>
              <w:autoSpaceDE/>
              <w:autoSpaceDN/>
              <w:adjustRightInd/>
              <w:spacing w:before="0" w:after="0"/>
              <w:rPr>
                <w:rFonts w:ascii="Arial Narrow" w:hAnsi="Arial Narrow"/>
                <w:color w:val="000000"/>
                <w:kern w:val="0"/>
                <w:sz w:val="18"/>
                <w:szCs w:val="18"/>
              </w:rPr>
            </w:pPr>
          </w:p>
        </w:tc>
        <w:tc>
          <w:tcPr>
            <w:tcW w:w="285" w:type="dxa"/>
            <w:tcBorders>
              <w:top w:val="nil"/>
              <w:left w:val="nil"/>
              <w:bottom w:val="single" w:sz="4" w:space="0" w:color="auto"/>
              <w:right w:val="nil"/>
            </w:tcBorders>
            <w:shd w:val="clear" w:color="000000" w:fill="FFFFFF"/>
            <w:noWrap/>
            <w:vAlign w:val="center"/>
            <w:hideMark/>
          </w:tcPr>
          <w:p w:rsidR="00150619" w:rsidRPr="001D642A" w:rsidRDefault="00150619" w:rsidP="00AA5E5F">
            <w:pPr>
              <w:widowControl/>
              <w:overflowPunct/>
              <w:autoSpaceDE/>
              <w:autoSpaceDN/>
              <w:adjustRightInd/>
              <w:spacing w:before="0" w:after="0"/>
              <w:jc w:val="center"/>
              <w:rPr>
                <w:rFonts w:ascii="Arial Narrow" w:hAnsi="Arial Narrow"/>
                <w:b/>
                <w:bCs/>
                <w:color w:val="000000"/>
                <w:kern w:val="0"/>
                <w:sz w:val="17"/>
                <w:szCs w:val="17"/>
              </w:rPr>
            </w:pPr>
            <w:r w:rsidRPr="001D642A">
              <w:rPr>
                <w:rFonts w:ascii="Arial Narrow" w:hAnsi="Arial Narrow"/>
                <w:b/>
                <w:bCs/>
                <w:color w:val="000000"/>
                <w:kern w:val="0"/>
                <w:sz w:val="17"/>
                <w:szCs w:val="17"/>
              </w:rPr>
              <w:t>D</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1,2</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1,3</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1,8</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1,7</w:t>
            </w:r>
          </w:p>
        </w:tc>
        <w:tc>
          <w:tcPr>
            <w:tcW w:w="510" w:type="dxa"/>
            <w:tcBorders>
              <w:top w:val="nil"/>
              <w:left w:val="nil"/>
              <w:bottom w:val="single" w:sz="4" w:space="0" w:color="auto"/>
              <w:right w:val="nil"/>
            </w:tcBorders>
            <w:shd w:val="clear" w:color="000000" w:fill="FFFFFF"/>
            <w:vAlign w:val="center"/>
          </w:tcPr>
          <w:p w:rsidR="00150619" w:rsidRPr="001D642A" w:rsidRDefault="00150619" w:rsidP="00AA5E5F">
            <w:pPr>
              <w:widowControl/>
              <w:overflowPunct/>
              <w:autoSpaceDE/>
              <w:autoSpaceDN/>
              <w:adjustRightInd/>
              <w:spacing w:before="0" w:after="0"/>
              <w:jc w:val="right"/>
              <w:rPr>
                <w:rFonts w:ascii="Arial Narrow" w:hAnsi="Arial Narrow"/>
                <w:color w:val="000000"/>
                <w:sz w:val="18"/>
                <w:szCs w:val="18"/>
              </w:rPr>
            </w:pPr>
            <w:r w:rsidRPr="001D642A">
              <w:rPr>
                <w:rFonts w:ascii="Arial Narrow" w:hAnsi="Arial Narrow"/>
                <w:color w:val="000000"/>
                <w:sz w:val="18"/>
                <w:szCs w:val="18"/>
              </w:rPr>
              <w:t>2,3</w:t>
            </w:r>
          </w:p>
        </w:tc>
        <w:tc>
          <w:tcPr>
            <w:tcW w:w="510" w:type="dxa"/>
            <w:tcBorders>
              <w:top w:val="nil"/>
              <w:left w:val="nil"/>
              <w:bottom w:val="single" w:sz="4" w:space="0" w:color="auto"/>
              <w:right w:val="nil"/>
            </w:tcBorders>
            <w:shd w:val="clear" w:color="000000" w:fill="FFFFFF"/>
            <w:vAlign w:val="center"/>
          </w:tcPr>
          <w:p w:rsidR="00150619" w:rsidRPr="00E31451" w:rsidRDefault="00150619" w:rsidP="00AA5E5F">
            <w:pPr>
              <w:widowControl/>
              <w:overflowPunct/>
              <w:autoSpaceDE/>
              <w:autoSpaceDN/>
              <w:adjustRightInd/>
              <w:spacing w:before="0" w:after="0"/>
              <w:jc w:val="right"/>
              <w:rPr>
                <w:rFonts w:ascii="Arial Narrow" w:hAnsi="Arial Narrow"/>
                <w:color w:val="000000"/>
                <w:sz w:val="18"/>
                <w:szCs w:val="18"/>
              </w:rPr>
            </w:pPr>
            <w:r w:rsidRPr="00E31451">
              <w:rPr>
                <w:rFonts w:ascii="Arial Narrow" w:hAnsi="Arial Narrow"/>
                <w:color w:val="000000"/>
                <w:sz w:val="18"/>
                <w:szCs w:val="18"/>
              </w:rPr>
              <w:t>2,7</w:t>
            </w:r>
          </w:p>
        </w:tc>
        <w:tc>
          <w:tcPr>
            <w:tcW w:w="510" w:type="dxa"/>
            <w:tcBorders>
              <w:top w:val="nil"/>
              <w:left w:val="nil"/>
              <w:bottom w:val="single" w:sz="4" w:space="0" w:color="auto"/>
              <w:right w:val="nil"/>
            </w:tcBorders>
            <w:shd w:val="clear" w:color="000000" w:fill="FFFFFF"/>
            <w:vAlign w:val="center"/>
          </w:tcPr>
          <w:p w:rsidR="00150619" w:rsidRPr="00BB1420" w:rsidRDefault="00150619" w:rsidP="00AA5E5F">
            <w:pPr>
              <w:widowControl/>
              <w:overflowPunct/>
              <w:autoSpaceDE/>
              <w:autoSpaceDN/>
              <w:adjustRightInd/>
              <w:spacing w:before="0" w:after="0"/>
              <w:jc w:val="right"/>
              <w:rPr>
                <w:rFonts w:ascii="Arial Narrow" w:hAnsi="Arial Narrow"/>
                <w:color w:val="000000"/>
                <w:sz w:val="18"/>
                <w:szCs w:val="18"/>
              </w:rPr>
            </w:pPr>
            <w:r w:rsidRPr="00BB1420">
              <w:rPr>
                <w:rFonts w:ascii="Arial Narrow" w:hAnsi="Arial Narrow"/>
                <w:color w:val="000000"/>
                <w:sz w:val="18"/>
                <w:szCs w:val="18"/>
              </w:rPr>
              <w:t>3,1</w:t>
            </w:r>
          </w:p>
        </w:tc>
        <w:tc>
          <w:tcPr>
            <w:tcW w:w="510" w:type="dxa"/>
            <w:tcBorders>
              <w:top w:val="nil"/>
              <w:left w:val="nil"/>
              <w:bottom w:val="single" w:sz="4" w:space="0" w:color="auto"/>
              <w:right w:val="nil"/>
            </w:tcBorders>
            <w:shd w:val="clear" w:color="000000" w:fill="FFFFFF"/>
            <w:vAlign w:val="center"/>
          </w:tcPr>
          <w:p w:rsidR="00150619" w:rsidRPr="006A00D9" w:rsidRDefault="00150619" w:rsidP="00AA5E5F">
            <w:pPr>
              <w:widowControl/>
              <w:overflowPunct/>
              <w:autoSpaceDE/>
              <w:autoSpaceDN/>
              <w:adjustRightInd/>
              <w:spacing w:before="0" w:after="0"/>
              <w:jc w:val="right"/>
              <w:rPr>
                <w:rFonts w:ascii="Arial Narrow" w:hAnsi="Arial Narrow"/>
                <w:color w:val="000000"/>
                <w:sz w:val="18"/>
                <w:szCs w:val="18"/>
              </w:rPr>
            </w:pPr>
            <w:r w:rsidRPr="006A00D9">
              <w:rPr>
                <w:rFonts w:ascii="Arial Narrow" w:hAnsi="Arial Narrow"/>
                <w:color w:val="000000"/>
                <w:sz w:val="18"/>
                <w:szCs w:val="18"/>
              </w:rPr>
              <w:t>3,9</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4,6</w:t>
            </w:r>
          </w:p>
        </w:tc>
        <w:tc>
          <w:tcPr>
            <w:tcW w:w="510" w:type="dxa"/>
            <w:tcBorders>
              <w:top w:val="nil"/>
              <w:left w:val="nil"/>
              <w:bottom w:val="single" w:sz="4" w:space="0" w:color="auto"/>
              <w:right w:val="nil"/>
            </w:tcBorders>
            <w:shd w:val="clear" w:color="000000" w:fill="FFFFFF"/>
            <w:vAlign w:val="center"/>
          </w:tcPr>
          <w:p w:rsidR="00150619" w:rsidRPr="009A6FDB" w:rsidRDefault="00150619" w:rsidP="00AA5E5F">
            <w:pPr>
              <w:widowControl/>
              <w:overflowPunct/>
              <w:autoSpaceDE/>
              <w:autoSpaceDN/>
              <w:adjustRightInd/>
              <w:spacing w:before="0" w:after="0"/>
              <w:jc w:val="right"/>
              <w:rPr>
                <w:rFonts w:ascii="Arial Narrow" w:hAnsi="Arial Narrow"/>
                <w:color w:val="000000"/>
                <w:sz w:val="18"/>
                <w:szCs w:val="18"/>
              </w:rPr>
            </w:pPr>
            <w:r w:rsidRPr="009A6FDB">
              <w:rPr>
                <w:rFonts w:ascii="Arial Narrow" w:hAnsi="Arial Narrow"/>
                <w:color w:val="000000"/>
                <w:sz w:val="18"/>
                <w:szCs w:val="18"/>
              </w:rPr>
              <w:t>4,7</w:t>
            </w:r>
          </w:p>
        </w:tc>
        <w:tc>
          <w:tcPr>
            <w:tcW w:w="510"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5,4</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5,8</w:t>
            </w:r>
          </w:p>
        </w:tc>
        <w:tc>
          <w:tcPr>
            <w:tcW w:w="567" w:type="dxa"/>
            <w:tcBorders>
              <w:top w:val="nil"/>
              <w:left w:val="nil"/>
              <w:bottom w:val="single" w:sz="4" w:space="0" w:color="auto"/>
              <w:right w:val="nil"/>
            </w:tcBorders>
            <w:shd w:val="clear" w:color="000000" w:fill="FFFFFF"/>
            <w:vAlign w:val="center"/>
          </w:tcPr>
          <w:p w:rsidR="00150619" w:rsidRDefault="00150619" w:rsidP="00AA5E5F">
            <w:pPr>
              <w:widowControl/>
              <w:overflowPunct/>
              <w:autoSpaceDE/>
              <w:autoSpaceDN/>
              <w:adjustRightInd/>
              <w:spacing w:before="0" w:after="0"/>
              <w:jc w:val="right"/>
              <w:rPr>
                <w:rFonts w:ascii="Arial Narrow" w:hAnsi="Arial Narrow"/>
                <w:color w:val="000000"/>
                <w:sz w:val="18"/>
                <w:szCs w:val="18"/>
              </w:rPr>
            </w:pPr>
            <w:r>
              <w:rPr>
                <w:rFonts w:ascii="Arial Narrow" w:hAnsi="Arial Narrow"/>
                <w:color w:val="000000"/>
                <w:sz w:val="18"/>
                <w:szCs w:val="18"/>
              </w:rPr>
              <w:t>6,4</w:t>
            </w:r>
          </w:p>
        </w:tc>
      </w:tr>
    </w:tbl>
    <w:p w:rsidR="00150619" w:rsidRPr="001D642A" w:rsidRDefault="00150619" w:rsidP="00150619">
      <w:pPr>
        <w:spacing w:before="0" w:after="120"/>
        <w:jc w:val="both"/>
        <w:rPr>
          <w:rFonts w:ascii="Arial" w:hAnsi="Arial" w:cs="Arial"/>
        </w:rPr>
      </w:pPr>
    </w:p>
    <w:p w:rsidR="00150619" w:rsidRDefault="00150619" w:rsidP="00150619">
      <w:pPr>
        <w:widowControl/>
        <w:overflowPunct/>
        <w:spacing w:before="0" w:after="120"/>
        <w:jc w:val="both"/>
        <w:rPr>
          <w:rFonts w:ascii="Arial" w:hAnsi="Arial" w:cs="Arial"/>
        </w:rPr>
      </w:pPr>
      <w:r w:rsidRPr="001D642A">
        <w:rPr>
          <w:rFonts w:ascii="Arial" w:hAnsi="Arial" w:cs="Arial"/>
        </w:rPr>
        <w:t xml:space="preserve">La revisione media assoluta (RMA) fornisce una misura dell’ampiezza delle revisioni effettuate nell’arco di un determinato periodo. Nello specifico, la RMA è calcolata come media aritmetica semplice delle differenze, considerate in valore assoluto, tra le variazioni tendenziali delle stime provvisorie e quelle delle stime definitive, con riferimento agli ultimi tredici mesi. Nella Figura 1 sono riportati i valori della RMA per l’indice generale e i principali aggregati speciali IPCA nel periodo </w:t>
      </w:r>
      <w:r>
        <w:rPr>
          <w:rFonts w:ascii="Arial" w:hAnsi="Arial" w:cs="Arial"/>
        </w:rPr>
        <w:t>ottobre</w:t>
      </w:r>
      <w:r w:rsidRPr="00BF2D38">
        <w:rPr>
          <w:rFonts w:ascii="Arial" w:hAnsi="Arial" w:cs="Arial"/>
        </w:rPr>
        <w:t xml:space="preserve"> </w:t>
      </w:r>
      <w:r w:rsidRPr="001D642A">
        <w:rPr>
          <w:rFonts w:ascii="Arial" w:hAnsi="Arial" w:cs="Arial"/>
        </w:rPr>
        <w:t xml:space="preserve">2021 – </w:t>
      </w:r>
      <w:r>
        <w:rPr>
          <w:rFonts w:ascii="Arial" w:hAnsi="Arial" w:cs="Arial"/>
        </w:rPr>
        <w:t>ottobre</w:t>
      </w:r>
      <w:r w:rsidRPr="00BF2D38">
        <w:rPr>
          <w:rFonts w:ascii="Arial" w:hAnsi="Arial" w:cs="Arial"/>
        </w:rPr>
        <w:t xml:space="preserve"> </w:t>
      </w:r>
      <w:r w:rsidRPr="001D642A">
        <w:rPr>
          <w:rFonts w:ascii="Arial" w:hAnsi="Arial" w:cs="Arial"/>
        </w:rPr>
        <w:t xml:space="preserve">2022. </w:t>
      </w:r>
    </w:p>
    <w:p w:rsidR="00150619" w:rsidRDefault="00150619" w:rsidP="00150619">
      <w:pPr>
        <w:widowControl/>
        <w:overflowPunct/>
        <w:spacing w:before="0" w:after="120"/>
        <w:jc w:val="both"/>
        <w:rPr>
          <w:rFonts w:ascii="Arial" w:hAnsi="Arial" w:cs="Arial"/>
        </w:rPr>
      </w:pPr>
    </w:p>
    <w:p w:rsidR="00150619" w:rsidRPr="001D642A" w:rsidRDefault="00150619" w:rsidP="00150619">
      <w:pPr>
        <w:widowControl/>
        <w:overflowPunct/>
        <w:spacing w:before="0" w:after="120"/>
        <w:jc w:val="both"/>
        <w:rPr>
          <w:rFonts w:ascii="Arial" w:hAnsi="Arial" w:cs="Arial"/>
        </w:rPr>
      </w:pPr>
      <w:r w:rsidRPr="001D642A">
        <w:rPr>
          <w:rFonts w:ascii="Arial" w:hAnsi="Arial" w:cs="Arial"/>
        </w:rPr>
        <w:t>Le RMA più ampie nell’arco di tempo considerato hanno riguardato i tassi di variazione tendenziale dei prezzi dell’Energia (0,</w:t>
      </w:r>
      <w:r>
        <w:rPr>
          <w:rFonts w:ascii="Arial" w:hAnsi="Arial" w:cs="Arial"/>
        </w:rPr>
        <w:t xml:space="preserve">731 </w:t>
      </w:r>
      <w:r w:rsidRPr="001D642A">
        <w:rPr>
          <w:rFonts w:ascii="Arial" w:hAnsi="Arial" w:cs="Arial"/>
        </w:rPr>
        <w:t>punti percentuali), degli Alimentari lavorati (0,</w:t>
      </w:r>
      <w:r>
        <w:rPr>
          <w:rFonts w:ascii="Arial" w:hAnsi="Arial" w:cs="Arial"/>
        </w:rPr>
        <w:t>131</w:t>
      </w:r>
      <w:r w:rsidRPr="001D642A">
        <w:rPr>
          <w:rFonts w:ascii="Arial" w:hAnsi="Arial" w:cs="Arial"/>
        </w:rPr>
        <w:t xml:space="preserve"> punti percentuali)</w:t>
      </w:r>
      <w:r>
        <w:rPr>
          <w:rFonts w:ascii="Arial" w:hAnsi="Arial" w:cs="Arial"/>
        </w:rPr>
        <w:t>,</w:t>
      </w:r>
      <w:r w:rsidRPr="001D642A">
        <w:rPr>
          <w:rFonts w:ascii="Arial" w:hAnsi="Arial" w:cs="Arial"/>
        </w:rPr>
        <w:t xml:space="preserve"> e quindi dei Beni alimentari (incluse beva</w:t>
      </w:r>
      <w:r>
        <w:rPr>
          <w:rFonts w:ascii="Arial" w:hAnsi="Arial" w:cs="Arial"/>
        </w:rPr>
        <w:t>nde alcoliche) e tabacchi (0,131</w:t>
      </w:r>
      <w:r w:rsidRPr="001D642A">
        <w:rPr>
          <w:rFonts w:ascii="Arial" w:hAnsi="Arial" w:cs="Arial"/>
        </w:rPr>
        <w:t xml:space="preserve"> punti percentuali), e dei Beni industriali non energetici (0,</w:t>
      </w:r>
      <w:r>
        <w:rPr>
          <w:rFonts w:ascii="Arial" w:hAnsi="Arial" w:cs="Arial"/>
        </w:rPr>
        <w:t>131</w:t>
      </w:r>
      <w:r w:rsidRPr="001D642A">
        <w:rPr>
          <w:rFonts w:ascii="Arial" w:hAnsi="Arial" w:cs="Arial"/>
        </w:rPr>
        <w:t xml:space="preserve"> punti percentuali).</w:t>
      </w:r>
    </w:p>
    <w:p w:rsidR="00150619" w:rsidRPr="001D642A" w:rsidRDefault="00150619" w:rsidP="00150619">
      <w:pPr>
        <w:widowControl/>
        <w:overflowPunct/>
        <w:spacing w:before="0" w:after="120"/>
        <w:jc w:val="both"/>
        <w:rPr>
          <w:rFonts w:ascii="Arial" w:hAnsi="Arial" w:cs="Arial"/>
          <w:kern w:val="0"/>
        </w:rPr>
      </w:pPr>
      <w:r w:rsidRPr="001D642A">
        <w:rPr>
          <w:rFonts w:ascii="Arial" w:hAnsi="Arial" w:cs="Arial"/>
          <w:kern w:val="0"/>
        </w:rPr>
        <w:t xml:space="preserve">Per ulteriori informazioni relative alle revisioni degli indicatori congiunturali, consultare la </w:t>
      </w:r>
      <w:hyperlink r:id="rId41" w:history="1">
        <w:r w:rsidRPr="001D642A">
          <w:rPr>
            <w:rStyle w:val="Collegamentoipertestuale"/>
            <w:rFonts w:ascii="Arial" w:hAnsi="Arial" w:cs="Arial"/>
            <w:kern w:val="0"/>
          </w:rPr>
          <w:t>sezione dedicata</w:t>
        </w:r>
      </w:hyperlink>
      <w:r w:rsidRPr="001D642A">
        <w:rPr>
          <w:rFonts w:ascii="Arial" w:hAnsi="Arial" w:cs="Arial"/>
          <w:kern w:val="0"/>
        </w:rPr>
        <w:t>.</w:t>
      </w:r>
    </w:p>
    <w:p w:rsidR="00150619" w:rsidRPr="001D642A" w:rsidRDefault="00150619" w:rsidP="00150619">
      <w:pPr>
        <w:spacing w:before="0" w:after="120"/>
        <w:jc w:val="both"/>
        <w:rPr>
          <w:rFonts w:ascii="Arial" w:hAnsi="Arial" w:cs="Arial"/>
        </w:rPr>
      </w:pPr>
    </w:p>
    <w:p w:rsidR="00150619" w:rsidRPr="001D642A" w:rsidRDefault="00150619" w:rsidP="00150619">
      <w:pPr>
        <w:pStyle w:val="001TitoGra"/>
      </w:pPr>
      <w:r w:rsidRPr="001D642A">
        <w:rPr>
          <w:rStyle w:val="001TitoGraRed"/>
        </w:rPr>
        <w:t>FIGURA 1.</w:t>
      </w:r>
      <w:r w:rsidRPr="001D642A">
        <w:t xml:space="preserve"> REVISIONE MEDIA ASSOLUTA DELLE STIME PRELIMINARI DEI TASSI TENDENZIALI DEGLI INDICI IPCA</w:t>
      </w:r>
    </w:p>
    <w:p w:rsidR="00150619" w:rsidRDefault="00150619" w:rsidP="00150619">
      <w:pPr>
        <w:spacing w:before="0" w:after="120"/>
        <w:ind w:right="170"/>
        <w:jc w:val="both"/>
        <w:rPr>
          <w:rFonts w:ascii="Arial Narrow" w:hAnsi="Arial Narrow" w:cs="Arial"/>
          <w:color w:val="5F5F5F"/>
        </w:rPr>
      </w:pPr>
      <w:r>
        <w:rPr>
          <w:rFonts w:ascii="Arial Narrow" w:hAnsi="Arial Narrow" w:cs="Arial"/>
          <w:color w:val="5F5F5F"/>
        </w:rPr>
        <w:t>Ottobre</w:t>
      </w:r>
      <w:r w:rsidRPr="007E26FA">
        <w:rPr>
          <w:rFonts w:ascii="Arial Narrow" w:hAnsi="Arial Narrow" w:cs="Arial"/>
          <w:color w:val="5F5F5F"/>
        </w:rPr>
        <w:t xml:space="preserve"> </w:t>
      </w:r>
      <w:r>
        <w:rPr>
          <w:rFonts w:ascii="Arial Narrow" w:hAnsi="Arial Narrow" w:cs="Arial"/>
          <w:color w:val="5F5F5F"/>
        </w:rPr>
        <w:t>2021 – ottobre</w:t>
      </w:r>
      <w:r w:rsidRPr="007E26FA">
        <w:rPr>
          <w:rFonts w:ascii="Arial Narrow" w:hAnsi="Arial Narrow" w:cs="Arial"/>
          <w:color w:val="5F5F5F"/>
        </w:rPr>
        <w:t xml:space="preserve"> </w:t>
      </w:r>
      <w:r w:rsidRPr="001D642A">
        <w:rPr>
          <w:rFonts w:ascii="Arial Narrow" w:hAnsi="Arial Narrow" w:cs="Arial"/>
          <w:color w:val="5F5F5F"/>
        </w:rPr>
        <w:t>2022, punti percentuali</w:t>
      </w:r>
    </w:p>
    <w:p w:rsidR="00150619" w:rsidRPr="001D642A" w:rsidRDefault="00150619" w:rsidP="00150619">
      <w:pPr>
        <w:spacing w:before="0" w:after="120"/>
        <w:ind w:right="170"/>
        <w:jc w:val="both"/>
        <w:rPr>
          <w:rFonts w:ascii="Arial Narrow" w:hAnsi="Arial Narrow" w:cs="Arial"/>
          <w:color w:val="5F5F5F"/>
        </w:rPr>
      </w:pPr>
      <w:r>
        <w:rPr>
          <w:rFonts w:ascii="Arial Narrow" w:hAnsi="Arial Narrow" w:cs="Arial"/>
          <w:noProof/>
          <w:color w:val="5F5F5F"/>
        </w:rPr>
        <w:drawing>
          <wp:inline distT="0" distB="0" distL="0" distR="0" wp14:anchorId="0A3254C7" wp14:editId="47EB1934">
            <wp:extent cx="6669405" cy="2243455"/>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69405" cy="2243455"/>
                    </a:xfrm>
                    <a:prstGeom prst="rect">
                      <a:avLst/>
                    </a:prstGeom>
                    <a:noFill/>
                  </pic:spPr>
                </pic:pic>
              </a:graphicData>
            </a:graphic>
          </wp:inline>
        </w:drawing>
      </w:r>
    </w:p>
    <w:p w:rsidR="00150619" w:rsidRDefault="00150619" w:rsidP="00150619">
      <w:pPr>
        <w:widowControl/>
        <w:overflowPunct/>
        <w:autoSpaceDE/>
        <w:autoSpaceDN/>
        <w:adjustRightInd/>
        <w:spacing w:before="0" w:after="80"/>
        <w:jc w:val="both"/>
        <w:rPr>
          <w:rFonts w:ascii="Arial" w:hAnsi="Arial" w:cs="Arial"/>
          <w:color w:val="000000"/>
          <w:kern w:val="0"/>
        </w:rPr>
      </w:pPr>
    </w:p>
    <w:p w:rsidR="00F36E1D" w:rsidRPr="001D642A" w:rsidRDefault="00F36E1D" w:rsidP="00F36E1D">
      <w:pPr>
        <w:spacing w:before="0" w:after="120"/>
        <w:jc w:val="both"/>
        <w:rPr>
          <w:rFonts w:ascii="Arial" w:hAnsi="Arial" w:cs="Arial"/>
          <w:b/>
          <w:sz w:val="22"/>
          <w:szCs w:val="22"/>
        </w:rPr>
      </w:pPr>
      <w:r w:rsidRPr="001D642A">
        <w:rPr>
          <w:rFonts w:ascii="Arial" w:hAnsi="Arial" w:cs="Arial"/>
          <w:b/>
          <w:sz w:val="22"/>
          <w:szCs w:val="22"/>
        </w:rPr>
        <w:t>L’emergenza sanitaria Covid-19 e la compilazione degli indici dei prezzi al consumo</w:t>
      </w:r>
    </w:p>
    <w:p w:rsidR="00F355C1" w:rsidRPr="001D642A" w:rsidRDefault="00F355C1" w:rsidP="00F355C1">
      <w:pPr>
        <w:pStyle w:val="Default"/>
        <w:spacing w:after="120"/>
        <w:jc w:val="both"/>
        <w:rPr>
          <w:rFonts w:ascii="Arial" w:hAnsi="Arial" w:cs="Arial"/>
          <w:sz w:val="20"/>
          <w:szCs w:val="20"/>
        </w:rPr>
      </w:pPr>
      <w:r w:rsidRPr="001D642A">
        <w:rPr>
          <w:rFonts w:ascii="Arial" w:hAnsi="Arial" w:cs="Arial"/>
          <w:sz w:val="20"/>
          <w:szCs w:val="20"/>
        </w:rPr>
        <w:t>L’emergenza sanitaria legata alla diffusione del Covid-19 e le misure varate dal governo per fronteggiare i rischi di ulteriore espansione del contagio hanno determinato, soprattutto nei mesi di marzo, aprile e maggio 2020, numerose criticità per il processo di produzione degli indici dei prezzi al consumo e in particolare per la fase di raccolta diretta dei dati. Tra la fine di maggio e il mese di giugno la progressiva riduzione della gravità dell’emergenza sanitaria e la riapertura graduale di buona parte delle attività commerciali di offerta di beni e servizi di consumo hanno limitato le criticità dei mesi precedenti, a partire da una netta diminuzione del numero di mancate rilevazioni che aveva raggiunto il picco nel mese di aprile 2020. Con il DPCM del 3 novembre 2020 sono state reintrodotte limitazioni, differenziate a livello regionale che hanno riproposto, almeno in parte, le criticità del periodo marzo-maggio. Queste limitazioni sono state poi rafforzate (e uniformate su scala nazionale a partire dal 24 dicembre) con il Decreto Legge 18 dicembre 2020 n. 172.</w:t>
      </w:r>
    </w:p>
    <w:p w:rsidR="00F355C1" w:rsidRDefault="00F355C1" w:rsidP="00F355C1">
      <w:pPr>
        <w:pStyle w:val="Default"/>
        <w:spacing w:after="120"/>
        <w:jc w:val="both"/>
        <w:rPr>
          <w:rFonts w:ascii="Arial" w:hAnsi="Arial" w:cs="Arial"/>
          <w:sz w:val="20"/>
          <w:szCs w:val="20"/>
        </w:rPr>
      </w:pPr>
      <w:r w:rsidRPr="001D642A">
        <w:rPr>
          <w:rFonts w:ascii="Arial" w:hAnsi="Arial" w:cs="Arial"/>
          <w:sz w:val="20"/>
          <w:szCs w:val="20"/>
        </w:rPr>
        <w:t>In tutti questi mesi di emergenza sanitaria, l’impianto dell’indagine sui prezzi al consumo, basato sull’utilizzo di una pluralità di canali per l’acquisizione dei dati necessari per il calcolo dell’inflazione, ha consentito di ridurre gli effetti negativi di queste criticità e in particolare del più elevato numero di mancate rilevazioni che ha colpito i mesi di marzo aprile e maggio e in misura più contenuta i mesi da giugno a dicembre.</w:t>
      </w:r>
    </w:p>
    <w:p w:rsidR="00F355C1" w:rsidRPr="001D642A" w:rsidRDefault="00F355C1" w:rsidP="00F355C1">
      <w:pPr>
        <w:pStyle w:val="Default"/>
        <w:spacing w:after="120"/>
        <w:jc w:val="both"/>
        <w:rPr>
          <w:rFonts w:ascii="Arial" w:hAnsi="Arial" w:cs="Arial"/>
          <w:sz w:val="20"/>
          <w:szCs w:val="20"/>
        </w:rPr>
      </w:pPr>
      <w:r w:rsidRPr="001D642A">
        <w:rPr>
          <w:rFonts w:ascii="Arial" w:hAnsi="Arial" w:cs="Arial"/>
          <w:sz w:val="20"/>
          <w:szCs w:val="20"/>
        </w:rPr>
        <w:t xml:space="preserve">I problemi più rilevanti hanno riguardato l’attività di raccolta dati in carico agli Uffici Comunali di Statistica, che ha potuto svolgersi in modo difficoltoso; in particolare nei mesi in cui è stata sospesa o limitata la rilevazione presso i punti vendita fisici, le attività degli Uffici Comunali di Statistica sono state svolte utilizzando, laddove possibile, anche il canale telefonico e Internet per la raccolta dei dati presso le unità di rilevazione previste dal piano di campionamento locale. </w:t>
      </w:r>
    </w:p>
    <w:p w:rsidR="00F355C1" w:rsidRPr="001D642A" w:rsidRDefault="00F355C1" w:rsidP="00F355C1">
      <w:pPr>
        <w:pStyle w:val="Default"/>
        <w:spacing w:after="120"/>
        <w:jc w:val="both"/>
        <w:rPr>
          <w:rFonts w:ascii="Arial" w:hAnsi="Arial" w:cs="Arial"/>
          <w:sz w:val="20"/>
          <w:szCs w:val="20"/>
        </w:rPr>
      </w:pPr>
      <w:r w:rsidRPr="001D642A">
        <w:rPr>
          <w:rFonts w:ascii="Arial" w:hAnsi="Arial" w:cs="Arial"/>
          <w:sz w:val="20"/>
          <w:szCs w:val="20"/>
        </w:rPr>
        <w:t>Per quanto riguarda le altre fonti dell’indagine, ossia la rilevazione centralizzata, gli scanner data e i grandi fornitori di dati e i dati di fonte amministrativa, non si sono registrati problemi nella disponibilità delle informazioni necessarie per le elaborazioni degli indici dei prezzi al consumo.</w:t>
      </w:r>
    </w:p>
    <w:p w:rsidR="00F355C1" w:rsidRDefault="00F355C1" w:rsidP="00F355C1">
      <w:pPr>
        <w:pStyle w:val="Default"/>
        <w:spacing w:after="120"/>
        <w:jc w:val="both"/>
        <w:rPr>
          <w:rFonts w:ascii="Arial" w:hAnsi="Arial" w:cs="Arial"/>
          <w:sz w:val="20"/>
          <w:szCs w:val="20"/>
        </w:rPr>
      </w:pPr>
      <w:r w:rsidRPr="001D642A">
        <w:rPr>
          <w:rFonts w:ascii="Arial" w:hAnsi="Arial" w:cs="Arial"/>
          <w:sz w:val="20"/>
          <w:szCs w:val="20"/>
        </w:rPr>
        <w:t xml:space="preserve">Questo quadro va integrato, con particolare riferimento alla seconda parte del mese di marzo e ai mesi di aprile e maggio </w:t>
      </w:r>
      <w:r>
        <w:rPr>
          <w:rFonts w:ascii="Arial" w:hAnsi="Arial" w:cs="Arial"/>
          <w:sz w:val="20"/>
          <w:szCs w:val="20"/>
        </w:rPr>
        <w:t xml:space="preserve">2020 </w:t>
      </w:r>
      <w:r w:rsidRPr="001D642A">
        <w:rPr>
          <w:rFonts w:ascii="Arial" w:hAnsi="Arial" w:cs="Arial"/>
          <w:sz w:val="20"/>
          <w:szCs w:val="20"/>
        </w:rPr>
        <w:t xml:space="preserve">e ai mesi da novembre 2020 </w:t>
      </w:r>
      <w:r>
        <w:rPr>
          <w:rFonts w:ascii="Arial" w:hAnsi="Arial" w:cs="Arial"/>
          <w:sz w:val="20"/>
          <w:szCs w:val="20"/>
        </w:rPr>
        <w:t xml:space="preserve">fino ai primi del 2021 </w:t>
      </w:r>
      <w:r w:rsidRPr="001D642A">
        <w:rPr>
          <w:rFonts w:ascii="Arial" w:hAnsi="Arial" w:cs="Arial"/>
          <w:sz w:val="20"/>
          <w:szCs w:val="20"/>
        </w:rPr>
        <w:t>(in particolare per le regioni che si sono trovate in fascia rossa e per il territorio nazionale nel suo complesso nell’ultima parte del mese di dicembre</w:t>
      </w:r>
      <w:r>
        <w:rPr>
          <w:rFonts w:ascii="Arial" w:hAnsi="Arial" w:cs="Arial"/>
          <w:sz w:val="20"/>
          <w:szCs w:val="20"/>
        </w:rPr>
        <w:t xml:space="preserve"> 2020</w:t>
      </w:r>
      <w:r w:rsidRPr="001D642A">
        <w:rPr>
          <w:rFonts w:ascii="Arial" w:hAnsi="Arial" w:cs="Arial"/>
          <w:sz w:val="20"/>
          <w:szCs w:val="20"/>
        </w:rPr>
        <w:t>), con i problemi derivanti dall’introduzione di misure restrittive riguardanti lo svolgimento di diverse attività commerciali, che hanno comportato forti limitazioni alla possibilità da parte dei consumatori di acquistare beni e fruire di determinate categorie di servizi (in primo luogo trasporti, servizi ricreativi, servizi di alloggio) e che hanno richiesto e richiedono interventi specifici nella fase di elaborazione dei corrispondenti indici di prezzo.</w:t>
      </w:r>
    </w:p>
    <w:p w:rsidR="00150619" w:rsidRPr="001D642A" w:rsidRDefault="00150619" w:rsidP="00F355C1">
      <w:pPr>
        <w:pStyle w:val="Default"/>
        <w:spacing w:after="120"/>
        <w:jc w:val="both"/>
        <w:rPr>
          <w:rFonts w:ascii="Arial" w:hAnsi="Arial" w:cs="Arial"/>
          <w:sz w:val="20"/>
          <w:szCs w:val="20"/>
        </w:rPr>
      </w:pPr>
    </w:p>
    <w:p w:rsidR="00F355C1" w:rsidRDefault="00F355C1" w:rsidP="00F355C1">
      <w:pPr>
        <w:pStyle w:val="Default"/>
        <w:spacing w:after="120"/>
        <w:jc w:val="both"/>
        <w:rPr>
          <w:rFonts w:ascii="Arial" w:hAnsi="Arial" w:cs="Arial"/>
          <w:sz w:val="20"/>
          <w:szCs w:val="20"/>
        </w:rPr>
      </w:pPr>
      <w:r w:rsidRPr="001D642A">
        <w:rPr>
          <w:rFonts w:ascii="Arial" w:hAnsi="Arial" w:cs="Arial"/>
          <w:sz w:val="20"/>
          <w:szCs w:val="20"/>
        </w:rPr>
        <w:t xml:space="preserve">In tutti i mesi trascorsi a partire da marzo 2020, per la stima dell’inflazione si è fatto ricorso all’imputazione delle mancate rilevazioni, coerentemente con l’impianto metodologico indicato da Eurostat e condiviso con gli Stati membri (per un ulteriore dettaglio si può consultare il </w:t>
      </w:r>
      <w:r>
        <w:rPr>
          <w:rFonts w:ascii="Arial" w:hAnsi="Arial" w:cs="Arial"/>
          <w:sz w:val="20"/>
          <w:szCs w:val="20"/>
        </w:rPr>
        <w:t xml:space="preserve">precedente </w:t>
      </w:r>
      <w:r w:rsidRPr="001D642A">
        <w:rPr>
          <w:rFonts w:ascii="Arial" w:hAnsi="Arial" w:cs="Arial"/>
          <w:sz w:val="20"/>
          <w:szCs w:val="20"/>
        </w:rPr>
        <w:t xml:space="preserve">paragrafo </w:t>
      </w:r>
      <w:r w:rsidRPr="001D642A">
        <w:rPr>
          <w:rFonts w:ascii="Arial" w:hAnsi="Arial" w:cs="Arial"/>
          <w:i/>
          <w:sz w:val="20"/>
          <w:szCs w:val="20"/>
        </w:rPr>
        <w:t xml:space="preserve">Stime delle </w:t>
      </w:r>
      <w:r>
        <w:rPr>
          <w:rFonts w:ascii="Arial" w:hAnsi="Arial" w:cs="Arial"/>
          <w:i/>
          <w:sz w:val="20"/>
          <w:szCs w:val="20"/>
        </w:rPr>
        <w:t>osservazioni mancanti</w:t>
      </w:r>
      <w:r w:rsidRPr="001D642A">
        <w:rPr>
          <w:rFonts w:ascii="Arial" w:hAnsi="Arial" w:cs="Arial"/>
          <w:i/>
          <w:sz w:val="20"/>
          <w:szCs w:val="20"/>
        </w:rPr>
        <w:t xml:space="preserve"> negli indici dei prezzi al consumo</w:t>
      </w:r>
      <w:r w:rsidRPr="001D642A">
        <w:rPr>
          <w:rFonts w:ascii="Arial" w:hAnsi="Arial" w:cs="Arial"/>
          <w:sz w:val="20"/>
          <w:szCs w:val="20"/>
        </w:rPr>
        <w:t>).</w:t>
      </w:r>
    </w:p>
    <w:p w:rsidR="00C0014D" w:rsidRPr="001D642A" w:rsidRDefault="00C0014D" w:rsidP="00C0014D">
      <w:pPr>
        <w:pStyle w:val="Default"/>
        <w:spacing w:after="120"/>
        <w:jc w:val="both"/>
        <w:rPr>
          <w:rFonts w:ascii="Arial" w:hAnsi="Arial" w:cs="Arial"/>
          <w:sz w:val="20"/>
          <w:szCs w:val="20"/>
        </w:rPr>
      </w:pPr>
      <w:r w:rsidRPr="001D642A">
        <w:rPr>
          <w:rFonts w:ascii="Arial" w:hAnsi="Arial" w:cs="Arial"/>
          <w:sz w:val="20"/>
          <w:szCs w:val="20"/>
        </w:rPr>
        <w:t xml:space="preserve">A partire dal D.L 52 del 22 aprile 2021 (c.d. Decreto riaperture) sono state via via eliminate gran parte delle restrizioni introdotte dal governo nei mesi precedenti, permettendo la </w:t>
      </w:r>
      <w:r>
        <w:rPr>
          <w:rFonts w:ascii="Arial" w:hAnsi="Arial" w:cs="Arial"/>
          <w:sz w:val="20"/>
          <w:szCs w:val="20"/>
        </w:rPr>
        <w:t xml:space="preserve">progressiva </w:t>
      </w:r>
      <w:r w:rsidRPr="001D642A">
        <w:rPr>
          <w:rFonts w:ascii="Arial" w:hAnsi="Arial" w:cs="Arial"/>
          <w:sz w:val="20"/>
          <w:szCs w:val="20"/>
        </w:rPr>
        <w:t>riapertura di quasi tutte le attività economiche e la possibilità di riprendere una mobilità sul territorio non dettata da motivazioni di stretta necessità, pur rimanendo limitazioni dovute al rispett</w:t>
      </w:r>
      <w:r>
        <w:rPr>
          <w:rFonts w:ascii="Arial" w:hAnsi="Arial" w:cs="Arial"/>
          <w:sz w:val="20"/>
          <w:szCs w:val="20"/>
        </w:rPr>
        <w:t>o</w:t>
      </w:r>
      <w:r w:rsidRPr="001D642A">
        <w:rPr>
          <w:rFonts w:ascii="Arial" w:hAnsi="Arial" w:cs="Arial"/>
          <w:sz w:val="20"/>
          <w:szCs w:val="20"/>
        </w:rPr>
        <w:t xml:space="preserve"> </w:t>
      </w:r>
      <w:r>
        <w:rPr>
          <w:rFonts w:ascii="Arial" w:hAnsi="Arial" w:cs="Arial"/>
          <w:sz w:val="20"/>
          <w:szCs w:val="20"/>
        </w:rPr>
        <w:t>de</w:t>
      </w:r>
      <w:r w:rsidRPr="001D642A">
        <w:rPr>
          <w:rFonts w:ascii="Arial" w:hAnsi="Arial" w:cs="Arial"/>
          <w:sz w:val="20"/>
          <w:szCs w:val="20"/>
        </w:rPr>
        <w:t>l distanziamento sociale</w:t>
      </w:r>
      <w:r>
        <w:rPr>
          <w:rFonts w:ascii="Arial" w:hAnsi="Arial" w:cs="Arial"/>
          <w:sz w:val="20"/>
          <w:szCs w:val="20"/>
        </w:rPr>
        <w:t xml:space="preserve">, </w:t>
      </w:r>
      <w:r w:rsidRPr="00323AD4">
        <w:rPr>
          <w:rFonts w:ascii="Arial" w:hAnsi="Arial" w:cs="Arial"/>
          <w:sz w:val="20"/>
          <w:szCs w:val="20"/>
        </w:rPr>
        <w:t xml:space="preserve">anch’esse in larga parte venute </w:t>
      </w:r>
      <w:r>
        <w:rPr>
          <w:rFonts w:ascii="Arial" w:hAnsi="Arial" w:cs="Arial"/>
          <w:sz w:val="20"/>
          <w:szCs w:val="20"/>
        </w:rPr>
        <w:t>per lo più</w:t>
      </w:r>
      <w:r w:rsidRPr="00323AD4">
        <w:rPr>
          <w:rFonts w:ascii="Arial" w:hAnsi="Arial" w:cs="Arial"/>
          <w:sz w:val="20"/>
          <w:szCs w:val="20"/>
        </w:rPr>
        <w:t xml:space="preserve"> a cadere</w:t>
      </w:r>
      <w:r w:rsidRPr="001D642A">
        <w:rPr>
          <w:rFonts w:ascii="Arial" w:hAnsi="Arial" w:cs="Arial"/>
          <w:sz w:val="20"/>
          <w:szCs w:val="20"/>
        </w:rPr>
        <w:t xml:space="preserve">. Anche </w:t>
      </w:r>
      <w:r w:rsidR="001C7C38">
        <w:rPr>
          <w:rFonts w:ascii="Arial" w:hAnsi="Arial" w:cs="Arial"/>
          <w:sz w:val="20"/>
          <w:szCs w:val="20"/>
        </w:rPr>
        <w:t>questo</w:t>
      </w:r>
      <w:r w:rsidRPr="001D642A">
        <w:rPr>
          <w:rFonts w:ascii="Arial" w:hAnsi="Arial" w:cs="Arial"/>
          <w:sz w:val="20"/>
          <w:szCs w:val="20"/>
        </w:rPr>
        <w:t xml:space="preserve"> mese tutte le attività commerciali hanno </w:t>
      </w:r>
      <w:r>
        <w:rPr>
          <w:rFonts w:ascii="Arial" w:hAnsi="Arial" w:cs="Arial"/>
          <w:sz w:val="20"/>
          <w:szCs w:val="20"/>
        </w:rPr>
        <w:t>operato</w:t>
      </w:r>
      <w:r w:rsidRPr="001D642A">
        <w:rPr>
          <w:rFonts w:ascii="Arial" w:hAnsi="Arial" w:cs="Arial"/>
          <w:sz w:val="20"/>
          <w:szCs w:val="20"/>
        </w:rPr>
        <w:t xml:space="preserve"> ed è quindi stato possibile, per tutti i prodotti del paniere, utilizzare i prezzi rilevati, inclusi quelli rilevati in anticipo per tutti i prodotti per i quali è prevista questa metodologia di rilevazione. </w:t>
      </w:r>
    </w:p>
    <w:p w:rsidR="00C546A2" w:rsidRDefault="00C546A2" w:rsidP="00F36E1D">
      <w:pPr>
        <w:pStyle w:val="Default"/>
        <w:spacing w:after="120"/>
        <w:jc w:val="both"/>
        <w:rPr>
          <w:rFonts w:ascii="Arial" w:hAnsi="Arial" w:cs="Arial"/>
          <w:b/>
          <w:sz w:val="18"/>
          <w:szCs w:val="22"/>
        </w:rPr>
      </w:pPr>
    </w:p>
    <w:p w:rsidR="00F36E1D" w:rsidRPr="00833545" w:rsidRDefault="00F36E1D" w:rsidP="00F36E1D">
      <w:pPr>
        <w:spacing w:before="0" w:after="120"/>
        <w:jc w:val="both"/>
        <w:rPr>
          <w:rFonts w:ascii="Arial" w:hAnsi="Arial" w:cs="Arial"/>
          <w:b/>
          <w:sz w:val="22"/>
          <w:szCs w:val="22"/>
        </w:rPr>
      </w:pPr>
      <w:r w:rsidRPr="00833545">
        <w:rPr>
          <w:rFonts w:ascii="Arial" w:hAnsi="Arial" w:cs="Arial"/>
          <w:b/>
          <w:sz w:val="22"/>
          <w:szCs w:val="22"/>
        </w:rPr>
        <w:t>La diffusione: tempestività e banche dati</w:t>
      </w:r>
    </w:p>
    <w:p w:rsidR="00F355C1" w:rsidRDefault="00F355C1" w:rsidP="00F355C1">
      <w:pPr>
        <w:spacing w:before="0" w:after="120"/>
        <w:jc w:val="both"/>
        <w:rPr>
          <w:rFonts w:ascii="Arial" w:hAnsi="Arial" w:cs="Arial"/>
          <w:color w:val="000000"/>
          <w:kern w:val="0"/>
        </w:rPr>
      </w:pPr>
      <w:r w:rsidRPr="00FB43B0">
        <w:rPr>
          <w:rFonts w:ascii="Arial" w:hAnsi="Arial" w:cs="Arial"/>
          <w:color w:val="000000"/>
          <w:kern w:val="0"/>
        </w:rPr>
        <w:t>La diffusione degli indici dei prezzi al consumo da parte dell’Istat avviene in due momenti temporali successivi secondo una diversa modalità di rilascio dei dati: stima provvisoria e stima definitiva.</w:t>
      </w:r>
    </w:p>
    <w:p w:rsidR="00F355C1" w:rsidRDefault="00F355C1" w:rsidP="00F355C1">
      <w:pPr>
        <w:spacing w:before="0" w:after="120"/>
        <w:jc w:val="both"/>
        <w:rPr>
          <w:rFonts w:ascii="Arial" w:hAnsi="Arial" w:cs="Arial"/>
          <w:color w:val="000000"/>
          <w:kern w:val="0"/>
        </w:rPr>
      </w:pPr>
      <w:r w:rsidRPr="00FB43B0">
        <w:rPr>
          <w:rFonts w:ascii="Arial" w:hAnsi="Arial" w:cs="Arial"/>
          <w:color w:val="000000"/>
          <w:kern w:val="0"/>
        </w:rPr>
        <w:t>La diffusione della stima provvisoria degli indici NIC (generale, per divisione di spesa, per tipologia di prodotto e per frequenza d’acquisto) e dell’indice IPCA (generale</w:t>
      </w:r>
      <w:r>
        <w:rPr>
          <w:rFonts w:ascii="Arial" w:hAnsi="Arial" w:cs="Arial"/>
          <w:color w:val="000000"/>
          <w:kern w:val="0"/>
        </w:rPr>
        <w:t>, per divisione di spesa e per aggregati speciali</w:t>
      </w:r>
      <w:r w:rsidRPr="00FB43B0">
        <w:rPr>
          <w:rFonts w:ascii="Arial" w:hAnsi="Arial" w:cs="Arial"/>
          <w:color w:val="000000"/>
          <w:kern w:val="0"/>
        </w:rPr>
        <w:t xml:space="preserve">) avviene alla fine del mese di riferimento, mentre la diffusione dei dati definitivi dei tre indici NIC, IPCA e FOI avviene non oltre la metà del mese successivo a quello di riferimento. I tempi di pubblicazione sono stabiliti da un calendario </w:t>
      </w:r>
      <w:hyperlink r:id="rId43" w:history="1">
        <w:r>
          <w:rPr>
            <w:rStyle w:val="Collegamentoipertestuale"/>
            <w:rFonts w:ascii="Arial" w:hAnsi="Arial" w:cs="Arial"/>
            <w:kern w:val="0"/>
          </w:rPr>
          <w:t>https://www.istat.it/it/informazioni-e-servizi/per-i-giornalisti/appuntamenti/calendario-diffusioni-ed-eventi</w:t>
        </w:r>
      </w:hyperlink>
      <w:r w:rsidRPr="00FB43B0">
        <w:rPr>
          <w:rFonts w:ascii="Arial" w:hAnsi="Arial" w:cs="Arial"/>
          <w:color w:val="000000"/>
          <w:kern w:val="0"/>
        </w:rPr>
        <w:t xml:space="preserve"> concordato con Eurostat, nel mese di dicembre di ogni anno, per l’anno successivo e secondo gli standard di diffusione (SDDS – Special Data Dissemination Standard) definiti dal Fondo Monetario Internazionale.</w:t>
      </w:r>
    </w:p>
    <w:p w:rsidR="00F355C1" w:rsidRDefault="00F355C1" w:rsidP="00F355C1">
      <w:pPr>
        <w:spacing w:before="0" w:after="120"/>
        <w:jc w:val="both"/>
        <w:rPr>
          <w:rFonts w:ascii="Arial" w:hAnsi="Arial" w:cs="Arial"/>
          <w:color w:val="000000"/>
          <w:kern w:val="0"/>
        </w:rPr>
      </w:pPr>
      <w:r>
        <w:rPr>
          <w:rFonts w:ascii="Arial" w:hAnsi="Arial" w:cs="Arial"/>
          <w:color w:val="000000"/>
          <w:kern w:val="0"/>
        </w:rPr>
        <w:t>Con la pubblicazione dei dati di gennaio 2019,</w:t>
      </w:r>
      <w:r>
        <w:t xml:space="preserve"> </w:t>
      </w:r>
      <w:r>
        <w:rPr>
          <w:rFonts w:ascii="Arial" w:hAnsi="Arial" w:cs="Arial"/>
          <w:color w:val="000000"/>
          <w:kern w:val="0"/>
        </w:rPr>
        <w:t>la</w:t>
      </w:r>
      <w:r w:rsidRPr="000B6995">
        <w:rPr>
          <w:rFonts w:ascii="Arial" w:hAnsi="Arial" w:cs="Arial"/>
          <w:color w:val="000000"/>
          <w:kern w:val="0"/>
        </w:rPr>
        <w:t xml:space="preserve"> diffusione diretta degli indici comunali dei prezzi al consumo è effettuata dai comuni</w:t>
      </w:r>
      <w:r>
        <w:rPr>
          <w:rFonts w:ascii="Arial" w:hAnsi="Arial" w:cs="Arial"/>
          <w:color w:val="000000"/>
          <w:kern w:val="0"/>
        </w:rPr>
        <w:t xml:space="preserve"> autorizzati </w:t>
      </w:r>
      <w:r w:rsidRPr="000B6995">
        <w:rPr>
          <w:rFonts w:ascii="Arial" w:hAnsi="Arial" w:cs="Arial"/>
          <w:color w:val="000000"/>
          <w:kern w:val="0"/>
        </w:rPr>
        <w:t>in concomitanza con l</w:t>
      </w:r>
      <w:r>
        <w:rPr>
          <w:rFonts w:ascii="Arial" w:hAnsi="Arial" w:cs="Arial"/>
          <w:color w:val="000000"/>
          <w:kern w:val="0"/>
        </w:rPr>
        <w:t>’</w:t>
      </w:r>
      <w:r w:rsidRPr="000B6995">
        <w:rPr>
          <w:rFonts w:ascii="Arial" w:hAnsi="Arial" w:cs="Arial"/>
          <w:color w:val="000000"/>
          <w:kern w:val="0"/>
        </w:rPr>
        <w:t>uscita degli indici definitivi da parte dell’Istat</w:t>
      </w:r>
      <w:r>
        <w:rPr>
          <w:rFonts w:ascii="Arial" w:hAnsi="Arial" w:cs="Arial"/>
          <w:color w:val="000000"/>
          <w:kern w:val="0"/>
        </w:rPr>
        <w:t xml:space="preserve">. </w:t>
      </w:r>
    </w:p>
    <w:p w:rsidR="00F355C1" w:rsidRDefault="00F355C1" w:rsidP="00F355C1">
      <w:pPr>
        <w:spacing w:before="0" w:after="120"/>
        <w:jc w:val="both"/>
        <w:rPr>
          <w:rFonts w:ascii="Arial" w:hAnsi="Arial" w:cs="Arial"/>
          <w:color w:val="000000"/>
          <w:kern w:val="0"/>
        </w:rPr>
      </w:pPr>
      <w:r w:rsidRPr="00FB43B0">
        <w:rPr>
          <w:rFonts w:ascii="Arial" w:hAnsi="Arial" w:cs="Arial"/>
          <w:color w:val="000000"/>
          <w:kern w:val="0"/>
        </w:rPr>
        <w:t xml:space="preserve">Gli indici, sia per la stima preliminare sia per quella definitiva, sono diffusi attraverso il comunicato stampa “Prezzi al consumo” disponibile sul sito web dell’Istituto all’indirizzo </w:t>
      </w:r>
      <w:hyperlink r:id="rId44" w:history="1">
        <w:r w:rsidRPr="00B85D2F">
          <w:rPr>
            <w:rStyle w:val="Collegamentoipertestuale"/>
            <w:rFonts w:ascii="Arial" w:hAnsi="Arial" w:cs="Arial"/>
            <w:kern w:val="0"/>
          </w:rPr>
          <w:t>https://www.istat.it/it/archivio/prezzi+al+consumo</w:t>
        </w:r>
      </w:hyperlink>
      <w:r w:rsidRPr="00FB43B0">
        <w:rPr>
          <w:rFonts w:ascii="Arial" w:hAnsi="Arial" w:cs="Arial"/>
          <w:color w:val="000000"/>
          <w:kern w:val="0"/>
        </w:rPr>
        <w:t>.</w:t>
      </w:r>
    </w:p>
    <w:p w:rsidR="00F355C1" w:rsidRDefault="00F355C1" w:rsidP="00F355C1">
      <w:pPr>
        <w:spacing w:before="0" w:after="120"/>
        <w:jc w:val="both"/>
        <w:rPr>
          <w:rFonts w:ascii="Arial" w:hAnsi="Arial" w:cs="Arial"/>
          <w:color w:val="000000"/>
          <w:kern w:val="0"/>
        </w:rPr>
      </w:pPr>
      <w:r w:rsidRPr="00FB43B0">
        <w:rPr>
          <w:rFonts w:ascii="Arial" w:hAnsi="Arial" w:cs="Arial"/>
          <w:color w:val="000000"/>
          <w:kern w:val="0"/>
        </w:rPr>
        <w:t>Le serie degli indici aggiornate sono pubblicate, in concomitanza con la diffusione del comunicato stampa, sul data warehouse I.Stat (</w:t>
      </w:r>
      <w:hyperlink r:id="rId45" w:history="1">
        <w:r w:rsidRPr="00FB43B0">
          <w:rPr>
            <w:rStyle w:val="Collegamentoipertestuale"/>
            <w:rFonts w:ascii="Arial" w:hAnsi="Arial" w:cs="Arial"/>
            <w:kern w:val="0"/>
          </w:rPr>
          <w:t>http://dati.istat.it</w:t>
        </w:r>
      </w:hyperlink>
      <w:r w:rsidRPr="00FB43B0">
        <w:rPr>
          <w:rFonts w:ascii="Arial" w:hAnsi="Arial" w:cs="Arial"/>
          <w:color w:val="000000"/>
          <w:kern w:val="0"/>
        </w:rPr>
        <w:t>) all’interno del tema Prezzi - Prezzi al consumo. Unitamente agli indici mensili sono diffuse le variazioni percentuali congiunturali e tendenziali</w:t>
      </w:r>
      <w:r>
        <w:rPr>
          <w:rFonts w:ascii="Arial" w:hAnsi="Arial" w:cs="Arial"/>
          <w:color w:val="000000"/>
          <w:kern w:val="0"/>
        </w:rPr>
        <w:t>,</w:t>
      </w:r>
      <w:r w:rsidRPr="00FB43B0">
        <w:rPr>
          <w:rFonts w:ascii="Arial" w:hAnsi="Arial" w:cs="Arial"/>
          <w:color w:val="000000"/>
          <w:kern w:val="0"/>
        </w:rPr>
        <w:t xml:space="preserve"> gli indici medi annui, le variazioni medie annue e i pesi calcolati annualmente.</w:t>
      </w:r>
      <w:r w:rsidRPr="00242F77">
        <w:rPr>
          <w:rFonts w:ascii="Arial" w:hAnsi="Arial" w:cs="Arial"/>
          <w:color w:val="000000"/>
          <w:kern w:val="0"/>
        </w:rPr>
        <w:t xml:space="preserve"> </w:t>
      </w:r>
      <w:r>
        <w:rPr>
          <w:rFonts w:ascii="Arial" w:hAnsi="Arial" w:cs="Arial"/>
          <w:color w:val="000000"/>
          <w:kern w:val="0"/>
        </w:rPr>
        <w:t>G</w:t>
      </w:r>
      <w:r w:rsidRPr="00614750">
        <w:rPr>
          <w:rFonts w:ascii="Arial" w:hAnsi="Arial" w:cs="Arial"/>
          <w:color w:val="000000"/>
          <w:kern w:val="0"/>
        </w:rPr>
        <w:t>li indici ai diversi livelli di aggregazione</w:t>
      </w:r>
      <w:r>
        <w:rPr>
          <w:rFonts w:ascii="Arial" w:hAnsi="Arial" w:cs="Arial"/>
          <w:color w:val="000000"/>
          <w:kern w:val="0"/>
        </w:rPr>
        <w:t xml:space="preserve"> e per i diversi livelli territoriali di riferimento</w:t>
      </w:r>
      <w:r w:rsidRPr="00614750">
        <w:rPr>
          <w:rFonts w:ascii="Arial" w:hAnsi="Arial" w:cs="Arial"/>
          <w:color w:val="000000"/>
          <w:kern w:val="0"/>
        </w:rPr>
        <w:t xml:space="preserve"> </w:t>
      </w:r>
      <w:r>
        <w:rPr>
          <w:rFonts w:ascii="Arial" w:hAnsi="Arial" w:cs="Arial"/>
          <w:color w:val="000000"/>
          <w:kern w:val="0"/>
        </w:rPr>
        <w:t xml:space="preserve">che </w:t>
      </w:r>
      <w:r w:rsidRPr="00614750">
        <w:rPr>
          <w:rFonts w:ascii="Arial" w:hAnsi="Arial" w:cs="Arial"/>
          <w:color w:val="000000"/>
          <w:kern w:val="0"/>
        </w:rPr>
        <w:t>ha</w:t>
      </w:r>
      <w:r>
        <w:rPr>
          <w:rFonts w:ascii="Arial" w:hAnsi="Arial" w:cs="Arial"/>
          <w:color w:val="000000"/>
          <w:kern w:val="0"/>
        </w:rPr>
        <w:t>nno</w:t>
      </w:r>
      <w:r w:rsidRPr="00614750">
        <w:rPr>
          <w:rFonts w:ascii="Arial" w:hAnsi="Arial" w:cs="Arial"/>
          <w:color w:val="000000"/>
          <w:kern w:val="0"/>
        </w:rPr>
        <w:t xml:space="preserve"> avuto una quota di imputazioni superiore al 50% (in termini di prezzi mancanti e/o di peso) </w:t>
      </w:r>
      <w:r>
        <w:rPr>
          <w:rFonts w:ascii="Arial" w:hAnsi="Arial" w:cs="Arial"/>
          <w:color w:val="000000"/>
          <w:kern w:val="0"/>
        </w:rPr>
        <w:t>sono individuabili con il</w:t>
      </w:r>
      <w:r w:rsidRPr="00614750">
        <w:rPr>
          <w:rFonts w:ascii="Arial" w:hAnsi="Arial" w:cs="Arial"/>
          <w:color w:val="000000"/>
          <w:kern w:val="0"/>
        </w:rPr>
        <w:t xml:space="preserve"> flag “i” (dato imputato</w:t>
      </w:r>
      <w:r>
        <w:rPr>
          <w:rFonts w:ascii="Arial" w:hAnsi="Arial" w:cs="Arial"/>
          <w:color w:val="000000"/>
          <w:kern w:val="0"/>
        </w:rPr>
        <w:t>)</w:t>
      </w:r>
      <w:r w:rsidRPr="00614750">
        <w:rPr>
          <w:rFonts w:ascii="Arial" w:hAnsi="Arial" w:cs="Arial"/>
          <w:color w:val="000000"/>
          <w:kern w:val="0"/>
        </w:rPr>
        <w:t>.</w:t>
      </w:r>
    </w:p>
    <w:p w:rsidR="00F355C1" w:rsidRDefault="00F355C1" w:rsidP="00F355C1">
      <w:pPr>
        <w:spacing w:before="0" w:after="120"/>
        <w:jc w:val="both"/>
        <w:rPr>
          <w:rFonts w:ascii="Arial" w:hAnsi="Arial" w:cs="Arial"/>
        </w:rPr>
      </w:pPr>
      <w:r>
        <w:rPr>
          <w:rFonts w:ascii="Arial" w:hAnsi="Arial" w:cs="Arial"/>
        </w:rPr>
        <w:t xml:space="preserve">Informazioni sugli indici dei prezzi al consumo sono disponibili sulla banca dati </w:t>
      </w:r>
      <w:hyperlink r:id="rId46" w:history="1">
        <w:r w:rsidRPr="00760661">
          <w:rPr>
            <w:rStyle w:val="Collegamentoipertestuale"/>
            <w:rFonts w:ascii="Arial" w:hAnsi="Arial" w:cs="Arial"/>
          </w:rPr>
          <w:t>Congiuntura.Stat</w:t>
        </w:r>
      </w:hyperlink>
      <w:r>
        <w:rPr>
          <w:rFonts w:ascii="Arial" w:hAnsi="Arial" w:cs="Arial"/>
        </w:rPr>
        <w:t xml:space="preserve">, che </w:t>
      </w:r>
      <w:r w:rsidRPr="001C73ED">
        <w:rPr>
          <w:rFonts w:ascii="Arial" w:hAnsi="Arial" w:cs="Arial"/>
        </w:rPr>
        <w:t>raccoglie e sistematizza le statistiche congiunturali prodotte dall’Istat e si propone quale strumento di approfondimento per policy maker, operatori sociali, studiosi e cittadini.</w:t>
      </w:r>
    </w:p>
    <w:p w:rsidR="00F355C1" w:rsidRDefault="00F355C1" w:rsidP="00F355C1">
      <w:pPr>
        <w:spacing w:before="0" w:after="120"/>
        <w:jc w:val="both"/>
        <w:rPr>
          <w:rFonts w:ascii="Arial" w:hAnsi="Arial" w:cs="Arial"/>
          <w:color w:val="000000"/>
          <w:kern w:val="0"/>
        </w:rPr>
      </w:pPr>
      <w:r w:rsidRPr="00FB43B0">
        <w:rPr>
          <w:rFonts w:ascii="Arial" w:hAnsi="Arial" w:cs="Arial"/>
          <w:color w:val="000000"/>
          <w:kern w:val="0"/>
        </w:rPr>
        <w:t>Informazioni sulle serie storiche di tutti e tre gli indici, a partire dal 1861</w:t>
      </w:r>
      <w:r>
        <w:rPr>
          <w:rFonts w:ascii="Arial" w:hAnsi="Arial" w:cs="Arial"/>
          <w:color w:val="000000"/>
          <w:kern w:val="0"/>
        </w:rPr>
        <w:t xml:space="preserve"> e fino al 2015</w:t>
      </w:r>
      <w:r w:rsidRPr="00FB43B0">
        <w:rPr>
          <w:rFonts w:ascii="Arial" w:hAnsi="Arial" w:cs="Arial"/>
          <w:color w:val="000000"/>
          <w:kern w:val="0"/>
        </w:rPr>
        <w:t xml:space="preserve">, sono disponibili sul sito dell’Istat all’indirizzo </w:t>
      </w:r>
      <w:hyperlink r:id="rId47" w:history="1">
        <w:r w:rsidRPr="00FB43B0">
          <w:rPr>
            <w:rStyle w:val="Collegamentoipertestuale"/>
            <w:rFonts w:ascii="Arial" w:hAnsi="Arial" w:cs="Arial"/>
            <w:kern w:val="0"/>
          </w:rPr>
          <w:t>http://seriestoriche.istat.it/</w:t>
        </w:r>
      </w:hyperlink>
      <w:r w:rsidRPr="00FB43B0">
        <w:rPr>
          <w:rFonts w:ascii="Arial" w:hAnsi="Arial" w:cs="Arial"/>
          <w:color w:val="000000"/>
          <w:kern w:val="0"/>
        </w:rPr>
        <w:t>.</w:t>
      </w:r>
    </w:p>
    <w:p w:rsidR="00F355C1" w:rsidRDefault="00F355C1" w:rsidP="00F355C1">
      <w:pPr>
        <w:spacing w:before="0" w:after="120"/>
        <w:jc w:val="both"/>
        <w:rPr>
          <w:rFonts w:ascii="Arial" w:hAnsi="Arial" w:cs="Arial"/>
          <w:color w:val="000000"/>
          <w:kern w:val="0"/>
        </w:rPr>
      </w:pPr>
      <w:r w:rsidRPr="00FB43B0">
        <w:rPr>
          <w:rFonts w:ascii="Arial" w:hAnsi="Arial" w:cs="Arial"/>
          <w:color w:val="000000"/>
          <w:kern w:val="0"/>
        </w:rPr>
        <w:t xml:space="preserve">Dati riepilogativi e approfondimenti sui prezzi al consumo e sul paniere dei beni e servizi sono, inoltre, contenuti in alcuni prodotti editoriali diffusi dall’Istat a cadenza annuale, quali </w:t>
      </w:r>
      <w:r w:rsidRPr="00D4266B">
        <w:rPr>
          <w:rFonts w:ascii="Arial" w:hAnsi="Arial" w:cs="Arial"/>
          <w:color w:val="000000"/>
          <w:kern w:val="0"/>
        </w:rPr>
        <w:t>l’</w:t>
      </w:r>
      <w:r w:rsidRPr="00D4266B">
        <w:rPr>
          <w:rFonts w:ascii="Arial" w:hAnsi="Arial" w:cs="Arial"/>
          <w:i/>
          <w:color w:val="000000"/>
          <w:kern w:val="0"/>
        </w:rPr>
        <w:t>Annuario statistico</w:t>
      </w:r>
      <w:r w:rsidRPr="00FB43B0">
        <w:rPr>
          <w:rFonts w:ascii="Arial" w:hAnsi="Arial" w:cs="Arial"/>
          <w:color w:val="000000"/>
          <w:kern w:val="0"/>
        </w:rPr>
        <w:t xml:space="preserve">, il </w:t>
      </w:r>
      <w:r w:rsidRPr="00D4266B">
        <w:rPr>
          <w:rFonts w:ascii="Arial" w:hAnsi="Arial" w:cs="Arial"/>
          <w:i/>
          <w:color w:val="000000"/>
          <w:kern w:val="0"/>
        </w:rPr>
        <w:t>Rapporto annuale</w:t>
      </w:r>
      <w:r w:rsidRPr="00FB43B0">
        <w:rPr>
          <w:rFonts w:ascii="Arial" w:hAnsi="Arial" w:cs="Arial"/>
          <w:color w:val="000000"/>
          <w:kern w:val="0"/>
        </w:rPr>
        <w:t xml:space="preserve"> e la pubblicazione </w:t>
      </w:r>
      <w:r w:rsidRPr="00D4266B">
        <w:rPr>
          <w:rFonts w:ascii="Arial" w:hAnsi="Arial" w:cs="Arial"/>
          <w:i/>
          <w:color w:val="000000"/>
          <w:kern w:val="0"/>
        </w:rPr>
        <w:t>Noi Italia</w:t>
      </w:r>
      <w:r w:rsidRPr="00FB43B0">
        <w:rPr>
          <w:rFonts w:ascii="Arial" w:hAnsi="Arial" w:cs="Arial"/>
          <w:color w:val="000000"/>
          <w:kern w:val="0"/>
        </w:rPr>
        <w:t>.</w:t>
      </w:r>
    </w:p>
    <w:p w:rsidR="00F36E1D" w:rsidRDefault="00F355C1" w:rsidP="00F355C1">
      <w:pPr>
        <w:spacing w:before="0" w:after="120"/>
        <w:jc w:val="both"/>
        <w:rPr>
          <w:rFonts w:ascii="Arial" w:hAnsi="Arial" w:cs="Arial"/>
          <w:color w:val="000000"/>
          <w:kern w:val="0"/>
        </w:rPr>
      </w:pPr>
      <w:r w:rsidRPr="00FB43B0">
        <w:rPr>
          <w:rFonts w:ascii="Arial" w:hAnsi="Arial" w:cs="Arial"/>
          <w:color w:val="000000"/>
          <w:kern w:val="0"/>
        </w:rPr>
        <w:t xml:space="preserve">In adempimento al Regolamento europeo </w:t>
      </w:r>
      <w:r w:rsidRPr="00FB43B0">
        <w:rPr>
          <w:rFonts w:ascii="Arial" w:hAnsi="Arial" w:cs="Arial"/>
          <w:kern w:val="0"/>
        </w:rPr>
        <w:t>n. 792/2016,</w:t>
      </w:r>
      <w:r w:rsidRPr="00FB43B0">
        <w:rPr>
          <w:rFonts w:ascii="Arial" w:hAnsi="Arial" w:cs="Arial"/>
          <w:color w:val="000000"/>
          <w:kern w:val="0"/>
        </w:rPr>
        <w:t xml:space="preserve"> i dati dell’indagine sui prezzi al consumo sono trasmessi due volte al mese ad Eurostat. I principali indicatori, archiviati nel database di Eurostat, sono consultabili al</w:t>
      </w:r>
      <w:r>
        <w:rPr>
          <w:rFonts w:ascii="Arial" w:hAnsi="Arial" w:cs="Arial"/>
          <w:color w:val="000000"/>
          <w:kern w:val="0"/>
        </w:rPr>
        <w:t>l’indirizzo</w:t>
      </w:r>
      <w:r w:rsidRPr="00FB43B0">
        <w:rPr>
          <w:rFonts w:ascii="Arial" w:hAnsi="Arial" w:cs="Arial"/>
          <w:color w:val="000000"/>
          <w:kern w:val="0"/>
        </w:rPr>
        <w:t xml:space="preserve"> </w:t>
      </w:r>
      <w:hyperlink r:id="rId48" w:history="1">
        <w:r w:rsidRPr="00FB43B0">
          <w:rPr>
            <w:rStyle w:val="Collegamentoipertestuale"/>
            <w:rFonts w:ascii="Arial" w:hAnsi="Arial" w:cs="Arial"/>
            <w:kern w:val="0"/>
          </w:rPr>
          <w:t>http://ec.europa.eu/eurostat/data/database</w:t>
        </w:r>
      </w:hyperlink>
      <w:r w:rsidRPr="00FB43B0">
        <w:rPr>
          <w:rFonts w:ascii="Arial" w:hAnsi="Arial" w:cs="Arial"/>
          <w:color w:val="000000"/>
          <w:kern w:val="0"/>
        </w:rPr>
        <w:t xml:space="preserve"> (Tema “</w:t>
      </w:r>
      <w:r w:rsidRPr="00FB43B0">
        <w:rPr>
          <w:rFonts w:ascii="Arial" w:hAnsi="Arial" w:cs="Arial"/>
          <w:i/>
          <w:iCs/>
          <w:color w:val="000000"/>
          <w:kern w:val="0"/>
        </w:rPr>
        <w:t>Economy and finance</w:t>
      </w:r>
      <w:r w:rsidRPr="00FB43B0">
        <w:rPr>
          <w:rFonts w:ascii="Arial" w:hAnsi="Arial" w:cs="Arial"/>
          <w:color w:val="000000"/>
          <w:kern w:val="0"/>
        </w:rPr>
        <w:t>”, argomento “</w:t>
      </w:r>
      <w:r w:rsidRPr="00FB43B0">
        <w:rPr>
          <w:rFonts w:ascii="Arial" w:hAnsi="Arial" w:cs="Arial"/>
          <w:i/>
          <w:iCs/>
          <w:color w:val="000000"/>
          <w:kern w:val="0"/>
        </w:rPr>
        <w:t>Prices</w:t>
      </w:r>
      <w:r w:rsidRPr="00FB43B0">
        <w:rPr>
          <w:rFonts w:ascii="Arial" w:hAnsi="Arial" w:cs="Arial"/>
          <w:color w:val="000000"/>
          <w:kern w:val="0"/>
        </w:rPr>
        <w:t>”).</w:t>
      </w:r>
    </w:p>
    <w:p w:rsidR="00F355C1" w:rsidRPr="00150619" w:rsidRDefault="00F355C1" w:rsidP="00F355C1">
      <w:pPr>
        <w:spacing w:before="0" w:after="120"/>
        <w:jc w:val="both"/>
        <w:rPr>
          <w:rFonts w:ascii="Arial" w:hAnsi="Arial" w:cs="Arial"/>
          <w:sz w:val="18"/>
          <w:szCs w:val="22"/>
        </w:rPr>
      </w:pPr>
    </w:p>
    <w:p w:rsidR="00E8186C" w:rsidRDefault="00E77400" w:rsidP="00E77400">
      <w:pPr>
        <w:widowControl/>
        <w:overflowPunct/>
        <w:spacing w:before="0" w:after="0"/>
        <w:jc w:val="both"/>
        <w:rPr>
          <w:rFonts w:ascii="Arial"/>
          <w:color w:val="CD232E"/>
          <w:spacing w:val="-1"/>
          <w:sz w:val="36"/>
        </w:rPr>
        <w:sectPr w:rsidR="00E8186C" w:rsidSect="003B27CE">
          <w:headerReference w:type="default" r:id="rId49"/>
          <w:pgSz w:w="11907" w:h="16840" w:code="9"/>
          <w:pgMar w:top="1534" w:right="851" w:bottom="680" w:left="851" w:header="567" w:footer="567" w:gutter="0"/>
          <w:cols w:space="720"/>
          <w:noEndnote/>
          <w:docGrid w:linePitch="272"/>
        </w:sectPr>
      </w:pPr>
      <w:r>
        <w:rPr>
          <w:rFonts w:ascii="Arial"/>
          <w:color w:val="CD232E"/>
          <w:spacing w:val="-1"/>
          <w:sz w:val="36"/>
        </w:rPr>
        <w:t>Per chiarimenti</w:t>
      </w:r>
      <w:r>
        <w:rPr>
          <w:rFonts w:ascii="Arial"/>
          <w:color w:val="CD232E"/>
          <w:spacing w:val="1"/>
          <w:sz w:val="36"/>
        </w:rPr>
        <w:t xml:space="preserve"> </w:t>
      </w:r>
      <w:r>
        <w:rPr>
          <w:rFonts w:ascii="Arial"/>
          <w:color w:val="CD232E"/>
          <w:spacing w:val="-1"/>
          <w:sz w:val="36"/>
        </w:rPr>
        <w:t>tecnici</w:t>
      </w:r>
      <w:r>
        <w:rPr>
          <w:rFonts w:ascii="Arial"/>
          <w:color w:val="CD232E"/>
          <w:spacing w:val="-2"/>
          <w:sz w:val="36"/>
        </w:rPr>
        <w:t xml:space="preserve"> </w:t>
      </w:r>
      <w:r>
        <w:rPr>
          <w:rFonts w:ascii="Arial"/>
          <w:color w:val="CD232E"/>
          <w:sz w:val="36"/>
        </w:rPr>
        <w:t>e</w:t>
      </w:r>
      <w:r>
        <w:rPr>
          <w:rFonts w:ascii="Arial"/>
          <w:color w:val="CD232E"/>
          <w:spacing w:val="-1"/>
          <w:sz w:val="36"/>
        </w:rPr>
        <w:t xml:space="preserve"> metodologici</w:t>
      </w:r>
      <w:r w:rsidR="00E8186C">
        <w:rPr>
          <w:rFonts w:ascii="Arial"/>
          <w:color w:val="CD232E"/>
          <w:spacing w:val="-1"/>
          <w:sz w:val="36"/>
        </w:rPr>
        <w:t xml:space="preserve"> </w:t>
      </w:r>
    </w:p>
    <w:p w:rsidR="00E77400" w:rsidRDefault="00E77400" w:rsidP="00E77400">
      <w:pPr>
        <w:widowControl/>
        <w:overflowPunct/>
        <w:spacing w:before="0" w:after="0"/>
        <w:jc w:val="both"/>
        <w:rPr>
          <w:rFonts w:ascii="Arial" w:hAnsi="Arial" w:cs="Arial"/>
          <w:color w:val="000000"/>
          <w:kern w:val="0"/>
        </w:rPr>
      </w:pPr>
    </w:p>
    <w:p w:rsidR="00E77400" w:rsidRPr="00C141F9" w:rsidRDefault="001829E3" w:rsidP="00E77400">
      <w:pPr>
        <w:pStyle w:val="Titolo3"/>
        <w:spacing w:before="72"/>
        <w:rPr>
          <w:rFonts w:ascii="Arial" w:eastAsia="Arial" w:hAnsi="Arial" w:cs="Arial"/>
          <w:b w:val="0"/>
          <w:bCs w:val="0"/>
        </w:rPr>
      </w:pPr>
      <w:r>
        <w:rPr>
          <w:rFonts w:ascii="Arial"/>
          <w:color w:val="CD232E"/>
          <w:spacing w:val="-1"/>
        </w:rPr>
        <w:t>Rosabel Ricci</w:t>
      </w:r>
    </w:p>
    <w:p w:rsidR="001829E3" w:rsidRPr="00C141F9" w:rsidRDefault="001829E3" w:rsidP="001829E3">
      <w:pPr>
        <w:spacing w:before="122"/>
        <w:rPr>
          <w:rFonts w:ascii="Arial" w:eastAsia="Arial" w:hAnsi="Arial" w:cs="Arial"/>
          <w:sz w:val="24"/>
          <w:szCs w:val="24"/>
        </w:rPr>
      </w:pPr>
      <w:r w:rsidRPr="00C141F9">
        <w:rPr>
          <w:rFonts w:ascii="Arial"/>
          <w:sz w:val="24"/>
        </w:rPr>
        <w:t>tel.</w:t>
      </w:r>
      <w:r w:rsidRPr="00C141F9">
        <w:rPr>
          <w:rFonts w:ascii="Arial"/>
          <w:spacing w:val="-1"/>
          <w:sz w:val="24"/>
        </w:rPr>
        <w:t xml:space="preserve"> +39</w:t>
      </w:r>
      <w:r w:rsidRPr="00C141F9">
        <w:rPr>
          <w:rFonts w:ascii="Arial"/>
          <w:spacing w:val="-3"/>
          <w:sz w:val="24"/>
        </w:rPr>
        <w:t xml:space="preserve"> </w:t>
      </w:r>
      <w:r w:rsidRPr="00C141F9">
        <w:rPr>
          <w:rFonts w:ascii="Arial"/>
          <w:sz w:val="24"/>
        </w:rPr>
        <w:t>06</w:t>
      </w:r>
      <w:r w:rsidRPr="00C141F9">
        <w:rPr>
          <w:rFonts w:ascii="Arial"/>
          <w:spacing w:val="-3"/>
          <w:sz w:val="24"/>
        </w:rPr>
        <w:t xml:space="preserve"> </w:t>
      </w:r>
      <w:r>
        <w:rPr>
          <w:rFonts w:ascii="Arial"/>
          <w:spacing w:val="-1"/>
          <w:sz w:val="24"/>
        </w:rPr>
        <w:t>4673</w:t>
      </w:r>
      <w:r w:rsidRPr="00C141F9">
        <w:rPr>
          <w:rFonts w:ascii="Arial"/>
          <w:spacing w:val="-1"/>
          <w:sz w:val="24"/>
        </w:rPr>
        <w:t xml:space="preserve"> </w:t>
      </w:r>
      <w:r>
        <w:rPr>
          <w:rFonts w:ascii="Arial"/>
          <w:spacing w:val="-1"/>
          <w:sz w:val="24"/>
        </w:rPr>
        <w:t>2659</w:t>
      </w:r>
    </w:p>
    <w:p w:rsidR="001829E3" w:rsidRDefault="00EB61B1" w:rsidP="001829E3">
      <w:pPr>
        <w:spacing w:before="98"/>
        <w:rPr>
          <w:rFonts w:ascii="Arial"/>
          <w:color w:val="0000FF"/>
          <w:spacing w:val="-1"/>
          <w:sz w:val="24"/>
          <w:u w:val="single" w:color="0000FF"/>
        </w:rPr>
      </w:pPr>
      <w:hyperlink r:id="rId50" w:history="1">
        <w:r w:rsidR="001829E3" w:rsidRPr="003E0D24">
          <w:rPr>
            <w:rStyle w:val="Collegamentoipertestuale"/>
            <w:rFonts w:ascii="Arial"/>
            <w:spacing w:val="-1"/>
            <w:sz w:val="24"/>
            <w:u w:color="0000FF"/>
          </w:rPr>
          <w:t>rosabel.ricci@istat.it</w:t>
        </w:r>
      </w:hyperlink>
    </w:p>
    <w:p w:rsidR="00E77400" w:rsidRDefault="00E77400" w:rsidP="00E77400">
      <w:pPr>
        <w:spacing w:before="98"/>
        <w:rPr>
          <w:rFonts w:ascii="Arial"/>
          <w:color w:val="0000FF"/>
          <w:spacing w:val="-1"/>
          <w:sz w:val="24"/>
          <w:u w:val="single" w:color="0000FF"/>
        </w:rPr>
      </w:pPr>
    </w:p>
    <w:p w:rsidR="00E77400" w:rsidRDefault="00E8186C" w:rsidP="00E77400">
      <w:pPr>
        <w:spacing w:before="98"/>
      </w:pPr>
      <w:r>
        <w:br w:type="column"/>
      </w:r>
    </w:p>
    <w:p w:rsidR="00E77400" w:rsidRPr="00C141F9" w:rsidRDefault="00E77400" w:rsidP="00E77400">
      <w:pPr>
        <w:spacing w:before="72"/>
        <w:ind w:left="112"/>
        <w:rPr>
          <w:rFonts w:ascii="Arial" w:eastAsia="Arial" w:hAnsi="Arial" w:cs="Arial"/>
        </w:rPr>
      </w:pPr>
      <w:r>
        <w:rPr>
          <w:rFonts w:ascii="Arial"/>
          <w:b/>
          <w:color w:val="CD232E"/>
          <w:spacing w:val="-1"/>
        </w:rPr>
        <w:t>Federico Polidoro</w:t>
      </w:r>
    </w:p>
    <w:p w:rsidR="00E77400" w:rsidRPr="00C141F9" w:rsidRDefault="00E77400" w:rsidP="00E77400">
      <w:pPr>
        <w:spacing w:before="122"/>
        <w:ind w:left="112"/>
        <w:rPr>
          <w:rFonts w:ascii="Arial" w:eastAsia="Arial" w:hAnsi="Arial" w:cs="Arial"/>
          <w:sz w:val="24"/>
          <w:szCs w:val="24"/>
        </w:rPr>
      </w:pPr>
      <w:r w:rsidRPr="00C141F9">
        <w:rPr>
          <w:rFonts w:ascii="Arial"/>
          <w:sz w:val="24"/>
        </w:rPr>
        <w:t>tel.</w:t>
      </w:r>
      <w:r w:rsidRPr="00C141F9">
        <w:rPr>
          <w:rFonts w:ascii="Arial"/>
          <w:spacing w:val="-2"/>
          <w:sz w:val="24"/>
        </w:rPr>
        <w:t xml:space="preserve"> </w:t>
      </w:r>
      <w:r w:rsidRPr="00C141F9">
        <w:rPr>
          <w:rFonts w:ascii="Arial"/>
          <w:spacing w:val="-1"/>
          <w:sz w:val="24"/>
        </w:rPr>
        <w:t>+39</w:t>
      </w:r>
      <w:r w:rsidRPr="00C141F9">
        <w:rPr>
          <w:rFonts w:ascii="Arial"/>
          <w:spacing w:val="-3"/>
          <w:sz w:val="24"/>
        </w:rPr>
        <w:t xml:space="preserve"> </w:t>
      </w:r>
      <w:r w:rsidRPr="00C141F9">
        <w:rPr>
          <w:rFonts w:ascii="Arial"/>
          <w:sz w:val="24"/>
        </w:rPr>
        <w:t>06</w:t>
      </w:r>
      <w:r w:rsidRPr="00C141F9">
        <w:rPr>
          <w:rFonts w:ascii="Arial"/>
          <w:spacing w:val="-3"/>
          <w:sz w:val="24"/>
        </w:rPr>
        <w:t xml:space="preserve"> </w:t>
      </w:r>
      <w:r w:rsidRPr="00C141F9">
        <w:rPr>
          <w:rFonts w:ascii="Arial"/>
          <w:spacing w:val="-1"/>
          <w:sz w:val="24"/>
        </w:rPr>
        <w:t>4673</w:t>
      </w:r>
      <w:r>
        <w:rPr>
          <w:rFonts w:ascii="Arial"/>
          <w:spacing w:val="-1"/>
          <w:sz w:val="24"/>
        </w:rPr>
        <w:t xml:space="preserve"> 2307</w:t>
      </w:r>
    </w:p>
    <w:p w:rsidR="00E77400" w:rsidRPr="00150619" w:rsidRDefault="00EB61B1" w:rsidP="00150619">
      <w:pPr>
        <w:spacing w:before="98"/>
        <w:ind w:left="112"/>
        <w:rPr>
          <w:rFonts w:ascii="Arial"/>
          <w:color w:val="0000FF"/>
          <w:spacing w:val="-1"/>
          <w:sz w:val="24"/>
          <w:u w:val="single" w:color="0000FF"/>
        </w:rPr>
      </w:pPr>
      <w:hyperlink r:id="rId51">
        <w:r w:rsidR="00E77400">
          <w:rPr>
            <w:rFonts w:ascii="Arial"/>
            <w:color w:val="0000FF"/>
            <w:spacing w:val="-1"/>
            <w:sz w:val="24"/>
            <w:u w:val="single" w:color="0000FF"/>
          </w:rPr>
          <w:t>federico.polidoro</w:t>
        </w:r>
        <w:r w:rsidR="00E77400" w:rsidRPr="00C141F9">
          <w:rPr>
            <w:rFonts w:ascii="Arial"/>
            <w:color w:val="0000FF"/>
            <w:spacing w:val="-1"/>
            <w:sz w:val="24"/>
            <w:u w:val="single" w:color="0000FF"/>
          </w:rPr>
          <w:t>@istat.it</w:t>
        </w:r>
      </w:hyperlink>
    </w:p>
    <w:sectPr w:rsidR="00E77400" w:rsidRPr="00150619" w:rsidSect="00E8186C">
      <w:type w:val="continuous"/>
      <w:pgSz w:w="11907" w:h="16840" w:code="9"/>
      <w:pgMar w:top="1534" w:right="851" w:bottom="680" w:left="851" w:header="567" w:footer="567"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19F" w:rsidRDefault="00E8219F">
      <w:r>
        <w:separator/>
      </w:r>
    </w:p>
  </w:endnote>
  <w:endnote w:type="continuationSeparator" w:id="0">
    <w:p w:rsidR="00E8219F" w:rsidRDefault="00E8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9F" w:rsidRPr="008B50B8" w:rsidRDefault="00E8219F" w:rsidP="008B50B8">
    <w:pPr>
      <w:pStyle w:val="Pidipagina"/>
      <w:ind w:left="1560"/>
    </w:pPr>
    <w:r>
      <w:rPr>
        <w:rFonts w:ascii="Calibri" w:hAnsi="Calibri"/>
        <w:noProof/>
        <w:color w:val="E42618"/>
        <w:sz w:val="28"/>
        <w:szCs w:val="28"/>
      </w:rPr>
      <w:drawing>
        <wp:anchor distT="0" distB="0" distL="114300" distR="114300" simplePos="0" relativeHeight="251676672" behindDoc="0" locked="0" layoutInCell="1" allowOverlap="1" wp14:anchorId="67B0290A" wp14:editId="6C23631C">
          <wp:simplePos x="0" y="0"/>
          <wp:positionH relativeFrom="column">
            <wp:posOffset>13335</wp:posOffset>
          </wp:positionH>
          <wp:positionV relativeFrom="paragraph">
            <wp:posOffset>-107950</wp:posOffset>
          </wp:positionV>
          <wp:extent cx="943610" cy="390525"/>
          <wp:effectExtent l="0" t="0" r="8890" b="9525"/>
          <wp:wrapNone/>
          <wp:docPr id="28" name="Immagine 28" descr="Descrizione: Log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Logo a 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390525"/>
                  </a:xfrm>
                  <a:prstGeom prst="rect">
                    <a:avLst/>
                  </a:prstGeom>
                  <a:noFill/>
                  <a:ln>
                    <a:noFill/>
                  </a:ln>
                </pic:spPr>
              </pic:pic>
            </a:graphicData>
          </a:graphic>
        </wp:anchor>
      </w:drawing>
    </w:r>
    <w:r w:rsidRPr="000F43D3">
      <w:rPr>
        <w:rStyle w:val="Numeropagina"/>
        <w:rFonts w:ascii="Calibri" w:hAnsi="Calibri"/>
        <w:color w:val="E42618"/>
        <w:sz w:val="28"/>
        <w:szCs w:val="28"/>
      </w:rPr>
      <w:t>|</w:t>
    </w:r>
    <w:r>
      <w:rPr>
        <w:rStyle w:val="Numeropagina"/>
        <w:rFonts w:ascii="Calibri" w:hAnsi="Calibri"/>
        <w:color w:val="E31C18"/>
        <w:sz w:val="28"/>
        <w:szCs w:val="28"/>
      </w:rPr>
      <w:t xml:space="preserve"> </w:t>
    </w:r>
    <w:r w:rsidRPr="006B6BAF">
      <w:rPr>
        <w:rFonts w:ascii="Arial" w:hAnsi="Arial" w:cs="Arial"/>
        <w:b/>
        <w:color w:val="808080"/>
        <w:sz w:val="24"/>
        <w:szCs w:val="24"/>
      </w:rPr>
      <w:fldChar w:fldCharType="begin"/>
    </w:r>
    <w:r w:rsidRPr="006B6BAF">
      <w:rPr>
        <w:rFonts w:ascii="Arial" w:hAnsi="Arial" w:cs="Arial"/>
        <w:b/>
        <w:color w:val="808080"/>
        <w:sz w:val="24"/>
        <w:szCs w:val="24"/>
      </w:rPr>
      <w:instrText>PAGE   \* MERGEFORMAT</w:instrText>
    </w:r>
    <w:r w:rsidRPr="006B6BAF">
      <w:rPr>
        <w:rFonts w:ascii="Arial" w:hAnsi="Arial" w:cs="Arial"/>
        <w:b/>
        <w:color w:val="808080"/>
        <w:sz w:val="24"/>
        <w:szCs w:val="24"/>
      </w:rPr>
      <w:fldChar w:fldCharType="separate"/>
    </w:r>
    <w:r w:rsidR="00EB61B1">
      <w:rPr>
        <w:rFonts w:ascii="Arial" w:hAnsi="Arial" w:cs="Arial"/>
        <w:b/>
        <w:noProof/>
        <w:color w:val="808080"/>
        <w:sz w:val="24"/>
        <w:szCs w:val="24"/>
      </w:rPr>
      <w:t>7</w:t>
    </w:r>
    <w:r w:rsidRPr="006B6BAF">
      <w:rPr>
        <w:rFonts w:ascii="Arial" w:hAnsi="Arial" w:cs="Arial"/>
        <w:b/>
        <w:color w:val="80808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9F" w:rsidRPr="008B50B8" w:rsidRDefault="00E8219F" w:rsidP="008B50B8">
    <w:pPr>
      <w:pStyle w:val="Pidipagina"/>
      <w:ind w:left="1560"/>
    </w:pPr>
    <w:r>
      <w:rPr>
        <w:rFonts w:ascii="Calibri" w:hAnsi="Calibri"/>
        <w:noProof/>
        <w:color w:val="E42618"/>
        <w:sz w:val="28"/>
        <w:szCs w:val="28"/>
      </w:rPr>
      <w:drawing>
        <wp:anchor distT="0" distB="0" distL="114300" distR="114300" simplePos="0" relativeHeight="251664384" behindDoc="0" locked="0" layoutInCell="1" allowOverlap="1" wp14:anchorId="3EFADD08" wp14:editId="38FE60FC">
          <wp:simplePos x="0" y="0"/>
          <wp:positionH relativeFrom="column">
            <wp:posOffset>13335</wp:posOffset>
          </wp:positionH>
          <wp:positionV relativeFrom="paragraph">
            <wp:posOffset>-107950</wp:posOffset>
          </wp:positionV>
          <wp:extent cx="943610" cy="390525"/>
          <wp:effectExtent l="0" t="0" r="8890" b="9525"/>
          <wp:wrapNone/>
          <wp:docPr id="38" name="Immagine 38" descr="Descrizione: Logo a col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Descrizione: Logo a col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390525"/>
                  </a:xfrm>
                  <a:prstGeom prst="rect">
                    <a:avLst/>
                  </a:prstGeom>
                  <a:noFill/>
                  <a:ln>
                    <a:noFill/>
                  </a:ln>
                </pic:spPr>
              </pic:pic>
            </a:graphicData>
          </a:graphic>
        </wp:anchor>
      </w:drawing>
    </w:r>
    <w:r w:rsidRPr="000F43D3">
      <w:rPr>
        <w:rStyle w:val="Numeropagina"/>
        <w:rFonts w:ascii="Calibri" w:hAnsi="Calibri"/>
        <w:color w:val="E42618"/>
        <w:sz w:val="28"/>
        <w:szCs w:val="28"/>
      </w:rPr>
      <w:t>|</w:t>
    </w:r>
    <w:r>
      <w:rPr>
        <w:rStyle w:val="Numeropagina"/>
        <w:rFonts w:ascii="Calibri" w:hAnsi="Calibri"/>
        <w:color w:val="E31C18"/>
        <w:sz w:val="28"/>
        <w:szCs w:val="28"/>
      </w:rPr>
      <w:t xml:space="preserve"> </w:t>
    </w:r>
    <w:r w:rsidRPr="006B6BAF">
      <w:rPr>
        <w:rFonts w:ascii="Arial" w:hAnsi="Arial" w:cs="Arial"/>
        <w:b/>
        <w:color w:val="808080"/>
        <w:sz w:val="24"/>
        <w:szCs w:val="24"/>
      </w:rPr>
      <w:fldChar w:fldCharType="begin"/>
    </w:r>
    <w:r w:rsidRPr="006B6BAF">
      <w:rPr>
        <w:rFonts w:ascii="Arial" w:hAnsi="Arial" w:cs="Arial"/>
        <w:b/>
        <w:color w:val="808080"/>
        <w:sz w:val="24"/>
        <w:szCs w:val="24"/>
      </w:rPr>
      <w:instrText>PAGE   \* MERGEFORMAT</w:instrText>
    </w:r>
    <w:r w:rsidRPr="006B6BAF">
      <w:rPr>
        <w:rFonts w:ascii="Arial" w:hAnsi="Arial" w:cs="Arial"/>
        <w:b/>
        <w:color w:val="808080"/>
        <w:sz w:val="24"/>
        <w:szCs w:val="24"/>
      </w:rPr>
      <w:fldChar w:fldCharType="separate"/>
    </w:r>
    <w:r w:rsidR="00EB61B1">
      <w:rPr>
        <w:rFonts w:ascii="Arial" w:hAnsi="Arial" w:cs="Arial"/>
        <w:b/>
        <w:noProof/>
        <w:color w:val="808080"/>
        <w:sz w:val="24"/>
        <w:szCs w:val="24"/>
      </w:rPr>
      <w:t>18</w:t>
    </w:r>
    <w:r w:rsidRPr="006B6BAF">
      <w:rPr>
        <w:rFonts w:ascii="Arial" w:hAnsi="Arial" w:cs="Arial"/>
        <w:b/>
        <w:color w:val="8080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19F" w:rsidRDefault="00E8219F">
      <w:r>
        <w:separator/>
      </w:r>
    </w:p>
  </w:footnote>
  <w:footnote w:type="continuationSeparator" w:id="0">
    <w:p w:rsidR="00E8219F" w:rsidRDefault="00E8219F">
      <w:r>
        <w:continuationSeparator/>
      </w:r>
    </w:p>
  </w:footnote>
  <w:footnote w:id="1">
    <w:p w:rsidR="00E8219F" w:rsidRDefault="00E8219F" w:rsidP="00F36E1D">
      <w:pPr>
        <w:pStyle w:val="Testonotaapidipagina"/>
        <w:spacing w:before="0" w:after="0"/>
      </w:pPr>
      <w:r>
        <w:rPr>
          <w:rStyle w:val="Rimandonotaapidipagina"/>
        </w:rPr>
        <w:footnoteRef/>
      </w:r>
      <w:r>
        <w:t xml:space="preserve"> </w:t>
      </w:r>
      <w:r>
        <w:rPr>
          <w:rFonts w:ascii="Arial" w:hAnsi="Arial" w:cs="Arial"/>
          <w:sz w:val="16"/>
          <w:szCs w:val="16"/>
        </w:rPr>
        <w:t>Dal</w:t>
      </w:r>
      <w:r w:rsidRPr="00E01C06">
        <w:rPr>
          <w:rFonts w:ascii="Arial" w:hAnsi="Arial" w:cs="Arial"/>
          <w:sz w:val="16"/>
          <w:szCs w:val="16"/>
        </w:rPr>
        <w:t xml:space="preserve"> 20</w:t>
      </w:r>
      <w:r>
        <w:rPr>
          <w:rFonts w:ascii="Arial" w:hAnsi="Arial" w:cs="Arial"/>
          <w:sz w:val="16"/>
          <w:szCs w:val="16"/>
        </w:rPr>
        <w:t>20 il comune di Olbia è entrata a far parte dei comuni che partecipano all’indagine.</w:t>
      </w:r>
    </w:p>
  </w:footnote>
  <w:footnote w:id="2">
    <w:p w:rsidR="00E8219F" w:rsidRDefault="00E8219F" w:rsidP="00F36E1D">
      <w:pPr>
        <w:pStyle w:val="Testonotaapidipagina"/>
        <w:spacing w:before="0" w:after="0"/>
        <w:jc w:val="both"/>
      </w:pPr>
      <w:r>
        <w:rPr>
          <w:rStyle w:val="Rimandonotaapidipagina"/>
        </w:rPr>
        <w:footnoteRef/>
      </w:r>
      <w:r>
        <w:t xml:space="preserve"> </w:t>
      </w:r>
      <w:r>
        <w:rPr>
          <w:rFonts w:ascii="Arial" w:hAnsi="Arial" w:cs="Arial"/>
          <w:sz w:val="16"/>
          <w:szCs w:val="16"/>
        </w:rPr>
        <w:t xml:space="preserve">Si tratta dei comuni di Asti, </w:t>
      </w:r>
      <w:r>
        <w:rPr>
          <w:rFonts w:ascii="Arial" w:hAnsi="Arial" w:cs="Arial"/>
          <w:sz w:val="16"/>
        </w:rPr>
        <w:t xml:space="preserve">Chieti, Foggia, Frosinone, L’Aquila, Matera, </w:t>
      </w:r>
      <w:r>
        <w:rPr>
          <w:rFonts w:ascii="Arial" w:hAnsi="Arial" w:cs="Arial"/>
          <w:sz w:val="16"/>
          <w:szCs w:val="16"/>
        </w:rPr>
        <w:t xml:space="preserve">Monza, Prato, </w:t>
      </w:r>
      <w:r>
        <w:rPr>
          <w:rFonts w:ascii="Arial" w:hAnsi="Arial" w:cs="Arial"/>
          <w:sz w:val="16"/>
        </w:rPr>
        <w:t xml:space="preserve">Ragusa, </w:t>
      </w:r>
      <w:r>
        <w:rPr>
          <w:rFonts w:ascii="Arial" w:hAnsi="Arial" w:cs="Arial"/>
          <w:sz w:val="16"/>
          <w:szCs w:val="16"/>
        </w:rPr>
        <w:t>Savona</w:t>
      </w:r>
      <w:r>
        <w:rPr>
          <w:rFonts w:ascii="Arial" w:hAnsi="Arial" w:cs="Arial"/>
          <w:sz w:val="16"/>
        </w:rPr>
        <w:t>, Verbania e Vibo Valentia.</w:t>
      </w:r>
    </w:p>
  </w:footnote>
  <w:footnote w:id="3">
    <w:p w:rsidR="00E8219F" w:rsidRPr="008A6A18" w:rsidRDefault="00E8219F" w:rsidP="00F36E1D">
      <w:pPr>
        <w:pStyle w:val="Testonotaapidipagina"/>
        <w:rPr>
          <w:rFonts w:ascii="Arial" w:hAnsi="Arial" w:cs="Arial"/>
          <w:sz w:val="16"/>
          <w:szCs w:val="16"/>
        </w:rPr>
      </w:pPr>
      <w:r>
        <w:rPr>
          <w:rStyle w:val="Rimandonotaapidipagina"/>
        </w:rPr>
        <w:footnoteRef/>
      </w:r>
      <w:r>
        <w:t xml:space="preserve"> </w:t>
      </w:r>
      <w:r w:rsidRPr="008A6A18">
        <w:rPr>
          <w:rFonts w:ascii="Arial" w:hAnsi="Arial" w:cs="Arial"/>
          <w:sz w:val="16"/>
          <w:szCs w:val="16"/>
        </w:rPr>
        <w:t>A partire da gennaio 2022 la rilevazione dei canoni di affitto per le abitazioni di privati è condotta centralmente dall’Istat tramite l’utilizzo di dati di fonte amministrativa e in particolare della base dati locazioni immobiliari dell’Osservatorio del mercato immobiliare dell’Agenzia delle entrate</w:t>
      </w:r>
      <w:r>
        <w:rPr>
          <w:rFonts w:ascii="Arial" w:hAnsi="Arial" w:cs="Arial"/>
          <w:sz w:val="16"/>
          <w:szCs w:val="16"/>
        </w:rPr>
        <w:t>.</w:t>
      </w:r>
    </w:p>
  </w:footnote>
  <w:footnote w:id="4">
    <w:p w:rsidR="00E8219F" w:rsidRPr="002254B4" w:rsidRDefault="00E8219F" w:rsidP="00F36E1D">
      <w:pPr>
        <w:pStyle w:val="Testonotaapidipagina"/>
        <w:spacing w:before="60" w:after="60"/>
        <w:jc w:val="both"/>
        <w:rPr>
          <w:rFonts w:ascii="Arial" w:hAnsi="Arial" w:cs="Arial"/>
          <w:sz w:val="16"/>
          <w:szCs w:val="16"/>
        </w:rPr>
      </w:pPr>
      <w:r w:rsidRPr="00621535">
        <w:rPr>
          <w:rStyle w:val="Rimandonotaapidipagina"/>
          <w:rFonts w:ascii="Arial" w:hAnsi="Arial" w:cs="Arial"/>
        </w:rPr>
        <w:footnoteRef/>
      </w:r>
      <w:r w:rsidRPr="00B21FF0">
        <w:rPr>
          <w:rFonts w:ascii="Arial" w:hAnsi="Arial" w:cs="Arial"/>
          <w:sz w:val="16"/>
          <w:szCs w:val="16"/>
        </w:rPr>
        <w:t xml:space="preserve"> </w:t>
      </w:r>
      <w:r w:rsidRPr="0087429F">
        <w:rPr>
          <w:rFonts w:ascii="Arial" w:hAnsi="Arial" w:cs="Arial"/>
          <w:sz w:val="16"/>
          <w:szCs w:val="16"/>
        </w:rPr>
        <w:t xml:space="preserve">Per una descrizione più dettagliata della procedura di stima della struttura di ponderazione degli indici dei prezzi al consumo nazionali (NIC e FOI) e dell’indice armonizzato (IPCA) si rimanda alla Nota metodologica allegata alla Nota informativa </w:t>
      </w:r>
      <w:r>
        <w:rPr>
          <w:rFonts w:ascii="Arial" w:hAnsi="Arial" w:cs="Arial"/>
          <w:sz w:val="16"/>
          <w:szCs w:val="16"/>
        </w:rPr>
        <w:t>del 2 febbraio 2022</w:t>
      </w:r>
      <w:r w:rsidRPr="0087429F">
        <w:rPr>
          <w:rFonts w:ascii="Arial" w:hAnsi="Arial" w:cs="Arial"/>
          <w:sz w:val="16"/>
          <w:szCs w:val="16"/>
        </w:rPr>
        <w:t xml:space="preserve"> sugli aggiornamenti del paniere, della struttura di ponderazione e dell’indagine sui prezzi al consumo.</w:t>
      </w:r>
    </w:p>
  </w:footnote>
  <w:footnote w:id="5">
    <w:p w:rsidR="00E8219F" w:rsidRDefault="00E8219F" w:rsidP="00F355C1">
      <w:pPr>
        <w:pStyle w:val="Testonotaapidipagina"/>
        <w:spacing w:before="0" w:after="0"/>
        <w:jc w:val="both"/>
        <w:rPr>
          <w:rFonts w:ascii="Arial" w:hAnsi="Arial" w:cs="Arial"/>
          <w:sz w:val="16"/>
          <w:szCs w:val="16"/>
        </w:rPr>
      </w:pPr>
      <w:r>
        <w:rPr>
          <w:rStyle w:val="Rimandonotaapidipagina"/>
          <w:rFonts w:ascii="Arial" w:hAnsi="Arial" w:cs="Arial"/>
          <w:sz w:val="16"/>
          <w:szCs w:val="16"/>
        </w:rPr>
        <w:footnoteRef/>
      </w:r>
      <w:r>
        <w:rPr>
          <w:rFonts w:ascii="Arial" w:hAnsi="Arial" w:cs="Arial"/>
          <w:sz w:val="16"/>
          <w:szCs w:val="16"/>
        </w:rPr>
        <w:t xml:space="preserve"> Gli indici riferiti agli Aggregati di prodotto, nei quali si articolano ulteriormente i Segmenti di consumo, sono forniti su richiesta per specifiche finalità di studio e analisi.</w:t>
      </w:r>
    </w:p>
  </w:footnote>
  <w:footnote w:id="6">
    <w:p w:rsidR="00E8219F" w:rsidRDefault="00E8219F" w:rsidP="00F355C1">
      <w:pPr>
        <w:pStyle w:val="Testonotaapidipagina"/>
        <w:tabs>
          <w:tab w:val="left" w:pos="10206"/>
        </w:tabs>
        <w:spacing w:before="0" w:after="0"/>
        <w:jc w:val="both"/>
        <w:rPr>
          <w:rFonts w:ascii="Arial" w:hAnsi="Arial" w:cs="Arial"/>
          <w:sz w:val="16"/>
          <w:szCs w:val="16"/>
        </w:rPr>
      </w:pPr>
      <w:r>
        <w:rPr>
          <w:rStyle w:val="Rimandonotaapidipagina"/>
          <w:rFonts w:ascii="Arial" w:hAnsi="Arial" w:cs="Arial"/>
          <w:sz w:val="16"/>
          <w:szCs w:val="16"/>
        </w:rPr>
        <w:footnoteRef/>
      </w:r>
      <w:r>
        <w:rPr>
          <w:rFonts w:ascii="Arial" w:hAnsi="Arial" w:cs="Arial"/>
          <w:sz w:val="16"/>
          <w:szCs w:val="16"/>
        </w:rPr>
        <w:t xml:space="preserve"> La pubblicazione degli indici IPCA-AS è stata avviata a partire dai dati di febbraio 2013. La descrizione delle categorie merceologiche che definiscono i diversi aggregati speciali è disponibile sul sito web di Eurostat al seguente indirizzo: </w:t>
      </w:r>
    </w:p>
    <w:p w:rsidR="00E8219F" w:rsidRPr="002C7A4F" w:rsidRDefault="00EB61B1" w:rsidP="00F355C1">
      <w:pPr>
        <w:pStyle w:val="Testonotaapidipagina"/>
        <w:tabs>
          <w:tab w:val="left" w:pos="10206"/>
        </w:tabs>
        <w:spacing w:before="0" w:after="0"/>
        <w:jc w:val="both"/>
        <w:rPr>
          <w:rFonts w:ascii="Arial" w:hAnsi="Arial" w:cs="Arial"/>
          <w:sz w:val="14"/>
          <w:szCs w:val="14"/>
        </w:rPr>
      </w:pPr>
      <w:hyperlink r:id="rId1" w:history="1">
        <w:r w:rsidR="00E8219F" w:rsidRPr="00F11253">
          <w:rPr>
            <w:rStyle w:val="Collegamentoipertestuale"/>
            <w:rFonts w:ascii="Arial" w:hAnsi="Arial" w:cs="Arial"/>
            <w:sz w:val="14"/>
            <w:szCs w:val="14"/>
          </w:rPr>
          <w:t>http://ec.europa.eu/eurostat/ramon/nomenclatures/index.cfm?TargetUrl=LST_NOM_DTL&amp;StrNom=HICP_2000&amp;StrLanguageCode=EN&amp;IntPcKey=&amp;StrLayoutCode</w:t>
        </w:r>
      </w:hyperlink>
      <w:r w:rsidR="00E8219F" w:rsidRPr="002C7A4F">
        <w:rPr>
          <w:rFonts w:ascii="Arial" w:hAnsi="Arial" w:cs="Arial"/>
          <w:sz w:val="14"/>
          <w:szCs w:val="14"/>
        </w:rPr>
        <w:t xml:space="preserve"> </w:t>
      </w:r>
    </w:p>
    <w:p w:rsidR="00E8219F" w:rsidRDefault="00E8219F" w:rsidP="00F355C1">
      <w:pPr>
        <w:pStyle w:val="Testonotaapidipagina"/>
        <w:tabs>
          <w:tab w:val="left" w:pos="10206"/>
        </w:tabs>
        <w:spacing w:before="0" w:after="0"/>
        <w:jc w:val="both"/>
        <w:rPr>
          <w:rFonts w:ascii="Arial" w:hAnsi="Arial" w:cs="Arial"/>
          <w:sz w:val="16"/>
          <w:szCs w:val="16"/>
        </w:rPr>
      </w:pPr>
      <w:r>
        <w:rPr>
          <w:rFonts w:ascii="Arial" w:hAnsi="Arial" w:cs="Arial"/>
          <w:sz w:val="16"/>
          <w:szCs w:val="16"/>
        </w:rPr>
        <w:t xml:space="preserve">Per la metodologia utilizzata per la sintesi degli indici, si consulti il Compendio dell’IPCA disponibile in formato pdf all’indirizzo: </w:t>
      </w:r>
    </w:p>
    <w:p w:rsidR="00E8219F" w:rsidRPr="00904629" w:rsidRDefault="00EB61B1" w:rsidP="00F355C1">
      <w:pPr>
        <w:pStyle w:val="Testonotaapidipagina"/>
        <w:tabs>
          <w:tab w:val="left" w:pos="10206"/>
        </w:tabs>
        <w:spacing w:before="0" w:after="0"/>
        <w:jc w:val="both"/>
        <w:rPr>
          <w:rFonts w:ascii="Arial" w:hAnsi="Arial" w:cs="Arial"/>
          <w:sz w:val="16"/>
          <w:szCs w:val="16"/>
        </w:rPr>
      </w:pPr>
      <w:hyperlink r:id="rId2" w:history="1">
        <w:r w:rsidR="00E8219F" w:rsidRPr="00904629">
          <w:rPr>
            <w:rStyle w:val="Collegamentoipertestuale"/>
            <w:rFonts w:ascii="Arial" w:hAnsi="Arial" w:cs="Arial"/>
            <w:sz w:val="16"/>
            <w:szCs w:val="16"/>
          </w:rPr>
          <w:t>http://ec.europa.eu/eurostat/documents/3859598/5926625/KS-RA-13-017-EN.PDF/59eb2c1c-da1f-472c-b191-3d0c76521f9b?version=1.0</w:t>
        </w:r>
      </w:hyperlink>
      <w:r w:rsidR="00E8219F" w:rsidRPr="00904629">
        <w:rPr>
          <w:rFonts w:ascii="Arial" w:hAnsi="Arial" w:cs="Arial"/>
          <w:sz w:val="16"/>
          <w:szCs w:val="16"/>
        </w:rPr>
        <w:t xml:space="preserve">. </w:t>
      </w:r>
    </w:p>
    <w:p w:rsidR="00E8219F" w:rsidRDefault="00E8219F" w:rsidP="00F355C1">
      <w:pPr>
        <w:pStyle w:val="Testonotaapidipagina"/>
        <w:tabs>
          <w:tab w:val="left" w:pos="10206"/>
        </w:tabs>
        <w:spacing w:before="0" w:after="60"/>
        <w:jc w:val="both"/>
        <w:rPr>
          <w:rFonts w:ascii="Arial" w:hAnsi="Arial" w:cs="Arial"/>
          <w:sz w:val="16"/>
          <w:szCs w:val="16"/>
        </w:rPr>
      </w:pPr>
      <w:r>
        <w:rPr>
          <w:rFonts w:ascii="Arial" w:hAnsi="Arial" w:cs="Arial"/>
          <w:sz w:val="16"/>
          <w:szCs w:val="16"/>
        </w:rPr>
        <w:t xml:space="preserve">Le serie a partire da gennaio 2001 sono disponibili su </w:t>
      </w:r>
      <w:hyperlink r:id="rId3" w:history="1">
        <w:r w:rsidRPr="00904629">
          <w:rPr>
            <w:rStyle w:val="Collegamentoipertestuale"/>
            <w:rFonts w:ascii="Arial" w:hAnsi="Arial" w:cs="Arial"/>
            <w:sz w:val="16"/>
            <w:szCs w:val="16"/>
          </w:rPr>
          <w:t>I.Stat</w:t>
        </w:r>
      </w:hyperlink>
      <w:r w:rsidRPr="00904629">
        <w:rPr>
          <w:rFonts w:ascii="Arial" w:hAnsi="Arial" w:cs="Arial"/>
          <w:sz w:val="16"/>
          <w:szCs w:val="16"/>
        </w:rPr>
        <w:t>,</w:t>
      </w:r>
      <w:r>
        <w:rPr>
          <w:rFonts w:ascii="Arial" w:hAnsi="Arial" w:cs="Arial"/>
          <w:sz w:val="16"/>
          <w:szCs w:val="16"/>
        </w:rPr>
        <w:t xml:space="preserve"> il data warehouse delle statistiche prodotte dall’Istituto, sotto il tema “Prezzi” e “Prezzi al consumo”. </w:t>
      </w:r>
    </w:p>
  </w:footnote>
  <w:footnote w:id="7">
    <w:p w:rsidR="00E8219F" w:rsidRPr="004D0B88" w:rsidRDefault="00E8219F" w:rsidP="00F355C1">
      <w:pPr>
        <w:pStyle w:val="Testonotaapidipagina"/>
        <w:jc w:val="both"/>
        <w:rPr>
          <w:rFonts w:ascii="Arial" w:hAnsi="Arial" w:cs="Arial"/>
          <w:sz w:val="16"/>
          <w:szCs w:val="16"/>
        </w:rPr>
      </w:pPr>
      <w:r w:rsidRPr="00C80FB4">
        <w:rPr>
          <w:rStyle w:val="Rimandonotaapidipagina"/>
          <w:rFonts w:ascii="Arial" w:hAnsi="Arial" w:cs="Arial"/>
          <w:sz w:val="16"/>
          <w:szCs w:val="16"/>
        </w:rPr>
        <w:footnoteRef/>
      </w:r>
      <w:r w:rsidRPr="00C80FB4">
        <w:rPr>
          <w:rFonts w:ascii="Arial" w:hAnsi="Arial" w:cs="Arial"/>
          <w:sz w:val="16"/>
          <w:szCs w:val="16"/>
        </w:rPr>
        <w:t xml:space="preserve"> </w:t>
      </w:r>
      <w:r w:rsidRPr="00472A7F">
        <w:rPr>
          <w:rFonts w:ascii="Arial" w:hAnsi="Arial" w:cs="Arial"/>
          <w:sz w:val="16"/>
          <w:szCs w:val="16"/>
        </w:rPr>
        <w:t>Durante il periodo dell’emergenza sanitaria legata alla diffusione del Covid-19, l’insieme delle procedure per l’imputazione delle mancate rilevazioni è stato aggiornato, in cooperazione con gli altri Istituti nazionali di statistica dei paesi dell’Unione europea e sotto il coordinamento dell’Eurostat, per tenere conto delle criticità emerse relativamente alla raccolta dei dati nella fase di pandemia.</w:t>
      </w:r>
    </w:p>
  </w:footnote>
  <w:footnote w:id="8">
    <w:p w:rsidR="00E8219F" w:rsidRPr="004D0B88" w:rsidRDefault="00E8219F" w:rsidP="00F355C1">
      <w:pPr>
        <w:pStyle w:val="Default"/>
        <w:spacing w:after="120"/>
        <w:jc w:val="both"/>
      </w:pPr>
      <w:r w:rsidRPr="004D0B88">
        <w:rPr>
          <w:rStyle w:val="Rimandonotaapidipagina"/>
          <w:rFonts w:ascii="Arial" w:hAnsi="Arial" w:cs="Arial"/>
          <w:sz w:val="16"/>
          <w:szCs w:val="16"/>
        </w:rPr>
        <w:footnoteRef/>
      </w:r>
      <w:r w:rsidRPr="004D0B88">
        <w:rPr>
          <w:rFonts w:ascii="Arial" w:hAnsi="Arial" w:cs="Arial"/>
          <w:sz w:val="16"/>
          <w:szCs w:val="16"/>
        </w:rPr>
        <w:t xml:space="preserve"> Il criterio della </w:t>
      </w:r>
      <w:r w:rsidRPr="00472A7F">
        <w:rPr>
          <w:rFonts w:ascii="Arial" w:hAnsi="Arial" w:cs="Arial"/>
          <w:sz w:val="16"/>
          <w:szCs w:val="16"/>
        </w:rPr>
        <w:t>minimizzazione del numero di prezzi imputati implica che, nella selezione dei prodotti che compongono il paniere, si deve tenere conto della loro effettiva disponibilità all’acquisto da parte delle famiglie.</w:t>
      </w:r>
      <w:r w:rsidRPr="004D0B88">
        <w:t xml:space="preserve"> </w:t>
      </w:r>
    </w:p>
  </w:footnote>
  <w:footnote w:id="9">
    <w:p w:rsidR="00E8219F" w:rsidRPr="00C0657B" w:rsidRDefault="00E8219F" w:rsidP="00F355C1">
      <w:pPr>
        <w:pStyle w:val="Testonotaapidipagina"/>
        <w:rPr>
          <w:rFonts w:ascii="Arial" w:hAnsi="Arial" w:cs="Arial"/>
          <w:sz w:val="16"/>
          <w:szCs w:val="16"/>
        </w:rPr>
      </w:pPr>
      <w:r w:rsidRPr="004D0B88">
        <w:rPr>
          <w:rStyle w:val="Rimandonotaapidipagina"/>
          <w:rFonts w:ascii="Arial" w:hAnsi="Arial" w:cs="Arial"/>
          <w:sz w:val="16"/>
          <w:szCs w:val="16"/>
        </w:rPr>
        <w:footnoteRef/>
      </w:r>
      <w:r w:rsidRPr="004D0B88">
        <w:rPr>
          <w:rFonts w:ascii="Arial" w:hAnsi="Arial" w:cs="Arial"/>
          <w:sz w:val="16"/>
          <w:szCs w:val="16"/>
        </w:rPr>
        <w:t xml:space="preserve"> </w:t>
      </w:r>
      <w:r w:rsidRPr="00472A7F">
        <w:rPr>
          <w:rFonts w:ascii="Arial" w:hAnsi="Arial" w:cs="Arial"/>
          <w:sz w:val="16"/>
          <w:szCs w:val="16"/>
        </w:rPr>
        <w:t>La stessa procedura si applica al caso di stima dei prezzi outlier.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9F" w:rsidRPr="00347C78" w:rsidRDefault="00E8219F" w:rsidP="00347C78">
    <w:pPr>
      <w:pStyle w:val="Intestazione"/>
    </w:pPr>
    <w:r w:rsidRPr="001D330A">
      <w:rPr>
        <w:noProof/>
      </w:rPr>
      <w:drawing>
        <wp:anchor distT="0" distB="0" distL="114300" distR="114300" simplePos="0" relativeHeight="251678720" behindDoc="0" locked="0" layoutInCell="1" allowOverlap="1" wp14:anchorId="0315F99C" wp14:editId="7D157F07">
          <wp:simplePos x="0" y="0"/>
          <wp:positionH relativeFrom="column">
            <wp:posOffset>0</wp:posOffset>
          </wp:positionH>
          <wp:positionV relativeFrom="paragraph">
            <wp:posOffset>0</wp:posOffset>
          </wp:positionV>
          <wp:extent cx="5332781" cy="1137834"/>
          <wp:effectExtent l="0" t="0" r="1270" b="5715"/>
          <wp:wrapNone/>
          <wp:docPr id="12" name="Immagine 6" descr="iconeComunicatiRosso-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6" descr="iconeComunicatiRosso-01"/>
                  <pic:cNvPicPr>
                    <a:picLocks/>
                  </pic:cNvPicPr>
                </pic:nvPicPr>
                <pic:blipFill rotWithShape="1">
                  <a:blip r:embed="rId1">
                    <a:extLst>
                      <a:ext uri="{28A0092B-C50C-407E-A947-70E740481C1C}">
                        <a14:useLocalDpi xmlns:a14="http://schemas.microsoft.com/office/drawing/2010/main" val="0"/>
                      </a:ext>
                    </a:extLst>
                  </a:blip>
                  <a:srcRect l="4" t="-12706" r="16052" b="7286"/>
                  <a:stretch/>
                </pic:blipFill>
                <pic:spPr bwMode="auto">
                  <a:xfrm>
                    <a:off x="0" y="0"/>
                    <a:ext cx="5333658" cy="1138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330A">
      <w:rPr>
        <w:noProof/>
      </w:rPr>
      <mc:AlternateContent>
        <mc:Choice Requires="wps">
          <w:drawing>
            <wp:anchor distT="0" distB="0" distL="114300" distR="114300" simplePos="0" relativeHeight="251679744" behindDoc="0" locked="0" layoutInCell="1" allowOverlap="1" wp14:anchorId="5C368979" wp14:editId="3344C644">
              <wp:simplePos x="0" y="0"/>
              <wp:positionH relativeFrom="column">
                <wp:posOffset>5419725</wp:posOffset>
              </wp:positionH>
              <wp:positionV relativeFrom="paragraph">
                <wp:posOffset>502285</wp:posOffset>
              </wp:positionV>
              <wp:extent cx="994410" cy="701675"/>
              <wp:effectExtent l="0" t="0" r="0" b="0"/>
              <wp:wrapNone/>
              <wp:docPr id="36" name="Casella di testo 36"/>
              <wp:cNvGraphicFramePr/>
              <a:graphic xmlns:a="http://schemas.openxmlformats.org/drawingml/2006/main">
                <a:graphicData uri="http://schemas.microsoft.com/office/word/2010/wordprocessingShape">
                  <wps:wsp>
                    <wps:cNvSpPr txBox="1"/>
                    <wps:spPr>
                      <a:xfrm>
                        <a:off x="0" y="0"/>
                        <a:ext cx="994410" cy="701675"/>
                      </a:xfrm>
                      <a:prstGeom prst="rect">
                        <a:avLst/>
                      </a:prstGeom>
                      <a:solidFill>
                        <a:schemeClr val="lt1"/>
                      </a:solidFill>
                      <a:ln w="6350">
                        <a:noFill/>
                      </a:ln>
                    </wps:spPr>
                    <wps:txbx>
                      <w:txbxContent>
                        <w:p w:rsidR="00E8219F" w:rsidRPr="00235BD6" w:rsidRDefault="00E8219F" w:rsidP="001D330A">
                          <w:pPr>
                            <w:spacing w:before="0" w:after="120" w:line="180" w:lineRule="exact"/>
                            <w:rPr>
                              <w:rFonts w:ascii="Arial Narrow" w:hAnsi="Arial Narrow"/>
                              <w:sz w:val="18"/>
                              <w:szCs w:val="18"/>
                            </w:rPr>
                          </w:pPr>
                          <w:r w:rsidRPr="00235BD6">
                            <w:rPr>
                              <w:rFonts w:ascii="Arial Narrow" w:hAnsi="Arial Narrow"/>
                              <w:sz w:val="18"/>
                              <w:szCs w:val="18"/>
                            </w:rPr>
                            <w:t>http://www.istat.it</w:t>
                          </w:r>
                        </w:p>
                        <w:p w:rsidR="00E8219F" w:rsidRPr="00B367ED" w:rsidRDefault="00E8219F" w:rsidP="001D330A">
                          <w:pPr>
                            <w:spacing w:before="0" w:after="120" w:line="180" w:lineRule="exact"/>
                            <w:rPr>
                              <w:rFonts w:ascii="Arial Narrow" w:hAnsi="Arial Narrow"/>
                              <w:b/>
                              <w:bCs/>
                              <w:sz w:val="18"/>
                              <w:szCs w:val="18"/>
                              <w:lang w:val="en-US"/>
                            </w:rPr>
                          </w:pPr>
                          <w:r w:rsidRPr="00235BD6">
                            <w:rPr>
                              <w:rFonts w:ascii="Arial Narrow" w:hAnsi="Arial Narrow"/>
                              <w:b/>
                              <w:bCs/>
                              <w:sz w:val="18"/>
                              <w:szCs w:val="18"/>
                            </w:rPr>
                            <w:t>Ufficio Stampa</w:t>
                          </w:r>
                          <w:r w:rsidRPr="00235BD6">
                            <w:rPr>
                              <w:rFonts w:ascii="Arial Narrow" w:hAnsi="Arial Narrow"/>
                              <w:b/>
                              <w:bCs/>
                              <w:sz w:val="18"/>
                              <w:szCs w:val="18"/>
                            </w:rPr>
                            <w:br/>
                          </w:r>
                          <w:r w:rsidRPr="00235BD6">
                            <w:rPr>
                              <w:rFonts w:ascii="Arial Narrow" w:hAnsi="Arial Narrow"/>
                              <w:sz w:val="18"/>
                              <w:szCs w:val="18"/>
                            </w:rPr>
                            <w:t xml:space="preserve">tel. </w:t>
                          </w:r>
                          <w:r w:rsidRPr="00F73BDE">
                            <w:rPr>
                              <w:rFonts w:ascii="Arial Narrow" w:hAnsi="Arial Narrow"/>
                              <w:sz w:val="18"/>
                              <w:szCs w:val="18"/>
                              <w:lang w:val="en-US"/>
                            </w:rPr>
                            <w:t>+39 06 4673.2243/4</w:t>
                          </w:r>
                        </w:p>
                        <w:p w:rsidR="00E8219F" w:rsidRPr="0035770E" w:rsidRDefault="00E8219F" w:rsidP="001D330A">
                          <w:pPr>
                            <w:spacing w:before="0" w:after="120" w:line="180" w:lineRule="exact"/>
                            <w:rPr>
                              <w:rFonts w:ascii="Arial Narrow" w:hAnsi="Arial Narrow"/>
                              <w:b/>
                              <w:bCs/>
                              <w:color w:val="7F7F7F"/>
                              <w:sz w:val="18"/>
                              <w:szCs w:val="18"/>
                              <w:lang w:val="en-US"/>
                            </w:rPr>
                          </w:pPr>
                          <w:r w:rsidRPr="0035770E">
                            <w:rPr>
                              <w:rFonts w:ascii="Arial Narrow" w:hAnsi="Arial Narrow"/>
                              <w:b/>
                              <w:bCs/>
                              <w:color w:val="7F7F7F"/>
                              <w:sz w:val="18"/>
                              <w:szCs w:val="18"/>
                              <w:lang w:val="en-US"/>
                            </w:rPr>
                            <w:t>ufficiostampa@istat.it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8979" id="_x0000_t202" coordsize="21600,21600" o:spt="202" path="m,l,21600r21600,l21600,xe">
              <v:stroke joinstyle="miter"/>
              <v:path gradientshapeok="t" o:connecttype="rect"/>
            </v:shapetype>
            <v:shape id="Casella di testo 36" o:spid="_x0000_s1026" type="#_x0000_t202" style="position:absolute;margin-left:426.75pt;margin-top:39.55pt;width:78.3pt;height:5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" fillcolor="white [3201]" stroked="f" strokeweight=".5pt">
              <v:textbox inset="0,0,0,0">
                <w:txbxContent>
                  <w:p w:rsidR="00E8219F" w:rsidRPr="00235BD6" w:rsidRDefault="00E8219F" w:rsidP="001D330A">
                    <w:pPr>
                      <w:spacing w:before="0" w:after="120" w:line="180" w:lineRule="exact"/>
                      <w:rPr>
                        <w:rFonts w:ascii="Arial Narrow" w:hAnsi="Arial Narrow"/>
                        <w:sz w:val="18"/>
                        <w:szCs w:val="18"/>
                      </w:rPr>
                    </w:pPr>
                    <w:r w:rsidRPr="00235BD6">
                      <w:rPr>
                        <w:rFonts w:ascii="Arial Narrow" w:hAnsi="Arial Narrow"/>
                        <w:sz w:val="18"/>
                        <w:szCs w:val="18"/>
                      </w:rPr>
                      <w:t>http://www.istat.it</w:t>
                    </w:r>
                  </w:p>
                  <w:p w:rsidR="00E8219F" w:rsidRPr="00B367ED" w:rsidRDefault="00E8219F" w:rsidP="001D330A">
                    <w:pPr>
                      <w:spacing w:before="0" w:after="120" w:line="180" w:lineRule="exact"/>
                      <w:rPr>
                        <w:rFonts w:ascii="Arial Narrow" w:hAnsi="Arial Narrow"/>
                        <w:b/>
                        <w:bCs/>
                        <w:sz w:val="18"/>
                        <w:szCs w:val="18"/>
                        <w:lang w:val="en-US"/>
                      </w:rPr>
                    </w:pPr>
                    <w:r w:rsidRPr="00235BD6">
                      <w:rPr>
                        <w:rFonts w:ascii="Arial Narrow" w:hAnsi="Arial Narrow"/>
                        <w:b/>
                        <w:bCs/>
                        <w:sz w:val="18"/>
                        <w:szCs w:val="18"/>
                      </w:rPr>
                      <w:t>Ufficio Stampa</w:t>
                    </w:r>
                    <w:r w:rsidRPr="00235BD6">
                      <w:rPr>
                        <w:rFonts w:ascii="Arial Narrow" w:hAnsi="Arial Narrow"/>
                        <w:b/>
                        <w:bCs/>
                        <w:sz w:val="18"/>
                        <w:szCs w:val="18"/>
                      </w:rPr>
                      <w:br/>
                    </w:r>
                    <w:r w:rsidRPr="00235BD6">
                      <w:rPr>
                        <w:rFonts w:ascii="Arial Narrow" w:hAnsi="Arial Narrow"/>
                        <w:sz w:val="18"/>
                        <w:szCs w:val="18"/>
                      </w:rPr>
                      <w:t xml:space="preserve">tel. </w:t>
                    </w:r>
                    <w:r w:rsidRPr="00F73BDE">
                      <w:rPr>
                        <w:rFonts w:ascii="Arial Narrow" w:hAnsi="Arial Narrow"/>
                        <w:sz w:val="18"/>
                        <w:szCs w:val="18"/>
                        <w:lang w:val="en-US"/>
                      </w:rPr>
                      <w:t>+39 06 4673.2243/4</w:t>
                    </w:r>
                  </w:p>
                  <w:p w:rsidR="00E8219F" w:rsidRPr="0035770E" w:rsidRDefault="00E8219F" w:rsidP="001D330A">
                    <w:pPr>
                      <w:spacing w:before="0" w:after="120" w:line="180" w:lineRule="exact"/>
                      <w:rPr>
                        <w:rFonts w:ascii="Arial Narrow" w:hAnsi="Arial Narrow"/>
                        <w:b/>
                        <w:bCs/>
                        <w:color w:val="7F7F7F"/>
                        <w:sz w:val="18"/>
                        <w:szCs w:val="18"/>
                        <w:lang w:val="en-US"/>
                      </w:rPr>
                    </w:pPr>
                    <w:r w:rsidRPr="0035770E">
                      <w:rPr>
                        <w:rFonts w:ascii="Arial Narrow" w:hAnsi="Arial Narrow"/>
                        <w:b/>
                        <w:bCs/>
                        <w:color w:val="7F7F7F"/>
                        <w:sz w:val="18"/>
                        <w:szCs w:val="18"/>
                        <w:lang w:val="en-US"/>
                      </w:rPr>
                      <w:t>ufficiostampa@istat.it</w:t>
                    </w:r>
                  </w:p>
                </w:txbxContent>
              </v:textbox>
            </v:shape>
          </w:pict>
        </mc:Fallback>
      </mc:AlternateContent>
    </w:r>
    <w:r w:rsidRPr="001D330A">
      <w:rPr>
        <w:noProof/>
      </w:rPr>
      <mc:AlternateContent>
        <mc:Choice Requires="wps">
          <w:drawing>
            <wp:anchor distT="0" distB="0" distL="114300" distR="114300" simplePos="0" relativeHeight="251680768" behindDoc="0" locked="0" layoutInCell="1" allowOverlap="1" wp14:anchorId="1F6EBB11" wp14:editId="760B3E89">
              <wp:simplePos x="0" y="0"/>
              <wp:positionH relativeFrom="column">
                <wp:posOffset>-15240</wp:posOffset>
              </wp:positionH>
              <wp:positionV relativeFrom="paragraph">
                <wp:posOffset>1219835</wp:posOffset>
              </wp:positionV>
              <wp:extent cx="6414770" cy="0"/>
              <wp:effectExtent l="0" t="0" r="11430" b="12700"/>
              <wp:wrapNone/>
              <wp:docPr id="21" name="Connettore 1 37"/>
              <wp:cNvGraphicFramePr/>
              <a:graphic xmlns:a="http://schemas.openxmlformats.org/drawingml/2006/main">
                <a:graphicData uri="http://schemas.microsoft.com/office/word/2010/wordprocessingShape">
                  <wps:wsp>
                    <wps:cNvCnPr/>
                    <wps:spPr>
                      <a:xfrm>
                        <a:off x="0" y="0"/>
                        <a:ext cx="641477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79F764" id="Connettore 1 37"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96.05pt" to="503.9pt,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" strokecolor="#7f7f7f [1612]"/>
          </w:pict>
        </mc:Fallback>
      </mc:AlternateContent>
    </w:r>
    <w:r w:rsidRPr="001D330A">
      <w:rPr>
        <w:noProof/>
      </w:rPr>
      <mc:AlternateContent>
        <mc:Choice Requires="wps">
          <w:drawing>
            <wp:anchor distT="0" distB="0" distL="114300" distR="114300" simplePos="0" relativeHeight="251681792" behindDoc="0" locked="0" layoutInCell="1" allowOverlap="1" wp14:anchorId="29F629F8" wp14:editId="63B4C796">
              <wp:simplePos x="0" y="0"/>
              <wp:positionH relativeFrom="column">
                <wp:posOffset>3825240</wp:posOffset>
              </wp:positionH>
              <wp:positionV relativeFrom="paragraph">
                <wp:posOffset>255905</wp:posOffset>
              </wp:positionV>
              <wp:extent cx="1321435" cy="325755"/>
              <wp:effectExtent l="0" t="0" r="0" b="508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1435" cy="325755"/>
                      </a:xfrm>
                      <a:prstGeom prst="rect">
                        <a:avLst/>
                      </a:prstGeom>
                      <a:solidFill>
                        <a:srgbClr val="FFFFFF"/>
                      </a:solidFill>
                      <a:ln w="9525">
                        <a:solidFill>
                          <a:srgbClr val="FFFFFF"/>
                        </a:solidFill>
                        <a:miter lim="800000"/>
                        <a:headEnd/>
                        <a:tailEnd/>
                      </a:ln>
                    </wps:spPr>
                    <wps:txbx>
                      <w:txbxContent>
                        <w:p w:rsidR="00E8219F" w:rsidRPr="00BC2B33" w:rsidRDefault="00E8219F" w:rsidP="001D330A">
                          <w:pPr>
                            <w:jc w:val="right"/>
                            <w:rPr>
                              <w:color w:val="7F7F7F" w:themeColor="text1" w:themeTint="80"/>
                              <w:kern w:val="0"/>
                            </w:rPr>
                          </w:pPr>
                          <w:r>
                            <w:rPr>
                              <w:rFonts w:ascii="Arial Narrow" w:hAnsi="Arial Narrow"/>
                              <w:b/>
                              <w:color w:val="7F7F7F" w:themeColor="text1" w:themeTint="80"/>
                              <w:sz w:val="26"/>
                              <w:szCs w:val="26"/>
                            </w:rPr>
                            <w:t>30 novembre 2022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F629F8" id="Casella di testo 2" o:spid="_x0000_s1027" type="#_x0000_t202" style="position:absolute;margin-left:301.2pt;margin-top:20.15pt;width:104.05pt;height:25.6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" strokecolor="white">
              <v:path arrowok="t"/>
              <v:textbox style="mso-fit-shape-to-text:t" inset="0,0,0,0">
                <w:txbxContent>
                  <w:p w:rsidR="00E8219F" w:rsidRPr="00BC2B33" w:rsidRDefault="00E8219F" w:rsidP="001D330A">
                    <w:pPr>
                      <w:jc w:val="right"/>
                      <w:rPr>
                        <w:color w:val="7F7F7F" w:themeColor="text1" w:themeTint="80"/>
                        <w:kern w:val="0"/>
                      </w:rPr>
                    </w:pPr>
                    <w:r>
                      <w:rPr>
                        <w:rFonts w:ascii="Arial Narrow" w:hAnsi="Arial Narrow"/>
                        <w:b/>
                        <w:color w:val="7F7F7F" w:themeColor="text1" w:themeTint="80"/>
                        <w:sz w:val="26"/>
                        <w:szCs w:val="26"/>
                      </w:rPr>
                      <w:t>30 novembre 2022</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9F" w:rsidRDefault="00E8219F">
    <w:pPr>
      <w:pStyle w:val="Intestazione"/>
    </w:pPr>
    <w:r>
      <w:rPr>
        <w:noProof/>
      </w:rPr>
      <mc:AlternateContent>
        <mc:Choice Requires="wps">
          <w:drawing>
            <wp:anchor distT="0" distB="0" distL="114300" distR="114300" simplePos="0" relativeHeight="251672576" behindDoc="0" locked="0" layoutInCell="1" allowOverlap="1" wp14:anchorId="2AD9837F" wp14:editId="759674C7">
              <wp:simplePos x="0" y="0"/>
              <wp:positionH relativeFrom="column">
                <wp:posOffset>531495</wp:posOffset>
              </wp:positionH>
              <wp:positionV relativeFrom="paragraph">
                <wp:posOffset>69850</wp:posOffset>
              </wp:positionV>
              <wp:extent cx="1078230" cy="263525"/>
              <wp:effectExtent l="12700" t="13970" r="13970" b="8255"/>
              <wp:wrapNone/>
              <wp:docPr id="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3525"/>
                      </a:xfrm>
                      <a:prstGeom prst="rect">
                        <a:avLst/>
                      </a:prstGeom>
                      <a:solidFill>
                        <a:srgbClr val="FFFFFF"/>
                      </a:solidFill>
                      <a:ln w="9525">
                        <a:solidFill>
                          <a:srgbClr val="FFFFFF"/>
                        </a:solidFill>
                        <a:miter lim="800000"/>
                        <a:headEnd/>
                        <a:tailEnd/>
                      </a:ln>
                    </wps:spPr>
                    <wps:txbx>
                      <w:txbxContent>
                        <w:p w:rsidR="00E8219F" w:rsidRDefault="00E8219F" w:rsidP="003728D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 xml:space="preserve">PREZZI </w:t>
                          </w:r>
                        </w:p>
                        <w:p w:rsidR="00E8219F" w:rsidRPr="00C423DB" w:rsidRDefault="00E8219F" w:rsidP="003728D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AL CONSUMO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AD9837F" id="_x0000_t202" coordsize="21600,21600" o:spt="202" path="m,l,21600r21600,l21600,xe">
              <v:stroke joinstyle="miter"/>
              <v:path gradientshapeok="t" o:connecttype="rect"/>
            </v:shapetype>
            <v:shape id="_x0000_s1028" type="#_x0000_t202" style="position:absolute;margin-left:41.85pt;margin-top:5.5pt;width:84.9pt;height:20.7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" strokecolor="white">
              <v:textbox style="mso-fit-shape-to-text:t" inset="0,0,0,0">
                <w:txbxContent>
                  <w:p w:rsidR="00E8219F" w:rsidRDefault="00E8219F" w:rsidP="003728D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 xml:space="preserve">PREZZI </w:t>
                    </w:r>
                  </w:p>
                  <w:p w:rsidR="00E8219F" w:rsidRPr="00C423DB" w:rsidRDefault="00E8219F" w:rsidP="003728D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AL CONSUMO</w:t>
                    </w:r>
                  </w:p>
                </w:txbxContent>
              </v:textbox>
            </v:shape>
          </w:pict>
        </mc:Fallback>
      </mc:AlternateContent>
    </w:r>
    <w:r>
      <w:rPr>
        <w:noProof/>
      </w:rPr>
      <w:drawing>
        <wp:inline distT="0" distB="0" distL="0" distR="0" wp14:anchorId="280AE7BC" wp14:editId="4568F149">
          <wp:extent cx="6480175" cy="588645"/>
          <wp:effectExtent l="0" t="0" r="0" b="1905"/>
          <wp:docPr id="9" name="Immagine 9" descr="iconeComunicatiRoss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eComunicatiRosso-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5886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9F" w:rsidRPr="009E5F03" w:rsidRDefault="00E8219F" w:rsidP="009E5F03">
    <w:pPr>
      <w:pStyle w:val="Intestazione"/>
    </w:pPr>
    <w:r>
      <w:rPr>
        <w:noProof/>
      </w:rPr>
      <mc:AlternateContent>
        <mc:Choice Requires="wps">
          <w:drawing>
            <wp:anchor distT="0" distB="0" distL="114300" distR="114300" simplePos="0" relativeHeight="251674624" behindDoc="0" locked="0" layoutInCell="1" allowOverlap="1" wp14:anchorId="4904AF88" wp14:editId="53CED969">
              <wp:simplePos x="0" y="0"/>
              <wp:positionH relativeFrom="column">
                <wp:posOffset>520700</wp:posOffset>
              </wp:positionH>
              <wp:positionV relativeFrom="paragraph">
                <wp:posOffset>55245</wp:posOffset>
              </wp:positionV>
              <wp:extent cx="1078230" cy="263525"/>
              <wp:effectExtent l="0" t="0" r="26670" b="2286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3525"/>
                      </a:xfrm>
                      <a:prstGeom prst="rect">
                        <a:avLst/>
                      </a:prstGeom>
                      <a:solidFill>
                        <a:srgbClr val="FFFFFF"/>
                      </a:solidFill>
                      <a:ln w="9525">
                        <a:solidFill>
                          <a:srgbClr val="FFFFFF"/>
                        </a:solidFill>
                        <a:miter lim="800000"/>
                        <a:headEnd/>
                        <a:tailEnd/>
                      </a:ln>
                    </wps:spPr>
                    <wps:txbx>
                      <w:txbxContent>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04AF88" id="_x0000_t202" coordsize="21600,21600" o:spt="202" path="m,l,21600r21600,l21600,xe">
              <v:stroke joinstyle="miter"/>
              <v:path gradientshapeok="t" o:connecttype="rect"/>
            </v:shapetype>
            <v:shape id="Text Box 11" o:spid="_x0000_s1029" type="#_x0000_t202" style="position:absolute;margin-left:41pt;margin-top:4.35pt;width:84.9pt;height:20.7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" strokecolor="white">
              <v:textbox style="mso-fit-shape-to-text:t" inset="0,0,0,0">
                <w:txbxContent>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v:textbox>
            </v:shape>
          </w:pict>
        </mc:Fallback>
      </mc:AlternateContent>
    </w:r>
    <w:r>
      <w:rPr>
        <w:noProof/>
      </w:rPr>
      <w:drawing>
        <wp:inline distT="0" distB="0" distL="0" distR="0" wp14:anchorId="4177654A" wp14:editId="1C75A10D">
          <wp:extent cx="6477000" cy="590550"/>
          <wp:effectExtent l="0" t="0" r="0" b="0"/>
          <wp:docPr id="26" name="Immagine 26" descr="iconeComunicatiRoss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eComunicatiRosso-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905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9F" w:rsidRPr="009E5F03" w:rsidRDefault="00E8219F" w:rsidP="009E5F03">
    <w:pPr>
      <w:pStyle w:val="Intestazione"/>
    </w:pPr>
    <w:r>
      <w:rPr>
        <w:noProof/>
      </w:rPr>
      <w:drawing>
        <wp:inline distT="0" distB="0" distL="0" distR="0" wp14:anchorId="55F7A785" wp14:editId="18E27BDA">
          <wp:extent cx="6478270" cy="586740"/>
          <wp:effectExtent l="0" t="0" r="0" b="3810"/>
          <wp:docPr id="48" name="Immagine 48" descr="C:\Users\lifagiol\Desktop\iconeComunicati-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C:\Users\lifagiol\Desktop\iconeComunicati-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270" cy="586740"/>
                  </a:xfrm>
                  <a:prstGeom prst="rect">
                    <a:avLst/>
                  </a:prstGeom>
                  <a:noFill/>
                  <a:ln>
                    <a:noFill/>
                  </a:ln>
                </pic:spPr>
              </pic:pic>
            </a:graphicData>
          </a:graphic>
        </wp:inline>
      </w:drawing>
    </w:r>
    <w:r>
      <w:rPr>
        <w:noProof/>
      </w:rPr>
      <mc:AlternateContent>
        <mc:Choice Requires="wps">
          <w:drawing>
            <wp:anchor distT="0" distB="0" distL="114300" distR="114300" simplePos="0" relativeHeight="251675648" behindDoc="0" locked="0" layoutInCell="1" allowOverlap="1" wp14:anchorId="43B60834" wp14:editId="39657A99">
              <wp:simplePos x="0" y="0"/>
              <wp:positionH relativeFrom="column">
                <wp:posOffset>520700</wp:posOffset>
              </wp:positionH>
              <wp:positionV relativeFrom="paragraph">
                <wp:posOffset>55245</wp:posOffset>
              </wp:positionV>
              <wp:extent cx="1078230" cy="263525"/>
              <wp:effectExtent l="0" t="0" r="26670" b="2286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3525"/>
                      </a:xfrm>
                      <a:prstGeom prst="rect">
                        <a:avLst/>
                      </a:prstGeom>
                      <a:solidFill>
                        <a:srgbClr val="FFFFFF"/>
                      </a:solidFill>
                      <a:ln w="9525">
                        <a:solidFill>
                          <a:srgbClr val="FFFFFF"/>
                        </a:solidFill>
                        <a:miter lim="800000"/>
                        <a:headEnd/>
                        <a:tailEnd/>
                      </a:ln>
                    </wps:spPr>
                    <wps:txbx>
                      <w:txbxContent>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B60834" id="_x0000_t202" coordsize="21600,21600" o:spt="202" path="m,l,21600r21600,l21600,xe">
              <v:stroke joinstyle="miter"/>
              <v:path gradientshapeok="t" o:connecttype="rect"/>
            </v:shapetype>
            <v:shape id="_x0000_s1030" type="#_x0000_t202" style="position:absolute;margin-left:41pt;margin-top:4.35pt;width:84.9pt;height:20.7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" strokecolor="white">
              <v:textbox style="mso-fit-shape-to-text:t" inset="0,0,0,0">
                <w:txbxContent>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9F" w:rsidRPr="009E5F03" w:rsidRDefault="00E8219F" w:rsidP="009E5F03">
    <w:pPr>
      <w:pStyle w:val="Intestazione"/>
    </w:pPr>
    <w:r>
      <w:rPr>
        <w:noProof/>
      </w:rPr>
      <mc:AlternateContent>
        <mc:Choice Requires="wps">
          <w:drawing>
            <wp:anchor distT="0" distB="0" distL="114300" distR="114300" simplePos="0" relativeHeight="251660288" behindDoc="0" locked="0" layoutInCell="1" allowOverlap="1" wp14:anchorId="7D685C4C" wp14:editId="27A9C71F">
              <wp:simplePos x="0" y="0"/>
              <wp:positionH relativeFrom="column">
                <wp:posOffset>520700</wp:posOffset>
              </wp:positionH>
              <wp:positionV relativeFrom="paragraph">
                <wp:posOffset>55245</wp:posOffset>
              </wp:positionV>
              <wp:extent cx="1078230" cy="263525"/>
              <wp:effectExtent l="0" t="0" r="26670" b="2286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3525"/>
                      </a:xfrm>
                      <a:prstGeom prst="rect">
                        <a:avLst/>
                      </a:prstGeom>
                      <a:solidFill>
                        <a:srgbClr val="FFFFFF"/>
                      </a:solidFill>
                      <a:ln w="9525">
                        <a:solidFill>
                          <a:srgbClr val="FFFFFF"/>
                        </a:solidFill>
                        <a:miter lim="800000"/>
                        <a:headEnd/>
                        <a:tailEnd/>
                      </a:ln>
                    </wps:spPr>
                    <wps:txbx>
                      <w:txbxContent>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D685C4C" id="_x0000_t202" coordsize="21600,21600" o:spt="202" path="m,l,21600r21600,l21600,xe">
              <v:stroke joinstyle="miter"/>
              <v:path gradientshapeok="t" o:connecttype="rect"/>
            </v:shapetype>
            <v:shape id="_x0000_s1031" type="#_x0000_t202" style="position:absolute;margin-left:41pt;margin-top:4.35pt;width:84.9pt;height:20.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" strokecolor="white">
              <v:textbox style="mso-fit-shape-to-text:t" inset="0,0,0,0">
                <w:txbxContent>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v:textbox>
            </v:shape>
          </w:pict>
        </mc:Fallback>
      </mc:AlternateContent>
    </w:r>
    <w:r>
      <w:rPr>
        <w:noProof/>
      </w:rPr>
      <w:drawing>
        <wp:inline distT="0" distB="0" distL="0" distR="0" wp14:anchorId="3748BF50" wp14:editId="7CE02BBD">
          <wp:extent cx="6477000" cy="590550"/>
          <wp:effectExtent l="0" t="0" r="0" b="0"/>
          <wp:docPr id="37" name="Immagine 37" descr="iconeComunicatiRosso-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oneComunicatiRosso-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905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9F" w:rsidRPr="00CC0BEA" w:rsidRDefault="00E8219F" w:rsidP="001B6F33">
    <w:pPr>
      <w:pStyle w:val="Intestazione"/>
    </w:pPr>
    <w:r>
      <w:rPr>
        <w:noProof/>
      </w:rPr>
      <mc:AlternateContent>
        <mc:Choice Requires="wps">
          <w:drawing>
            <wp:anchor distT="0" distB="0" distL="114300" distR="114300" simplePos="0" relativeHeight="251683840" behindDoc="0" locked="0" layoutInCell="1" allowOverlap="1" wp14:anchorId="0986BB82" wp14:editId="10D42712">
              <wp:simplePos x="0" y="0"/>
              <wp:positionH relativeFrom="column">
                <wp:posOffset>520700</wp:posOffset>
              </wp:positionH>
              <wp:positionV relativeFrom="paragraph">
                <wp:posOffset>71120</wp:posOffset>
              </wp:positionV>
              <wp:extent cx="1078230" cy="263525"/>
              <wp:effectExtent l="0" t="0" r="26670" b="2286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3525"/>
                      </a:xfrm>
                      <a:prstGeom prst="rect">
                        <a:avLst/>
                      </a:prstGeom>
                      <a:solidFill>
                        <a:srgbClr val="FFFFFF"/>
                      </a:solidFill>
                      <a:ln w="9525">
                        <a:solidFill>
                          <a:srgbClr val="FFFFFF"/>
                        </a:solidFill>
                        <a:miter lim="800000"/>
                        <a:headEnd/>
                        <a:tailEnd/>
                      </a:ln>
                    </wps:spPr>
                    <wps:txbx>
                      <w:txbxContent>
                        <w:p w:rsidR="00E8219F" w:rsidRDefault="00E8219F" w:rsidP="001B6F3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 xml:space="preserve">PREZZI </w:t>
                          </w:r>
                        </w:p>
                        <w:p w:rsidR="00E8219F" w:rsidRPr="00C423DB" w:rsidRDefault="00E8219F" w:rsidP="001B6F3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AL CONSUMO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86BB82" id="_x0000_t202" coordsize="21600,21600" o:spt="202" path="m,l,21600r21600,l21600,xe">
              <v:stroke joinstyle="miter"/>
              <v:path gradientshapeok="t" o:connecttype="rect"/>
            </v:shapetype>
            <v:shape id="_x0000_s1032" type="#_x0000_t202" style="position:absolute;margin-left:41pt;margin-top:5.6pt;width:84.9pt;height:20.7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" strokecolor="white">
              <v:textbox style="mso-fit-shape-to-text:t" inset="0,0,0,0">
                <w:txbxContent>
                  <w:p w:rsidR="00E8219F" w:rsidRDefault="00E8219F" w:rsidP="001B6F3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 xml:space="preserve">PREZZI </w:t>
                    </w:r>
                  </w:p>
                  <w:p w:rsidR="00E8219F" w:rsidRPr="00C423DB" w:rsidRDefault="00E8219F" w:rsidP="001B6F33">
                    <w:pPr>
                      <w:pStyle w:val="Intestazione"/>
                      <w:overflowPunct/>
                      <w:autoSpaceDE/>
                      <w:autoSpaceDN/>
                      <w:adjustRightInd/>
                      <w:spacing w:before="0" w:after="0" w:line="200" w:lineRule="exact"/>
                      <w:rPr>
                        <w:rFonts w:ascii="Arial Narrow" w:hAnsi="Arial Narrow"/>
                        <w:b/>
                        <w:color w:val="5F5F5F"/>
                        <w:kern w:val="0"/>
                      </w:rPr>
                    </w:pPr>
                    <w:r>
                      <w:rPr>
                        <w:rFonts w:ascii="Arial Narrow" w:hAnsi="Arial Narrow"/>
                        <w:b/>
                        <w:color w:val="5F5F5F"/>
                        <w:kern w:val="0"/>
                      </w:rPr>
                      <w:t>AL CONSUMO</w:t>
                    </w:r>
                  </w:p>
                </w:txbxContent>
              </v:textbox>
            </v:shape>
          </w:pict>
        </mc:Fallback>
      </mc:AlternateContent>
    </w:r>
    <w:r>
      <w:rPr>
        <w:noProof/>
      </w:rPr>
      <w:drawing>
        <wp:inline distT="0" distB="0" distL="0" distR="0" wp14:anchorId="51D5C164" wp14:editId="1068F678">
          <wp:extent cx="6480175" cy="580390"/>
          <wp:effectExtent l="0" t="0" r="0" b="0"/>
          <wp:docPr id="11" name="Immagine 11" descr="iconeComunicatiRosso-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eComunicatiRosso-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58039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19F" w:rsidRPr="009E5F03" w:rsidRDefault="00E8219F" w:rsidP="009E5F03">
    <w:pPr>
      <w:pStyle w:val="Intestazione"/>
    </w:pPr>
    <w:r>
      <w:rPr>
        <w:noProof/>
      </w:rPr>
      <mc:AlternateContent>
        <mc:Choice Requires="wps">
          <w:drawing>
            <wp:anchor distT="0" distB="0" distL="114300" distR="114300" simplePos="0" relativeHeight="251658240" behindDoc="0" locked="0" layoutInCell="1" allowOverlap="1" wp14:anchorId="26261E4D" wp14:editId="1F654338">
              <wp:simplePos x="0" y="0"/>
              <wp:positionH relativeFrom="column">
                <wp:posOffset>536575</wp:posOffset>
              </wp:positionH>
              <wp:positionV relativeFrom="paragraph">
                <wp:posOffset>60960</wp:posOffset>
              </wp:positionV>
              <wp:extent cx="1078230" cy="263525"/>
              <wp:effectExtent l="0" t="0" r="26670" b="2286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263525"/>
                      </a:xfrm>
                      <a:prstGeom prst="rect">
                        <a:avLst/>
                      </a:prstGeom>
                      <a:solidFill>
                        <a:srgbClr val="FFFFFF"/>
                      </a:solidFill>
                      <a:ln w="9525">
                        <a:solidFill>
                          <a:srgbClr val="FFFFFF"/>
                        </a:solidFill>
                        <a:miter lim="800000"/>
                        <a:headEnd/>
                        <a:tailEnd/>
                      </a:ln>
                    </wps:spPr>
                    <wps:txbx>
                      <w:txbxContent>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261E4D" id="_x0000_t202" coordsize="21600,21600" o:spt="202" path="m,l,21600r21600,l21600,xe">
              <v:stroke joinstyle="miter"/>
              <v:path gradientshapeok="t" o:connecttype="rect"/>
            </v:shapetype>
            <v:shape id="Text Box 12" o:spid="_x0000_s1033" type="#_x0000_t202" style="position:absolute;margin-left:42.25pt;margin-top:4.8pt;width:84.9pt;height:20.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" strokecolor="white">
              <v:textbox style="mso-fit-shape-to-text:t" inset="0,0,0,0">
                <w:txbxContent>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 xml:space="preserve">PREZZI </w:t>
                    </w:r>
                  </w:p>
                  <w:p w:rsidR="00E8219F" w:rsidRPr="002812D7" w:rsidRDefault="00E8219F" w:rsidP="00914A6D">
                    <w:pPr>
                      <w:pStyle w:val="Intestazione"/>
                      <w:overflowPunct/>
                      <w:autoSpaceDE/>
                      <w:autoSpaceDN/>
                      <w:adjustRightInd/>
                      <w:spacing w:before="0" w:after="0" w:line="200" w:lineRule="exact"/>
                      <w:rPr>
                        <w:rFonts w:ascii="Arial Narrow" w:hAnsi="Arial Narrow"/>
                        <w:b/>
                        <w:color w:val="808080"/>
                        <w:kern w:val="0"/>
                      </w:rPr>
                    </w:pPr>
                    <w:r w:rsidRPr="002812D7">
                      <w:rPr>
                        <w:rFonts w:ascii="Arial Narrow" w:hAnsi="Arial Narrow"/>
                        <w:b/>
                        <w:color w:val="808080"/>
                        <w:kern w:val="0"/>
                      </w:rPr>
                      <w:t>AL CONSUMO</w:t>
                    </w:r>
                  </w:p>
                </w:txbxContent>
              </v:textbox>
            </v:shape>
          </w:pict>
        </mc:Fallback>
      </mc:AlternateContent>
    </w:r>
    <w:r>
      <w:rPr>
        <w:noProof/>
      </w:rPr>
      <w:drawing>
        <wp:inline distT="0" distB="0" distL="0" distR="0" wp14:anchorId="0AD08D9E" wp14:editId="7DD5AACE">
          <wp:extent cx="6477000" cy="590550"/>
          <wp:effectExtent l="0" t="0" r="0" b="0"/>
          <wp:docPr id="44" name="Immagine 44" descr="iconeComunicati-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eComunicati-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45pt;height:8.45pt" o:bullet="t">
        <v:imagedata r:id="rId1" o:title=""/>
      </v:shape>
    </w:pict>
  </w:numPicBullet>
  <w:numPicBullet w:numPicBulletId="1">
    <w:pict>
      <v:shape id="_x0000_i1032" type="#_x0000_t75" style="width:4.5pt;height:7.2pt" o:bullet="t">
        <v:imagedata r:id="rId2" o:title=""/>
      </v:shape>
    </w:pict>
  </w:numPicBullet>
  <w:abstractNum w:abstractNumId="0" w15:restartNumberingAfterBreak="0">
    <w:nsid w:val="FFFFFF1D"/>
    <w:multiLevelType w:val="multilevel"/>
    <w:tmpl w:val="F1A4DC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22D62"/>
    <w:multiLevelType w:val="hybridMultilevel"/>
    <w:tmpl w:val="2EA4AA2A"/>
    <w:lvl w:ilvl="0" w:tplc="7FE041A6">
      <w:start w:val="1"/>
      <w:numFmt w:val="bullet"/>
      <w:lvlText w:val=""/>
      <w:lvlJc w:val="left"/>
      <w:pPr>
        <w:ind w:left="720" w:hanging="360"/>
      </w:pPr>
      <w:rPr>
        <w:rFonts w:ascii="Wingdings" w:hAnsi="Wingdings" w:hint="default"/>
        <w:b/>
        <w:i w:val="0"/>
        <w:color w:val="FF000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6E56C4"/>
    <w:multiLevelType w:val="hybridMultilevel"/>
    <w:tmpl w:val="AF8ABDF0"/>
    <w:lvl w:ilvl="0" w:tplc="2BDCE470">
      <w:start w:val="1"/>
      <w:numFmt w:val="bullet"/>
      <w:lvlText w:val=""/>
      <w:lvlPicBulletId w:val="1"/>
      <w:lvlJc w:val="left"/>
      <w:pPr>
        <w:ind w:left="2534" w:hanging="360"/>
      </w:pPr>
      <w:rPr>
        <w:rFonts w:ascii="Symbol" w:hAnsi="Symbol" w:hint="default"/>
        <w:color w:val="E42618"/>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3" w15:restartNumberingAfterBreak="0">
    <w:nsid w:val="056C3596"/>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59315D3"/>
    <w:multiLevelType w:val="hybridMultilevel"/>
    <w:tmpl w:val="EF400274"/>
    <w:lvl w:ilvl="0" w:tplc="8CAC103E">
      <w:start w:val="1"/>
      <w:numFmt w:val="bullet"/>
      <w:lvlText w:val=""/>
      <w:lvlPicBulletId w:val="1"/>
      <w:lvlJc w:val="left"/>
      <w:pPr>
        <w:tabs>
          <w:tab w:val="num" w:pos="720"/>
        </w:tabs>
        <w:ind w:left="720" w:hanging="360"/>
      </w:pPr>
      <w:rPr>
        <w:rFonts w:ascii="Symbol" w:hAnsi="Symbol" w:hint="default"/>
      </w:rPr>
    </w:lvl>
    <w:lvl w:ilvl="1" w:tplc="950A23AE" w:tentative="1">
      <w:start w:val="1"/>
      <w:numFmt w:val="bullet"/>
      <w:lvlText w:val=""/>
      <w:lvlJc w:val="left"/>
      <w:pPr>
        <w:tabs>
          <w:tab w:val="num" w:pos="1440"/>
        </w:tabs>
        <w:ind w:left="1440" w:hanging="360"/>
      </w:pPr>
      <w:rPr>
        <w:rFonts w:ascii="Symbol" w:hAnsi="Symbol" w:hint="default"/>
      </w:rPr>
    </w:lvl>
    <w:lvl w:ilvl="2" w:tplc="10E0DD76" w:tentative="1">
      <w:start w:val="1"/>
      <w:numFmt w:val="bullet"/>
      <w:lvlText w:val=""/>
      <w:lvlJc w:val="left"/>
      <w:pPr>
        <w:tabs>
          <w:tab w:val="num" w:pos="2160"/>
        </w:tabs>
        <w:ind w:left="2160" w:hanging="360"/>
      </w:pPr>
      <w:rPr>
        <w:rFonts w:ascii="Symbol" w:hAnsi="Symbol" w:hint="default"/>
      </w:rPr>
    </w:lvl>
    <w:lvl w:ilvl="3" w:tplc="A5229CBE" w:tentative="1">
      <w:start w:val="1"/>
      <w:numFmt w:val="bullet"/>
      <w:lvlText w:val=""/>
      <w:lvlJc w:val="left"/>
      <w:pPr>
        <w:tabs>
          <w:tab w:val="num" w:pos="2880"/>
        </w:tabs>
        <w:ind w:left="2880" w:hanging="360"/>
      </w:pPr>
      <w:rPr>
        <w:rFonts w:ascii="Symbol" w:hAnsi="Symbol" w:hint="default"/>
      </w:rPr>
    </w:lvl>
    <w:lvl w:ilvl="4" w:tplc="BD863054" w:tentative="1">
      <w:start w:val="1"/>
      <w:numFmt w:val="bullet"/>
      <w:lvlText w:val=""/>
      <w:lvlJc w:val="left"/>
      <w:pPr>
        <w:tabs>
          <w:tab w:val="num" w:pos="3600"/>
        </w:tabs>
        <w:ind w:left="3600" w:hanging="360"/>
      </w:pPr>
      <w:rPr>
        <w:rFonts w:ascii="Symbol" w:hAnsi="Symbol" w:hint="default"/>
      </w:rPr>
    </w:lvl>
    <w:lvl w:ilvl="5" w:tplc="6046C154" w:tentative="1">
      <w:start w:val="1"/>
      <w:numFmt w:val="bullet"/>
      <w:lvlText w:val=""/>
      <w:lvlJc w:val="left"/>
      <w:pPr>
        <w:tabs>
          <w:tab w:val="num" w:pos="4320"/>
        </w:tabs>
        <w:ind w:left="4320" w:hanging="360"/>
      </w:pPr>
      <w:rPr>
        <w:rFonts w:ascii="Symbol" w:hAnsi="Symbol" w:hint="default"/>
      </w:rPr>
    </w:lvl>
    <w:lvl w:ilvl="6" w:tplc="377ACC06" w:tentative="1">
      <w:start w:val="1"/>
      <w:numFmt w:val="bullet"/>
      <w:lvlText w:val=""/>
      <w:lvlJc w:val="left"/>
      <w:pPr>
        <w:tabs>
          <w:tab w:val="num" w:pos="5040"/>
        </w:tabs>
        <w:ind w:left="5040" w:hanging="360"/>
      </w:pPr>
      <w:rPr>
        <w:rFonts w:ascii="Symbol" w:hAnsi="Symbol" w:hint="default"/>
      </w:rPr>
    </w:lvl>
    <w:lvl w:ilvl="7" w:tplc="8D744430" w:tentative="1">
      <w:start w:val="1"/>
      <w:numFmt w:val="bullet"/>
      <w:lvlText w:val=""/>
      <w:lvlJc w:val="left"/>
      <w:pPr>
        <w:tabs>
          <w:tab w:val="num" w:pos="5760"/>
        </w:tabs>
        <w:ind w:left="5760" w:hanging="360"/>
      </w:pPr>
      <w:rPr>
        <w:rFonts w:ascii="Symbol" w:hAnsi="Symbol" w:hint="default"/>
      </w:rPr>
    </w:lvl>
    <w:lvl w:ilvl="8" w:tplc="49A80EF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6EB06D5"/>
    <w:multiLevelType w:val="hybridMultilevel"/>
    <w:tmpl w:val="FB56AB9A"/>
    <w:lvl w:ilvl="0" w:tplc="B2FE55E2">
      <w:start w:val="1"/>
      <w:numFmt w:val="bullet"/>
      <w:lvlText w:val=""/>
      <w:lvlPicBulletId w:val="1"/>
      <w:lvlJc w:val="left"/>
      <w:pPr>
        <w:tabs>
          <w:tab w:val="num" w:pos="720"/>
        </w:tabs>
        <w:ind w:left="720" w:hanging="360"/>
      </w:pPr>
      <w:rPr>
        <w:rFonts w:ascii="Symbol" w:hAnsi="Symbol" w:hint="default"/>
      </w:rPr>
    </w:lvl>
    <w:lvl w:ilvl="1" w:tplc="92C4D3EE" w:tentative="1">
      <w:start w:val="1"/>
      <w:numFmt w:val="bullet"/>
      <w:lvlText w:val=""/>
      <w:lvlJc w:val="left"/>
      <w:pPr>
        <w:tabs>
          <w:tab w:val="num" w:pos="1440"/>
        </w:tabs>
        <w:ind w:left="1440" w:hanging="360"/>
      </w:pPr>
      <w:rPr>
        <w:rFonts w:ascii="Symbol" w:hAnsi="Symbol" w:hint="default"/>
      </w:rPr>
    </w:lvl>
    <w:lvl w:ilvl="2" w:tplc="D30C083A" w:tentative="1">
      <w:start w:val="1"/>
      <w:numFmt w:val="bullet"/>
      <w:lvlText w:val=""/>
      <w:lvlJc w:val="left"/>
      <w:pPr>
        <w:tabs>
          <w:tab w:val="num" w:pos="2160"/>
        </w:tabs>
        <w:ind w:left="2160" w:hanging="360"/>
      </w:pPr>
      <w:rPr>
        <w:rFonts w:ascii="Symbol" w:hAnsi="Symbol" w:hint="default"/>
      </w:rPr>
    </w:lvl>
    <w:lvl w:ilvl="3" w:tplc="02223036" w:tentative="1">
      <w:start w:val="1"/>
      <w:numFmt w:val="bullet"/>
      <w:lvlText w:val=""/>
      <w:lvlJc w:val="left"/>
      <w:pPr>
        <w:tabs>
          <w:tab w:val="num" w:pos="2880"/>
        </w:tabs>
        <w:ind w:left="2880" w:hanging="360"/>
      </w:pPr>
      <w:rPr>
        <w:rFonts w:ascii="Symbol" w:hAnsi="Symbol" w:hint="default"/>
      </w:rPr>
    </w:lvl>
    <w:lvl w:ilvl="4" w:tplc="E7FC4076" w:tentative="1">
      <w:start w:val="1"/>
      <w:numFmt w:val="bullet"/>
      <w:lvlText w:val=""/>
      <w:lvlJc w:val="left"/>
      <w:pPr>
        <w:tabs>
          <w:tab w:val="num" w:pos="3600"/>
        </w:tabs>
        <w:ind w:left="3600" w:hanging="360"/>
      </w:pPr>
      <w:rPr>
        <w:rFonts w:ascii="Symbol" w:hAnsi="Symbol" w:hint="default"/>
      </w:rPr>
    </w:lvl>
    <w:lvl w:ilvl="5" w:tplc="819EFF5A" w:tentative="1">
      <w:start w:val="1"/>
      <w:numFmt w:val="bullet"/>
      <w:lvlText w:val=""/>
      <w:lvlJc w:val="left"/>
      <w:pPr>
        <w:tabs>
          <w:tab w:val="num" w:pos="4320"/>
        </w:tabs>
        <w:ind w:left="4320" w:hanging="360"/>
      </w:pPr>
      <w:rPr>
        <w:rFonts w:ascii="Symbol" w:hAnsi="Symbol" w:hint="default"/>
      </w:rPr>
    </w:lvl>
    <w:lvl w:ilvl="6" w:tplc="ABC074C0" w:tentative="1">
      <w:start w:val="1"/>
      <w:numFmt w:val="bullet"/>
      <w:lvlText w:val=""/>
      <w:lvlJc w:val="left"/>
      <w:pPr>
        <w:tabs>
          <w:tab w:val="num" w:pos="5040"/>
        </w:tabs>
        <w:ind w:left="5040" w:hanging="360"/>
      </w:pPr>
      <w:rPr>
        <w:rFonts w:ascii="Symbol" w:hAnsi="Symbol" w:hint="default"/>
      </w:rPr>
    </w:lvl>
    <w:lvl w:ilvl="7" w:tplc="8E583D36" w:tentative="1">
      <w:start w:val="1"/>
      <w:numFmt w:val="bullet"/>
      <w:lvlText w:val=""/>
      <w:lvlJc w:val="left"/>
      <w:pPr>
        <w:tabs>
          <w:tab w:val="num" w:pos="5760"/>
        </w:tabs>
        <w:ind w:left="5760" w:hanging="360"/>
      </w:pPr>
      <w:rPr>
        <w:rFonts w:ascii="Symbol" w:hAnsi="Symbol" w:hint="default"/>
      </w:rPr>
    </w:lvl>
    <w:lvl w:ilvl="8" w:tplc="B1D602D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8BF3BFF"/>
    <w:multiLevelType w:val="hybridMultilevel"/>
    <w:tmpl w:val="FDD2E72E"/>
    <w:lvl w:ilvl="0" w:tplc="5F0E29A6">
      <w:start w:val="1"/>
      <w:numFmt w:val="bullet"/>
      <w:lvlText w:val=""/>
      <w:lvlPicBulletId w:val="1"/>
      <w:lvlJc w:val="left"/>
      <w:pPr>
        <w:ind w:left="2534" w:hanging="360"/>
      </w:pPr>
      <w:rPr>
        <w:rFonts w:ascii="Symbol" w:hAnsi="Symbol" w:hint="default"/>
        <w:color w:val="E42618"/>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7" w15:restartNumberingAfterBreak="0">
    <w:nsid w:val="09B04BFB"/>
    <w:multiLevelType w:val="hybridMultilevel"/>
    <w:tmpl w:val="C52A7568"/>
    <w:lvl w:ilvl="0" w:tplc="82C8BDA8">
      <w:start w:val="1"/>
      <w:numFmt w:val="bullet"/>
      <w:lvlText w:val=""/>
      <w:lvlJc w:val="left"/>
      <w:pPr>
        <w:ind w:left="360" w:hanging="360"/>
      </w:pPr>
      <w:rPr>
        <w:rFonts w:ascii="Wingdings" w:hAnsi="Wingdings" w:hint="default"/>
        <w:color w:val="E42618"/>
        <w:sz w:val="18"/>
        <w:szCs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272349"/>
    <w:multiLevelType w:val="hybridMultilevel"/>
    <w:tmpl w:val="B596EB7A"/>
    <w:lvl w:ilvl="0" w:tplc="04100019">
      <w:start w:val="1"/>
      <w:numFmt w:val="lowerLetter"/>
      <w:lvlText w:val="%1."/>
      <w:lvlJc w:val="left"/>
      <w:pPr>
        <w:ind w:left="6173"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0AB86367"/>
    <w:multiLevelType w:val="hybridMultilevel"/>
    <w:tmpl w:val="4FFCC8FE"/>
    <w:lvl w:ilvl="0" w:tplc="723CD9BA">
      <w:start w:val="1"/>
      <w:numFmt w:val="bullet"/>
      <w:lvlText w:val=""/>
      <w:lvlPicBulletId w:val="1"/>
      <w:lvlJc w:val="left"/>
      <w:pPr>
        <w:ind w:left="2534" w:hanging="360"/>
      </w:pPr>
      <w:rPr>
        <w:rFonts w:ascii="Symbol" w:hAnsi="Symbol" w:hint="default"/>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10" w15:restartNumberingAfterBreak="0">
    <w:nsid w:val="0CE739D6"/>
    <w:multiLevelType w:val="hybridMultilevel"/>
    <w:tmpl w:val="2C004114"/>
    <w:lvl w:ilvl="0" w:tplc="FFFFFFFF">
      <w:start w:val="1"/>
      <w:numFmt w:val="bullet"/>
      <w:lvlText w:val=""/>
      <w:lvlJc w:val="left"/>
      <w:pPr>
        <w:tabs>
          <w:tab w:val="num" w:pos="340"/>
        </w:tabs>
        <w:ind w:left="0" w:firstLine="0"/>
      </w:pPr>
      <w:rPr>
        <w:rFonts w:ascii="Wingdings" w:hAnsi="Wingdings" w:hint="default"/>
        <w:b w:val="0"/>
        <w:i w:val="0"/>
        <w:color w:val="FF0000"/>
        <w:spacing w:val="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172E02"/>
    <w:multiLevelType w:val="hybridMultilevel"/>
    <w:tmpl w:val="98E2AEF0"/>
    <w:lvl w:ilvl="0" w:tplc="A8762A92">
      <w:start w:val="1"/>
      <w:numFmt w:val="bullet"/>
      <w:lvlText w:val=""/>
      <w:lvlPicBulletId w:val="0"/>
      <w:lvlJc w:val="left"/>
      <w:pPr>
        <w:tabs>
          <w:tab w:val="num" w:pos="720"/>
        </w:tabs>
        <w:ind w:left="720" w:hanging="360"/>
      </w:pPr>
      <w:rPr>
        <w:rFonts w:ascii="Symbol" w:hAnsi="Symbol" w:hint="default"/>
      </w:rPr>
    </w:lvl>
    <w:lvl w:ilvl="1" w:tplc="6D6EAF6E">
      <w:start w:val="1"/>
      <w:numFmt w:val="bullet"/>
      <w:lvlText w:val=""/>
      <w:lvlJc w:val="left"/>
      <w:pPr>
        <w:tabs>
          <w:tab w:val="num" w:pos="1440"/>
        </w:tabs>
        <w:ind w:left="1440" w:hanging="360"/>
      </w:pPr>
      <w:rPr>
        <w:rFonts w:ascii="Symbol" w:hAnsi="Symbol" w:hint="default"/>
      </w:rPr>
    </w:lvl>
    <w:lvl w:ilvl="2" w:tplc="7A64CB7E" w:tentative="1">
      <w:start w:val="1"/>
      <w:numFmt w:val="bullet"/>
      <w:lvlText w:val=""/>
      <w:lvlJc w:val="left"/>
      <w:pPr>
        <w:tabs>
          <w:tab w:val="num" w:pos="2160"/>
        </w:tabs>
        <w:ind w:left="2160" w:hanging="360"/>
      </w:pPr>
      <w:rPr>
        <w:rFonts w:ascii="Symbol" w:hAnsi="Symbol" w:hint="default"/>
      </w:rPr>
    </w:lvl>
    <w:lvl w:ilvl="3" w:tplc="19A2BEA6" w:tentative="1">
      <w:start w:val="1"/>
      <w:numFmt w:val="bullet"/>
      <w:lvlText w:val=""/>
      <w:lvlJc w:val="left"/>
      <w:pPr>
        <w:tabs>
          <w:tab w:val="num" w:pos="2880"/>
        </w:tabs>
        <w:ind w:left="2880" w:hanging="360"/>
      </w:pPr>
      <w:rPr>
        <w:rFonts w:ascii="Symbol" w:hAnsi="Symbol" w:hint="default"/>
      </w:rPr>
    </w:lvl>
    <w:lvl w:ilvl="4" w:tplc="7A906554" w:tentative="1">
      <w:start w:val="1"/>
      <w:numFmt w:val="bullet"/>
      <w:lvlText w:val=""/>
      <w:lvlJc w:val="left"/>
      <w:pPr>
        <w:tabs>
          <w:tab w:val="num" w:pos="3600"/>
        </w:tabs>
        <w:ind w:left="3600" w:hanging="360"/>
      </w:pPr>
      <w:rPr>
        <w:rFonts w:ascii="Symbol" w:hAnsi="Symbol" w:hint="default"/>
      </w:rPr>
    </w:lvl>
    <w:lvl w:ilvl="5" w:tplc="DF94CC1E" w:tentative="1">
      <w:start w:val="1"/>
      <w:numFmt w:val="bullet"/>
      <w:lvlText w:val=""/>
      <w:lvlJc w:val="left"/>
      <w:pPr>
        <w:tabs>
          <w:tab w:val="num" w:pos="4320"/>
        </w:tabs>
        <w:ind w:left="4320" w:hanging="360"/>
      </w:pPr>
      <w:rPr>
        <w:rFonts w:ascii="Symbol" w:hAnsi="Symbol" w:hint="default"/>
      </w:rPr>
    </w:lvl>
    <w:lvl w:ilvl="6" w:tplc="10AAB236" w:tentative="1">
      <w:start w:val="1"/>
      <w:numFmt w:val="bullet"/>
      <w:lvlText w:val=""/>
      <w:lvlJc w:val="left"/>
      <w:pPr>
        <w:tabs>
          <w:tab w:val="num" w:pos="5040"/>
        </w:tabs>
        <w:ind w:left="5040" w:hanging="360"/>
      </w:pPr>
      <w:rPr>
        <w:rFonts w:ascii="Symbol" w:hAnsi="Symbol" w:hint="default"/>
      </w:rPr>
    </w:lvl>
    <w:lvl w:ilvl="7" w:tplc="387E825A" w:tentative="1">
      <w:start w:val="1"/>
      <w:numFmt w:val="bullet"/>
      <w:lvlText w:val=""/>
      <w:lvlJc w:val="left"/>
      <w:pPr>
        <w:tabs>
          <w:tab w:val="num" w:pos="5760"/>
        </w:tabs>
        <w:ind w:left="5760" w:hanging="360"/>
      </w:pPr>
      <w:rPr>
        <w:rFonts w:ascii="Symbol" w:hAnsi="Symbol" w:hint="default"/>
      </w:rPr>
    </w:lvl>
    <w:lvl w:ilvl="8" w:tplc="4A64336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2474EB0"/>
    <w:multiLevelType w:val="hybridMultilevel"/>
    <w:tmpl w:val="D556ECE8"/>
    <w:lvl w:ilvl="0" w:tplc="0410000D">
      <w:start w:val="1"/>
      <w:numFmt w:val="bullet"/>
      <w:lvlText w:val=""/>
      <w:lvlJc w:val="left"/>
      <w:pPr>
        <w:tabs>
          <w:tab w:val="num" w:pos="2156"/>
        </w:tabs>
        <w:ind w:left="2156" w:hanging="284"/>
      </w:pPr>
      <w:rPr>
        <w:rFonts w:ascii="Wingdings" w:hAnsi="Wingdings" w:hint="default"/>
        <w:b/>
        <w:i w:val="0"/>
        <w:color w:val="808080"/>
      </w:rPr>
    </w:lvl>
    <w:lvl w:ilvl="1" w:tplc="FFFFFFFF">
      <w:start w:val="1"/>
      <w:numFmt w:val="bullet"/>
      <w:lvlText w:val="o"/>
      <w:lvlJc w:val="left"/>
      <w:pPr>
        <w:tabs>
          <w:tab w:val="num" w:pos="3312"/>
        </w:tabs>
        <w:ind w:left="3312" w:hanging="360"/>
      </w:pPr>
      <w:rPr>
        <w:rFonts w:ascii="Courier New" w:hAnsi="Courier New" w:cs="Courier New" w:hint="default"/>
      </w:rPr>
    </w:lvl>
    <w:lvl w:ilvl="2" w:tplc="FFFFFFFF">
      <w:start w:val="1"/>
      <w:numFmt w:val="bullet"/>
      <w:lvlText w:val=""/>
      <w:lvlJc w:val="left"/>
      <w:pPr>
        <w:tabs>
          <w:tab w:val="num" w:pos="4032"/>
        </w:tabs>
        <w:ind w:left="4032" w:hanging="360"/>
      </w:pPr>
      <w:rPr>
        <w:rFonts w:ascii="Wingdings" w:hAnsi="Wingdings" w:hint="default"/>
      </w:rPr>
    </w:lvl>
    <w:lvl w:ilvl="3" w:tplc="FFFFFFFF">
      <w:start w:val="1"/>
      <w:numFmt w:val="bullet"/>
      <w:lvlText w:val=""/>
      <w:lvlJc w:val="left"/>
      <w:pPr>
        <w:tabs>
          <w:tab w:val="num" w:pos="4752"/>
        </w:tabs>
        <w:ind w:left="4752" w:hanging="360"/>
      </w:pPr>
      <w:rPr>
        <w:rFonts w:ascii="Symbol" w:hAnsi="Symbol" w:hint="default"/>
      </w:rPr>
    </w:lvl>
    <w:lvl w:ilvl="4" w:tplc="FFFFFFFF">
      <w:start w:val="1"/>
      <w:numFmt w:val="bullet"/>
      <w:lvlText w:val="o"/>
      <w:lvlJc w:val="left"/>
      <w:pPr>
        <w:tabs>
          <w:tab w:val="num" w:pos="5472"/>
        </w:tabs>
        <w:ind w:left="5472" w:hanging="360"/>
      </w:pPr>
      <w:rPr>
        <w:rFonts w:ascii="Courier New" w:hAnsi="Courier New" w:cs="Courier New" w:hint="default"/>
      </w:rPr>
    </w:lvl>
    <w:lvl w:ilvl="5" w:tplc="FFFFFFFF">
      <w:start w:val="1"/>
      <w:numFmt w:val="bullet"/>
      <w:lvlText w:val=""/>
      <w:lvlJc w:val="left"/>
      <w:pPr>
        <w:tabs>
          <w:tab w:val="num" w:pos="6192"/>
        </w:tabs>
        <w:ind w:left="6192" w:hanging="360"/>
      </w:pPr>
      <w:rPr>
        <w:rFonts w:ascii="Wingdings" w:hAnsi="Wingdings" w:hint="default"/>
      </w:rPr>
    </w:lvl>
    <w:lvl w:ilvl="6" w:tplc="FFFFFFFF">
      <w:start w:val="1"/>
      <w:numFmt w:val="bullet"/>
      <w:lvlText w:val=""/>
      <w:lvlJc w:val="left"/>
      <w:pPr>
        <w:tabs>
          <w:tab w:val="num" w:pos="6912"/>
        </w:tabs>
        <w:ind w:left="6912" w:hanging="360"/>
      </w:pPr>
      <w:rPr>
        <w:rFonts w:ascii="Symbol" w:hAnsi="Symbol" w:hint="default"/>
      </w:rPr>
    </w:lvl>
    <w:lvl w:ilvl="7" w:tplc="FFFFFFFF">
      <w:start w:val="1"/>
      <w:numFmt w:val="bullet"/>
      <w:lvlText w:val="o"/>
      <w:lvlJc w:val="left"/>
      <w:pPr>
        <w:tabs>
          <w:tab w:val="num" w:pos="7632"/>
        </w:tabs>
        <w:ind w:left="7632" w:hanging="360"/>
      </w:pPr>
      <w:rPr>
        <w:rFonts w:ascii="Courier New" w:hAnsi="Courier New" w:cs="Courier New" w:hint="default"/>
      </w:rPr>
    </w:lvl>
    <w:lvl w:ilvl="8" w:tplc="FFFFFFFF">
      <w:start w:val="1"/>
      <w:numFmt w:val="bullet"/>
      <w:lvlText w:val=""/>
      <w:lvlJc w:val="left"/>
      <w:pPr>
        <w:tabs>
          <w:tab w:val="num" w:pos="8352"/>
        </w:tabs>
        <w:ind w:left="8352" w:hanging="360"/>
      </w:pPr>
      <w:rPr>
        <w:rFonts w:ascii="Wingdings" w:hAnsi="Wingdings" w:hint="default"/>
      </w:rPr>
    </w:lvl>
  </w:abstractNum>
  <w:abstractNum w:abstractNumId="13" w15:restartNumberingAfterBreak="0">
    <w:nsid w:val="15B33207"/>
    <w:multiLevelType w:val="hybridMultilevel"/>
    <w:tmpl w:val="0D7A8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6EC23CD"/>
    <w:multiLevelType w:val="hybridMultilevel"/>
    <w:tmpl w:val="515230EE"/>
    <w:lvl w:ilvl="0" w:tplc="A8762A92">
      <w:start w:val="1"/>
      <w:numFmt w:val="bullet"/>
      <w:lvlText w:val=""/>
      <w:lvlPicBulletId w:val="0"/>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7D531E"/>
    <w:multiLevelType w:val="hybridMultilevel"/>
    <w:tmpl w:val="73003C7A"/>
    <w:lvl w:ilvl="0" w:tplc="7FE041A6">
      <w:start w:val="1"/>
      <w:numFmt w:val="bullet"/>
      <w:lvlText w:val=""/>
      <w:lvlJc w:val="left"/>
      <w:pPr>
        <w:ind w:left="2534" w:hanging="360"/>
      </w:pPr>
      <w:rPr>
        <w:rFonts w:ascii="Wingdings" w:hAnsi="Wingdings" w:hint="default"/>
        <w:b/>
        <w:i w:val="0"/>
        <w:color w:val="FF0000"/>
        <w:sz w:val="18"/>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16" w15:restartNumberingAfterBreak="0">
    <w:nsid w:val="27400167"/>
    <w:multiLevelType w:val="hybridMultilevel"/>
    <w:tmpl w:val="71D0AC6A"/>
    <w:lvl w:ilvl="0" w:tplc="48A08B9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29FC5E71"/>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A8D1546"/>
    <w:multiLevelType w:val="hybridMultilevel"/>
    <w:tmpl w:val="8D50C4BA"/>
    <w:lvl w:ilvl="0" w:tplc="BEB84E40">
      <w:start w:val="1"/>
      <w:numFmt w:val="bullet"/>
      <w:lvlText w:val=""/>
      <w:lvlPicBulletId w:val="1"/>
      <w:lvlJc w:val="left"/>
      <w:pPr>
        <w:tabs>
          <w:tab w:val="num" w:pos="720"/>
        </w:tabs>
        <w:ind w:left="720" w:hanging="360"/>
      </w:pPr>
      <w:rPr>
        <w:rFonts w:ascii="Symbol" w:hAnsi="Symbol" w:hint="default"/>
      </w:rPr>
    </w:lvl>
    <w:lvl w:ilvl="1" w:tplc="842E4F52" w:tentative="1">
      <w:start w:val="1"/>
      <w:numFmt w:val="bullet"/>
      <w:lvlText w:val=""/>
      <w:lvlJc w:val="left"/>
      <w:pPr>
        <w:tabs>
          <w:tab w:val="num" w:pos="1440"/>
        </w:tabs>
        <w:ind w:left="1440" w:hanging="360"/>
      </w:pPr>
      <w:rPr>
        <w:rFonts w:ascii="Symbol" w:hAnsi="Symbol" w:hint="default"/>
      </w:rPr>
    </w:lvl>
    <w:lvl w:ilvl="2" w:tplc="96ACCD0A" w:tentative="1">
      <w:start w:val="1"/>
      <w:numFmt w:val="bullet"/>
      <w:lvlText w:val=""/>
      <w:lvlJc w:val="left"/>
      <w:pPr>
        <w:tabs>
          <w:tab w:val="num" w:pos="2160"/>
        </w:tabs>
        <w:ind w:left="2160" w:hanging="360"/>
      </w:pPr>
      <w:rPr>
        <w:rFonts w:ascii="Symbol" w:hAnsi="Symbol" w:hint="default"/>
      </w:rPr>
    </w:lvl>
    <w:lvl w:ilvl="3" w:tplc="8C622964" w:tentative="1">
      <w:start w:val="1"/>
      <w:numFmt w:val="bullet"/>
      <w:lvlText w:val=""/>
      <w:lvlJc w:val="left"/>
      <w:pPr>
        <w:tabs>
          <w:tab w:val="num" w:pos="2880"/>
        </w:tabs>
        <w:ind w:left="2880" w:hanging="360"/>
      </w:pPr>
      <w:rPr>
        <w:rFonts w:ascii="Symbol" w:hAnsi="Symbol" w:hint="default"/>
      </w:rPr>
    </w:lvl>
    <w:lvl w:ilvl="4" w:tplc="3614E794" w:tentative="1">
      <w:start w:val="1"/>
      <w:numFmt w:val="bullet"/>
      <w:lvlText w:val=""/>
      <w:lvlJc w:val="left"/>
      <w:pPr>
        <w:tabs>
          <w:tab w:val="num" w:pos="3600"/>
        </w:tabs>
        <w:ind w:left="3600" w:hanging="360"/>
      </w:pPr>
      <w:rPr>
        <w:rFonts w:ascii="Symbol" w:hAnsi="Symbol" w:hint="default"/>
      </w:rPr>
    </w:lvl>
    <w:lvl w:ilvl="5" w:tplc="BE5EC1D8" w:tentative="1">
      <w:start w:val="1"/>
      <w:numFmt w:val="bullet"/>
      <w:lvlText w:val=""/>
      <w:lvlJc w:val="left"/>
      <w:pPr>
        <w:tabs>
          <w:tab w:val="num" w:pos="4320"/>
        </w:tabs>
        <w:ind w:left="4320" w:hanging="360"/>
      </w:pPr>
      <w:rPr>
        <w:rFonts w:ascii="Symbol" w:hAnsi="Symbol" w:hint="default"/>
      </w:rPr>
    </w:lvl>
    <w:lvl w:ilvl="6" w:tplc="F0A6AC2E" w:tentative="1">
      <w:start w:val="1"/>
      <w:numFmt w:val="bullet"/>
      <w:lvlText w:val=""/>
      <w:lvlJc w:val="left"/>
      <w:pPr>
        <w:tabs>
          <w:tab w:val="num" w:pos="5040"/>
        </w:tabs>
        <w:ind w:left="5040" w:hanging="360"/>
      </w:pPr>
      <w:rPr>
        <w:rFonts w:ascii="Symbol" w:hAnsi="Symbol" w:hint="default"/>
      </w:rPr>
    </w:lvl>
    <w:lvl w:ilvl="7" w:tplc="0AD273DE" w:tentative="1">
      <w:start w:val="1"/>
      <w:numFmt w:val="bullet"/>
      <w:lvlText w:val=""/>
      <w:lvlJc w:val="left"/>
      <w:pPr>
        <w:tabs>
          <w:tab w:val="num" w:pos="5760"/>
        </w:tabs>
        <w:ind w:left="5760" w:hanging="360"/>
      </w:pPr>
      <w:rPr>
        <w:rFonts w:ascii="Symbol" w:hAnsi="Symbol" w:hint="default"/>
      </w:rPr>
    </w:lvl>
    <w:lvl w:ilvl="8" w:tplc="8F40203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E9263E3"/>
    <w:multiLevelType w:val="hybridMultilevel"/>
    <w:tmpl w:val="B4363020"/>
    <w:lvl w:ilvl="0" w:tplc="86A00B8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1361525"/>
    <w:multiLevelType w:val="hybridMultilevel"/>
    <w:tmpl w:val="C6F64AD6"/>
    <w:lvl w:ilvl="0" w:tplc="723CD9BA">
      <w:start w:val="1"/>
      <w:numFmt w:val="bullet"/>
      <w:lvlText w:val=""/>
      <w:lvlPicBulletId w:val="1"/>
      <w:lvlJc w:val="left"/>
      <w:pPr>
        <w:tabs>
          <w:tab w:val="num" w:pos="2156"/>
        </w:tabs>
        <w:ind w:left="2156" w:hanging="284"/>
      </w:pPr>
      <w:rPr>
        <w:rFonts w:ascii="Symbol" w:hAnsi="Symbol" w:hint="default"/>
        <w:b/>
        <w:i w:val="0"/>
        <w:color w:val="FF0000"/>
        <w:sz w:val="18"/>
      </w:rPr>
    </w:lvl>
    <w:lvl w:ilvl="1" w:tplc="FFFFFFFF">
      <w:start w:val="1"/>
      <w:numFmt w:val="bullet"/>
      <w:lvlText w:val="o"/>
      <w:lvlJc w:val="left"/>
      <w:pPr>
        <w:tabs>
          <w:tab w:val="num" w:pos="3312"/>
        </w:tabs>
        <w:ind w:left="3312" w:hanging="360"/>
      </w:pPr>
      <w:rPr>
        <w:rFonts w:ascii="Courier New" w:hAnsi="Courier New" w:cs="Courier New" w:hint="default"/>
      </w:rPr>
    </w:lvl>
    <w:lvl w:ilvl="2" w:tplc="FFFFFFFF">
      <w:start w:val="1"/>
      <w:numFmt w:val="bullet"/>
      <w:lvlText w:val=""/>
      <w:lvlJc w:val="left"/>
      <w:pPr>
        <w:tabs>
          <w:tab w:val="num" w:pos="4032"/>
        </w:tabs>
        <w:ind w:left="4032" w:hanging="360"/>
      </w:pPr>
      <w:rPr>
        <w:rFonts w:ascii="Wingdings" w:hAnsi="Wingdings" w:hint="default"/>
      </w:rPr>
    </w:lvl>
    <w:lvl w:ilvl="3" w:tplc="FFFFFFFF">
      <w:start w:val="1"/>
      <w:numFmt w:val="bullet"/>
      <w:lvlText w:val=""/>
      <w:lvlJc w:val="left"/>
      <w:pPr>
        <w:tabs>
          <w:tab w:val="num" w:pos="4752"/>
        </w:tabs>
        <w:ind w:left="4752" w:hanging="360"/>
      </w:pPr>
      <w:rPr>
        <w:rFonts w:ascii="Symbol" w:hAnsi="Symbol" w:hint="default"/>
      </w:rPr>
    </w:lvl>
    <w:lvl w:ilvl="4" w:tplc="FFFFFFFF">
      <w:start w:val="1"/>
      <w:numFmt w:val="bullet"/>
      <w:lvlText w:val="o"/>
      <w:lvlJc w:val="left"/>
      <w:pPr>
        <w:tabs>
          <w:tab w:val="num" w:pos="5472"/>
        </w:tabs>
        <w:ind w:left="5472" w:hanging="360"/>
      </w:pPr>
      <w:rPr>
        <w:rFonts w:ascii="Courier New" w:hAnsi="Courier New" w:cs="Courier New" w:hint="default"/>
      </w:rPr>
    </w:lvl>
    <w:lvl w:ilvl="5" w:tplc="FFFFFFFF">
      <w:start w:val="1"/>
      <w:numFmt w:val="bullet"/>
      <w:lvlText w:val=""/>
      <w:lvlJc w:val="left"/>
      <w:pPr>
        <w:tabs>
          <w:tab w:val="num" w:pos="6192"/>
        </w:tabs>
        <w:ind w:left="6192" w:hanging="360"/>
      </w:pPr>
      <w:rPr>
        <w:rFonts w:ascii="Wingdings" w:hAnsi="Wingdings" w:hint="default"/>
      </w:rPr>
    </w:lvl>
    <w:lvl w:ilvl="6" w:tplc="FFFFFFFF">
      <w:start w:val="1"/>
      <w:numFmt w:val="bullet"/>
      <w:lvlText w:val=""/>
      <w:lvlJc w:val="left"/>
      <w:pPr>
        <w:tabs>
          <w:tab w:val="num" w:pos="6912"/>
        </w:tabs>
        <w:ind w:left="6912" w:hanging="360"/>
      </w:pPr>
      <w:rPr>
        <w:rFonts w:ascii="Symbol" w:hAnsi="Symbol" w:hint="default"/>
      </w:rPr>
    </w:lvl>
    <w:lvl w:ilvl="7" w:tplc="FFFFFFFF">
      <w:start w:val="1"/>
      <w:numFmt w:val="bullet"/>
      <w:lvlText w:val="o"/>
      <w:lvlJc w:val="left"/>
      <w:pPr>
        <w:tabs>
          <w:tab w:val="num" w:pos="7632"/>
        </w:tabs>
        <w:ind w:left="7632" w:hanging="360"/>
      </w:pPr>
      <w:rPr>
        <w:rFonts w:ascii="Courier New" w:hAnsi="Courier New" w:cs="Courier New" w:hint="default"/>
      </w:rPr>
    </w:lvl>
    <w:lvl w:ilvl="8" w:tplc="FFFFFFFF">
      <w:start w:val="1"/>
      <w:numFmt w:val="bullet"/>
      <w:lvlText w:val=""/>
      <w:lvlJc w:val="left"/>
      <w:pPr>
        <w:tabs>
          <w:tab w:val="num" w:pos="8352"/>
        </w:tabs>
        <w:ind w:left="8352" w:hanging="360"/>
      </w:pPr>
      <w:rPr>
        <w:rFonts w:ascii="Wingdings" w:hAnsi="Wingdings" w:hint="default"/>
      </w:rPr>
    </w:lvl>
  </w:abstractNum>
  <w:abstractNum w:abstractNumId="21" w15:restartNumberingAfterBreak="0">
    <w:nsid w:val="313F7E03"/>
    <w:multiLevelType w:val="hybridMultilevel"/>
    <w:tmpl w:val="EF88D464"/>
    <w:lvl w:ilvl="0" w:tplc="DC6831E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2534E50"/>
    <w:multiLevelType w:val="hybridMultilevel"/>
    <w:tmpl w:val="143823E6"/>
    <w:lvl w:ilvl="0" w:tplc="D72441C4">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34CC2B15"/>
    <w:multiLevelType w:val="hybridMultilevel"/>
    <w:tmpl w:val="7DF6A352"/>
    <w:lvl w:ilvl="0" w:tplc="065E899C">
      <w:start w:val="1"/>
      <w:numFmt w:val="bullet"/>
      <w:lvlText w:val=""/>
      <w:lvlPicBulletId w:val="1"/>
      <w:lvlJc w:val="left"/>
      <w:pPr>
        <w:ind w:left="2534" w:hanging="360"/>
      </w:pPr>
      <w:rPr>
        <w:rFonts w:ascii="Symbol" w:hAnsi="Symbol" w:hint="default"/>
        <w:color w:val="E42618"/>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24" w15:restartNumberingAfterBreak="0">
    <w:nsid w:val="3B126581"/>
    <w:multiLevelType w:val="hybridMultilevel"/>
    <w:tmpl w:val="3EDCEA5C"/>
    <w:lvl w:ilvl="0" w:tplc="723CD9BA">
      <w:start w:val="1"/>
      <w:numFmt w:val="bullet"/>
      <w:lvlText w:val=""/>
      <w:lvlPicBulletId w:val="1"/>
      <w:lvlJc w:val="left"/>
      <w:pPr>
        <w:tabs>
          <w:tab w:val="num" w:pos="720"/>
        </w:tabs>
        <w:ind w:left="720" w:hanging="360"/>
      </w:pPr>
      <w:rPr>
        <w:rFonts w:ascii="Symbol" w:hAnsi="Symbol" w:hint="default"/>
      </w:rPr>
    </w:lvl>
    <w:lvl w:ilvl="1" w:tplc="F08261B2" w:tentative="1">
      <w:start w:val="1"/>
      <w:numFmt w:val="bullet"/>
      <w:lvlText w:val=""/>
      <w:lvlJc w:val="left"/>
      <w:pPr>
        <w:tabs>
          <w:tab w:val="num" w:pos="1440"/>
        </w:tabs>
        <w:ind w:left="1440" w:hanging="360"/>
      </w:pPr>
      <w:rPr>
        <w:rFonts w:ascii="Symbol" w:hAnsi="Symbol" w:hint="default"/>
      </w:rPr>
    </w:lvl>
    <w:lvl w:ilvl="2" w:tplc="6414E90C" w:tentative="1">
      <w:start w:val="1"/>
      <w:numFmt w:val="bullet"/>
      <w:lvlText w:val=""/>
      <w:lvlJc w:val="left"/>
      <w:pPr>
        <w:tabs>
          <w:tab w:val="num" w:pos="2160"/>
        </w:tabs>
        <w:ind w:left="2160" w:hanging="360"/>
      </w:pPr>
      <w:rPr>
        <w:rFonts w:ascii="Symbol" w:hAnsi="Symbol" w:hint="default"/>
      </w:rPr>
    </w:lvl>
    <w:lvl w:ilvl="3" w:tplc="35F41C48" w:tentative="1">
      <w:start w:val="1"/>
      <w:numFmt w:val="bullet"/>
      <w:lvlText w:val=""/>
      <w:lvlJc w:val="left"/>
      <w:pPr>
        <w:tabs>
          <w:tab w:val="num" w:pos="2880"/>
        </w:tabs>
        <w:ind w:left="2880" w:hanging="360"/>
      </w:pPr>
      <w:rPr>
        <w:rFonts w:ascii="Symbol" w:hAnsi="Symbol" w:hint="default"/>
      </w:rPr>
    </w:lvl>
    <w:lvl w:ilvl="4" w:tplc="76DC5C08" w:tentative="1">
      <w:start w:val="1"/>
      <w:numFmt w:val="bullet"/>
      <w:lvlText w:val=""/>
      <w:lvlJc w:val="left"/>
      <w:pPr>
        <w:tabs>
          <w:tab w:val="num" w:pos="3600"/>
        </w:tabs>
        <w:ind w:left="3600" w:hanging="360"/>
      </w:pPr>
      <w:rPr>
        <w:rFonts w:ascii="Symbol" w:hAnsi="Symbol" w:hint="default"/>
      </w:rPr>
    </w:lvl>
    <w:lvl w:ilvl="5" w:tplc="078CC066" w:tentative="1">
      <w:start w:val="1"/>
      <w:numFmt w:val="bullet"/>
      <w:lvlText w:val=""/>
      <w:lvlJc w:val="left"/>
      <w:pPr>
        <w:tabs>
          <w:tab w:val="num" w:pos="4320"/>
        </w:tabs>
        <w:ind w:left="4320" w:hanging="360"/>
      </w:pPr>
      <w:rPr>
        <w:rFonts w:ascii="Symbol" w:hAnsi="Symbol" w:hint="default"/>
      </w:rPr>
    </w:lvl>
    <w:lvl w:ilvl="6" w:tplc="993C39C0" w:tentative="1">
      <w:start w:val="1"/>
      <w:numFmt w:val="bullet"/>
      <w:lvlText w:val=""/>
      <w:lvlJc w:val="left"/>
      <w:pPr>
        <w:tabs>
          <w:tab w:val="num" w:pos="5040"/>
        </w:tabs>
        <w:ind w:left="5040" w:hanging="360"/>
      </w:pPr>
      <w:rPr>
        <w:rFonts w:ascii="Symbol" w:hAnsi="Symbol" w:hint="default"/>
      </w:rPr>
    </w:lvl>
    <w:lvl w:ilvl="7" w:tplc="0EB0D25C" w:tentative="1">
      <w:start w:val="1"/>
      <w:numFmt w:val="bullet"/>
      <w:lvlText w:val=""/>
      <w:lvlJc w:val="left"/>
      <w:pPr>
        <w:tabs>
          <w:tab w:val="num" w:pos="5760"/>
        </w:tabs>
        <w:ind w:left="5760" w:hanging="360"/>
      </w:pPr>
      <w:rPr>
        <w:rFonts w:ascii="Symbol" w:hAnsi="Symbol" w:hint="default"/>
      </w:rPr>
    </w:lvl>
    <w:lvl w:ilvl="8" w:tplc="B874B23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F8F0948"/>
    <w:multiLevelType w:val="multilevel"/>
    <w:tmpl w:val="98E2AEF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40037B4E"/>
    <w:multiLevelType w:val="hybridMultilevel"/>
    <w:tmpl w:val="2EE8FC76"/>
    <w:lvl w:ilvl="0" w:tplc="53A204B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02B69B0"/>
    <w:multiLevelType w:val="hybridMultilevel"/>
    <w:tmpl w:val="DDA46440"/>
    <w:lvl w:ilvl="0" w:tplc="980A3E20">
      <w:start w:val="2"/>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8" w15:restartNumberingAfterBreak="0">
    <w:nsid w:val="43DB5AF6"/>
    <w:multiLevelType w:val="hybridMultilevel"/>
    <w:tmpl w:val="1F1CF902"/>
    <w:lvl w:ilvl="0" w:tplc="812022A2">
      <w:start w:val="1"/>
      <w:numFmt w:val="lowerLetter"/>
      <w:lvlText w:val="(%1)"/>
      <w:lvlJc w:val="left"/>
      <w:pPr>
        <w:ind w:left="990" w:hanging="63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7641BD"/>
    <w:multiLevelType w:val="hybridMultilevel"/>
    <w:tmpl w:val="6ADE222C"/>
    <w:lvl w:ilvl="0" w:tplc="723CD9BA">
      <w:start w:val="1"/>
      <w:numFmt w:val="bullet"/>
      <w:lvlText w:val=""/>
      <w:lvlPicBulletId w:val="1"/>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30" w15:restartNumberingAfterBreak="0">
    <w:nsid w:val="4C7E4CE7"/>
    <w:multiLevelType w:val="hybridMultilevel"/>
    <w:tmpl w:val="24682D9E"/>
    <w:lvl w:ilvl="0" w:tplc="7FE041A6">
      <w:start w:val="1"/>
      <w:numFmt w:val="bullet"/>
      <w:lvlText w:val=""/>
      <w:lvlJc w:val="left"/>
      <w:pPr>
        <w:tabs>
          <w:tab w:val="num" w:pos="2156"/>
        </w:tabs>
        <w:ind w:left="2156" w:hanging="284"/>
      </w:pPr>
      <w:rPr>
        <w:rFonts w:ascii="Wingdings" w:hAnsi="Wingdings" w:hint="default"/>
        <w:b/>
        <w:i w:val="0"/>
        <w:color w:val="FF0000"/>
        <w:sz w:val="18"/>
      </w:rPr>
    </w:lvl>
    <w:lvl w:ilvl="1" w:tplc="FFFFFFFF">
      <w:start w:val="1"/>
      <w:numFmt w:val="bullet"/>
      <w:lvlText w:val="o"/>
      <w:lvlJc w:val="left"/>
      <w:pPr>
        <w:tabs>
          <w:tab w:val="num" w:pos="3312"/>
        </w:tabs>
        <w:ind w:left="3312" w:hanging="360"/>
      </w:pPr>
      <w:rPr>
        <w:rFonts w:ascii="Courier New" w:hAnsi="Courier New" w:cs="Courier New" w:hint="default"/>
      </w:rPr>
    </w:lvl>
    <w:lvl w:ilvl="2" w:tplc="FFFFFFFF">
      <w:start w:val="1"/>
      <w:numFmt w:val="bullet"/>
      <w:lvlText w:val=""/>
      <w:lvlJc w:val="left"/>
      <w:pPr>
        <w:tabs>
          <w:tab w:val="num" w:pos="4032"/>
        </w:tabs>
        <w:ind w:left="4032" w:hanging="360"/>
      </w:pPr>
      <w:rPr>
        <w:rFonts w:ascii="Wingdings" w:hAnsi="Wingdings" w:hint="default"/>
      </w:rPr>
    </w:lvl>
    <w:lvl w:ilvl="3" w:tplc="FFFFFFFF">
      <w:start w:val="1"/>
      <w:numFmt w:val="bullet"/>
      <w:lvlText w:val=""/>
      <w:lvlJc w:val="left"/>
      <w:pPr>
        <w:tabs>
          <w:tab w:val="num" w:pos="4752"/>
        </w:tabs>
        <w:ind w:left="4752" w:hanging="360"/>
      </w:pPr>
      <w:rPr>
        <w:rFonts w:ascii="Symbol" w:hAnsi="Symbol" w:hint="default"/>
      </w:rPr>
    </w:lvl>
    <w:lvl w:ilvl="4" w:tplc="FFFFFFFF">
      <w:start w:val="1"/>
      <w:numFmt w:val="bullet"/>
      <w:lvlText w:val="o"/>
      <w:lvlJc w:val="left"/>
      <w:pPr>
        <w:tabs>
          <w:tab w:val="num" w:pos="5472"/>
        </w:tabs>
        <w:ind w:left="5472" w:hanging="360"/>
      </w:pPr>
      <w:rPr>
        <w:rFonts w:ascii="Courier New" w:hAnsi="Courier New" w:cs="Courier New" w:hint="default"/>
      </w:rPr>
    </w:lvl>
    <w:lvl w:ilvl="5" w:tplc="FFFFFFFF">
      <w:start w:val="1"/>
      <w:numFmt w:val="bullet"/>
      <w:lvlText w:val=""/>
      <w:lvlJc w:val="left"/>
      <w:pPr>
        <w:tabs>
          <w:tab w:val="num" w:pos="6192"/>
        </w:tabs>
        <w:ind w:left="6192" w:hanging="360"/>
      </w:pPr>
      <w:rPr>
        <w:rFonts w:ascii="Wingdings" w:hAnsi="Wingdings" w:hint="default"/>
      </w:rPr>
    </w:lvl>
    <w:lvl w:ilvl="6" w:tplc="FFFFFFFF">
      <w:start w:val="1"/>
      <w:numFmt w:val="bullet"/>
      <w:lvlText w:val=""/>
      <w:lvlJc w:val="left"/>
      <w:pPr>
        <w:tabs>
          <w:tab w:val="num" w:pos="6912"/>
        </w:tabs>
        <w:ind w:left="6912" w:hanging="360"/>
      </w:pPr>
      <w:rPr>
        <w:rFonts w:ascii="Symbol" w:hAnsi="Symbol" w:hint="default"/>
      </w:rPr>
    </w:lvl>
    <w:lvl w:ilvl="7" w:tplc="FFFFFFFF">
      <w:start w:val="1"/>
      <w:numFmt w:val="bullet"/>
      <w:lvlText w:val="o"/>
      <w:lvlJc w:val="left"/>
      <w:pPr>
        <w:tabs>
          <w:tab w:val="num" w:pos="7632"/>
        </w:tabs>
        <w:ind w:left="7632" w:hanging="360"/>
      </w:pPr>
      <w:rPr>
        <w:rFonts w:ascii="Courier New" w:hAnsi="Courier New" w:cs="Courier New" w:hint="default"/>
      </w:rPr>
    </w:lvl>
    <w:lvl w:ilvl="8" w:tplc="FFFFFFFF">
      <w:start w:val="1"/>
      <w:numFmt w:val="bullet"/>
      <w:lvlText w:val=""/>
      <w:lvlJc w:val="left"/>
      <w:pPr>
        <w:tabs>
          <w:tab w:val="num" w:pos="8352"/>
        </w:tabs>
        <w:ind w:left="8352" w:hanging="360"/>
      </w:pPr>
      <w:rPr>
        <w:rFonts w:ascii="Wingdings" w:hAnsi="Wingdings" w:hint="default"/>
      </w:rPr>
    </w:lvl>
  </w:abstractNum>
  <w:abstractNum w:abstractNumId="31" w15:restartNumberingAfterBreak="0">
    <w:nsid w:val="53AC3738"/>
    <w:multiLevelType w:val="hybridMultilevel"/>
    <w:tmpl w:val="7F00C2E6"/>
    <w:lvl w:ilvl="0" w:tplc="3C14336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15:restartNumberingAfterBreak="0">
    <w:nsid w:val="56D208CF"/>
    <w:multiLevelType w:val="hybridMultilevel"/>
    <w:tmpl w:val="3364CF3C"/>
    <w:lvl w:ilvl="0" w:tplc="DFE4B1A6">
      <w:start w:val="1"/>
      <w:numFmt w:val="bullet"/>
      <w:lvlText w:val=""/>
      <w:lvlPicBulletId w:val="1"/>
      <w:lvlJc w:val="left"/>
      <w:pPr>
        <w:tabs>
          <w:tab w:val="num" w:pos="720"/>
        </w:tabs>
        <w:ind w:left="720" w:hanging="360"/>
      </w:pPr>
      <w:rPr>
        <w:rFonts w:ascii="Symbol" w:hAnsi="Symbol" w:hint="default"/>
      </w:rPr>
    </w:lvl>
    <w:lvl w:ilvl="1" w:tplc="A6883440" w:tentative="1">
      <w:start w:val="1"/>
      <w:numFmt w:val="bullet"/>
      <w:lvlText w:val=""/>
      <w:lvlJc w:val="left"/>
      <w:pPr>
        <w:tabs>
          <w:tab w:val="num" w:pos="1440"/>
        </w:tabs>
        <w:ind w:left="1440" w:hanging="360"/>
      </w:pPr>
      <w:rPr>
        <w:rFonts w:ascii="Symbol" w:hAnsi="Symbol" w:hint="default"/>
      </w:rPr>
    </w:lvl>
    <w:lvl w:ilvl="2" w:tplc="CB68053C" w:tentative="1">
      <w:start w:val="1"/>
      <w:numFmt w:val="bullet"/>
      <w:lvlText w:val=""/>
      <w:lvlJc w:val="left"/>
      <w:pPr>
        <w:tabs>
          <w:tab w:val="num" w:pos="2160"/>
        </w:tabs>
        <w:ind w:left="2160" w:hanging="360"/>
      </w:pPr>
      <w:rPr>
        <w:rFonts w:ascii="Symbol" w:hAnsi="Symbol" w:hint="default"/>
      </w:rPr>
    </w:lvl>
    <w:lvl w:ilvl="3" w:tplc="3800A33E" w:tentative="1">
      <w:start w:val="1"/>
      <w:numFmt w:val="bullet"/>
      <w:lvlText w:val=""/>
      <w:lvlJc w:val="left"/>
      <w:pPr>
        <w:tabs>
          <w:tab w:val="num" w:pos="2880"/>
        </w:tabs>
        <w:ind w:left="2880" w:hanging="360"/>
      </w:pPr>
      <w:rPr>
        <w:rFonts w:ascii="Symbol" w:hAnsi="Symbol" w:hint="default"/>
      </w:rPr>
    </w:lvl>
    <w:lvl w:ilvl="4" w:tplc="0FFEE34C" w:tentative="1">
      <w:start w:val="1"/>
      <w:numFmt w:val="bullet"/>
      <w:lvlText w:val=""/>
      <w:lvlJc w:val="left"/>
      <w:pPr>
        <w:tabs>
          <w:tab w:val="num" w:pos="3600"/>
        </w:tabs>
        <w:ind w:left="3600" w:hanging="360"/>
      </w:pPr>
      <w:rPr>
        <w:rFonts w:ascii="Symbol" w:hAnsi="Symbol" w:hint="default"/>
      </w:rPr>
    </w:lvl>
    <w:lvl w:ilvl="5" w:tplc="6228356A" w:tentative="1">
      <w:start w:val="1"/>
      <w:numFmt w:val="bullet"/>
      <w:lvlText w:val=""/>
      <w:lvlJc w:val="left"/>
      <w:pPr>
        <w:tabs>
          <w:tab w:val="num" w:pos="4320"/>
        </w:tabs>
        <w:ind w:left="4320" w:hanging="360"/>
      </w:pPr>
      <w:rPr>
        <w:rFonts w:ascii="Symbol" w:hAnsi="Symbol" w:hint="default"/>
      </w:rPr>
    </w:lvl>
    <w:lvl w:ilvl="6" w:tplc="8D5A4C08" w:tentative="1">
      <w:start w:val="1"/>
      <w:numFmt w:val="bullet"/>
      <w:lvlText w:val=""/>
      <w:lvlJc w:val="left"/>
      <w:pPr>
        <w:tabs>
          <w:tab w:val="num" w:pos="5040"/>
        </w:tabs>
        <w:ind w:left="5040" w:hanging="360"/>
      </w:pPr>
      <w:rPr>
        <w:rFonts w:ascii="Symbol" w:hAnsi="Symbol" w:hint="default"/>
      </w:rPr>
    </w:lvl>
    <w:lvl w:ilvl="7" w:tplc="42D69AF4" w:tentative="1">
      <w:start w:val="1"/>
      <w:numFmt w:val="bullet"/>
      <w:lvlText w:val=""/>
      <w:lvlJc w:val="left"/>
      <w:pPr>
        <w:tabs>
          <w:tab w:val="num" w:pos="5760"/>
        </w:tabs>
        <w:ind w:left="5760" w:hanging="360"/>
      </w:pPr>
      <w:rPr>
        <w:rFonts w:ascii="Symbol" w:hAnsi="Symbol" w:hint="default"/>
      </w:rPr>
    </w:lvl>
    <w:lvl w:ilvl="8" w:tplc="2876B1C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C660AF1"/>
    <w:multiLevelType w:val="hybridMultilevel"/>
    <w:tmpl w:val="F8FEE642"/>
    <w:lvl w:ilvl="0" w:tplc="04100017">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4" w15:restartNumberingAfterBreak="0">
    <w:nsid w:val="5F61623A"/>
    <w:multiLevelType w:val="hybridMultilevel"/>
    <w:tmpl w:val="7F00C2E6"/>
    <w:lvl w:ilvl="0" w:tplc="3C14336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5" w15:restartNumberingAfterBreak="0">
    <w:nsid w:val="66A10E50"/>
    <w:multiLevelType w:val="hybridMultilevel"/>
    <w:tmpl w:val="F8DE1BF8"/>
    <w:lvl w:ilvl="0" w:tplc="37C26DD4">
      <w:start w:val="1"/>
      <w:numFmt w:val="lowerLetter"/>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6" w15:restartNumberingAfterBreak="0">
    <w:nsid w:val="66D53A64"/>
    <w:multiLevelType w:val="hybridMultilevel"/>
    <w:tmpl w:val="3CB4185E"/>
    <w:lvl w:ilvl="0" w:tplc="2842F0A2">
      <w:start w:val="1"/>
      <w:numFmt w:val="bullet"/>
      <w:lvlText w:val=""/>
      <w:lvlPicBulletId w:val="1"/>
      <w:lvlJc w:val="left"/>
      <w:pPr>
        <w:tabs>
          <w:tab w:val="num" w:pos="720"/>
        </w:tabs>
        <w:ind w:left="720" w:hanging="360"/>
      </w:pPr>
      <w:rPr>
        <w:rFonts w:ascii="Symbol" w:hAnsi="Symbol" w:hint="default"/>
        <w:color w:val="E42618"/>
      </w:rPr>
    </w:lvl>
    <w:lvl w:ilvl="1" w:tplc="58A4F34A" w:tentative="1">
      <w:start w:val="1"/>
      <w:numFmt w:val="bullet"/>
      <w:lvlText w:val=""/>
      <w:lvlJc w:val="left"/>
      <w:pPr>
        <w:tabs>
          <w:tab w:val="num" w:pos="1440"/>
        </w:tabs>
        <w:ind w:left="1440" w:hanging="360"/>
      </w:pPr>
      <w:rPr>
        <w:rFonts w:ascii="Symbol" w:hAnsi="Symbol" w:hint="default"/>
      </w:rPr>
    </w:lvl>
    <w:lvl w:ilvl="2" w:tplc="10282158" w:tentative="1">
      <w:start w:val="1"/>
      <w:numFmt w:val="bullet"/>
      <w:lvlText w:val=""/>
      <w:lvlJc w:val="left"/>
      <w:pPr>
        <w:tabs>
          <w:tab w:val="num" w:pos="2160"/>
        </w:tabs>
        <w:ind w:left="2160" w:hanging="360"/>
      </w:pPr>
      <w:rPr>
        <w:rFonts w:ascii="Symbol" w:hAnsi="Symbol" w:hint="default"/>
      </w:rPr>
    </w:lvl>
    <w:lvl w:ilvl="3" w:tplc="9C6C8776" w:tentative="1">
      <w:start w:val="1"/>
      <w:numFmt w:val="bullet"/>
      <w:lvlText w:val=""/>
      <w:lvlJc w:val="left"/>
      <w:pPr>
        <w:tabs>
          <w:tab w:val="num" w:pos="2880"/>
        </w:tabs>
        <w:ind w:left="2880" w:hanging="360"/>
      </w:pPr>
      <w:rPr>
        <w:rFonts w:ascii="Symbol" w:hAnsi="Symbol" w:hint="default"/>
      </w:rPr>
    </w:lvl>
    <w:lvl w:ilvl="4" w:tplc="539C2334" w:tentative="1">
      <w:start w:val="1"/>
      <w:numFmt w:val="bullet"/>
      <w:lvlText w:val=""/>
      <w:lvlJc w:val="left"/>
      <w:pPr>
        <w:tabs>
          <w:tab w:val="num" w:pos="3600"/>
        </w:tabs>
        <w:ind w:left="3600" w:hanging="360"/>
      </w:pPr>
      <w:rPr>
        <w:rFonts w:ascii="Symbol" w:hAnsi="Symbol" w:hint="default"/>
      </w:rPr>
    </w:lvl>
    <w:lvl w:ilvl="5" w:tplc="E6ECA502" w:tentative="1">
      <w:start w:val="1"/>
      <w:numFmt w:val="bullet"/>
      <w:lvlText w:val=""/>
      <w:lvlJc w:val="left"/>
      <w:pPr>
        <w:tabs>
          <w:tab w:val="num" w:pos="4320"/>
        </w:tabs>
        <w:ind w:left="4320" w:hanging="360"/>
      </w:pPr>
      <w:rPr>
        <w:rFonts w:ascii="Symbol" w:hAnsi="Symbol" w:hint="default"/>
      </w:rPr>
    </w:lvl>
    <w:lvl w:ilvl="6" w:tplc="BF40799E" w:tentative="1">
      <w:start w:val="1"/>
      <w:numFmt w:val="bullet"/>
      <w:lvlText w:val=""/>
      <w:lvlJc w:val="left"/>
      <w:pPr>
        <w:tabs>
          <w:tab w:val="num" w:pos="5040"/>
        </w:tabs>
        <w:ind w:left="5040" w:hanging="360"/>
      </w:pPr>
      <w:rPr>
        <w:rFonts w:ascii="Symbol" w:hAnsi="Symbol" w:hint="default"/>
      </w:rPr>
    </w:lvl>
    <w:lvl w:ilvl="7" w:tplc="3502FF1A" w:tentative="1">
      <w:start w:val="1"/>
      <w:numFmt w:val="bullet"/>
      <w:lvlText w:val=""/>
      <w:lvlJc w:val="left"/>
      <w:pPr>
        <w:tabs>
          <w:tab w:val="num" w:pos="5760"/>
        </w:tabs>
        <w:ind w:left="5760" w:hanging="360"/>
      </w:pPr>
      <w:rPr>
        <w:rFonts w:ascii="Symbol" w:hAnsi="Symbol" w:hint="default"/>
      </w:rPr>
    </w:lvl>
    <w:lvl w:ilvl="8" w:tplc="3312820E"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67BB2EB1"/>
    <w:multiLevelType w:val="hybridMultilevel"/>
    <w:tmpl w:val="E3FA6C7E"/>
    <w:lvl w:ilvl="0" w:tplc="82C8BDA8">
      <w:start w:val="1"/>
      <w:numFmt w:val="bullet"/>
      <w:lvlText w:val=""/>
      <w:lvlJc w:val="left"/>
      <w:pPr>
        <w:ind w:left="720" w:hanging="360"/>
      </w:pPr>
      <w:rPr>
        <w:rFonts w:ascii="Wingdings" w:hAnsi="Wingdings" w:hint="default"/>
        <w:color w:val="E42618"/>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2F1680C"/>
    <w:multiLevelType w:val="hybridMultilevel"/>
    <w:tmpl w:val="7ADAA040"/>
    <w:lvl w:ilvl="0" w:tplc="3274E4F6">
      <w:start w:val="1"/>
      <w:numFmt w:val="bullet"/>
      <w:lvlText w:val=""/>
      <w:lvlPicBulletId w:val="1"/>
      <w:lvlJc w:val="left"/>
      <w:pPr>
        <w:ind w:left="2534" w:hanging="360"/>
      </w:pPr>
      <w:rPr>
        <w:rFonts w:ascii="Symbol" w:hAnsi="Symbol" w:hint="default"/>
        <w:color w:val="E42618"/>
      </w:rPr>
    </w:lvl>
    <w:lvl w:ilvl="1" w:tplc="04100003" w:tentative="1">
      <w:start w:val="1"/>
      <w:numFmt w:val="bullet"/>
      <w:lvlText w:val="o"/>
      <w:lvlJc w:val="left"/>
      <w:pPr>
        <w:ind w:left="3254" w:hanging="360"/>
      </w:pPr>
      <w:rPr>
        <w:rFonts w:ascii="Courier New" w:hAnsi="Courier New" w:cs="Courier New" w:hint="default"/>
      </w:rPr>
    </w:lvl>
    <w:lvl w:ilvl="2" w:tplc="04100005" w:tentative="1">
      <w:start w:val="1"/>
      <w:numFmt w:val="bullet"/>
      <w:lvlText w:val=""/>
      <w:lvlJc w:val="left"/>
      <w:pPr>
        <w:ind w:left="3974" w:hanging="360"/>
      </w:pPr>
      <w:rPr>
        <w:rFonts w:ascii="Wingdings" w:hAnsi="Wingdings" w:hint="default"/>
      </w:rPr>
    </w:lvl>
    <w:lvl w:ilvl="3" w:tplc="04100001" w:tentative="1">
      <w:start w:val="1"/>
      <w:numFmt w:val="bullet"/>
      <w:lvlText w:val=""/>
      <w:lvlJc w:val="left"/>
      <w:pPr>
        <w:ind w:left="4694" w:hanging="360"/>
      </w:pPr>
      <w:rPr>
        <w:rFonts w:ascii="Symbol" w:hAnsi="Symbol" w:hint="default"/>
      </w:rPr>
    </w:lvl>
    <w:lvl w:ilvl="4" w:tplc="04100003" w:tentative="1">
      <w:start w:val="1"/>
      <w:numFmt w:val="bullet"/>
      <w:lvlText w:val="o"/>
      <w:lvlJc w:val="left"/>
      <w:pPr>
        <w:ind w:left="5414" w:hanging="360"/>
      </w:pPr>
      <w:rPr>
        <w:rFonts w:ascii="Courier New" w:hAnsi="Courier New" w:cs="Courier New" w:hint="default"/>
      </w:rPr>
    </w:lvl>
    <w:lvl w:ilvl="5" w:tplc="04100005" w:tentative="1">
      <w:start w:val="1"/>
      <w:numFmt w:val="bullet"/>
      <w:lvlText w:val=""/>
      <w:lvlJc w:val="left"/>
      <w:pPr>
        <w:ind w:left="6134" w:hanging="360"/>
      </w:pPr>
      <w:rPr>
        <w:rFonts w:ascii="Wingdings" w:hAnsi="Wingdings" w:hint="default"/>
      </w:rPr>
    </w:lvl>
    <w:lvl w:ilvl="6" w:tplc="04100001" w:tentative="1">
      <w:start w:val="1"/>
      <w:numFmt w:val="bullet"/>
      <w:lvlText w:val=""/>
      <w:lvlJc w:val="left"/>
      <w:pPr>
        <w:ind w:left="6854" w:hanging="360"/>
      </w:pPr>
      <w:rPr>
        <w:rFonts w:ascii="Symbol" w:hAnsi="Symbol" w:hint="default"/>
      </w:rPr>
    </w:lvl>
    <w:lvl w:ilvl="7" w:tplc="04100003" w:tentative="1">
      <w:start w:val="1"/>
      <w:numFmt w:val="bullet"/>
      <w:lvlText w:val="o"/>
      <w:lvlJc w:val="left"/>
      <w:pPr>
        <w:ind w:left="7574" w:hanging="360"/>
      </w:pPr>
      <w:rPr>
        <w:rFonts w:ascii="Courier New" w:hAnsi="Courier New" w:cs="Courier New" w:hint="default"/>
      </w:rPr>
    </w:lvl>
    <w:lvl w:ilvl="8" w:tplc="04100005" w:tentative="1">
      <w:start w:val="1"/>
      <w:numFmt w:val="bullet"/>
      <w:lvlText w:val=""/>
      <w:lvlJc w:val="left"/>
      <w:pPr>
        <w:ind w:left="8294" w:hanging="360"/>
      </w:pPr>
      <w:rPr>
        <w:rFonts w:ascii="Wingdings" w:hAnsi="Wingdings" w:hint="default"/>
      </w:rPr>
    </w:lvl>
  </w:abstractNum>
  <w:abstractNum w:abstractNumId="39" w15:restartNumberingAfterBreak="0">
    <w:nsid w:val="7F331D91"/>
    <w:multiLevelType w:val="hybridMultilevel"/>
    <w:tmpl w:val="E0E0959C"/>
    <w:lvl w:ilvl="0" w:tplc="28BE514C">
      <w:start w:val="1"/>
      <w:numFmt w:val="bullet"/>
      <w:lvlText w:val=""/>
      <w:lvlPicBulletId w:val="0"/>
      <w:lvlJc w:val="left"/>
      <w:pPr>
        <w:tabs>
          <w:tab w:val="num" w:pos="360"/>
        </w:tabs>
        <w:ind w:left="360" w:hanging="360"/>
      </w:pPr>
      <w:rPr>
        <w:rFonts w:ascii="Symbol" w:hAnsi="Symbol" w:hint="default"/>
      </w:rPr>
    </w:lvl>
    <w:lvl w:ilvl="1" w:tplc="372E4104" w:tentative="1">
      <w:start w:val="1"/>
      <w:numFmt w:val="bullet"/>
      <w:lvlText w:val=""/>
      <w:lvlJc w:val="left"/>
      <w:pPr>
        <w:tabs>
          <w:tab w:val="num" w:pos="1440"/>
        </w:tabs>
        <w:ind w:left="1440" w:hanging="360"/>
      </w:pPr>
      <w:rPr>
        <w:rFonts w:ascii="Symbol" w:hAnsi="Symbol" w:hint="default"/>
      </w:rPr>
    </w:lvl>
    <w:lvl w:ilvl="2" w:tplc="AB266C9A" w:tentative="1">
      <w:start w:val="1"/>
      <w:numFmt w:val="bullet"/>
      <w:lvlText w:val=""/>
      <w:lvlJc w:val="left"/>
      <w:pPr>
        <w:tabs>
          <w:tab w:val="num" w:pos="2160"/>
        </w:tabs>
        <w:ind w:left="2160" w:hanging="360"/>
      </w:pPr>
      <w:rPr>
        <w:rFonts w:ascii="Symbol" w:hAnsi="Symbol" w:hint="default"/>
      </w:rPr>
    </w:lvl>
    <w:lvl w:ilvl="3" w:tplc="B7F6CE70" w:tentative="1">
      <w:start w:val="1"/>
      <w:numFmt w:val="bullet"/>
      <w:lvlText w:val=""/>
      <w:lvlJc w:val="left"/>
      <w:pPr>
        <w:tabs>
          <w:tab w:val="num" w:pos="2880"/>
        </w:tabs>
        <w:ind w:left="2880" w:hanging="360"/>
      </w:pPr>
      <w:rPr>
        <w:rFonts w:ascii="Symbol" w:hAnsi="Symbol" w:hint="default"/>
      </w:rPr>
    </w:lvl>
    <w:lvl w:ilvl="4" w:tplc="4AE81FFA" w:tentative="1">
      <w:start w:val="1"/>
      <w:numFmt w:val="bullet"/>
      <w:lvlText w:val=""/>
      <w:lvlJc w:val="left"/>
      <w:pPr>
        <w:tabs>
          <w:tab w:val="num" w:pos="3600"/>
        </w:tabs>
        <w:ind w:left="3600" w:hanging="360"/>
      </w:pPr>
      <w:rPr>
        <w:rFonts w:ascii="Symbol" w:hAnsi="Symbol" w:hint="default"/>
      </w:rPr>
    </w:lvl>
    <w:lvl w:ilvl="5" w:tplc="04908836" w:tentative="1">
      <w:start w:val="1"/>
      <w:numFmt w:val="bullet"/>
      <w:lvlText w:val=""/>
      <w:lvlJc w:val="left"/>
      <w:pPr>
        <w:tabs>
          <w:tab w:val="num" w:pos="4320"/>
        </w:tabs>
        <w:ind w:left="4320" w:hanging="360"/>
      </w:pPr>
      <w:rPr>
        <w:rFonts w:ascii="Symbol" w:hAnsi="Symbol" w:hint="default"/>
      </w:rPr>
    </w:lvl>
    <w:lvl w:ilvl="6" w:tplc="0BE003B2" w:tentative="1">
      <w:start w:val="1"/>
      <w:numFmt w:val="bullet"/>
      <w:lvlText w:val=""/>
      <w:lvlJc w:val="left"/>
      <w:pPr>
        <w:tabs>
          <w:tab w:val="num" w:pos="5040"/>
        </w:tabs>
        <w:ind w:left="5040" w:hanging="360"/>
      </w:pPr>
      <w:rPr>
        <w:rFonts w:ascii="Symbol" w:hAnsi="Symbol" w:hint="default"/>
      </w:rPr>
    </w:lvl>
    <w:lvl w:ilvl="7" w:tplc="FD8810A4" w:tentative="1">
      <w:start w:val="1"/>
      <w:numFmt w:val="bullet"/>
      <w:lvlText w:val=""/>
      <w:lvlJc w:val="left"/>
      <w:pPr>
        <w:tabs>
          <w:tab w:val="num" w:pos="5760"/>
        </w:tabs>
        <w:ind w:left="5760" w:hanging="360"/>
      </w:pPr>
      <w:rPr>
        <w:rFonts w:ascii="Symbol" w:hAnsi="Symbol" w:hint="default"/>
      </w:rPr>
    </w:lvl>
    <w:lvl w:ilvl="8" w:tplc="B1E65C1A" w:tentative="1">
      <w:start w:val="1"/>
      <w:numFmt w:val="bullet"/>
      <w:lvlText w:val=""/>
      <w:lvlJc w:val="left"/>
      <w:pPr>
        <w:tabs>
          <w:tab w:val="num" w:pos="6480"/>
        </w:tabs>
        <w:ind w:left="6480" w:hanging="360"/>
      </w:pPr>
      <w:rPr>
        <w:rFonts w:ascii="Symbol" w:hAnsi="Symbol" w:hint="default"/>
      </w:rPr>
    </w:lvl>
  </w:abstractNum>
  <w:num w:numId="1">
    <w:abstractNumId w:val="11"/>
  </w:num>
  <w:num w:numId="2">
    <w:abstractNumId w:val="24"/>
  </w:num>
  <w:num w:numId="3">
    <w:abstractNumId w:val="29"/>
  </w:num>
  <w:num w:numId="4">
    <w:abstractNumId w:val="4"/>
  </w:num>
  <w:num w:numId="5">
    <w:abstractNumId w:val="15"/>
  </w:num>
  <w:num w:numId="6">
    <w:abstractNumId w:val="3"/>
  </w:num>
  <w:num w:numId="7">
    <w:abstractNumId w:val="0"/>
  </w:num>
  <w:num w:numId="8">
    <w:abstractNumId w:val="17"/>
  </w:num>
  <w:num w:numId="9">
    <w:abstractNumId w:val="25"/>
  </w:num>
  <w:num w:numId="10">
    <w:abstractNumId w:val="9"/>
  </w:num>
  <w:num w:numId="11">
    <w:abstractNumId w:val="23"/>
  </w:num>
  <w:num w:numId="12">
    <w:abstractNumId w:val="2"/>
  </w:num>
  <w:num w:numId="13">
    <w:abstractNumId w:val="36"/>
  </w:num>
  <w:num w:numId="14">
    <w:abstractNumId w:val="6"/>
  </w:num>
  <w:num w:numId="15">
    <w:abstractNumId w:val="38"/>
  </w:num>
  <w:num w:numId="16">
    <w:abstractNumId w:val="10"/>
  </w:num>
  <w:num w:numId="17">
    <w:abstractNumId w:val="22"/>
  </w:num>
  <w:num w:numId="18">
    <w:abstractNumId w:val="1"/>
  </w:num>
  <w:num w:numId="19">
    <w:abstractNumId w:val="39"/>
  </w:num>
  <w:num w:numId="20">
    <w:abstractNumId w:val="18"/>
  </w:num>
  <w:num w:numId="21">
    <w:abstractNumId w:val="32"/>
  </w:num>
  <w:num w:numId="22">
    <w:abstractNumId w:val="12"/>
  </w:num>
  <w:num w:numId="23">
    <w:abstractNumId w:val="30"/>
  </w:num>
  <w:num w:numId="24">
    <w:abstractNumId w:val="20"/>
  </w:num>
  <w:num w:numId="25">
    <w:abstractNumId w:val="19"/>
  </w:num>
  <w:num w:numId="26">
    <w:abstractNumId w:val="14"/>
  </w:num>
  <w:num w:numId="27">
    <w:abstractNumId w:val="5"/>
  </w:num>
  <w:num w:numId="28">
    <w:abstractNumId w:val="13"/>
  </w:num>
  <w:num w:numId="29">
    <w:abstractNumId w:val="14"/>
  </w:num>
  <w:num w:numId="30">
    <w:abstractNumId w:val="37"/>
  </w:num>
  <w:num w:numId="31">
    <w:abstractNumId w:val="7"/>
  </w:num>
  <w:num w:numId="32">
    <w:abstractNumId w:val="28"/>
  </w:num>
  <w:num w:numId="33">
    <w:abstractNumId w:val="26"/>
  </w:num>
  <w:num w:numId="34">
    <w:abstractNumId w:val="31"/>
  </w:num>
  <w:num w:numId="35">
    <w:abstractNumId w:val="34"/>
  </w:num>
  <w:num w:numId="36">
    <w:abstractNumId w:val="35"/>
  </w:num>
  <w:num w:numId="37">
    <w:abstractNumId w:val="8"/>
  </w:num>
  <w:num w:numId="38">
    <w:abstractNumId w:val="27"/>
  </w:num>
  <w:num w:numId="39">
    <w:abstractNumId w:val="16"/>
  </w:num>
  <w:num w:numId="40">
    <w:abstractNumId w:val="21"/>
  </w:num>
  <w:num w:numId="4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it-IT"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49" style="mso-position-horizontal:center;mso-width-percent:400;mso-height-percent:200;mso-width-relative:margin;mso-height-relative:margin" fillcolor="white">
      <v:fill color="white"/>
      <v:textbox style="mso-fit-shape-to-text:t"/>
      <o:colormru v:ext="edit" colors="#bd1f2b,#cf1e24,#d90b13,#e31c1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C7E"/>
    <w:rsid w:val="00000148"/>
    <w:rsid w:val="000013A9"/>
    <w:rsid w:val="00001C85"/>
    <w:rsid w:val="00001CE1"/>
    <w:rsid w:val="000020B7"/>
    <w:rsid w:val="0000242C"/>
    <w:rsid w:val="000026CA"/>
    <w:rsid w:val="000026DF"/>
    <w:rsid w:val="00002F2D"/>
    <w:rsid w:val="000034C8"/>
    <w:rsid w:val="00003834"/>
    <w:rsid w:val="00003A76"/>
    <w:rsid w:val="00003AAA"/>
    <w:rsid w:val="00003AB5"/>
    <w:rsid w:val="00003AD9"/>
    <w:rsid w:val="00003F46"/>
    <w:rsid w:val="000041BD"/>
    <w:rsid w:val="000043D5"/>
    <w:rsid w:val="00004794"/>
    <w:rsid w:val="000047AF"/>
    <w:rsid w:val="000049DD"/>
    <w:rsid w:val="00004DDD"/>
    <w:rsid w:val="00004DF3"/>
    <w:rsid w:val="00004E38"/>
    <w:rsid w:val="00005A6B"/>
    <w:rsid w:val="0000683C"/>
    <w:rsid w:val="000068C1"/>
    <w:rsid w:val="00006A2E"/>
    <w:rsid w:val="00006DB7"/>
    <w:rsid w:val="00007042"/>
    <w:rsid w:val="0000740E"/>
    <w:rsid w:val="00010041"/>
    <w:rsid w:val="000101B6"/>
    <w:rsid w:val="000102D5"/>
    <w:rsid w:val="00010573"/>
    <w:rsid w:val="0001089C"/>
    <w:rsid w:val="000108ED"/>
    <w:rsid w:val="00010957"/>
    <w:rsid w:val="000109BD"/>
    <w:rsid w:val="000109E3"/>
    <w:rsid w:val="00010A46"/>
    <w:rsid w:val="00010B15"/>
    <w:rsid w:val="00010B3C"/>
    <w:rsid w:val="00010C89"/>
    <w:rsid w:val="00011283"/>
    <w:rsid w:val="000112A8"/>
    <w:rsid w:val="000113F8"/>
    <w:rsid w:val="00011610"/>
    <w:rsid w:val="0001189E"/>
    <w:rsid w:val="000119A0"/>
    <w:rsid w:val="00011A51"/>
    <w:rsid w:val="00011C85"/>
    <w:rsid w:val="00011CB2"/>
    <w:rsid w:val="00011F76"/>
    <w:rsid w:val="00012364"/>
    <w:rsid w:val="0001283C"/>
    <w:rsid w:val="00012A11"/>
    <w:rsid w:val="00012B7A"/>
    <w:rsid w:val="000134A3"/>
    <w:rsid w:val="000135AB"/>
    <w:rsid w:val="00013751"/>
    <w:rsid w:val="00013995"/>
    <w:rsid w:val="00013A1E"/>
    <w:rsid w:val="00013D04"/>
    <w:rsid w:val="00013ED5"/>
    <w:rsid w:val="00013F41"/>
    <w:rsid w:val="00014227"/>
    <w:rsid w:val="00014927"/>
    <w:rsid w:val="00015D22"/>
    <w:rsid w:val="00015EAD"/>
    <w:rsid w:val="000161BF"/>
    <w:rsid w:val="000162C7"/>
    <w:rsid w:val="00016A66"/>
    <w:rsid w:val="00016B13"/>
    <w:rsid w:val="00017353"/>
    <w:rsid w:val="00017756"/>
    <w:rsid w:val="000205CA"/>
    <w:rsid w:val="0002065A"/>
    <w:rsid w:val="000211AD"/>
    <w:rsid w:val="000213E2"/>
    <w:rsid w:val="00021652"/>
    <w:rsid w:val="0002181D"/>
    <w:rsid w:val="00021B34"/>
    <w:rsid w:val="00022197"/>
    <w:rsid w:val="00022763"/>
    <w:rsid w:val="000228CB"/>
    <w:rsid w:val="00022CBD"/>
    <w:rsid w:val="00024172"/>
    <w:rsid w:val="000241B7"/>
    <w:rsid w:val="00024BDA"/>
    <w:rsid w:val="00024C75"/>
    <w:rsid w:val="000250BE"/>
    <w:rsid w:val="00025294"/>
    <w:rsid w:val="000254AC"/>
    <w:rsid w:val="000254BE"/>
    <w:rsid w:val="00025503"/>
    <w:rsid w:val="0002574E"/>
    <w:rsid w:val="000257C6"/>
    <w:rsid w:val="00025822"/>
    <w:rsid w:val="00025926"/>
    <w:rsid w:val="00025AA7"/>
    <w:rsid w:val="000266A7"/>
    <w:rsid w:val="00027CFD"/>
    <w:rsid w:val="00027FBC"/>
    <w:rsid w:val="00030014"/>
    <w:rsid w:val="000301EE"/>
    <w:rsid w:val="0003038F"/>
    <w:rsid w:val="00030BEE"/>
    <w:rsid w:val="0003114F"/>
    <w:rsid w:val="00031258"/>
    <w:rsid w:val="00031864"/>
    <w:rsid w:val="00031934"/>
    <w:rsid w:val="00031C2E"/>
    <w:rsid w:val="000320B7"/>
    <w:rsid w:val="00032972"/>
    <w:rsid w:val="00032A4E"/>
    <w:rsid w:val="00033432"/>
    <w:rsid w:val="000350E3"/>
    <w:rsid w:val="00035164"/>
    <w:rsid w:val="0003537F"/>
    <w:rsid w:val="00035793"/>
    <w:rsid w:val="00035837"/>
    <w:rsid w:val="00035A57"/>
    <w:rsid w:val="00035C40"/>
    <w:rsid w:val="0003629C"/>
    <w:rsid w:val="000363D3"/>
    <w:rsid w:val="0003704B"/>
    <w:rsid w:val="00037DCC"/>
    <w:rsid w:val="0004002D"/>
    <w:rsid w:val="00040033"/>
    <w:rsid w:val="000402DE"/>
    <w:rsid w:val="00041081"/>
    <w:rsid w:val="00041DD2"/>
    <w:rsid w:val="00041DDD"/>
    <w:rsid w:val="00041DEF"/>
    <w:rsid w:val="0004257E"/>
    <w:rsid w:val="00042B16"/>
    <w:rsid w:val="00042D21"/>
    <w:rsid w:val="00042F77"/>
    <w:rsid w:val="000433C2"/>
    <w:rsid w:val="0004346C"/>
    <w:rsid w:val="00043C67"/>
    <w:rsid w:val="00043ED3"/>
    <w:rsid w:val="00044806"/>
    <w:rsid w:val="00044BA2"/>
    <w:rsid w:val="00044DCD"/>
    <w:rsid w:val="000455A6"/>
    <w:rsid w:val="0004572F"/>
    <w:rsid w:val="000457A7"/>
    <w:rsid w:val="00045BC9"/>
    <w:rsid w:val="000462ED"/>
    <w:rsid w:val="00046347"/>
    <w:rsid w:val="00046668"/>
    <w:rsid w:val="00046881"/>
    <w:rsid w:val="00046950"/>
    <w:rsid w:val="00046AF5"/>
    <w:rsid w:val="00046EDF"/>
    <w:rsid w:val="0004715D"/>
    <w:rsid w:val="000474A3"/>
    <w:rsid w:val="000478E6"/>
    <w:rsid w:val="000479D4"/>
    <w:rsid w:val="00047CCE"/>
    <w:rsid w:val="00047E42"/>
    <w:rsid w:val="00050117"/>
    <w:rsid w:val="00050441"/>
    <w:rsid w:val="00050489"/>
    <w:rsid w:val="00050496"/>
    <w:rsid w:val="00050679"/>
    <w:rsid w:val="000508D1"/>
    <w:rsid w:val="000512D1"/>
    <w:rsid w:val="0005182E"/>
    <w:rsid w:val="00051D92"/>
    <w:rsid w:val="00051E6A"/>
    <w:rsid w:val="00051FC2"/>
    <w:rsid w:val="00052AE3"/>
    <w:rsid w:val="00053471"/>
    <w:rsid w:val="000537BB"/>
    <w:rsid w:val="000538A1"/>
    <w:rsid w:val="0005401B"/>
    <w:rsid w:val="000541C7"/>
    <w:rsid w:val="00054645"/>
    <w:rsid w:val="0005548D"/>
    <w:rsid w:val="000557ED"/>
    <w:rsid w:val="00055D9C"/>
    <w:rsid w:val="00055E26"/>
    <w:rsid w:val="00055E3A"/>
    <w:rsid w:val="000565A3"/>
    <w:rsid w:val="00056612"/>
    <w:rsid w:val="00056635"/>
    <w:rsid w:val="000567BC"/>
    <w:rsid w:val="000569E0"/>
    <w:rsid w:val="000572AC"/>
    <w:rsid w:val="00057588"/>
    <w:rsid w:val="00057640"/>
    <w:rsid w:val="000578A2"/>
    <w:rsid w:val="00060194"/>
    <w:rsid w:val="00060769"/>
    <w:rsid w:val="000607A6"/>
    <w:rsid w:val="0006148E"/>
    <w:rsid w:val="000617FF"/>
    <w:rsid w:val="00061BEA"/>
    <w:rsid w:val="00061DC7"/>
    <w:rsid w:val="00061E48"/>
    <w:rsid w:val="00061E67"/>
    <w:rsid w:val="000620FB"/>
    <w:rsid w:val="000621DF"/>
    <w:rsid w:val="00062437"/>
    <w:rsid w:val="00062447"/>
    <w:rsid w:val="000625F8"/>
    <w:rsid w:val="000629AB"/>
    <w:rsid w:val="00062C7C"/>
    <w:rsid w:val="00062E45"/>
    <w:rsid w:val="000635F7"/>
    <w:rsid w:val="00063D28"/>
    <w:rsid w:val="00063D9E"/>
    <w:rsid w:val="000643F7"/>
    <w:rsid w:val="00064404"/>
    <w:rsid w:val="00064E2A"/>
    <w:rsid w:val="00065341"/>
    <w:rsid w:val="0006537C"/>
    <w:rsid w:val="00065467"/>
    <w:rsid w:val="000657E2"/>
    <w:rsid w:val="00065E03"/>
    <w:rsid w:val="0006623E"/>
    <w:rsid w:val="000662FB"/>
    <w:rsid w:val="0006654D"/>
    <w:rsid w:val="0006665B"/>
    <w:rsid w:val="00067795"/>
    <w:rsid w:val="00067AB5"/>
    <w:rsid w:val="00067F81"/>
    <w:rsid w:val="00070718"/>
    <w:rsid w:val="0007076D"/>
    <w:rsid w:val="000708D3"/>
    <w:rsid w:val="0007136C"/>
    <w:rsid w:val="0007170B"/>
    <w:rsid w:val="00071DDB"/>
    <w:rsid w:val="00071EFA"/>
    <w:rsid w:val="000720F5"/>
    <w:rsid w:val="000720F8"/>
    <w:rsid w:val="00072142"/>
    <w:rsid w:val="00072711"/>
    <w:rsid w:val="00072728"/>
    <w:rsid w:val="00072B3F"/>
    <w:rsid w:val="00072BE2"/>
    <w:rsid w:val="000732DF"/>
    <w:rsid w:val="0007358E"/>
    <w:rsid w:val="00073872"/>
    <w:rsid w:val="00073F42"/>
    <w:rsid w:val="0007401B"/>
    <w:rsid w:val="00074665"/>
    <w:rsid w:val="000746D5"/>
    <w:rsid w:val="00074709"/>
    <w:rsid w:val="000749B9"/>
    <w:rsid w:val="00074E34"/>
    <w:rsid w:val="000755F9"/>
    <w:rsid w:val="00075941"/>
    <w:rsid w:val="00075CC6"/>
    <w:rsid w:val="0007650D"/>
    <w:rsid w:val="00076C27"/>
    <w:rsid w:val="00077534"/>
    <w:rsid w:val="0007754A"/>
    <w:rsid w:val="00077592"/>
    <w:rsid w:val="00077897"/>
    <w:rsid w:val="00077E7D"/>
    <w:rsid w:val="00080263"/>
    <w:rsid w:val="000803AD"/>
    <w:rsid w:val="00080F62"/>
    <w:rsid w:val="000811D8"/>
    <w:rsid w:val="000817F5"/>
    <w:rsid w:val="000818DD"/>
    <w:rsid w:val="000819D4"/>
    <w:rsid w:val="000826C3"/>
    <w:rsid w:val="000828E6"/>
    <w:rsid w:val="000829B6"/>
    <w:rsid w:val="00082A62"/>
    <w:rsid w:val="00082E1E"/>
    <w:rsid w:val="00082F2A"/>
    <w:rsid w:val="00083173"/>
    <w:rsid w:val="00083429"/>
    <w:rsid w:val="00083B5E"/>
    <w:rsid w:val="00083FE3"/>
    <w:rsid w:val="00084387"/>
    <w:rsid w:val="00084761"/>
    <w:rsid w:val="00084AF6"/>
    <w:rsid w:val="00084E02"/>
    <w:rsid w:val="00084EE6"/>
    <w:rsid w:val="0008506C"/>
    <w:rsid w:val="0008527C"/>
    <w:rsid w:val="0008545A"/>
    <w:rsid w:val="00085AC2"/>
    <w:rsid w:val="00085AFD"/>
    <w:rsid w:val="00085B01"/>
    <w:rsid w:val="00085BC7"/>
    <w:rsid w:val="00085C51"/>
    <w:rsid w:val="00085E26"/>
    <w:rsid w:val="0008600B"/>
    <w:rsid w:val="00086154"/>
    <w:rsid w:val="00086620"/>
    <w:rsid w:val="000868F5"/>
    <w:rsid w:val="00086C83"/>
    <w:rsid w:val="00086DE4"/>
    <w:rsid w:val="000873CD"/>
    <w:rsid w:val="000876FA"/>
    <w:rsid w:val="00087774"/>
    <w:rsid w:val="00087BB3"/>
    <w:rsid w:val="0009016A"/>
    <w:rsid w:val="000909B9"/>
    <w:rsid w:val="00090A07"/>
    <w:rsid w:val="00090B9F"/>
    <w:rsid w:val="00090D41"/>
    <w:rsid w:val="00090DE6"/>
    <w:rsid w:val="0009127D"/>
    <w:rsid w:val="0009201A"/>
    <w:rsid w:val="000924D4"/>
    <w:rsid w:val="00092C29"/>
    <w:rsid w:val="00093938"/>
    <w:rsid w:val="00094B3C"/>
    <w:rsid w:val="00094CB4"/>
    <w:rsid w:val="00094E38"/>
    <w:rsid w:val="00095213"/>
    <w:rsid w:val="00095ABF"/>
    <w:rsid w:val="00095EBA"/>
    <w:rsid w:val="00096313"/>
    <w:rsid w:val="00096371"/>
    <w:rsid w:val="0009657B"/>
    <w:rsid w:val="00096954"/>
    <w:rsid w:val="00096C13"/>
    <w:rsid w:val="00096DB8"/>
    <w:rsid w:val="000971AB"/>
    <w:rsid w:val="000972EF"/>
    <w:rsid w:val="0009734F"/>
    <w:rsid w:val="000977C6"/>
    <w:rsid w:val="000A0936"/>
    <w:rsid w:val="000A09E7"/>
    <w:rsid w:val="000A0AC7"/>
    <w:rsid w:val="000A0D76"/>
    <w:rsid w:val="000A1070"/>
    <w:rsid w:val="000A123E"/>
    <w:rsid w:val="000A169F"/>
    <w:rsid w:val="000A1D54"/>
    <w:rsid w:val="000A206E"/>
    <w:rsid w:val="000A2640"/>
    <w:rsid w:val="000A27BB"/>
    <w:rsid w:val="000A32BD"/>
    <w:rsid w:val="000A3337"/>
    <w:rsid w:val="000A3D66"/>
    <w:rsid w:val="000A3E31"/>
    <w:rsid w:val="000A3EBA"/>
    <w:rsid w:val="000A4087"/>
    <w:rsid w:val="000A40FD"/>
    <w:rsid w:val="000A4131"/>
    <w:rsid w:val="000A4409"/>
    <w:rsid w:val="000A4E9A"/>
    <w:rsid w:val="000A5314"/>
    <w:rsid w:val="000A53FD"/>
    <w:rsid w:val="000A5D8F"/>
    <w:rsid w:val="000A5D99"/>
    <w:rsid w:val="000A63AD"/>
    <w:rsid w:val="000A6591"/>
    <w:rsid w:val="000A677A"/>
    <w:rsid w:val="000A69D2"/>
    <w:rsid w:val="000A72CA"/>
    <w:rsid w:val="000A77D6"/>
    <w:rsid w:val="000A78EC"/>
    <w:rsid w:val="000A7A9F"/>
    <w:rsid w:val="000A7B77"/>
    <w:rsid w:val="000A7CF9"/>
    <w:rsid w:val="000B01FA"/>
    <w:rsid w:val="000B022B"/>
    <w:rsid w:val="000B02ED"/>
    <w:rsid w:val="000B0DCE"/>
    <w:rsid w:val="000B1BA4"/>
    <w:rsid w:val="000B1F20"/>
    <w:rsid w:val="000B1F2B"/>
    <w:rsid w:val="000B27E0"/>
    <w:rsid w:val="000B2A82"/>
    <w:rsid w:val="000B2AAC"/>
    <w:rsid w:val="000B32C5"/>
    <w:rsid w:val="000B32E4"/>
    <w:rsid w:val="000B3304"/>
    <w:rsid w:val="000B38EA"/>
    <w:rsid w:val="000B399E"/>
    <w:rsid w:val="000B3F89"/>
    <w:rsid w:val="000B51E7"/>
    <w:rsid w:val="000B5442"/>
    <w:rsid w:val="000B56C0"/>
    <w:rsid w:val="000B5732"/>
    <w:rsid w:val="000B5A90"/>
    <w:rsid w:val="000B5B83"/>
    <w:rsid w:val="000B5DC1"/>
    <w:rsid w:val="000B6575"/>
    <w:rsid w:val="000B6A87"/>
    <w:rsid w:val="000B6C6C"/>
    <w:rsid w:val="000B6D0F"/>
    <w:rsid w:val="000B6E6D"/>
    <w:rsid w:val="000B6F52"/>
    <w:rsid w:val="000B72E0"/>
    <w:rsid w:val="000B7989"/>
    <w:rsid w:val="000C0226"/>
    <w:rsid w:val="000C076E"/>
    <w:rsid w:val="000C099C"/>
    <w:rsid w:val="000C0F55"/>
    <w:rsid w:val="000C1097"/>
    <w:rsid w:val="000C11ED"/>
    <w:rsid w:val="000C1955"/>
    <w:rsid w:val="000C1C3E"/>
    <w:rsid w:val="000C233C"/>
    <w:rsid w:val="000C25D8"/>
    <w:rsid w:val="000C267B"/>
    <w:rsid w:val="000C2980"/>
    <w:rsid w:val="000C2C58"/>
    <w:rsid w:val="000C2ED4"/>
    <w:rsid w:val="000C2FB7"/>
    <w:rsid w:val="000C35FB"/>
    <w:rsid w:val="000C3630"/>
    <w:rsid w:val="000C3830"/>
    <w:rsid w:val="000C39B4"/>
    <w:rsid w:val="000C3BA7"/>
    <w:rsid w:val="000C3DA5"/>
    <w:rsid w:val="000C4457"/>
    <w:rsid w:val="000C4689"/>
    <w:rsid w:val="000C4D5C"/>
    <w:rsid w:val="000C4F84"/>
    <w:rsid w:val="000C5202"/>
    <w:rsid w:val="000C53F5"/>
    <w:rsid w:val="000C5564"/>
    <w:rsid w:val="000C5602"/>
    <w:rsid w:val="000C59C4"/>
    <w:rsid w:val="000C5B36"/>
    <w:rsid w:val="000C606F"/>
    <w:rsid w:val="000C627A"/>
    <w:rsid w:val="000C6408"/>
    <w:rsid w:val="000C6819"/>
    <w:rsid w:val="000C6867"/>
    <w:rsid w:val="000C6F05"/>
    <w:rsid w:val="000C71C5"/>
    <w:rsid w:val="000C727A"/>
    <w:rsid w:val="000C7697"/>
    <w:rsid w:val="000C789E"/>
    <w:rsid w:val="000C7B4C"/>
    <w:rsid w:val="000C7EF4"/>
    <w:rsid w:val="000D072A"/>
    <w:rsid w:val="000D0F51"/>
    <w:rsid w:val="000D1221"/>
    <w:rsid w:val="000D1781"/>
    <w:rsid w:val="000D1B06"/>
    <w:rsid w:val="000D1E54"/>
    <w:rsid w:val="000D23EF"/>
    <w:rsid w:val="000D24E2"/>
    <w:rsid w:val="000D2BA7"/>
    <w:rsid w:val="000D2C85"/>
    <w:rsid w:val="000D36A3"/>
    <w:rsid w:val="000D3A7C"/>
    <w:rsid w:val="000D3CAE"/>
    <w:rsid w:val="000D3EFB"/>
    <w:rsid w:val="000D3FDB"/>
    <w:rsid w:val="000D4568"/>
    <w:rsid w:val="000D4EE8"/>
    <w:rsid w:val="000D4FE9"/>
    <w:rsid w:val="000D5383"/>
    <w:rsid w:val="000D53B8"/>
    <w:rsid w:val="000D5645"/>
    <w:rsid w:val="000D5B97"/>
    <w:rsid w:val="000D5EA1"/>
    <w:rsid w:val="000D64B7"/>
    <w:rsid w:val="000D68E4"/>
    <w:rsid w:val="000D6C3B"/>
    <w:rsid w:val="000D70FA"/>
    <w:rsid w:val="000D7279"/>
    <w:rsid w:val="000D7679"/>
    <w:rsid w:val="000E0D71"/>
    <w:rsid w:val="000E0FC9"/>
    <w:rsid w:val="000E1054"/>
    <w:rsid w:val="000E1473"/>
    <w:rsid w:val="000E162A"/>
    <w:rsid w:val="000E177D"/>
    <w:rsid w:val="000E19F0"/>
    <w:rsid w:val="000E1E6F"/>
    <w:rsid w:val="000E2098"/>
    <w:rsid w:val="000E237E"/>
    <w:rsid w:val="000E23BF"/>
    <w:rsid w:val="000E23EF"/>
    <w:rsid w:val="000E2BE0"/>
    <w:rsid w:val="000E2E1B"/>
    <w:rsid w:val="000E327D"/>
    <w:rsid w:val="000E32BE"/>
    <w:rsid w:val="000E32CD"/>
    <w:rsid w:val="000E33C5"/>
    <w:rsid w:val="000E3886"/>
    <w:rsid w:val="000E3AE8"/>
    <w:rsid w:val="000E3CFC"/>
    <w:rsid w:val="000E40CB"/>
    <w:rsid w:val="000E420F"/>
    <w:rsid w:val="000E4295"/>
    <w:rsid w:val="000E42DF"/>
    <w:rsid w:val="000E44A9"/>
    <w:rsid w:val="000E4A55"/>
    <w:rsid w:val="000E4A6D"/>
    <w:rsid w:val="000E4E04"/>
    <w:rsid w:val="000E5429"/>
    <w:rsid w:val="000E62CE"/>
    <w:rsid w:val="000E6324"/>
    <w:rsid w:val="000E63BC"/>
    <w:rsid w:val="000E649F"/>
    <w:rsid w:val="000E66DF"/>
    <w:rsid w:val="000E6B08"/>
    <w:rsid w:val="000E6B42"/>
    <w:rsid w:val="000E70A5"/>
    <w:rsid w:val="000E7523"/>
    <w:rsid w:val="000E78BC"/>
    <w:rsid w:val="000E7F42"/>
    <w:rsid w:val="000F039B"/>
    <w:rsid w:val="000F0888"/>
    <w:rsid w:val="000F09BC"/>
    <w:rsid w:val="000F0DEA"/>
    <w:rsid w:val="000F0DFE"/>
    <w:rsid w:val="000F1394"/>
    <w:rsid w:val="000F14F7"/>
    <w:rsid w:val="000F1519"/>
    <w:rsid w:val="000F18A3"/>
    <w:rsid w:val="000F19CA"/>
    <w:rsid w:val="000F1A51"/>
    <w:rsid w:val="000F1CEF"/>
    <w:rsid w:val="000F25EE"/>
    <w:rsid w:val="000F269A"/>
    <w:rsid w:val="000F26C0"/>
    <w:rsid w:val="000F2873"/>
    <w:rsid w:val="000F2BE7"/>
    <w:rsid w:val="000F2CEF"/>
    <w:rsid w:val="000F2FB2"/>
    <w:rsid w:val="000F32AC"/>
    <w:rsid w:val="000F370D"/>
    <w:rsid w:val="000F380D"/>
    <w:rsid w:val="000F3E1E"/>
    <w:rsid w:val="000F4698"/>
    <w:rsid w:val="000F46CB"/>
    <w:rsid w:val="000F4D00"/>
    <w:rsid w:val="000F4FE7"/>
    <w:rsid w:val="000F5E41"/>
    <w:rsid w:val="000F5EC4"/>
    <w:rsid w:val="000F5EC9"/>
    <w:rsid w:val="000F6161"/>
    <w:rsid w:val="000F6770"/>
    <w:rsid w:val="000F716C"/>
    <w:rsid w:val="000F7520"/>
    <w:rsid w:val="000F7AD5"/>
    <w:rsid w:val="000F7ADE"/>
    <w:rsid w:val="000F7CB4"/>
    <w:rsid w:val="000F7D62"/>
    <w:rsid w:val="000F7F64"/>
    <w:rsid w:val="000F7FAE"/>
    <w:rsid w:val="00100058"/>
    <w:rsid w:val="00100268"/>
    <w:rsid w:val="001002DA"/>
    <w:rsid w:val="00100472"/>
    <w:rsid w:val="00100B0C"/>
    <w:rsid w:val="00100FAA"/>
    <w:rsid w:val="00101A55"/>
    <w:rsid w:val="00101F21"/>
    <w:rsid w:val="0010203F"/>
    <w:rsid w:val="00102B37"/>
    <w:rsid w:val="00102E12"/>
    <w:rsid w:val="001030AE"/>
    <w:rsid w:val="0010327A"/>
    <w:rsid w:val="00103356"/>
    <w:rsid w:val="00103433"/>
    <w:rsid w:val="001035FC"/>
    <w:rsid w:val="00103A48"/>
    <w:rsid w:val="00103D71"/>
    <w:rsid w:val="00104168"/>
    <w:rsid w:val="00104E34"/>
    <w:rsid w:val="00104E68"/>
    <w:rsid w:val="00104EC6"/>
    <w:rsid w:val="00105774"/>
    <w:rsid w:val="00105B08"/>
    <w:rsid w:val="00105CFF"/>
    <w:rsid w:val="0010607E"/>
    <w:rsid w:val="0010642A"/>
    <w:rsid w:val="0010672D"/>
    <w:rsid w:val="0010687A"/>
    <w:rsid w:val="00106AA3"/>
    <w:rsid w:val="00107126"/>
    <w:rsid w:val="00107377"/>
    <w:rsid w:val="001075A8"/>
    <w:rsid w:val="001079C3"/>
    <w:rsid w:val="00107B24"/>
    <w:rsid w:val="00110856"/>
    <w:rsid w:val="001112CB"/>
    <w:rsid w:val="00111347"/>
    <w:rsid w:val="00111823"/>
    <w:rsid w:val="00111D49"/>
    <w:rsid w:val="001124E6"/>
    <w:rsid w:val="00112A83"/>
    <w:rsid w:val="00112B79"/>
    <w:rsid w:val="00112E41"/>
    <w:rsid w:val="00112FD6"/>
    <w:rsid w:val="00113BDB"/>
    <w:rsid w:val="00113E20"/>
    <w:rsid w:val="00113E61"/>
    <w:rsid w:val="00113F0D"/>
    <w:rsid w:val="00114045"/>
    <w:rsid w:val="001143AE"/>
    <w:rsid w:val="001143D0"/>
    <w:rsid w:val="00114521"/>
    <w:rsid w:val="001146BF"/>
    <w:rsid w:val="001148C3"/>
    <w:rsid w:val="001150D8"/>
    <w:rsid w:val="0011562D"/>
    <w:rsid w:val="001156D5"/>
    <w:rsid w:val="0011636E"/>
    <w:rsid w:val="00116DD5"/>
    <w:rsid w:val="00117309"/>
    <w:rsid w:val="00117AF1"/>
    <w:rsid w:val="00117BB0"/>
    <w:rsid w:val="00117C1F"/>
    <w:rsid w:val="0012011D"/>
    <w:rsid w:val="00120457"/>
    <w:rsid w:val="00120B97"/>
    <w:rsid w:val="00120D7F"/>
    <w:rsid w:val="00120F89"/>
    <w:rsid w:val="00121177"/>
    <w:rsid w:val="00121482"/>
    <w:rsid w:val="001216FA"/>
    <w:rsid w:val="00121E42"/>
    <w:rsid w:val="00121F1E"/>
    <w:rsid w:val="00122912"/>
    <w:rsid w:val="00122976"/>
    <w:rsid w:val="001235DB"/>
    <w:rsid w:val="0012380F"/>
    <w:rsid w:val="00123A77"/>
    <w:rsid w:val="001248B9"/>
    <w:rsid w:val="001249B2"/>
    <w:rsid w:val="001250EB"/>
    <w:rsid w:val="001254C6"/>
    <w:rsid w:val="00125651"/>
    <w:rsid w:val="00125958"/>
    <w:rsid w:val="00125AC1"/>
    <w:rsid w:val="00125C51"/>
    <w:rsid w:val="00125D56"/>
    <w:rsid w:val="00125FC1"/>
    <w:rsid w:val="001261E2"/>
    <w:rsid w:val="00126235"/>
    <w:rsid w:val="0012636E"/>
    <w:rsid w:val="001267F9"/>
    <w:rsid w:val="00126876"/>
    <w:rsid w:val="001273DA"/>
    <w:rsid w:val="00127CCE"/>
    <w:rsid w:val="0013060B"/>
    <w:rsid w:val="001306A7"/>
    <w:rsid w:val="00131084"/>
    <w:rsid w:val="0013114E"/>
    <w:rsid w:val="001315D4"/>
    <w:rsid w:val="001315EA"/>
    <w:rsid w:val="0013171C"/>
    <w:rsid w:val="001319AE"/>
    <w:rsid w:val="00132098"/>
    <w:rsid w:val="0013239A"/>
    <w:rsid w:val="00132674"/>
    <w:rsid w:val="00132A09"/>
    <w:rsid w:val="00132D0E"/>
    <w:rsid w:val="00132F27"/>
    <w:rsid w:val="001334D9"/>
    <w:rsid w:val="001335FA"/>
    <w:rsid w:val="0013399B"/>
    <w:rsid w:val="0013455F"/>
    <w:rsid w:val="00135207"/>
    <w:rsid w:val="001358CD"/>
    <w:rsid w:val="00135D93"/>
    <w:rsid w:val="00135EC9"/>
    <w:rsid w:val="00136893"/>
    <w:rsid w:val="001376AE"/>
    <w:rsid w:val="0013771E"/>
    <w:rsid w:val="0013793F"/>
    <w:rsid w:val="00137940"/>
    <w:rsid w:val="00137B50"/>
    <w:rsid w:val="00137FEB"/>
    <w:rsid w:val="0014041C"/>
    <w:rsid w:val="00140552"/>
    <w:rsid w:val="0014197D"/>
    <w:rsid w:val="001419EF"/>
    <w:rsid w:val="00141A37"/>
    <w:rsid w:val="00141B4A"/>
    <w:rsid w:val="00141C42"/>
    <w:rsid w:val="001421E4"/>
    <w:rsid w:val="0014289C"/>
    <w:rsid w:val="00142F44"/>
    <w:rsid w:val="00143151"/>
    <w:rsid w:val="001431DB"/>
    <w:rsid w:val="00143799"/>
    <w:rsid w:val="001439E8"/>
    <w:rsid w:val="00143A49"/>
    <w:rsid w:val="00143C18"/>
    <w:rsid w:val="0014409A"/>
    <w:rsid w:val="001440DD"/>
    <w:rsid w:val="00144DF8"/>
    <w:rsid w:val="001456F4"/>
    <w:rsid w:val="00145A1D"/>
    <w:rsid w:val="001463B3"/>
    <w:rsid w:val="00147253"/>
    <w:rsid w:val="00147300"/>
    <w:rsid w:val="0014748A"/>
    <w:rsid w:val="00147559"/>
    <w:rsid w:val="001478BA"/>
    <w:rsid w:val="00147CF6"/>
    <w:rsid w:val="00150616"/>
    <w:rsid w:val="00150619"/>
    <w:rsid w:val="001511A4"/>
    <w:rsid w:val="0015128D"/>
    <w:rsid w:val="00151343"/>
    <w:rsid w:val="001516DB"/>
    <w:rsid w:val="00151BB3"/>
    <w:rsid w:val="00152E56"/>
    <w:rsid w:val="001532E5"/>
    <w:rsid w:val="001538D3"/>
    <w:rsid w:val="00153A3C"/>
    <w:rsid w:val="00153BD1"/>
    <w:rsid w:val="00154850"/>
    <w:rsid w:val="0015485C"/>
    <w:rsid w:val="00154B63"/>
    <w:rsid w:val="00154CB3"/>
    <w:rsid w:val="00155117"/>
    <w:rsid w:val="001555D0"/>
    <w:rsid w:val="001559AA"/>
    <w:rsid w:val="00156C7D"/>
    <w:rsid w:val="00156D13"/>
    <w:rsid w:val="00156F02"/>
    <w:rsid w:val="00157260"/>
    <w:rsid w:val="0015733B"/>
    <w:rsid w:val="001575D8"/>
    <w:rsid w:val="00157664"/>
    <w:rsid w:val="001600DF"/>
    <w:rsid w:val="00160180"/>
    <w:rsid w:val="00160503"/>
    <w:rsid w:val="00161148"/>
    <w:rsid w:val="001611C8"/>
    <w:rsid w:val="00161230"/>
    <w:rsid w:val="001612D8"/>
    <w:rsid w:val="00161444"/>
    <w:rsid w:val="0016149C"/>
    <w:rsid w:val="001614D8"/>
    <w:rsid w:val="00161A69"/>
    <w:rsid w:val="00161AEE"/>
    <w:rsid w:val="00161BFF"/>
    <w:rsid w:val="00162056"/>
    <w:rsid w:val="001622D3"/>
    <w:rsid w:val="00162C0B"/>
    <w:rsid w:val="0016323D"/>
    <w:rsid w:val="001632FB"/>
    <w:rsid w:val="0016343C"/>
    <w:rsid w:val="00163540"/>
    <w:rsid w:val="001645B6"/>
    <w:rsid w:val="00164938"/>
    <w:rsid w:val="001649B5"/>
    <w:rsid w:val="00164C3E"/>
    <w:rsid w:val="00164DAA"/>
    <w:rsid w:val="001652F4"/>
    <w:rsid w:val="00165947"/>
    <w:rsid w:val="00165C76"/>
    <w:rsid w:val="00165E0A"/>
    <w:rsid w:val="001661D3"/>
    <w:rsid w:val="00166288"/>
    <w:rsid w:val="001662E4"/>
    <w:rsid w:val="00166316"/>
    <w:rsid w:val="00166319"/>
    <w:rsid w:val="001664CA"/>
    <w:rsid w:val="001671CF"/>
    <w:rsid w:val="00167687"/>
    <w:rsid w:val="00167757"/>
    <w:rsid w:val="00167891"/>
    <w:rsid w:val="00167A99"/>
    <w:rsid w:val="00167FAA"/>
    <w:rsid w:val="00167FBE"/>
    <w:rsid w:val="00167FDD"/>
    <w:rsid w:val="001703A0"/>
    <w:rsid w:val="00170967"/>
    <w:rsid w:val="00170991"/>
    <w:rsid w:val="00170A4B"/>
    <w:rsid w:val="00170E15"/>
    <w:rsid w:val="00170E70"/>
    <w:rsid w:val="001711DC"/>
    <w:rsid w:val="0017188E"/>
    <w:rsid w:val="00172A01"/>
    <w:rsid w:val="00172E48"/>
    <w:rsid w:val="00173151"/>
    <w:rsid w:val="001747FB"/>
    <w:rsid w:val="00174879"/>
    <w:rsid w:val="0017489B"/>
    <w:rsid w:val="00174B36"/>
    <w:rsid w:val="00174D35"/>
    <w:rsid w:val="00175079"/>
    <w:rsid w:val="0017508C"/>
    <w:rsid w:val="00175120"/>
    <w:rsid w:val="00175364"/>
    <w:rsid w:val="00175897"/>
    <w:rsid w:val="00175B59"/>
    <w:rsid w:val="00175DBA"/>
    <w:rsid w:val="00175FBA"/>
    <w:rsid w:val="0017600F"/>
    <w:rsid w:val="001765A3"/>
    <w:rsid w:val="00176F23"/>
    <w:rsid w:val="001770F1"/>
    <w:rsid w:val="001772A7"/>
    <w:rsid w:val="00177A94"/>
    <w:rsid w:val="0018016F"/>
    <w:rsid w:val="00180464"/>
    <w:rsid w:val="00180A46"/>
    <w:rsid w:val="00180B4B"/>
    <w:rsid w:val="00180F58"/>
    <w:rsid w:val="00181180"/>
    <w:rsid w:val="0018133F"/>
    <w:rsid w:val="00181555"/>
    <w:rsid w:val="00181A1C"/>
    <w:rsid w:val="00182103"/>
    <w:rsid w:val="001823B9"/>
    <w:rsid w:val="001829E3"/>
    <w:rsid w:val="00182A18"/>
    <w:rsid w:val="00182B9D"/>
    <w:rsid w:val="00183052"/>
    <w:rsid w:val="001836BE"/>
    <w:rsid w:val="00183ACA"/>
    <w:rsid w:val="00183B4D"/>
    <w:rsid w:val="00183F63"/>
    <w:rsid w:val="00184632"/>
    <w:rsid w:val="00184694"/>
    <w:rsid w:val="00185048"/>
    <w:rsid w:val="001857BC"/>
    <w:rsid w:val="00185DEC"/>
    <w:rsid w:val="00185F1A"/>
    <w:rsid w:val="00186029"/>
    <w:rsid w:val="001871F1"/>
    <w:rsid w:val="0018767A"/>
    <w:rsid w:val="00187799"/>
    <w:rsid w:val="00190077"/>
    <w:rsid w:val="00190333"/>
    <w:rsid w:val="001906DB"/>
    <w:rsid w:val="0019079B"/>
    <w:rsid w:val="001910F4"/>
    <w:rsid w:val="00191237"/>
    <w:rsid w:val="0019150C"/>
    <w:rsid w:val="00191515"/>
    <w:rsid w:val="00191B8A"/>
    <w:rsid w:val="00192293"/>
    <w:rsid w:val="001927F0"/>
    <w:rsid w:val="00192880"/>
    <w:rsid w:val="00192E96"/>
    <w:rsid w:val="00192F98"/>
    <w:rsid w:val="001936CA"/>
    <w:rsid w:val="00193A14"/>
    <w:rsid w:val="00193A4B"/>
    <w:rsid w:val="00193CF7"/>
    <w:rsid w:val="00193D54"/>
    <w:rsid w:val="00194384"/>
    <w:rsid w:val="00194DAF"/>
    <w:rsid w:val="00195940"/>
    <w:rsid w:val="001959E9"/>
    <w:rsid w:val="00195B32"/>
    <w:rsid w:val="001967B2"/>
    <w:rsid w:val="00196C94"/>
    <w:rsid w:val="00196D70"/>
    <w:rsid w:val="001971CB"/>
    <w:rsid w:val="0019720C"/>
    <w:rsid w:val="001977AD"/>
    <w:rsid w:val="00197AD3"/>
    <w:rsid w:val="00197EAC"/>
    <w:rsid w:val="001A047F"/>
    <w:rsid w:val="001A0668"/>
    <w:rsid w:val="001A0B5C"/>
    <w:rsid w:val="001A0D3B"/>
    <w:rsid w:val="001A11E5"/>
    <w:rsid w:val="001A13B6"/>
    <w:rsid w:val="001A14D5"/>
    <w:rsid w:val="001A19E6"/>
    <w:rsid w:val="001A20C6"/>
    <w:rsid w:val="001A22C1"/>
    <w:rsid w:val="001A25AE"/>
    <w:rsid w:val="001A2616"/>
    <w:rsid w:val="001A28FB"/>
    <w:rsid w:val="001A2902"/>
    <w:rsid w:val="001A34D7"/>
    <w:rsid w:val="001A38F0"/>
    <w:rsid w:val="001A3A0A"/>
    <w:rsid w:val="001A3F3F"/>
    <w:rsid w:val="001A41BF"/>
    <w:rsid w:val="001A4D76"/>
    <w:rsid w:val="001A5199"/>
    <w:rsid w:val="001A57C1"/>
    <w:rsid w:val="001A5AFA"/>
    <w:rsid w:val="001A5DA5"/>
    <w:rsid w:val="001A7AAD"/>
    <w:rsid w:val="001B000F"/>
    <w:rsid w:val="001B01CB"/>
    <w:rsid w:val="001B07B9"/>
    <w:rsid w:val="001B0ADE"/>
    <w:rsid w:val="001B10B4"/>
    <w:rsid w:val="001B1426"/>
    <w:rsid w:val="001B15BA"/>
    <w:rsid w:val="001B1A43"/>
    <w:rsid w:val="001B20F5"/>
    <w:rsid w:val="001B2590"/>
    <w:rsid w:val="001B26D9"/>
    <w:rsid w:val="001B28C7"/>
    <w:rsid w:val="001B2A8B"/>
    <w:rsid w:val="001B3221"/>
    <w:rsid w:val="001B3775"/>
    <w:rsid w:val="001B3AD8"/>
    <w:rsid w:val="001B3F06"/>
    <w:rsid w:val="001B4695"/>
    <w:rsid w:val="001B46E7"/>
    <w:rsid w:val="001B52C9"/>
    <w:rsid w:val="001B5337"/>
    <w:rsid w:val="001B53BC"/>
    <w:rsid w:val="001B57BC"/>
    <w:rsid w:val="001B599E"/>
    <w:rsid w:val="001B5A78"/>
    <w:rsid w:val="001B5CAF"/>
    <w:rsid w:val="001B6B0B"/>
    <w:rsid w:val="001B6F33"/>
    <w:rsid w:val="001B7735"/>
    <w:rsid w:val="001B77ED"/>
    <w:rsid w:val="001B7B68"/>
    <w:rsid w:val="001C0221"/>
    <w:rsid w:val="001C061E"/>
    <w:rsid w:val="001C0F4B"/>
    <w:rsid w:val="001C0FBC"/>
    <w:rsid w:val="001C129F"/>
    <w:rsid w:val="001C13ED"/>
    <w:rsid w:val="001C1687"/>
    <w:rsid w:val="001C1F72"/>
    <w:rsid w:val="001C218A"/>
    <w:rsid w:val="001C2213"/>
    <w:rsid w:val="001C2C8A"/>
    <w:rsid w:val="001C2E71"/>
    <w:rsid w:val="001C3A11"/>
    <w:rsid w:val="001C3D9E"/>
    <w:rsid w:val="001C4877"/>
    <w:rsid w:val="001C51E1"/>
    <w:rsid w:val="001C5236"/>
    <w:rsid w:val="001C5458"/>
    <w:rsid w:val="001C5802"/>
    <w:rsid w:val="001C5F64"/>
    <w:rsid w:val="001C6181"/>
    <w:rsid w:val="001C6347"/>
    <w:rsid w:val="001C6B3C"/>
    <w:rsid w:val="001C736C"/>
    <w:rsid w:val="001C78BB"/>
    <w:rsid w:val="001C7A2C"/>
    <w:rsid w:val="001C7C38"/>
    <w:rsid w:val="001D04AC"/>
    <w:rsid w:val="001D07C1"/>
    <w:rsid w:val="001D0963"/>
    <w:rsid w:val="001D0D4A"/>
    <w:rsid w:val="001D0DC3"/>
    <w:rsid w:val="001D0F42"/>
    <w:rsid w:val="001D1045"/>
    <w:rsid w:val="001D2416"/>
    <w:rsid w:val="001D2592"/>
    <w:rsid w:val="001D26FF"/>
    <w:rsid w:val="001D2C5F"/>
    <w:rsid w:val="001D3155"/>
    <w:rsid w:val="001D330A"/>
    <w:rsid w:val="001D35C0"/>
    <w:rsid w:val="001D3A08"/>
    <w:rsid w:val="001D4279"/>
    <w:rsid w:val="001D447C"/>
    <w:rsid w:val="001D4AD4"/>
    <w:rsid w:val="001D4E3C"/>
    <w:rsid w:val="001D5006"/>
    <w:rsid w:val="001D58AB"/>
    <w:rsid w:val="001D5E51"/>
    <w:rsid w:val="001D682E"/>
    <w:rsid w:val="001D6B31"/>
    <w:rsid w:val="001D6B45"/>
    <w:rsid w:val="001D6CF4"/>
    <w:rsid w:val="001D7076"/>
    <w:rsid w:val="001D744B"/>
    <w:rsid w:val="001E079A"/>
    <w:rsid w:val="001E081F"/>
    <w:rsid w:val="001E08DA"/>
    <w:rsid w:val="001E0B27"/>
    <w:rsid w:val="001E0EDB"/>
    <w:rsid w:val="001E13D3"/>
    <w:rsid w:val="001E15E8"/>
    <w:rsid w:val="001E1B40"/>
    <w:rsid w:val="001E1BE8"/>
    <w:rsid w:val="001E204F"/>
    <w:rsid w:val="001E24EA"/>
    <w:rsid w:val="001E2F57"/>
    <w:rsid w:val="001E4755"/>
    <w:rsid w:val="001E4804"/>
    <w:rsid w:val="001E4F73"/>
    <w:rsid w:val="001E51F7"/>
    <w:rsid w:val="001E531B"/>
    <w:rsid w:val="001E54C0"/>
    <w:rsid w:val="001E551F"/>
    <w:rsid w:val="001E55E6"/>
    <w:rsid w:val="001E5952"/>
    <w:rsid w:val="001E5D07"/>
    <w:rsid w:val="001E5DAC"/>
    <w:rsid w:val="001E6089"/>
    <w:rsid w:val="001E67C4"/>
    <w:rsid w:val="001E7779"/>
    <w:rsid w:val="001E779F"/>
    <w:rsid w:val="001E79F6"/>
    <w:rsid w:val="001F0235"/>
    <w:rsid w:val="001F0698"/>
    <w:rsid w:val="001F1597"/>
    <w:rsid w:val="001F1ABF"/>
    <w:rsid w:val="001F1DAA"/>
    <w:rsid w:val="001F21EC"/>
    <w:rsid w:val="001F3366"/>
    <w:rsid w:val="001F352E"/>
    <w:rsid w:val="001F38D3"/>
    <w:rsid w:val="001F3E90"/>
    <w:rsid w:val="001F3EF9"/>
    <w:rsid w:val="001F4F77"/>
    <w:rsid w:val="001F53EF"/>
    <w:rsid w:val="001F5498"/>
    <w:rsid w:val="001F573B"/>
    <w:rsid w:val="001F5C37"/>
    <w:rsid w:val="001F5EA0"/>
    <w:rsid w:val="001F60A2"/>
    <w:rsid w:val="001F6302"/>
    <w:rsid w:val="001F64D7"/>
    <w:rsid w:val="001F66D3"/>
    <w:rsid w:val="001F6F52"/>
    <w:rsid w:val="001F7077"/>
    <w:rsid w:val="001F70B7"/>
    <w:rsid w:val="001F7282"/>
    <w:rsid w:val="001F77BE"/>
    <w:rsid w:val="001F7D1B"/>
    <w:rsid w:val="002000EB"/>
    <w:rsid w:val="002005F7"/>
    <w:rsid w:val="00200A45"/>
    <w:rsid w:val="00200C03"/>
    <w:rsid w:val="00200EAC"/>
    <w:rsid w:val="0020169C"/>
    <w:rsid w:val="00201C23"/>
    <w:rsid w:val="00201D2E"/>
    <w:rsid w:val="002023EE"/>
    <w:rsid w:val="00202BC9"/>
    <w:rsid w:val="00202FBE"/>
    <w:rsid w:val="002034BA"/>
    <w:rsid w:val="0020368C"/>
    <w:rsid w:val="002039D7"/>
    <w:rsid w:val="00203B8B"/>
    <w:rsid w:val="00203C0F"/>
    <w:rsid w:val="00203C61"/>
    <w:rsid w:val="00204018"/>
    <w:rsid w:val="00204871"/>
    <w:rsid w:val="00204C24"/>
    <w:rsid w:val="00204C6A"/>
    <w:rsid w:val="002057AA"/>
    <w:rsid w:val="00205C76"/>
    <w:rsid w:val="002068C9"/>
    <w:rsid w:val="00206BBF"/>
    <w:rsid w:val="00206E6F"/>
    <w:rsid w:val="00207188"/>
    <w:rsid w:val="002073C2"/>
    <w:rsid w:val="0020766F"/>
    <w:rsid w:val="00207EF4"/>
    <w:rsid w:val="00210DD3"/>
    <w:rsid w:val="00211045"/>
    <w:rsid w:val="002112B8"/>
    <w:rsid w:val="00211448"/>
    <w:rsid w:val="002116EE"/>
    <w:rsid w:val="00211716"/>
    <w:rsid w:val="00211886"/>
    <w:rsid w:val="00211EC0"/>
    <w:rsid w:val="00211EF1"/>
    <w:rsid w:val="0021265C"/>
    <w:rsid w:val="00212661"/>
    <w:rsid w:val="0021357B"/>
    <w:rsid w:val="002142A5"/>
    <w:rsid w:val="0021442F"/>
    <w:rsid w:val="00214777"/>
    <w:rsid w:val="00214F26"/>
    <w:rsid w:val="00215176"/>
    <w:rsid w:val="00215554"/>
    <w:rsid w:val="00215733"/>
    <w:rsid w:val="0021595C"/>
    <w:rsid w:val="00215FC4"/>
    <w:rsid w:val="002161F6"/>
    <w:rsid w:val="002165F4"/>
    <w:rsid w:val="002166C9"/>
    <w:rsid w:val="00217777"/>
    <w:rsid w:val="00217B7E"/>
    <w:rsid w:val="00217C10"/>
    <w:rsid w:val="00217F9A"/>
    <w:rsid w:val="002210D5"/>
    <w:rsid w:val="00221BAA"/>
    <w:rsid w:val="00221DAE"/>
    <w:rsid w:val="00221EF9"/>
    <w:rsid w:val="002222B9"/>
    <w:rsid w:val="002227FF"/>
    <w:rsid w:val="0022293C"/>
    <w:rsid w:val="00222B53"/>
    <w:rsid w:val="0022373A"/>
    <w:rsid w:val="00223A96"/>
    <w:rsid w:val="00223EEC"/>
    <w:rsid w:val="002244F6"/>
    <w:rsid w:val="002244FD"/>
    <w:rsid w:val="0022476B"/>
    <w:rsid w:val="00224A5E"/>
    <w:rsid w:val="00224BE7"/>
    <w:rsid w:val="00224DC1"/>
    <w:rsid w:val="00224E8B"/>
    <w:rsid w:val="002250A9"/>
    <w:rsid w:val="00225129"/>
    <w:rsid w:val="0022535F"/>
    <w:rsid w:val="00225704"/>
    <w:rsid w:val="002258CD"/>
    <w:rsid w:val="00225B5B"/>
    <w:rsid w:val="00226403"/>
    <w:rsid w:val="00226461"/>
    <w:rsid w:val="00226679"/>
    <w:rsid w:val="00226782"/>
    <w:rsid w:val="00226932"/>
    <w:rsid w:val="00227068"/>
    <w:rsid w:val="002272AB"/>
    <w:rsid w:val="002272AE"/>
    <w:rsid w:val="002274CB"/>
    <w:rsid w:val="00227555"/>
    <w:rsid w:val="00227E2D"/>
    <w:rsid w:val="002300AE"/>
    <w:rsid w:val="00230515"/>
    <w:rsid w:val="00230ABF"/>
    <w:rsid w:val="00230E55"/>
    <w:rsid w:val="002311C5"/>
    <w:rsid w:val="002317F1"/>
    <w:rsid w:val="00231891"/>
    <w:rsid w:val="00231899"/>
    <w:rsid w:val="00231C07"/>
    <w:rsid w:val="00231E46"/>
    <w:rsid w:val="002320ED"/>
    <w:rsid w:val="002328F7"/>
    <w:rsid w:val="002335A0"/>
    <w:rsid w:val="0023361F"/>
    <w:rsid w:val="00233824"/>
    <w:rsid w:val="002338C4"/>
    <w:rsid w:val="00233B11"/>
    <w:rsid w:val="00233E05"/>
    <w:rsid w:val="0023428C"/>
    <w:rsid w:val="002344A7"/>
    <w:rsid w:val="00234B37"/>
    <w:rsid w:val="00234D9F"/>
    <w:rsid w:val="00234F0F"/>
    <w:rsid w:val="00235A66"/>
    <w:rsid w:val="00235EFE"/>
    <w:rsid w:val="0023612D"/>
    <w:rsid w:val="0023622A"/>
    <w:rsid w:val="002363B1"/>
    <w:rsid w:val="0023707F"/>
    <w:rsid w:val="00237263"/>
    <w:rsid w:val="00237837"/>
    <w:rsid w:val="002407DD"/>
    <w:rsid w:val="002409A9"/>
    <w:rsid w:val="00240A7B"/>
    <w:rsid w:val="00240C21"/>
    <w:rsid w:val="00240F22"/>
    <w:rsid w:val="002417D6"/>
    <w:rsid w:val="002417F9"/>
    <w:rsid w:val="00241BE0"/>
    <w:rsid w:val="00242210"/>
    <w:rsid w:val="00242263"/>
    <w:rsid w:val="00242CF9"/>
    <w:rsid w:val="00243133"/>
    <w:rsid w:val="00243660"/>
    <w:rsid w:val="00243A79"/>
    <w:rsid w:val="00243B1E"/>
    <w:rsid w:val="00243D25"/>
    <w:rsid w:val="00244133"/>
    <w:rsid w:val="002443A9"/>
    <w:rsid w:val="00244441"/>
    <w:rsid w:val="002447BE"/>
    <w:rsid w:val="00244C69"/>
    <w:rsid w:val="002450DB"/>
    <w:rsid w:val="00245C6D"/>
    <w:rsid w:val="00245E94"/>
    <w:rsid w:val="00245ECC"/>
    <w:rsid w:val="00246CF4"/>
    <w:rsid w:val="002471C5"/>
    <w:rsid w:val="002473BB"/>
    <w:rsid w:val="0024768D"/>
    <w:rsid w:val="002476D0"/>
    <w:rsid w:val="00247D0F"/>
    <w:rsid w:val="002500FB"/>
    <w:rsid w:val="00250697"/>
    <w:rsid w:val="00250829"/>
    <w:rsid w:val="00251722"/>
    <w:rsid w:val="00251B16"/>
    <w:rsid w:val="0025254B"/>
    <w:rsid w:val="00252594"/>
    <w:rsid w:val="00252B02"/>
    <w:rsid w:val="00252F1D"/>
    <w:rsid w:val="002534FD"/>
    <w:rsid w:val="002538CC"/>
    <w:rsid w:val="00253AC8"/>
    <w:rsid w:val="00253E7F"/>
    <w:rsid w:val="00254122"/>
    <w:rsid w:val="002546FF"/>
    <w:rsid w:val="00254781"/>
    <w:rsid w:val="002548DD"/>
    <w:rsid w:val="002555A3"/>
    <w:rsid w:val="00255B2E"/>
    <w:rsid w:val="0025636A"/>
    <w:rsid w:val="00256443"/>
    <w:rsid w:val="002564F9"/>
    <w:rsid w:val="00256A69"/>
    <w:rsid w:val="00256C8A"/>
    <w:rsid w:val="00256E1E"/>
    <w:rsid w:val="0025771E"/>
    <w:rsid w:val="00257EA6"/>
    <w:rsid w:val="00257F9D"/>
    <w:rsid w:val="0026018C"/>
    <w:rsid w:val="00260508"/>
    <w:rsid w:val="0026094B"/>
    <w:rsid w:val="00260A10"/>
    <w:rsid w:val="00260A19"/>
    <w:rsid w:val="00260B0F"/>
    <w:rsid w:val="00260C44"/>
    <w:rsid w:val="00261067"/>
    <w:rsid w:val="002610AB"/>
    <w:rsid w:val="0026158D"/>
    <w:rsid w:val="00261836"/>
    <w:rsid w:val="0026195B"/>
    <w:rsid w:val="00261967"/>
    <w:rsid w:val="0026196A"/>
    <w:rsid w:val="002619F6"/>
    <w:rsid w:val="002621B0"/>
    <w:rsid w:val="0026234A"/>
    <w:rsid w:val="0026240F"/>
    <w:rsid w:val="00262636"/>
    <w:rsid w:val="00262C3B"/>
    <w:rsid w:val="002639B6"/>
    <w:rsid w:val="00263B85"/>
    <w:rsid w:val="00263B9E"/>
    <w:rsid w:val="00263C5B"/>
    <w:rsid w:val="00263F1D"/>
    <w:rsid w:val="0026417C"/>
    <w:rsid w:val="002645E0"/>
    <w:rsid w:val="002646BC"/>
    <w:rsid w:val="00264C3C"/>
    <w:rsid w:val="00264D1C"/>
    <w:rsid w:val="002651C4"/>
    <w:rsid w:val="002652E2"/>
    <w:rsid w:val="0026533A"/>
    <w:rsid w:val="00265594"/>
    <w:rsid w:val="002656E7"/>
    <w:rsid w:val="00265A7E"/>
    <w:rsid w:val="002660E7"/>
    <w:rsid w:val="00266427"/>
    <w:rsid w:val="0026698A"/>
    <w:rsid w:val="00266A37"/>
    <w:rsid w:val="00266A4E"/>
    <w:rsid w:val="00266B5E"/>
    <w:rsid w:val="0026788C"/>
    <w:rsid w:val="002703EE"/>
    <w:rsid w:val="00270486"/>
    <w:rsid w:val="002705AD"/>
    <w:rsid w:val="00270BA6"/>
    <w:rsid w:val="00271446"/>
    <w:rsid w:val="00271495"/>
    <w:rsid w:val="00271BB0"/>
    <w:rsid w:val="00272239"/>
    <w:rsid w:val="0027254B"/>
    <w:rsid w:val="0027257D"/>
    <w:rsid w:val="0027278D"/>
    <w:rsid w:val="002727F1"/>
    <w:rsid w:val="0027284A"/>
    <w:rsid w:val="002733D4"/>
    <w:rsid w:val="0027349E"/>
    <w:rsid w:val="00273798"/>
    <w:rsid w:val="0027381D"/>
    <w:rsid w:val="0027386A"/>
    <w:rsid w:val="002743FA"/>
    <w:rsid w:val="00274620"/>
    <w:rsid w:val="00274654"/>
    <w:rsid w:val="00274BBB"/>
    <w:rsid w:val="0027555C"/>
    <w:rsid w:val="0027566E"/>
    <w:rsid w:val="00275A35"/>
    <w:rsid w:val="00275D3C"/>
    <w:rsid w:val="00275D68"/>
    <w:rsid w:val="00276171"/>
    <w:rsid w:val="00276900"/>
    <w:rsid w:val="00276C62"/>
    <w:rsid w:val="0027710B"/>
    <w:rsid w:val="0027752A"/>
    <w:rsid w:val="00277C1C"/>
    <w:rsid w:val="00277D4A"/>
    <w:rsid w:val="00277E37"/>
    <w:rsid w:val="00277E82"/>
    <w:rsid w:val="00280061"/>
    <w:rsid w:val="00280144"/>
    <w:rsid w:val="00280375"/>
    <w:rsid w:val="00280377"/>
    <w:rsid w:val="002804AC"/>
    <w:rsid w:val="002804EB"/>
    <w:rsid w:val="00281059"/>
    <w:rsid w:val="002812D7"/>
    <w:rsid w:val="00281554"/>
    <w:rsid w:val="00281A05"/>
    <w:rsid w:val="00281C4A"/>
    <w:rsid w:val="00282236"/>
    <w:rsid w:val="002828FD"/>
    <w:rsid w:val="002832B0"/>
    <w:rsid w:val="002836CC"/>
    <w:rsid w:val="002838EA"/>
    <w:rsid w:val="00283AE9"/>
    <w:rsid w:val="002840A3"/>
    <w:rsid w:val="00284AB7"/>
    <w:rsid w:val="00284D53"/>
    <w:rsid w:val="002850DB"/>
    <w:rsid w:val="00285D73"/>
    <w:rsid w:val="00285F5C"/>
    <w:rsid w:val="002862AB"/>
    <w:rsid w:val="002862DE"/>
    <w:rsid w:val="002865EA"/>
    <w:rsid w:val="002865ED"/>
    <w:rsid w:val="00286CFA"/>
    <w:rsid w:val="00287290"/>
    <w:rsid w:val="0028777D"/>
    <w:rsid w:val="00290211"/>
    <w:rsid w:val="00290945"/>
    <w:rsid w:val="00290DD8"/>
    <w:rsid w:val="0029142B"/>
    <w:rsid w:val="00291E48"/>
    <w:rsid w:val="0029200F"/>
    <w:rsid w:val="0029253F"/>
    <w:rsid w:val="00292686"/>
    <w:rsid w:val="00292729"/>
    <w:rsid w:val="00292E42"/>
    <w:rsid w:val="002930F0"/>
    <w:rsid w:val="0029317C"/>
    <w:rsid w:val="002934D7"/>
    <w:rsid w:val="00293972"/>
    <w:rsid w:val="002939A1"/>
    <w:rsid w:val="00293E11"/>
    <w:rsid w:val="00294271"/>
    <w:rsid w:val="0029428F"/>
    <w:rsid w:val="002943C8"/>
    <w:rsid w:val="002943D6"/>
    <w:rsid w:val="00294CC4"/>
    <w:rsid w:val="00294DB4"/>
    <w:rsid w:val="00294E55"/>
    <w:rsid w:val="00294E58"/>
    <w:rsid w:val="00295478"/>
    <w:rsid w:val="002957D8"/>
    <w:rsid w:val="0029619C"/>
    <w:rsid w:val="0029661E"/>
    <w:rsid w:val="00296AA9"/>
    <w:rsid w:val="00296BFD"/>
    <w:rsid w:val="00296CA0"/>
    <w:rsid w:val="00296E94"/>
    <w:rsid w:val="0029700A"/>
    <w:rsid w:val="00297699"/>
    <w:rsid w:val="00297761"/>
    <w:rsid w:val="002978BE"/>
    <w:rsid w:val="00297F47"/>
    <w:rsid w:val="002A0347"/>
    <w:rsid w:val="002A0456"/>
    <w:rsid w:val="002A060F"/>
    <w:rsid w:val="002A0A1D"/>
    <w:rsid w:val="002A0D0D"/>
    <w:rsid w:val="002A12FD"/>
    <w:rsid w:val="002A2139"/>
    <w:rsid w:val="002A373D"/>
    <w:rsid w:val="002A3DE5"/>
    <w:rsid w:val="002A3E42"/>
    <w:rsid w:val="002A3EE0"/>
    <w:rsid w:val="002A44A4"/>
    <w:rsid w:val="002A4657"/>
    <w:rsid w:val="002A484E"/>
    <w:rsid w:val="002A49A5"/>
    <w:rsid w:val="002A59D8"/>
    <w:rsid w:val="002A629A"/>
    <w:rsid w:val="002A670F"/>
    <w:rsid w:val="002A6EF8"/>
    <w:rsid w:val="002A7D91"/>
    <w:rsid w:val="002A7EC9"/>
    <w:rsid w:val="002B0249"/>
    <w:rsid w:val="002B03F7"/>
    <w:rsid w:val="002B0936"/>
    <w:rsid w:val="002B0CB4"/>
    <w:rsid w:val="002B1088"/>
    <w:rsid w:val="002B113A"/>
    <w:rsid w:val="002B130B"/>
    <w:rsid w:val="002B1735"/>
    <w:rsid w:val="002B1812"/>
    <w:rsid w:val="002B1B35"/>
    <w:rsid w:val="002B1B82"/>
    <w:rsid w:val="002B25FB"/>
    <w:rsid w:val="002B3064"/>
    <w:rsid w:val="002B323E"/>
    <w:rsid w:val="002B3352"/>
    <w:rsid w:val="002B34FF"/>
    <w:rsid w:val="002B3890"/>
    <w:rsid w:val="002B3B22"/>
    <w:rsid w:val="002B3C30"/>
    <w:rsid w:val="002B3EB9"/>
    <w:rsid w:val="002B487A"/>
    <w:rsid w:val="002B4B86"/>
    <w:rsid w:val="002B4EA8"/>
    <w:rsid w:val="002B596F"/>
    <w:rsid w:val="002B5A11"/>
    <w:rsid w:val="002B5B1A"/>
    <w:rsid w:val="002B5BCB"/>
    <w:rsid w:val="002B5D56"/>
    <w:rsid w:val="002B5EAA"/>
    <w:rsid w:val="002B645E"/>
    <w:rsid w:val="002B6831"/>
    <w:rsid w:val="002B6B1C"/>
    <w:rsid w:val="002B6F8C"/>
    <w:rsid w:val="002B706E"/>
    <w:rsid w:val="002B745C"/>
    <w:rsid w:val="002B7529"/>
    <w:rsid w:val="002B75CB"/>
    <w:rsid w:val="002B7983"/>
    <w:rsid w:val="002C0080"/>
    <w:rsid w:val="002C03AE"/>
    <w:rsid w:val="002C03CE"/>
    <w:rsid w:val="002C0E2C"/>
    <w:rsid w:val="002C0ECE"/>
    <w:rsid w:val="002C112A"/>
    <w:rsid w:val="002C13AE"/>
    <w:rsid w:val="002C17A3"/>
    <w:rsid w:val="002C1BD4"/>
    <w:rsid w:val="002C1C92"/>
    <w:rsid w:val="002C1FF9"/>
    <w:rsid w:val="002C2097"/>
    <w:rsid w:val="002C28FB"/>
    <w:rsid w:val="002C29DD"/>
    <w:rsid w:val="002C2BAC"/>
    <w:rsid w:val="002C2EDD"/>
    <w:rsid w:val="002C2FD9"/>
    <w:rsid w:val="002C3122"/>
    <w:rsid w:val="002C362C"/>
    <w:rsid w:val="002C3714"/>
    <w:rsid w:val="002C421F"/>
    <w:rsid w:val="002C44A8"/>
    <w:rsid w:val="002C4BCB"/>
    <w:rsid w:val="002C4F15"/>
    <w:rsid w:val="002C63C4"/>
    <w:rsid w:val="002C64C2"/>
    <w:rsid w:val="002C6AB6"/>
    <w:rsid w:val="002C6C39"/>
    <w:rsid w:val="002C702C"/>
    <w:rsid w:val="002C7695"/>
    <w:rsid w:val="002C77D8"/>
    <w:rsid w:val="002C7905"/>
    <w:rsid w:val="002C7A4F"/>
    <w:rsid w:val="002D0179"/>
    <w:rsid w:val="002D07EA"/>
    <w:rsid w:val="002D2D74"/>
    <w:rsid w:val="002D3487"/>
    <w:rsid w:val="002D377F"/>
    <w:rsid w:val="002D37B7"/>
    <w:rsid w:val="002D3D34"/>
    <w:rsid w:val="002D40B9"/>
    <w:rsid w:val="002D44D5"/>
    <w:rsid w:val="002D45C1"/>
    <w:rsid w:val="002D45DD"/>
    <w:rsid w:val="002D6341"/>
    <w:rsid w:val="002D6515"/>
    <w:rsid w:val="002D66F4"/>
    <w:rsid w:val="002D6B56"/>
    <w:rsid w:val="002D75DA"/>
    <w:rsid w:val="002D7C26"/>
    <w:rsid w:val="002E0647"/>
    <w:rsid w:val="002E09D6"/>
    <w:rsid w:val="002E0A17"/>
    <w:rsid w:val="002E0BFA"/>
    <w:rsid w:val="002E0E0F"/>
    <w:rsid w:val="002E167C"/>
    <w:rsid w:val="002E1E79"/>
    <w:rsid w:val="002E223A"/>
    <w:rsid w:val="002E2387"/>
    <w:rsid w:val="002E27E0"/>
    <w:rsid w:val="002E35E0"/>
    <w:rsid w:val="002E4450"/>
    <w:rsid w:val="002E44BA"/>
    <w:rsid w:val="002E478E"/>
    <w:rsid w:val="002E48F6"/>
    <w:rsid w:val="002E4DA4"/>
    <w:rsid w:val="002E525F"/>
    <w:rsid w:val="002E52A5"/>
    <w:rsid w:val="002E54A7"/>
    <w:rsid w:val="002E5BDF"/>
    <w:rsid w:val="002E5E0C"/>
    <w:rsid w:val="002E60B7"/>
    <w:rsid w:val="002E60DD"/>
    <w:rsid w:val="002E60F1"/>
    <w:rsid w:val="002E62E9"/>
    <w:rsid w:val="002E6345"/>
    <w:rsid w:val="002E6375"/>
    <w:rsid w:val="002E6590"/>
    <w:rsid w:val="002E663C"/>
    <w:rsid w:val="002E6B6F"/>
    <w:rsid w:val="002E6FBD"/>
    <w:rsid w:val="002E73AA"/>
    <w:rsid w:val="002F0003"/>
    <w:rsid w:val="002F03F0"/>
    <w:rsid w:val="002F0F72"/>
    <w:rsid w:val="002F1260"/>
    <w:rsid w:val="002F1774"/>
    <w:rsid w:val="002F17CD"/>
    <w:rsid w:val="002F1EC3"/>
    <w:rsid w:val="002F1F01"/>
    <w:rsid w:val="002F204E"/>
    <w:rsid w:val="002F2215"/>
    <w:rsid w:val="002F2678"/>
    <w:rsid w:val="002F27B8"/>
    <w:rsid w:val="002F27C1"/>
    <w:rsid w:val="002F2916"/>
    <w:rsid w:val="002F2DB7"/>
    <w:rsid w:val="002F2E20"/>
    <w:rsid w:val="002F2FDD"/>
    <w:rsid w:val="002F3222"/>
    <w:rsid w:val="002F37DE"/>
    <w:rsid w:val="002F3B21"/>
    <w:rsid w:val="002F3DA7"/>
    <w:rsid w:val="002F4141"/>
    <w:rsid w:val="002F498C"/>
    <w:rsid w:val="002F53DF"/>
    <w:rsid w:val="002F57F2"/>
    <w:rsid w:val="002F5CD6"/>
    <w:rsid w:val="002F5E1F"/>
    <w:rsid w:val="002F68A4"/>
    <w:rsid w:val="002F701A"/>
    <w:rsid w:val="002F7122"/>
    <w:rsid w:val="002F72FC"/>
    <w:rsid w:val="002F7538"/>
    <w:rsid w:val="002F7D08"/>
    <w:rsid w:val="002F7D8B"/>
    <w:rsid w:val="002F7ED7"/>
    <w:rsid w:val="003001A6"/>
    <w:rsid w:val="0030043E"/>
    <w:rsid w:val="00300644"/>
    <w:rsid w:val="0030088A"/>
    <w:rsid w:val="0030190B"/>
    <w:rsid w:val="00301DD8"/>
    <w:rsid w:val="0030234B"/>
    <w:rsid w:val="003026B2"/>
    <w:rsid w:val="00302A3F"/>
    <w:rsid w:val="00302FF0"/>
    <w:rsid w:val="00303350"/>
    <w:rsid w:val="00303393"/>
    <w:rsid w:val="00303731"/>
    <w:rsid w:val="003037E8"/>
    <w:rsid w:val="00303AD6"/>
    <w:rsid w:val="00303B74"/>
    <w:rsid w:val="003048AB"/>
    <w:rsid w:val="00304B86"/>
    <w:rsid w:val="00304C2B"/>
    <w:rsid w:val="00304EC3"/>
    <w:rsid w:val="003051F6"/>
    <w:rsid w:val="0030522F"/>
    <w:rsid w:val="003055A0"/>
    <w:rsid w:val="003057A5"/>
    <w:rsid w:val="00305F64"/>
    <w:rsid w:val="00306151"/>
    <w:rsid w:val="003071EC"/>
    <w:rsid w:val="00307545"/>
    <w:rsid w:val="003075F3"/>
    <w:rsid w:val="003078D3"/>
    <w:rsid w:val="0030792F"/>
    <w:rsid w:val="00307B6D"/>
    <w:rsid w:val="00307D3C"/>
    <w:rsid w:val="00307EA9"/>
    <w:rsid w:val="00307F9B"/>
    <w:rsid w:val="00310271"/>
    <w:rsid w:val="0031082C"/>
    <w:rsid w:val="0031090A"/>
    <w:rsid w:val="00310C18"/>
    <w:rsid w:val="00311216"/>
    <w:rsid w:val="00311741"/>
    <w:rsid w:val="00311C59"/>
    <w:rsid w:val="00311FF1"/>
    <w:rsid w:val="003122C6"/>
    <w:rsid w:val="00312636"/>
    <w:rsid w:val="0031271D"/>
    <w:rsid w:val="00312A54"/>
    <w:rsid w:val="003137B8"/>
    <w:rsid w:val="003138A5"/>
    <w:rsid w:val="00313A64"/>
    <w:rsid w:val="00313B75"/>
    <w:rsid w:val="00313E32"/>
    <w:rsid w:val="00314113"/>
    <w:rsid w:val="003142B1"/>
    <w:rsid w:val="003143E5"/>
    <w:rsid w:val="00314DE9"/>
    <w:rsid w:val="00314E9E"/>
    <w:rsid w:val="003150F5"/>
    <w:rsid w:val="003155AC"/>
    <w:rsid w:val="00315C41"/>
    <w:rsid w:val="00315EBD"/>
    <w:rsid w:val="00316068"/>
    <w:rsid w:val="00316725"/>
    <w:rsid w:val="003169E9"/>
    <w:rsid w:val="0031766A"/>
    <w:rsid w:val="003201D6"/>
    <w:rsid w:val="00320550"/>
    <w:rsid w:val="00320DF2"/>
    <w:rsid w:val="003219EC"/>
    <w:rsid w:val="00321E0F"/>
    <w:rsid w:val="003227AE"/>
    <w:rsid w:val="00322CF8"/>
    <w:rsid w:val="003230EF"/>
    <w:rsid w:val="00323185"/>
    <w:rsid w:val="003232F7"/>
    <w:rsid w:val="0032400C"/>
    <w:rsid w:val="00324153"/>
    <w:rsid w:val="003241B5"/>
    <w:rsid w:val="003247E3"/>
    <w:rsid w:val="00324B8F"/>
    <w:rsid w:val="00326311"/>
    <w:rsid w:val="003266E3"/>
    <w:rsid w:val="003267AB"/>
    <w:rsid w:val="00326ED5"/>
    <w:rsid w:val="0032779B"/>
    <w:rsid w:val="003277C6"/>
    <w:rsid w:val="0032797F"/>
    <w:rsid w:val="003279B1"/>
    <w:rsid w:val="00330CD1"/>
    <w:rsid w:val="00330F96"/>
    <w:rsid w:val="00331402"/>
    <w:rsid w:val="00331564"/>
    <w:rsid w:val="00331A0A"/>
    <w:rsid w:val="00331C83"/>
    <w:rsid w:val="00331F43"/>
    <w:rsid w:val="00332085"/>
    <w:rsid w:val="00332258"/>
    <w:rsid w:val="00332626"/>
    <w:rsid w:val="00332651"/>
    <w:rsid w:val="00332C2C"/>
    <w:rsid w:val="00332C71"/>
    <w:rsid w:val="00332E1C"/>
    <w:rsid w:val="00332FE7"/>
    <w:rsid w:val="0033326F"/>
    <w:rsid w:val="00333357"/>
    <w:rsid w:val="00334216"/>
    <w:rsid w:val="00334591"/>
    <w:rsid w:val="00334FEC"/>
    <w:rsid w:val="00335234"/>
    <w:rsid w:val="003357A5"/>
    <w:rsid w:val="003358AC"/>
    <w:rsid w:val="00335A67"/>
    <w:rsid w:val="00335ACF"/>
    <w:rsid w:val="00335DFC"/>
    <w:rsid w:val="003369E9"/>
    <w:rsid w:val="00336AF8"/>
    <w:rsid w:val="00336D82"/>
    <w:rsid w:val="00336E00"/>
    <w:rsid w:val="00336FCE"/>
    <w:rsid w:val="00340943"/>
    <w:rsid w:val="00340AA2"/>
    <w:rsid w:val="00340D6C"/>
    <w:rsid w:val="00340F4C"/>
    <w:rsid w:val="00341201"/>
    <w:rsid w:val="0034151E"/>
    <w:rsid w:val="00341652"/>
    <w:rsid w:val="003417A1"/>
    <w:rsid w:val="00341F7B"/>
    <w:rsid w:val="0034221D"/>
    <w:rsid w:val="00342701"/>
    <w:rsid w:val="003428A8"/>
    <w:rsid w:val="00342971"/>
    <w:rsid w:val="00342CDD"/>
    <w:rsid w:val="003433E1"/>
    <w:rsid w:val="0034376F"/>
    <w:rsid w:val="0034379A"/>
    <w:rsid w:val="00343C4C"/>
    <w:rsid w:val="003444EA"/>
    <w:rsid w:val="00344820"/>
    <w:rsid w:val="00344F4E"/>
    <w:rsid w:val="00345318"/>
    <w:rsid w:val="00345DA7"/>
    <w:rsid w:val="00345E28"/>
    <w:rsid w:val="00345F3F"/>
    <w:rsid w:val="003466C2"/>
    <w:rsid w:val="00346AE9"/>
    <w:rsid w:val="00346CD9"/>
    <w:rsid w:val="00346FA2"/>
    <w:rsid w:val="0034755D"/>
    <w:rsid w:val="0034781D"/>
    <w:rsid w:val="00347A7B"/>
    <w:rsid w:val="00347C78"/>
    <w:rsid w:val="00347EE3"/>
    <w:rsid w:val="003506A3"/>
    <w:rsid w:val="0035073E"/>
    <w:rsid w:val="003508F5"/>
    <w:rsid w:val="00350ED6"/>
    <w:rsid w:val="00351508"/>
    <w:rsid w:val="003516AB"/>
    <w:rsid w:val="00351A20"/>
    <w:rsid w:val="003520F2"/>
    <w:rsid w:val="00352478"/>
    <w:rsid w:val="00352844"/>
    <w:rsid w:val="00352DD2"/>
    <w:rsid w:val="00352F42"/>
    <w:rsid w:val="00353066"/>
    <w:rsid w:val="003530D0"/>
    <w:rsid w:val="003534F2"/>
    <w:rsid w:val="00353A33"/>
    <w:rsid w:val="00354081"/>
    <w:rsid w:val="00354271"/>
    <w:rsid w:val="00354501"/>
    <w:rsid w:val="003552DE"/>
    <w:rsid w:val="003552EC"/>
    <w:rsid w:val="00355346"/>
    <w:rsid w:val="003555CB"/>
    <w:rsid w:val="003557D6"/>
    <w:rsid w:val="0035597C"/>
    <w:rsid w:val="00356912"/>
    <w:rsid w:val="00356CC3"/>
    <w:rsid w:val="00357112"/>
    <w:rsid w:val="0035733C"/>
    <w:rsid w:val="00357450"/>
    <w:rsid w:val="00357726"/>
    <w:rsid w:val="0035776E"/>
    <w:rsid w:val="00357DB0"/>
    <w:rsid w:val="0036024D"/>
    <w:rsid w:val="003602E7"/>
    <w:rsid w:val="00360878"/>
    <w:rsid w:val="00361105"/>
    <w:rsid w:val="00361487"/>
    <w:rsid w:val="003617E9"/>
    <w:rsid w:val="00361AD2"/>
    <w:rsid w:val="00362655"/>
    <w:rsid w:val="00362B31"/>
    <w:rsid w:val="00362FB5"/>
    <w:rsid w:val="00363320"/>
    <w:rsid w:val="00363362"/>
    <w:rsid w:val="0036364D"/>
    <w:rsid w:val="00363751"/>
    <w:rsid w:val="00363892"/>
    <w:rsid w:val="00363BA9"/>
    <w:rsid w:val="003643A5"/>
    <w:rsid w:val="003645AF"/>
    <w:rsid w:val="003646B0"/>
    <w:rsid w:val="00364934"/>
    <w:rsid w:val="00364A90"/>
    <w:rsid w:val="00364B65"/>
    <w:rsid w:val="00364C67"/>
    <w:rsid w:val="003656F1"/>
    <w:rsid w:val="003657B7"/>
    <w:rsid w:val="00365A6F"/>
    <w:rsid w:val="003662D4"/>
    <w:rsid w:val="0036650E"/>
    <w:rsid w:val="0036682B"/>
    <w:rsid w:val="0036699E"/>
    <w:rsid w:val="00366D2A"/>
    <w:rsid w:val="00366D35"/>
    <w:rsid w:val="00367112"/>
    <w:rsid w:val="003672B7"/>
    <w:rsid w:val="00367842"/>
    <w:rsid w:val="00370778"/>
    <w:rsid w:val="00370DCA"/>
    <w:rsid w:val="003715A2"/>
    <w:rsid w:val="00372319"/>
    <w:rsid w:val="00372368"/>
    <w:rsid w:val="003728D3"/>
    <w:rsid w:val="003739FC"/>
    <w:rsid w:val="00373A92"/>
    <w:rsid w:val="00373ED7"/>
    <w:rsid w:val="0037401F"/>
    <w:rsid w:val="003742E8"/>
    <w:rsid w:val="003749B0"/>
    <w:rsid w:val="00374C56"/>
    <w:rsid w:val="00374D55"/>
    <w:rsid w:val="00375811"/>
    <w:rsid w:val="00375C47"/>
    <w:rsid w:val="0037600D"/>
    <w:rsid w:val="003760B4"/>
    <w:rsid w:val="0037686F"/>
    <w:rsid w:val="00376C06"/>
    <w:rsid w:val="00377031"/>
    <w:rsid w:val="00377691"/>
    <w:rsid w:val="003779B7"/>
    <w:rsid w:val="00377ACB"/>
    <w:rsid w:val="00377BBF"/>
    <w:rsid w:val="00377D23"/>
    <w:rsid w:val="0038003F"/>
    <w:rsid w:val="00380232"/>
    <w:rsid w:val="00380240"/>
    <w:rsid w:val="00380684"/>
    <w:rsid w:val="003808C1"/>
    <w:rsid w:val="00380CD3"/>
    <w:rsid w:val="003812C2"/>
    <w:rsid w:val="00381316"/>
    <w:rsid w:val="0038131C"/>
    <w:rsid w:val="00381419"/>
    <w:rsid w:val="00381751"/>
    <w:rsid w:val="003825B1"/>
    <w:rsid w:val="00382674"/>
    <w:rsid w:val="00382C4F"/>
    <w:rsid w:val="00382CD5"/>
    <w:rsid w:val="00382DFD"/>
    <w:rsid w:val="003830F2"/>
    <w:rsid w:val="003831BB"/>
    <w:rsid w:val="00383416"/>
    <w:rsid w:val="0038342A"/>
    <w:rsid w:val="0038386C"/>
    <w:rsid w:val="00383AEB"/>
    <w:rsid w:val="003847F8"/>
    <w:rsid w:val="00384DCF"/>
    <w:rsid w:val="0038543F"/>
    <w:rsid w:val="0038587C"/>
    <w:rsid w:val="003858E3"/>
    <w:rsid w:val="00385B90"/>
    <w:rsid w:val="00386C51"/>
    <w:rsid w:val="003870C7"/>
    <w:rsid w:val="00387279"/>
    <w:rsid w:val="003873EC"/>
    <w:rsid w:val="0038758C"/>
    <w:rsid w:val="003877FA"/>
    <w:rsid w:val="00387B14"/>
    <w:rsid w:val="00387CE8"/>
    <w:rsid w:val="0039050A"/>
    <w:rsid w:val="00390BBB"/>
    <w:rsid w:val="00391051"/>
    <w:rsid w:val="00391722"/>
    <w:rsid w:val="003918C2"/>
    <w:rsid w:val="003923C9"/>
    <w:rsid w:val="003929B9"/>
    <w:rsid w:val="0039302C"/>
    <w:rsid w:val="003930E4"/>
    <w:rsid w:val="0039325B"/>
    <w:rsid w:val="00393818"/>
    <w:rsid w:val="00393B51"/>
    <w:rsid w:val="00393D4D"/>
    <w:rsid w:val="0039486E"/>
    <w:rsid w:val="00394B46"/>
    <w:rsid w:val="00395136"/>
    <w:rsid w:val="00395D05"/>
    <w:rsid w:val="00395D07"/>
    <w:rsid w:val="00395E84"/>
    <w:rsid w:val="0039621D"/>
    <w:rsid w:val="0039625A"/>
    <w:rsid w:val="00396DE8"/>
    <w:rsid w:val="00396E03"/>
    <w:rsid w:val="00397213"/>
    <w:rsid w:val="003974F3"/>
    <w:rsid w:val="00397623"/>
    <w:rsid w:val="003977A3"/>
    <w:rsid w:val="00397B3F"/>
    <w:rsid w:val="00397E52"/>
    <w:rsid w:val="003A050D"/>
    <w:rsid w:val="003A0C00"/>
    <w:rsid w:val="003A0C60"/>
    <w:rsid w:val="003A0D1A"/>
    <w:rsid w:val="003A0E36"/>
    <w:rsid w:val="003A1006"/>
    <w:rsid w:val="003A117A"/>
    <w:rsid w:val="003A13A2"/>
    <w:rsid w:val="003A1870"/>
    <w:rsid w:val="003A18F2"/>
    <w:rsid w:val="003A19E1"/>
    <w:rsid w:val="003A2214"/>
    <w:rsid w:val="003A2282"/>
    <w:rsid w:val="003A2290"/>
    <w:rsid w:val="003A2350"/>
    <w:rsid w:val="003A265D"/>
    <w:rsid w:val="003A311C"/>
    <w:rsid w:val="003A36FC"/>
    <w:rsid w:val="003A3841"/>
    <w:rsid w:val="003A3AF0"/>
    <w:rsid w:val="003A3DF1"/>
    <w:rsid w:val="003A3F86"/>
    <w:rsid w:val="003A3FE1"/>
    <w:rsid w:val="003A3FE5"/>
    <w:rsid w:val="003A435E"/>
    <w:rsid w:val="003A518A"/>
    <w:rsid w:val="003A577F"/>
    <w:rsid w:val="003A5905"/>
    <w:rsid w:val="003A5977"/>
    <w:rsid w:val="003A61A8"/>
    <w:rsid w:val="003A6759"/>
    <w:rsid w:val="003A6CD3"/>
    <w:rsid w:val="003A769A"/>
    <w:rsid w:val="003A7FE6"/>
    <w:rsid w:val="003B030F"/>
    <w:rsid w:val="003B0761"/>
    <w:rsid w:val="003B076F"/>
    <w:rsid w:val="003B0AB5"/>
    <w:rsid w:val="003B0C3B"/>
    <w:rsid w:val="003B0CEB"/>
    <w:rsid w:val="003B0E7D"/>
    <w:rsid w:val="003B1525"/>
    <w:rsid w:val="003B1858"/>
    <w:rsid w:val="003B1CD3"/>
    <w:rsid w:val="003B1D7D"/>
    <w:rsid w:val="003B1EF7"/>
    <w:rsid w:val="003B2183"/>
    <w:rsid w:val="003B220C"/>
    <w:rsid w:val="003B2492"/>
    <w:rsid w:val="003B27CE"/>
    <w:rsid w:val="003B2805"/>
    <w:rsid w:val="003B28E9"/>
    <w:rsid w:val="003B2C01"/>
    <w:rsid w:val="003B2C2C"/>
    <w:rsid w:val="003B2E36"/>
    <w:rsid w:val="003B2F20"/>
    <w:rsid w:val="003B2F26"/>
    <w:rsid w:val="003B37F9"/>
    <w:rsid w:val="003B3809"/>
    <w:rsid w:val="003B384A"/>
    <w:rsid w:val="003B40B4"/>
    <w:rsid w:val="003B4338"/>
    <w:rsid w:val="003B4529"/>
    <w:rsid w:val="003B4643"/>
    <w:rsid w:val="003B4C8E"/>
    <w:rsid w:val="003B532E"/>
    <w:rsid w:val="003B53D3"/>
    <w:rsid w:val="003B573B"/>
    <w:rsid w:val="003B574D"/>
    <w:rsid w:val="003B5B18"/>
    <w:rsid w:val="003B5E91"/>
    <w:rsid w:val="003B635A"/>
    <w:rsid w:val="003B6BED"/>
    <w:rsid w:val="003B6C70"/>
    <w:rsid w:val="003B6EA9"/>
    <w:rsid w:val="003B6F86"/>
    <w:rsid w:val="003B7026"/>
    <w:rsid w:val="003B709B"/>
    <w:rsid w:val="003B7708"/>
    <w:rsid w:val="003B7B45"/>
    <w:rsid w:val="003B7C67"/>
    <w:rsid w:val="003B7D50"/>
    <w:rsid w:val="003B7DCF"/>
    <w:rsid w:val="003B7E52"/>
    <w:rsid w:val="003C017E"/>
    <w:rsid w:val="003C04FC"/>
    <w:rsid w:val="003C06C4"/>
    <w:rsid w:val="003C0B11"/>
    <w:rsid w:val="003C1208"/>
    <w:rsid w:val="003C1441"/>
    <w:rsid w:val="003C14F9"/>
    <w:rsid w:val="003C1B9D"/>
    <w:rsid w:val="003C1BBD"/>
    <w:rsid w:val="003C25CD"/>
    <w:rsid w:val="003C292B"/>
    <w:rsid w:val="003C30E0"/>
    <w:rsid w:val="003C3836"/>
    <w:rsid w:val="003C3B3F"/>
    <w:rsid w:val="003C42C4"/>
    <w:rsid w:val="003C44CC"/>
    <w:rsid w:val="003C47CE"/>
    <w:rsid w:val="003C48A9"/>
    <w:rsid w:val="003C48AB"/>
    <w:rsid w:val="003C4BDA"/>
    <w:rsid w:val="003C4DED"/>
    <w:rsid w:val="003C4EEE"/>
    <w:rsid w:val="003C52BC"/>
    <w:rsid w:val="003C54D5"/>
    <w:rsid w:val="003C56AF"/>
    <w:rsid w:val="003C5803"/>
    <w:rsid w:val="003C5AB8"/>
    <w:rsid w:val="003C6B1B"/>
    <w:rsid w:val="003C6D66"/>
    <w:rsid w:val="003C7D1B"/>
    <w:rsid w:val="003D057E"/>
    <w:rsid w:val="003D17D8"/>
    <w:rsid w:val="003D1848"/>
    <w:rsid w:val="003D1C2B"/>
    <w:rsid w:val="003D216F"/>
    <w:rsid w:val="003D21BE"/>
    <w:rsid w:val="003D25ED"/>
    <w:rsid w:val="003D2CD5"/>
    <w:rsid w:val="003D2D9F"/>
    <w:rsid w:val="003D30AC"/>
    <w:rsid w:val="003D32A3"/>
    <w:rsid w:val="003D33F5"/>
    <w:rsid w:val="003D3472"/>
    <w:rsid w:val="003D4770"/>
    <w:rsid w:val="003D49B9"/>
    <w:rsid w:val="003D4B53"/>
    <w:rsid w:val="003D510A"/>
    <w:rsid w:val="003D513E"/>
    <w:rsid w:val="003D524C"/>
    <w:rsid w:val="003D52BE"/>
    <w:rsid w:val="003D560D"/>
    <w:rsid w:val="003D5FF7"/>
    <w:rsid w:val="003D615C"/>
    <w:rsid w:val="003D6443"/>
    <w:rsid w:val="003D64AC"/>
    <w:rsid w:val="003D6539"/>
    <w:rsid w:val="003D697C"/>
    <w:rsid w:val="003D6F1B"/>
    <w:rsid w:val="003D701E"/>
    <w:rsid w:val="003D7233"/>
    <w:rsid w:val="003D77A5"/>
    <w:rsid w:val="003D78BB"/>
    <w:rsid w:val="003D7D0F"/>
    <w:rsid w:val="003E05F3"/>
    <w:rsid w:val="003E06FC"/>
    <w:rsid w:val="003E120C"/>
    <w:rsid w:val="003E14B2"/>
    <w:rsid w:val="003E14E7"/>
    <w:rsid w:val="003E17C2"/>
    <w:rsid w:val="003E18FD"/>
    <w:rsid w:val="003E2081"/>
    <w:rsid w:val="003E2087"/>
    <w:rsid w:val="003E22BD"/>
    <w:rsid w:val="003E2BD1"/>
    <w:rsid w:val="003E32C1"/>
    <w:rsid w:val="003E3686"/>
    <w:rsid w:val="003E399B"/>
    <w:rsid w:val="003E3B7C"/>
    <w:rsid w:val="003E3B8B"/>
    <w:rsid w:val="003E42DF"/>
    <w:rsid w:val="003E457C"/>
    <w:rsid w:val="003E477B"/>
    <w:rsid w:val="003E4DEB"/>
    <w:rsid w:val="003E50B6"/>
    <w:rsid w:val="003E5238"/>
    <w:rsid w:val="003E5560"/>
    <w:rsid w:val="003E5695"/>
    <w:rsid w:val="003E584F"/>
    <w:rsid w:val="003E5B51"/>
    <w:rsid w:val="003E5D2A"/>
    <w:rsid w:val="003E5E29"/>
    <w:rsid w:val="003E6417"/>
    <w:rsid w:val="003E647C"/>
    <w:rsid w:val="003E6717"/>
    <w:rsid w:val="003E6E80"/>
    <w:rsid w:val="003E7009"/>
    <w:rsid w:val="003E742E"/>
    <w:rsid w:val="003E7764"/>
    <w:rsid w:val="003E7F5A"/>
    <w:rsid w:val="003F0B3C"/>
    <w:rsid w:val="003F0C5A"/>
    <w:rsid w:val="003F1151"/>
    <w:rsid w:val="003F14CC"/>
    <w:rsid w:val="003F1A39"/>
    <w:rsid w:val="003F1B38"/>
    <w:rsid w:val="003F1DD9"/>
    <w:rsid w:val="003F223B"/>
    <w:rsid w:val="003F22A7"/>
    <w:rsid w:val="003F361C"/>
    <w:rsid w:val="003F3CEC"/>
    <w:rsid w:val="003F3D11"/>
    <w:rsid w:val="003F3F99"/>
    <w:rsid w:val="003F4863"/>
    <w:rsid w:val="003F4893"/>
    <w:rsid w:val="003F49EB"/>
    <w:rsid w:val="003F4E7B"/>
    <w:rsid w:val="003F5639"/>
    <w:rsid w:val="003F56A8"/>
    <w:rsid w:val="003F5DAA"/>
    <w:rsid w:val="003F5E6C"/>
    <w:rsid w:val="003F5FD6"/>
    <w:rsid w:val="003F614A"/>
    <w:rsid w:val="003F6511"/>
    <w:rsid w:val="003F6BDC"/>
    <w:rsid w:val="003F6CD8"/>
    <w:rsid w:val="003F6D10"/>
    <w:rsid w:val="003F6EB8"/>
    <w:rsid w:val="003F721F"/>
    <w:rsid w:val="003F734A"/>
    <w:rsid w:val="003F744D"/>
    <w:rsid w:val="003F7809"/>
    <w:rsid w:val="00400C48"/>
    <w:rsid w:val="00400F9C"/>
    <w:rsid w:val="00401683"/>
    <w:rsid w:val="00401933"/>
    <w:rsid w:val="00401A73"/>
    <w:rsid w:val="00401D27"/>
    <w:rsid w:val="00401ED6"/>
    <w:rsid w:val="00402141"/>
    <w:rsid w:val="00402420"/>
    <w:rsid w:val="004025BF"/>
    <w:rsid w:val="00402C58"/>
    <w:rsid w:val="0040359C"/>
    <w:rsid w:val="00403783"/>
    <w:rsid w:val="00403976"/>
    <w:rsid w:val="00404073"/>
    <w:rsid w:val="00404096"/>
    <w:rsid w:val="00404B2C"/>
    <w:rsid w:val="00404BA0"/>
    <w:rsid w:val="0040523B"/>
    <w:rsid w:val="00405586"/>
    <w:rsid w:val="00405905"/>
    <w:rsid w:val="00405963"/>
    <w:rsid w:val="00405A4B"/>
    <w:rsid w:val="00405CB5"/>
    <w:rsid w:val="00405D4C"/>
    <w:rsid w:val="00406496"/>
    <w:rsid w:val="004065D7"/>
    <w:rsid w:val="0040672B"/>
    <w:rsid w:val="00406B25"/>
    <w:rsid w:val="00406E02"/>
    <w:rsid w:val="00406F3C"/>
    <w:rsid w:val="00406FD2"/>
    <w:rsid w:val="004077BD"/>
    <w:rsid w:val="00407978"/>
    <w:rsid w:val="00407D29"/>
    <w:rsid w:val="00407E9B"/>
    <w:rsid w:val="00407F04"/>
    <w:rsid w:val="004106ED"/>
    <w:rsid w:val="004107CD"/>
    <w:rsid w:val="00410977"/>
    <w:rsid w:val="00410B07"/>
    <w:rsid w:val="00410BEC"/>
    <w:rsid w:val="0041103D"/>
    <w:rsid w:val="0041201D"/>
    <w:rsid w:val="004120EB"/>
    <w:rsid w:val="00412449"/>
    <w:rsid w:val="004124B7"/>
    <w:rsid w:val="00412A73"/>
    <w:rsid w:val="00413355"/>
    <w:rsid w:val="004135B3"/>
    <w:rsid w:val="004158A8"/>
    <w:rsid w:val="004159BF"/>
    <w:rsid w:val="00415C52"/>
    <w:rsid w:val="00415DE2"/>
    <w:rsid w:val="0041602E"/>
    <w:rsid w:val="004166BC"/>
    <w:rsid w:val="0041679A"/>
    <w:rsid w:val="00416911"/>
    <w:rsid w:val="004169B9"/>
    <w:rsid w:val="00416A32"/>
    <w:rsid w:val="00417152"/>
    <w:rsid w:val="004175B6"/>
    <w:rsid w:val="00417714"/>
    <w:rsid w:val="00417BB4"/>
    <w:rsid w:val="00417C33"/>
    <w:rsid w:val="00417D16"/>
    <w:rsid w:val="00417E1D"/>
    <w:rsid w:val="00417ECD"/>
    <w:rsid w:val="00420545"/>
    <w:rsid w:val="00420620"/>
    <w:rsid w:val="00420AA9"/>
    <w:rsid w:val="00420CB5"/>
    <w:rsid w:val="00420F56"/>
    <w:rsid w:val="00421675"/>
    <w:rsid w:val="00421A7F"/>
    <w:rsid w:val="00421ED1"/>
    <w:rsid w:val="00422146"/>
    <w:rsid w:val="00422303"/>
    <w:rsid w:val="00422ED6"/>
    <w:rsid w:val="004239FF"/>
    <w:rsid w:val="00423A39"/>
    <w:rsid w:val="00423C08"/>
    <w:rsid w:val="004243F9"/>
    <w:rsid w:val="004244D4"/>
    <w:rsid w:val="00424647"/>
    <w:rsid w:val="00425437"/>
    <w:rsid w:val="0042563A"/>
    <w:rsid w:val="00425724"/>
    <w:rsid w:val="00425729"/>
    <w:rsid w:val="00425AC0"/>
    <w:rsid w:val="00425ACB"/>
    <w:rsid w:val="00425AED"/>
    <w:rsid w:val="00425DA0"/>
    <w:rsid w:val="00425E97"/>
    <w:rsid w:val="0042609B"/>
    <w:rsid w:val="00426210"/>
    <w:rsid w:val="00426B1C"/>
    <w:rsid w:val="00426B82"/>
    <w:rsid w:val="00426F10"/>
    <w:rsid w:val="004275C9"/>
    <w:rsid w:val="004279EA"/>
    <w:rsid w:val="00427ED8"/>
    <w:rsid w:val="00427FF2"/>
    <w:rsid w:val="00430489"/>
    <w:rsid w:val="004309C8"/>
    <w:rsid w:val="00430B6C"/>
    <w:rsid w:val="00430B7F"/>
    <w:rsid w:val="00430EA4"/>
    <w:rsid w:val="00430F36"/>
    <w:rsid w:val="00431975"/>
    <w:rsid w:val="00431E54"/>
    <w:rsid w:val="004323D0"/>
    <w:rsid w:val="0043285D"/>
    <w:rsid w:val="00432932"/>
    <w:rsid w:val="00432A85"/>
    <w:rsid w:val="00432A8E"/>
    <w:rsid w:val="00432B6E"/>
    <w:rsid w:val="00432E67"/>
    <w:rsid w:val="00432E68"/>
    <w:rsid w:val="00433733"/>
    <w:rsid w:val="00433B94"/>
    <w:rsid w:val="00434015"/>
    <w:rsid w:val="00434325"/>
    <w:rsid w:val="0043447C"/>
    <w:rsid w:val="0043456C"/>
    <w:rsid w:val="00434707"/>
    <w:rsid w:val="00434932"/>
    <w:rsid w:val="004349F7"/>
    <w:rsid w:val="00434C33"/>
    <w:rsid w:val="00434D0D"/>
    <w:rsid w:val="004350BA"/>
    <w:rsid w:val="00435802"/>
    <w:rsid w:val="004358FA"/>
    <w:rsid w:val="00435A1B"/>
    <w:rsid w:val="00435BE0"/>
    <w:rsid w:val="00435D51"/>
    <w:rsid w:val="00435FFF"/>
    <w:rsid w:val="00436758"/>
    <w:rsid w:val="00436860"/>
    <w:rsid w:val="00436861"/>
    <w:rsid w:val="00436BBA"/>
    <w:rsid w:val="00436D25"/>
    <w:rsid w:val="00437253"/>
    <w:rsid w:val="004375A1"/>
    <w:rsid w:val="00437CF9"/>
    <w:rsid w:val="004404A2"/>
    <w:rsid w:val="00440A06"/>
    <w:rsid w:val="00440EF8"/>
    <w:rsid w:val="00440F98"/>
    <w:rsid w:val="004416A0"/>
    <w:rsid w:val="00441AF8"/>
    <w:rsid w:val="00441B06"/>
    <w:rsid w:val="00441E3E"/>
    <w:rsid w:val="004423DE"/>
    <w:rsid w:val="00442A1A"/>
    <w:rsid w:val="00442C1F"/>
    <w:rsid w:val="00442DCC"/>
    <w:rsid w:val="00443AEA"/>
    <w:rsid w:val="0044408A"/>
    <w:rsid w:val="00444495"/>
    <w:rsid w:val="00444508"/>
    <w:rsid w:val="00444509"/>
    <w:rsid w:val="00444586"/>
    <w:rsid w:val="00445096"/>
    <w:rsid w:val="0044536C"/>
    <w:rsid w:val="00445DEB"/>
    <w:rsid w:val="00445FBF"/>
    <w:rsid w:val="004461DD"/>
    <w:rsid w:val="00446348"/>
    <w:rsid w:val="0044666B"/>
    <w:rsid w:val="0044694C"/>
    <w:rsid w:val="00446A13"/>
    <w:rsid w:val="00446ACB"/>
    <w:rsid w:val="00446AD8"/>
    <w:rsid w:val="004474D4"/>
    <w:rsid w:val="00447576"/>
    <w:rsid w:val="00447A29"/>
    <w:rsid w:val="00447EA3"/>
    <w:rsid w:val="004500B9"/>
    <w:rsid w:val="00450DD9"/>
    <w:rsid w:val="00450FD5"/>
    <w:rsid w:val="00451137"/>
    <w:rsid w:val="0045113B"/>
    <w:rsid w:val="004514A2"/>
    <w:rsid w:val="00451FAA"/>
    <w:rsid w:val="00452420"/>
    <w:rsid w:val="00452F7A"/>
    <w:rsid w:val="004535F3"/>
    <w:rsid w:val="00453AA8"/>
    <w:rsid w:val="00453B63"/>
    <w:rsid w:val="00453B68"/>
    <w:rsid w:val="004541F3"/>
    <w:rsid w:val="004541FD"/>
    <w:rsid w:val="0045489F"/>
    <w:rsid w:val="00454AF8"/>
    <w:rsid w:val="00454BC1"/>
    <w:rsid w:val="00454D1F"/>
    <w:rsid w:val="0045558E"/>
    <w:rsid w:val="0045580C"/>
    <w:rsid w:val="004559EF"/>
    <w:rsid w:val="00455B62"/>
    <w:rsid w:val="004567AC"/>
    <w:rsid w:val="00456F80"/>
    <w:rsid w:val="00456FCA"/>
    <w:rsid w:val="00457730"/>
    <w:rsid w:val="00457ACC"/>
    <w:rsid w:val="004600F6"/>
    <w:rsid w:val="00460457"/>
    <w:rsid w:val="00460B08"/>
    <w:rsid w:val="00460D19"/>
    <w:rsid w:val="00461421"/>
    <w:rsid w:val="00461432"/>
    <w:rsid w:val="004617BA"/>
    <w:rsid w:val="00461BEA"/>
    <w:rsid w:val="00461E39"/>
    <w:rsid w:val="0046299E"/>
    <w:rsid w:val="00462C08"/>
    <w:rsid w:val="00462DEA"/>
    <w:rsid w:val="004639FB"/>
    <w:rsid w:val="00463A4F"/>
    <w:rsid w:val="00464124"/>
    <w:rsid w:val="004643BC"/>
    <w:rsid w:val="0046482D"/>
    <w:rsid w:val="00464B27"/>
    <w:rsid w:val="00464EF5"/>
    <w:rsid w:val="00464F80"/>
    <w:rsid w:val="00464FF5"/>
    <w:rsid w:val="00464FFD"/>
    <w:rsid w:val="004651F3"/>
    <w:rsid w:val="004653AD"/>
    <w:rsid w:val="004656C0"/>
    <w:rsid w:val="00465C28"/>
    <w:rsid w:val="00465E50"/>
    <w:rsid w:val="00465FDA"/>
    <w:rsid w:val="00466618"/>
    <w:rsid w:val="00466BDF"/>
    <w:rsid w:val="004676F6"/>
    <w:rsid w:val="00467A80"/>
    <w:rsid w:val="0047006B"/>
    <w:rsid w:val="00470513"/>
    <w:rsid w:val="0047052B"/>
    <w:rsid w:val="00470865"/>
    <w:rsid w:val="00470A44"/>
    <w:rsid w:val="00470E31"/>
    <w:rsid w:val="00470EB6"/>
    <w:rsid w:val="0047136E"/>
    <w:rsid w:val="004713E7"/>
    <w:rsid w:val="004714E3"/>
    <w:rsid w:val="00471561"/>
    <w:rsid w:val="00471613"/>
    <w:rsid w:val="00471A4D"/>
    <w:rsid w:val="00471AB2"/>
    <w:rsid w:val="00471E45"/>
    <w:rsid w:val="00471E6F"/>
    <w:rsid w:val="004720A3"/>
    <w:rsid w:val="00472254"/>
    <w:rsid w:val="004723FC"/>
    <w:rsid w:val="00472862"/>
    <w:rsid w:val="004730F6"/>
    <w:rsid w:val="00473116"/>
    <w:rsid w:val="004732E0"/>
    <w:rsid w:val="00473874"/>
    <w:rsid w:val="00474027"/>
    <w:rsid w:val="004742D9"/>
    <w:rsid w:val="00474822"/>
    <w:rsid w:val="004748AB"/>
    <w:rsid w:val="00474E36"/>
    <w:rsid w:val="004756C6"/>
    <w:rsid w:val="00475B31"/>
    <w:rsid w:val="00475C89"/>
    <w:rsid w:val="00475EF2"/>
    <w:rsid w:val="00476048"/>
    <w:rsid w:val="0047614F"/>
    <w:rsid w:val="00476711"/>
    <w:rsid w:val="0047772F"/>
    <w:rsid w:val="00477A1E"/>
    <w:rsid w:val="00477A5B"/>
    <w:rsid w:val="00477F32"/>
    <w:rsid w:val="00480FF9"/>
    <w:rsid w:val="004810CF"/>
    <w:rsid w:val="00481340"/>
    <w:rsid w:val="004814B3"/>
    <w:rsid w:val="004818A1"/>
    <w:rsid w:val="004818D5"/>
    <w:rsid w:val="00482465"/>
    <w:rsid w:val="004824DD"/>
    <w:rsid w:val="004826CF"/>
    <w:rsid w:val="0048280F"/>
    <w:rsid w:val="004828B2"/>
    <w:rsid w:val="00482AF5"/>
    <w:rsid w:val="00482C3D"/>
    <w:rsid w:val="00482DD6"/>
    <w:rsid w:val="00482DFE"/>
    <w:rsid w:val="00482FFB"/>
    <w:rsid w:val="004830AA"/>
    <w:rsid w:val="004835A5"/>
    <w:rsid w:val="00483858"/>
    <w:rsid w:val="00483AF3"/>
    <w:rsid w:val="00483E9E"/>
    <w:rsid w:val="00484066"/>
    <w:rsid w:val="00484440"/>
    <w:rsid w:val="00484A4E"/>
    <w:rsid w:val="00484ABB"/>
    <w:rsid w:val="00484B5B"/>
    <w:rsid w:val="00484F00"/>
    <w:rsid w:val="00485453"/>
    <w:rsid w:val="0048546D"/>
    <w:rsid w:val="00485A12"/>
    <w:rsid w:val="00485CF8"/>
    <w:rsid w:val="0048614A"/>
    <w:rsid w:val="00486649"/>
    <w:rsid w:val="0048681B"/>
    <w:rsid w:val="00486F36"/>
    <w:rsid w:val="004871D6"/>
    <w:rsid w:val="0048781F"/>
    <w:rsid w:val="00487B57"/>
    <w:rsid w:val="00487BB6"/>
    <w:rsid w:val="004901AF"/>
    <w:rsid w:val="004903B1"/>
    <w:rsid w:val="00490A4A"/>
    <w:rsid w:val="00490BD2"/>
    <w:rsid w:val="00490F56"/>
    <w:rsid w:val="0049192C"/>
    <w:rsid w:val="00491BE4"/>
    <w:rsid w:val="00491D4B"/>
    <w:rsid w:val="00491E51"/>
    <w:rsid w:val="00491F82"/>
    <w:rsid w:val="0049220C"/>
    <w:rsid w:val="00492783"/>
    <w:rsid w:val="004927A4"/>
    <w:rsid w:val="0049283C"/>
    <w:rsid w:val="00492A49"/>
    <w:rsid w:val="00493428"/>
    <w:rsid w:val="0049365E"/>
    <w:rsid w:val="00493C5A"/>
    <w:rsid w:val="00493FBF"/>
    <w:rsid w:val="004941C0"/>
    <w:rsid w:val="004942B5"/>
    <w:rsid w:val="0049431B"/>
    <w:rsid w:val="00494DAD"/>
    <w:rsid w:val="00495829"/>
    <w:rsid w:val="004959DC"/>
    <w:rsid w:val="00495A78"/>
    <w:rsid w:val="00495FFC"/>
    <w:rsid w:val="0049623F"/>
    <w:rsid w:val="004964F6"/>
    <w:rsid w:val="0049652D"/>
    <w:rsid w:val="004967C5"/>
    <w:rsid w:val="004973CB"/>
    <w:rsid w:val="004975D3"/>
    <w:rsid w:val="00497BDD"/>
    <w:rsid w:val="004A06D0"/>
    <w:rsid w:val="004A084A"/>
    <w:rsid w:val="004A13A5"/>
    <w:rsid w:val="004A2072"/>
    <w:rsid w:val="004A211E"/>
    <w:rsid w:val="004A294B"/>
    <w:rsid w:val="004A2E90"/>
    <w:rsid w:val="004A3029"/>
    <w:rsid w:val="004A3338"/>
    <w:rsid w:val="004A3878"/>
    <w:rsid w:val="004A3B43"/>
    <w:rsid w:val="004A4236"/>
    <w:rsid w:val="004A446A"/>
    <w:rsid w:val="004A4B54"/>
    <w:rsid w:val="004A52D6"/>
    <w:rsid w:val="004A57AA"/>
    <w:rsid w:val="004A5940"/>
    <w:rsid w:val="004A627E"/>
    <w:rsid w:val="004A6374"/>
    <w:rsid w:val="004A6626"/>
    <w:rsid w:val="004A6663"/>
    <w:rsid w:val="004A6853"/>
    <w:rsid w:val="004A68A5"/>
    <w:rsid w:val="004A6D0F"/>
    <w:rsid w:val="004A6FC8"/>
    <w:rsid w:val="004A764F"/>
    <w:rsid w:val="004A7B47"/>
    <w:rsid w:val="004A7B8D"/>
    <w:rsid w:val="004B0131"/>
    <w:rsid w:val="004B022E"/>
    <w:rsid w:val="004B062D"/>
    <w:rsid w:val="004B07E8"/>
    <w:rsid w:val="004B0CFF"/>
    <w:rsid w:val="004B0EA3"/>
    <w:rsid w:val="004B111F"/>
    <w:rsid w:val="004B2A9B"/>
    <w:rsid w:val="004B2CA3"/>
    <w:rsid w:val="004B35E9"/>
    <w:rsid w:val="004B36DA"/>
    <w:rsid w:val="004B3A98"/>
    <w:rsid w:val="004B3BF8"/>
    <w:rsid w:val="004B3C23"/>
    <w:rsid w:val="004B4635"/>
    <w:rsid w:val="004B49EC"/>
    <w:rsid w:val="004B4A7C"/>
    <w:rsid w:val="004B5039"/>
    <w:rsid w:val="004B50EA"/>
    <w:rsid w:val="004B561B"/>
    <w:rsid w:val="004B5A8F"/>
    <w:rsid w:val="004B60B9"/>
    <w:rsid w:val="004B672C"/>
    <w:rsid w:val="004B6FB0"/>
    <w:rsid w:val="004B72C1"/>
    <w:rsid w:val="004B7BCE"/>
    <w:rsid w:val="004C0362"/>
    <w:rsid w:val="004C0BCE"/>
    <w:rsid w:val="004C0C66"/>
    <w:rsid w:val="004C0D32"/>
    <w:rsid w:val="004C0F9B"/>
    <w:rsid w:val="004C120F"/>
    <w:rsid w:val="004C1282"/>
    <w:rsid w:val="004C1AC5"/>
    <w:rsid w:val="004C1E26"/>
    <w:rsid w:val="004C2078"/>
    <w:rsid w:val="004C23A0"/>
    <w:rsid w:val="004C2741"/>
    <w:rsid w:val="004C28FA"/>
    <w:rsid w:val="004C30CB"/>
    <w:rsid w:val="004C3A36"/>
    <w:rsid w:val="004C3D63"/>
    <w:rsid w:val="004C412C"/>
    <w:rsid w:val="004C4B5A"/>
    <w:rsid w:val="004C4C21"/>
    <w:rsid w:val="004C4F5C"/>
    <w:rsid w:val="004C4F6D"/>
    <w:rsid w:val="004C525C"/>
    <w:rsid w:val="004C52F9"/>
    <w:rsid w:val="004C5631"/>
    <w:rsid w:val="004C56E5"/>
    <w:rsid w:val="004C5984"/>
    <w:rsid w:val="004C61A1"/>
    <w:rsid w:val="004C6290"/>
    <w:rsid w:val="004C66C7"/>
    <w:rsid w:val="004C6ECE"/>
    <w:rsid w:val="004C6F2C"/>
    <w:rsid w:val="004C75F5"/>
    <w:rsid w:val="004C77EE"/>
    <w:rsid w:val="004C7AA6"/>
    <w:rsid w:val="004D08DF"/>
    <w:rsid w:val="004D0A7F"/>
    <w:rsid w:val="004D11BC"/>
    <w:rsid w:val="004D11C3"/>
    <w:rsid w:val="004D1BC4"/>
    <w:rsid w:val="004D1ED3"/>
    <w:rsid w:val="004D1F46"/>
    <w:rsid w:val="004D2648"/>
    <w:rsid w:val="004D273F"/>
    <w:rsid w:val="004D28BC"/>
    <w:rsid w:val="004D291C"/>
    <w:rsid w:val="004D2FCF"/>
    <w:rsid w:val="004D34CA"/>
    <w:rsid w:val="004D3724"/>
    <w:rsid w:val="004D3A26"/>
    <w:rsid w:val="004D4106"/>
    <w:rsid w:val="004D4529"/>
    <w:rsid w:val="004D487E"/>
    <w:rsid w:val="004D4ACB"/>
    <w:rsid w:val="004D55F2"/>
    <w:rsid w:val="004D5867"/>
    <w:rsid w:val="004D587F"/>
    <w:rsid w:val="004D5BB2"/>
    <w:rsid w:val="004D5D1A"/>
    <w:rsid w:val="004D5D79"/>
    <w:rsid w:val="004D600D"/>
    <w:rsid w:val="004D6A6F"/>
    <w:rsid w:val="004D6AEA"/>
    <w:rsid w:val="004D6B9F"/>
    <w:rsid w:val="004D79B1"/>
    <w:rsid w:val="004D79F5"/>
    <w:rsid w:val="004D7D67"/>
    <w:rsid w:val="004E0357"/>
    <w:rsid w:val="004E0770"/>
    <w:rsid w:val="004E0A8C"/>
    <w:rsid w:val="004E0EA4"/>
    <w:rsid w:val="004E111C"/>
    <w:rsid w:val="004E18AB"/>
    <w:rsid w:val="004E2413"/>
    <w:rsid w:val="004E276C"/>
    <w:rsid w:val="004E27A6"/>
    <w:rsid w:val="004E3690"/>
    <w:rsid w:val="004E427E"/>
    <w:rsid w:val="004E4484"/>
    <w:rsid w:val="004E4626"/>
    <w:rsid w:val="004E46F6"/>
    <w:rsid w:val="004E4733"/>
    <w:rsid w:val="004E4797"/>
    <w:rsid w:val="004E49C7"/>
    <w:rsid w:val="004E50E3"/>
    <w:rsid w:val="004E5438"/>
    <w:rsid w:val="004E5B05"/>
    <w:rsid w:val="004E5BE2"/>
    <w:rsid w:val="004E6686"/>
    <w:rsid w:val="004E6C70"/>
    <w:rsid w:val="004E6E23"/>
    <w:rsid w:val="004E71BF"/>
    <w:rsid w:val="004E7DDD"/>
    <w:rsid w:val="004E7E80"/>
    <w:rsid w:val="004F0402"/>
    <w:rsid w:val="004F0475"/>
    <w:rsid w:val="004F0954"/>
    <w:rsid w:val="004F0EA3"/>
    <w:rsid w:val="004F0F5F"/>
    <w:rsid w:val="004F1036"/>
    <w:rsid w:val="004F1446"/>
    <w:rsid w:val="004F1721"/>
    <w:rsid w:val="004F1952"/>
    <w:rsid w:val="004F1B8E"/>
    <w:rsid w:val="004F206D"/>
    <w:rsid w:val="004F2160"/>
    <w:rsid w:val="004F236E"/>
    <w:rsid w:val="004F275E"/>
    <w:rsid w:val="004F2EEE"/>
    <w:rsid w:val="004F363F"/>
    <w:rsid w:val="004F44F5"/>
    <w:rsid w:val="004F4635"/>
    <w:rsid w:val="004F466B"/>
    <w:rsid w:val="004F47B9"/>
    <w:rsid w:val="004F47DE"/>
    <w:rsid w:val="004F48D3"/>
    <w:rsid w:val="004F4C5B"/>
    <w:rsid w:val="004F4E2A"/>
    <w:rsid w:val="004F4FAE"/>
    <w:rsid w:val="004F52EC"/>
    <w:rsid w:val="004F5506"/>
    <w:rsid w:val="004F5B9D"/>
    <w:rsid w:val="004F5F3C"/>
    <w:rsid w:val="004F61B7"/>
    <w:rsid w:val="004F6307"/>
    <w:rsid w:val="004F6D60"/>
    <w:rsid w:val="004F6E9B"/>
    <w:rsid w:val="004F6FE6"/>
    <w:rsid w:val="004F7698"/>
    <w:rsid w:val="004F774F"/>
    <w:rsid w:val="004F7981"/>
    <w:rsid w:val="004F7AF8"/>
    <w:rsid w:val="005006CD"/>
    <w:rsid w:val="00500993"/>
    <w:rsid w:val="005009E7"/>
    <w:rsid w:val="00500A9D"/>
    <w:rsid w:val="00500AED"/>
    <w:rsid w:val="00500BCA"/>
    <w:rsid w:val="005019C1"/>
    <w:rsid w:val="00501A5B"/>
    <w:rsid w:val="00501C42"/>
    <w:rsid w:val="00501FAE"/>
    <w:rsid w:val="00502656"/>
    <w:rsid w:val="0050282A"/>
    <w:rsid w:val="005029EA"/>
    <w:rsid w:val="00502B83"/>
    <w:rsid w:val="00502C39"/>
    <w:rsid w:val="00502D25"/>
    <w:rsid w:val="005031DD"/>
    <w:rsid w:val="0050352B"/>
    <w:rsid w:val="00503D7E"/>
    <w:rsid w:val="00504CBF"/>
    <w:rsid w:val="00504E51"/>
    <w:rsid w:val="005052E6"/>
    <w:rsid w:val="005054CE"/>
    <w:rsid w:val="00505513"/>
    <w:rsid w:val="005055AD"/>
    <w:rsid w:val="00505A02"/>
    <w:rsid w:val="00505A25"/>
    <w:rsid w:val="00505B48"/>
    <w:rsid w:val="00505C93"/>
    <w:rsid w:val="00506105"/>
    <w:rsid w:val="00506C0D"/>
    <w:rsid w:val="00506E61"/>
    <w:rsid w:val="005071B5"/>
    <w:rsid w:val="00507301"/>
    <w:rsid w:val="00507529"/>
    <w:rsid w:val="005078A9"/>
    <w:rsid w:val="00507930"/>
    <w:rsid w:val="00507D67"/>
    <w:rsid w:val="005100B9"/>
    <w:rsid w:val="005104E5"/>
    <w:rsid w:val="00510E9E"/>
    <w:rsid w:val="00510F55"/>
    <w:rsid w:val="00510FAE"/>
    <w:rsid w:val="0051154D"/>
    <w:rsid w:val="005115E8"/>
    <w:rsid w:val="00511695"/>
    <w:rsid w:val="00511D35"/>
    <w:rsid w:val="00511D69"/>
    <w:rsid w:val="00512064"/>
    <w:rsid w:val="0051213E"/>
    <w:rsid w:val="00512229"/>
    <w:rsid w:val="00512C7E"/>
    <w:rsid w:val="00513176"/>
    <w:rsid w:val="00513571"/>
    <w:rsid w:val="0051383A"/>
    <w:rsid w:val="005144CB"/>
    <w:rsid w:val="00514694"/>
    <w:rsid w:val="005147EC"/>
    <w:rsid w:val="00514CEF"/>
    <w:rsid w:val="00514DE6"/>
    <w:rsid w:val="00515AA5"/>
    <w:rsid w:val="00515D55"/>
    <w:rsid w:val="00516615"/>
    <w:rsid w:val="00516959"/>
    <w:rsid w:val="005169FE"/>
    <w:rsid w:val="00516BAA"/>
    <w:rsid w:val="00517372"/>
    <w:rsid w:val="005177D9"/>
    <w:rsid w:val="00517E09"/>
    <w:rsid w:val="005203BD"/>
    <w:rsid w:val="00520D81"/>
    <w:rsid w:val="00520EA3"/>
    <w:rsid w:val="00521000"/>
    <w:rsid w:val="00521384"/>
    <w:rsid w:val="00521472"/>
    <w:rsid w:val="00521958"/>
    <w:rsid w:val="00521AA6"/>
    <w:rsid w:val="0052214D"/>
    <w:rsid w:val="00522378"/>
    <w:rsid w:val="005226FB"/>
    <w:rsid w:val="00522C59"/>
    <w:rsid w:val="00522E13"/>
    <w:rsid w:val="00523F35"/>
    <w:rsid w:val="0052427A"/>
    <w:rsid w:val="005243CA"/>
    <w:rsid w:val="00524881"/>
    <w:rsid w:val="005248DA"/>
    <w:rsid w:val="00524D8B"/>
    <w:rsid w:val="00524EF6"/>
    <w:rsid w:val="005251FD"/>
    <w:rsid w:val="0052589D"/>
    <w:rsid w:val="00526407"/>
    <w:rsid w:val="0052642A"/>
    <w:rsid w:val="005264A6"/>
    <w:rsid w:val="0052659F"/>
    <w:rsid w:val="005266AC"/>
    <w:rsid w:val="00526ACD"/>
    <w:rsid w:val="00526DCA"/>
    <w:rsid w:val="0053046D"/>
    <w:rsid w:val="0053075E"/>
    <w:rsid w:val="005307C4"/>
    <w:rsid w:val="00530D97"/>
    <w:rsid w:val="00530E63"/>
    <w:rsid w:val="00531B2A"/>
    <w:rsid w:val="00531E8E"/>
    <w:rsid w:val="0053256F"/>
    <w:rsid w:val="00532C0D"/>
    <w:rsid w:val="005335A3"/>
    <w:rsid w:val="005337BB"/>
    <w:rsid w:val="005339F1"/>
    <w:rsid w:val="00533FC9"/>
    <w:rsid w:val="00534046"/>
    <w:rsid w:val="00534409"/>
    <w:rsid w:val="005346DF"/>
    <w:rsid w:val="00534F16"/>
    <w:rsid w:val="0053524F"/>
    <w:rsid w:val="005359C9"/>
    <w:rsid w:val="00536101"/>
    <w:rsid w:val="00536135"/>
    <w:rsid w:val="005362EC"/>
    <w:rsid w:val="00536602"/>
    <w:rsid w:val="00536978"/>
    <w:rsid w:val="005370CE"/>
    <w:rsid w:val="0053731C"/>
    <w:rsid w:val="0053731D"/>
    <w:rsid w:val="00537340"/>
    <w:rsid w:val="00537574"/>
    <w:rsid w:val="005378F4"/>
    <w:rsid w:val="0054015B"/>
    <w:rsid w:val="00540326"/>
    <w:rsid w:val="0054037E"/>
    <w:rsid w:val="00540397"/>
    <w:rsid w:val="00540604"/>
    <w:rsid w:val="00541091"/>
    <w:rsid w:val="00541120"/>
    <w:rsid w:val="00541612"/>
    <w:rsid w:val="00541C8C"/>
    <w:rsid w:val="00541EE6"/>
    <w:rsid w:val="00542913"/>
    <w:rsid w:val="00542C96"/>
    <w:rsid w:val="00542D7D"/>
    <w:rsid w:val="00543451"/>
    <w:rsid w:val="005436DD"/>
    <w:rsid w:val="00543A24"/>
    <w:rsid w:val="00543A6E"/>
    <w:rsid w:val="005445B1"/>
    <w:rsid w:val="005445FE"/>
    <w:rsid w:val="0054464D"/>
    <w:rsid w:val="00544853"/>
    <w:rsid w:val="00544C51"/>
    <w:rsid w:val="005453D3"/>
    <w:rsid w:val="005455AE"/>
    <w:rsid w:val="00545DA7"/>
    <w:rsid w:val="00545FB1"/>
    <w:rsid w:val="005460F4"/>
    <w:rsid w:val="005462CD"/>
    <w:rsid w:val="00546304"/>
    <w:rsid w:val="005466E7"/>
    <w:rsid w:val="005468A8"/>
    <w:rsid w:val="00546C38"/>
    <w:rsid w:val="00546C96"/>
    <w:rsid w:val="00546D8B"/>
    <w:rsid w:val="00546F62"/>
    <w:rsid w:val="00547296"/>
    <w:rsid w:val="00547374"/>
    <w:rsid w:val="00547531"/>
    <w:rsid w:val="0054762D"/>
    <w:rsid w:val="00547BE3"/>
    <w:rsid w:val="00547CA8"/>
    <w:rsid w:val="00547CC6"/>
    <w:rsid w:val="00550236"/>
    <w:rsid w:val="0055059F"/>
    <w:rsid w:val="00550DAC"/>
    <w:rsid w:val="005514CC"/>
    <w:rsid w:val="005518A0"/>
    <w:rsid w:val="00551954"/>
    <w:rsid w:val="00551AAC"/>
    <w:rsid w:val="00551D6E"/>
    <w:rsid w:val="00552549"/>
    <w:rsid w:val="0055270E"/>
    <w:rsid w:val="00552FB7"/>
    <w:rsid w:val="005531E1"/>
    <w:rsid w:val="005537D3"/>
    <w:rsid w:val="005537E4"/>
    <w:rsid w:val="005539F0"/>
    <w:rsid w:val="00553C86"/>
    <w:rsid w:val="00553F99"/>
    <w:rsid w:val="00554C9E"/>
    <w:rsid w:val="005556C6"/>
    <w:rsid w:val="00555EF9"/>
    <w:rsid w:val="005561B1"/>
    <w:rsid w:val="00556490"/>
    <w:rsid w:val="00556E69"/>
    <w:rsid w:val="00556F06"/>
    <w:rsid w:val="0055730B"/>
    <w:rsid w:val="005574A0"/>
    <w:rsid w:val="00557904"/>
    <w:rsid w:val="00557931"/>
    <w:rsid w:val="00557C08"/>
    <w:rsid w:val="00557C0C"/>
    <w:rsid w:val="00557CC0"/>
    <w:rsid w:val="00557CC8"/>
    <w:rsid w:val="005601CC"/>
    <w:rsid w:val="00560CE7"/>
    <w:rsid w:val="005614DB"/>
    <w:rsid w:val="00561BBE"/>
    <w:rsid w:val="00562072"/>
    <w:rsid w:val="0056233E"/>
    <w:rsid w:val="0056240B"/>
    <w:rsid w:val="00563272"/>
    <w:rsid w:val="00563469"/>
    <w:rsid w:val="005637CE"/>
    <w:rsid w:val="005639EE"/>
    <w:rsid w:val="00563A79"/>
    <w:rsid w:val="00563C1C"/>
    <w:rsid w:val="00563D5A"/>
    <w:rsid w:val="00563D88"/>
    <w:rsid w:val="0056464C"/>
    <w:rsid w:val="00564E6B"/>
    <w:rsid w:val="005654C9"/>
    <w:rsid w:val="0056555F"/>
    <w:rsid w:val="00565EE7"/>
    <w:rsid w:val="005661E3"/>
    <w:rsid w:val="0056632A"/>
    <w:rsid w:val="00566DFE"/>
    <w:rsid w:val="00567205"/>
    <w:rsid w:val="005675A6"/>
    <w:rsid w:val="005675C6"/>
    <w:rsid w:val="0056782D"/>
    <w:rsid w:val="005679BA"/>
    <w:rsid w:val="00567F2B"/>
    <w:rsid w:val="00570020"/>
    <w:rsid w:val="005701C2"/>
    <w:rsid w:val="00570391"/>
    <w:rsid w:val="005704F0"/>
    <w:rsid w:val="00570C7E"/>
    <w:rsid w:val="00571242"/>
    <w:rsid w:val="0057162B"/>
    <w:rsid w:val="005716D4"/>
    <w:rsid w:val="00571ED8"/>
    <w:rsid w:val="00572550"/>
    <w:rsid w:val="0057292F"/>
    <w:rsid w:val="00572A47"/>
    <w:rsid w:val="00572D62"/>
    <w:rsid w:val="00572E69"/>
    <w:rsid w:val="00572EA3"/>
    <w:rsid w:val="00573016"/>
    <w:rsid w:val="00573BAC"/>
    <w:rsid w:val="00573E5F"/>
    <w:rsid w:val="00573F4E"/>
    <w:rsid w:val="00573F76"/>
    <w:rsid w:val="00574441"/>
    <w:rsid w:val="0057454F"/>
    <w:rsid w:val="005745A4"/>
    <w:rsid w:val="00574AB0"/>
    <w:rsid w:val="00574C3C"/>
    <w:rsid w:val="00575956"/>
    <w:rsid w:val="00575CD0"/>
    <w:rsid w:val="00576354"/>
    <w:rsid w:val="00576826"/>
    <w:rsid w:val="00576895"/>
    <w:rsid w:val="00576B01"/>
    <w:rsid w:val="00576FBA"/>
    <w:rsid w:val="005771E7"/>
    <w:rsid w:val="005779B1"/>
    <w:rsid w:val="005800AF"/>
    <w:rsid w:val="005801FE"/>
    <w:rsid w:val="00581337"/>
    <w:rsid w:val="00581646"/>
    <w:rsid w:val="005816BC"/>
    <w:rsid w:val="00581858"/>
    <w:rsid w:val="0058195D"/>
    <w:rsid w:val="00581DB5"/>
    <w:rsid w:val="00581F34"/>
    <w:rsid w:val="00582346"/>
    <w:rsid w:val="00582646"/>
    <w:rsid w:val="00582805"/>
    <w:rsid w:val="005830D0"/>
    <w:rsid w:val="00583169"/>
    <w:rsid w:val="00583190"/>
    <w:rsid w:val="005833E4"/>
    <w:rsid w:val="0058363F"/>
    <w:rsid w:val="005838F8"/>
    <w:rsid w:val="00583C20"/>
    <w:rsid w:val="00583DA9"/>
    <w:rsid w:val="00583EED"/>
    <w:rsid w:val="00584391"/>
    <w:rsid w:val="00584585"/>
    <w:rsid w:val="0058509F"/>
    <w:rsid w:val="005853DA"/>
    <w:rsid w:val="0058559D"/>
    <w:rsid w:val="00585B3C"/>
    <w:rsid w:val="00585FB4"/>
    <w:rsid w:val="00586C8D"/>
    <w:rsid w:val="0058705F"/>
    <w:rsid w:val="005870A1"/>
    <w:rsid w:val="00587264"/>
    <w:rsid w:val="0058762A"/>
    <w:rsid w:val="00587A4F"/>
    <w:rsid w:val="00587BB0"/>
    <w:rsid w:val="00587CCF"/>
    <w:rsid w:val="005900BC"/>
    <w:rsid w:val="0059033A"/>
    <w:rsid w:val="005905D1"/>
    <w:rsid w:val="005905E0"/>
    <w:rsid w:val="005908DD"/>
    <w:rsid w:val="00591818"/>
    <w:rsid w:val="00591E0D"/>
    <w:rsid w:val="00591F9B"/>
    <w:rsid w:val="00592224"/>
    <w:rsid w:val="005923EC"/>
    <w:rsid w:val="00592801"/>
    <w:rsid w:val="00592C88"/>
    <w:rsid w:val="005933C1"/>
    <w:rsid w:val="00593F10"/>
    <w:rsid w:val="005942FC"/>
    <w:rsid w:val="0059435E"/>
    <w:rsid w:val="0059469F"/>
    <w:rsid w:val="00594AA5"/>
    <w:rsid w:val="00594B0B"/>
    <w:rsid w:val="00595312"/>
    <w:rsid w:val="00595781"/>
    <w:rsid w:val="00595A23"/>
    <w:rsid w:val="005962F0"/>
    <w:rsid w:val="00596E06"/>
    <w:rsid w:val="00597F7B"/>
    <w:rsid w:val="005A023F"/>
    <w:rsid w:val="005A0854"/>
    <w:rsid w:val="005A08EA"/>
    <w:rsid w:val="005A0F92"/>
    <w:rsid w:val="005A11ED"/>
    <w:rsid w:val="005A1483"/>
    <w:rsid w:val="005A1B3E"/>
    <w:rsid w:val="005A1C99"/>
    <w:rsid w:val="005A1DFE"/>
    <w:rsid w:val="005A2CBF"/>
    <w:rsid w:val="005A2D2A"/>
    <w:rsid w:val="005A3318"/>
    <w:rsid w:val="005A3340"/>
    <w:rsid w:val="005A36A9"/>
    <w:rsid w:val="005A3C94"/>
    <w:rsid w:val="005A45FE"/>
    <w:rsid w:val="005A4647"/>
    <w:rsid w:val="005A4D17"/>
    <w:rsid w:val="005A5553"/>
    <w:rsid w:val="005A5759"/>
    <w:rsid w:val="005A5A04"/>
    <w:rsid w:val="005A5D7C"/>
    <w:rsid w:val="005A6164"/>
    <w:rsid w:val="005A6943"/>
    <w:rsid w:val="005A6A4A"/>
    <w:rsid w:val="005A6F96"/>
    <w:rsid w:val="005A73AC"/>
    <w:rsid w:val="005A7610"/>
    <w:rsid w:val="005A766C"/>
    <w:rsid w:val="005A7678"/>
    <w:rsid w:val="005A77E4"/>
    <w:rsid w:val="005A7BFA"/>
    <w:rsid w:val="005A7FD1"/>
    <w:rsid w:val="005B0566"/>
    <w:rsid w:val="005B057D"/>
    <w:rsid w:val="005B09DA"/>
    <w:rsid w:val="005B1E2F"/>
    <w:rsid w:val="005B1EEB"/>
    <w:rsid w:val="005B25A9"/>
    <w:rsid w:val="005B26D6"/>
    <w:rsid w:val="005B2CC5"/>
    <w:rsid w:val="005B2DE4"/>
    <w:rsid w:val="005B3189"/>
    <w:rsid w:val="005B31E3"/>
    <w:rsid w:val="005B4515"/>
    <w:rsid w:val="005B4931"/>
    <w:rsid w:val="005B4B35"/>
    <w:rsid w:val="005B4EE2"/>
    <w:rsid w:val="005B5140"/>
    <w:rsid w:val="005B5222"/>
    <w:rsid w:val="005B548A"/>
    <w:rsid w:val="005B5731"/>
    <w:rsid w:val="005B5A68"/>
    <w:rsid w:val="005B5E13"/>
    <w:rsid w:val="005B62D5"/>
    <w:rsid w:val="005B706C"/>
    <w:rsid w:val="005B7489"/>
    <w:rsid w:val="005B79E3"/>
    <w:rsid w:val="005B7DBB"/>
    <w:rsid w:val="005C0587"/>
    <w:rsid w:val="005C07A8"/>
    <w:rsid w:val="005C086B"/>
    <w:rsid w:val="005C193F"/>
    <w:rsid w:val="005C1C27"/>
    <w:rsid w:val="005C1FB8"/>
    <w:rsid w:val="005C2014"/>
    <w:rsid w:val="005C21F3"/>
    <w:rsid w:val="005C2955"/>
    <w:rsid w:val="005C2A35"/>
    <w:rsid w:val="005C2CC3"/>
    <w:rsid w:val="005C3339"/>
    <w:rsid w:val="005C3356"/>
    <w:rsid w:val="005C3863"/>
    <w:rsid w:val="005C396B"/>
    <w:rsid w:val="005C3D41"/>
    <w:rsid w:val="005C3FDB"/>
    <w:rsid w:val="005C40A5"/>
    <w:rsid w:val="005C40C8"/>
    <w:rsid w:val="005C46FB"/>
    <w:rsid w:val="005C506B"/>
    <w:rsid w:val="005C538E"/>
    <w:rsid w:val="005C53BC"/>
    <w:rsid w:val="005C54E7"/>
    <w:rsid w:val="005C55C4"/>
    <w:rsid w:val="005C5678"/>
    <w:rsid w:val="005C5751"/>
    <w:rsid w:val="005C5C12"/>
    <w:rsid w:val="005C5D37"/>
    <w:rsid w:val="005C60B1"/>
    <w:rsid w:val="005C656B"/>
    <w:rsid w:val="005C68D8"/>
    <w:rsid w:val="005C6DAD"/>
    <w:rsid w:val="005C71BC"/>
    <w:rsid w:val="005C72B4"/>
    <w:rsid w:val="005C75E1"/>
    <w:rsid w:val="005C7C1A"/>
    <w:rsid w:val="005D06C7"/>
    <w:rsid w:val="005D0970"/>
    <w:rsid w:val="005D0D7F"/>
    <w:rsid w:val="005D1014"/>
    <w:rsid w:val="005D1077"/>
    <w:rsid w:val="005D1145"/>
    <w:rsid w:val="005D11C9"/>
    <w:rsid w:val="005D1252"/>
    <w:rsid w:val="005D132E"/>
    <w:rsid w:val="005D18AB"/>
    <w:rsid w:val="005D1A79"/>
    <w:rsid w:val="005D1A98"/>
    <w:rsid w:val="005D1B7A"/>
    <w:rsid w:val="005D2232"/>
    <w:rsid w:val="005D2496"/>
    <w:rsid w:val="005D2525"/>
    <w:rsid w:val="005D26B6"/>
    <w:rsid w:val="005D2A4D"/>
    <w:rsid w:val="005D30AD"/>
    <w:rsid w:val="005D31E5"/>
    <w:rsid w:val="005D3301"/>
    <w:rsid w:val="005D3FD1"/>
    <w:rsid w:val="005D4478"/>
    <w:rsid w:val="005D4893"/>
    <w:rsid w:val="005D48D7"/>
    <w:rsid w:val="005D4DDA"/>
    <w:rsid w:val="005D4F94"/>
    <w:rsid w:val="005D57C0"/>
    <w:rsid w:val="005D5828"/>
    <w:rsid w:val="005D5957"/>
    <w:rsid w:val="005D5B3C"/>
    <w:rsid w:val="005D5BCF"/>
    <w:rsid w:val="005D64E1"/>
    <w:rsid w:val="005D64F4"/>
    <w:rsid w:val="005D6BBA"/>
    <w:rsid w:val="005D712C"/>
    <w:rsid w:val="005D73B5"/>
    <w:rsid w:val="005D7644"/>
    <w:rsid w:val="005D7699"/>
    <w:rsid w:val="005D7BC9"/>
    <w:rsid w:val="005D7C11"/>
    <w:rsid w:val="005D7DB8"/>
    <w:rsid w:val="005E0350"/>
    <w:rsid w:val="005E06D1"/>
    <w:rsid w:val="005E15F6"/>
    <w:rsid w:val="005E165E"/>
    <w:rsid w:val="005E16DE"/>
    <w:rsid w:val="005E193D"/>
    <w:rsid w:val="005E19AF"/>
    <w:rsid w:val="005E1D39"/>
    <w:rsid w:val="005E1DB3"/>
    <w:rsid w:val="005E1F66"/>
    <w:rsid w:val="005E21A0"/>
    <w:rsid w:val="005E2863"/>
    <w:rsid w:val="005E2D34"/>
    <w:rsid w:val="005E2DD5"/>
    <w:rsid w:val="005E2DE2"/>
    <w:rsid w:val="005E30AB"/>
    <w:rsid w:val="005E3537"/>
    <w:rsid w:val="005E36E1"/>
    <w:rsid w:val="005E3787"/>
    <w:rsid w:val="005E45FC"/>
    <w:rsid w:val="005E46BE"/>
    <w:rsid w:val="005E493E"/>
    <w:rsid w:val="005E4A8B"/>
    <w:rsid w:val="005E4D5F"/>
    <w:rsid w:val="005E51E7"/>
    <w:rsid w:val="005E5BC9"/>
    <w:rsid w:val="005E601A"/>
    <w:rsid w:val="005E675A"/>
    <w:rsid w:val="005E73FC"/>
    <w:rsid w:val="005E7A42"/>
    <w:rsid w:val="005E7DD7"/>
    <w:rsid w:val="005F0777"/>
    <w:rsid w:val="005F095B"/>
    <w:rsid w:val="005F0A50"/>
    <w:rsid w:val="005F106A"/>
    <w:rsid w:val="005F1784"/>
    <w:rsid w:val="005F1862"/>
    <w:rsid w:val="005F191C"/>
    <w:rsid w:val="005F1A18"/>
    <w:rsid w:val="005F24DF"/>
    <w:rsid w:val="005F29EE"/>
    <w:rsid w:val="005F35D0"/>
    <w:rsid w:val="005F369D"/>
    <w:rsid w:val="005F3B4F"/>
    <w:rsid w:val="005F4065"/>
    <w:rsid w:val="005F4825"/>
    <w:rsid w:val="005F48AB"/>
    <w:rsid w:val="005F4C1D"/>
    <w:rsid w:val="005F4E3A"/>
    <w:rsid w:val="005F51CE"/>
    <w:rsid w:val="005F5450"/>
    <w:rsid w:val="005F5915"/>
    <w:rsid w:val="005F59C3"/>
    <w:rsid w:val="005F5D0B"/>
    <w:rsid w:val="005F5E88"/>
    <w:rsid w:val="005F5EA8"/>
    <w:rsid w:val="005F62C8"/>
    <w:rsid w:val="005F6475"/>
    <w:rsid w:val="005F690F"/>
    <w:rsid w:val="005F6B06"/>
    <w:rsid w:val="005F6DC4"/>
    <w:rsid w:val="005F7279"/>
    <w:rsid w:val="005F7749"/>
    <w:rsid w:val="005F77D1"/>
    <w:rsid w:val="005F7A00"/>
    <w:rsid w:val="005F7C4B"/>
    <w:rsid w:val="005F7CCD"/>
    <w:rsid w:val="0060014F"/>
    <w:rsid w:val="00600636"/>
    <w:rsid w:val="00600895"/>
    <w:rsid w:val="00600913"/>
    <w:rsid w:val="00600BF5"/>
    <w:rsid w:val="00600CDA"/>
    <w:rsid w:val="00600D05"/>
    <w:rsid w:val="00601018"/>
    <w:rsid w:val="006014B9"/>
    <w:rsid w:val="006016DE"/>
    <w:rsid w:val="00601C56"/>
    <w:rsid w:val="00601E0F"/>
    <w:rsid w:val="0060260E"/>
    <w:rsid w:val="0060265A"/>
    <w:rsid w:val="00602835"/>
    <w:rsid w:val="00602A02"/>
    <w:rsid w:val="00602BAC"/>
    <w:rsid w:val="006033D1"/>
    <w:rsid w:val="0060350B"/>
    <w:rsid w:val="00603728"/>
    <w:rsid w:val="00603C58"/>
    <w:rsid w:val="00603CEC"/>
    <w:rsid w:val="0060458B"/>
    <w:rsid w:val="0060485B"/>
    <w:rsid w:val="00604A07"/>
    <w:rsid w:val="00604AE2"/>
    <w:rsid w:val="00604B99"/>
    <w:rsid w:val="00604C2B"/>
    <w:rsid w:val="006059DC"/>
    <w:rsid w:val="0060625F"/>
    <w:rsid w:val="00606892"/>
    <w:rsid w:val="00606F58"/>
    <w:rsid w:val="0060774F"/>
    <w:rsid w:val="0060788F"/>
    <w:rsid w:val="00607A72"/>
    <w:rsid w:val="00607B4B"/>
    <w:rsid w:val="00607B86"/>
    <w:rsid w:val="00607EFD"/>
    <w:rsid w:val="0061043C"/>
    <w:rsid w:val="00610C0E"/>
    <w:rsid w:val="00610D3C"/>
    <w:rsid w:val="00611920"/>
    <w:rsid w:val="00611FCD"/>
    <w:rsid w:val="00612BC0"/>
    <w:rsid w:val="00612BD2"/>
    <w:rsid w:val="00612C6B"/>
    <w:rsid w:val="006136DF"/>
    <w:rsid w:val="006137C7"/>
    <w:rsid w:val="00613926"/>
    <w:rsid w:val="00613E8C"/>
    <w:rsid w:val="00614BDC"/>
    <w:rsid w:val="00614E13"/>
    <w:rsid w:val="0061551E"/>
    <w:rsid w:val="0061640F"/>
    <w:rsid w:val="00616647"/>
    <w:rsid w:val="006166D3"/>
    <w:rsid w:val="006169B4"/>
    <w:rsid w:val="00617183"/>
    <w:rsid w:val="006174DB"/>
    <w:rsid w:val="00617671"/>
    <w:rsid w:val="00617726"/>
    <w:rsid w:val="00617CE5"/>
    <w:rsid w:val="00617EFF"/>
    <w:rsid w:val="00620233"/>
    <w:rsid w:val="006202FD"/>
    <w:rsid w:val="006203BA"/>
    <w:rsid w:val="00620753"/>
    <w:rsid w:val="00620BE8"/>
    <w:rsid w:val="00620E26"/>
    <w:rsid w:val="00620E54"/>
    <w:rsid w:val="00620EE5"/>
    <w:rsid w:val="006211CF"/>
    <w:rsid w:val="00621257"/>
    <w:rsid w:val="0062130B"/>
    <w:rsid w:val="006217A7"/>
    <w:rsid w:val="00621C3A"/>
    <w:rsid w:val="00622700"/>
    <w:rsid w:val="00622D1B"/>
    <w:rsid w:val="00623676"/>
    <w:rsid w:val="00623B19"/>
    <w:rsid w:val="00623E20"/>
    <w:rsid w:val="00624B0B"/>
    <w:rsid w:val="00624F70"/>
    <w:rsid w:val="00625608"/>
    <w:rsid w:val="00625693"/>
    <w:rsid w:val="0062588E"/>
    <w:rsid w:val="006263D7"/>
    <w:rsid w:val="0062685C"/>
    <w:rsid w:val="00626B95"/>
    <w:rsid w:val="006272BF"/>
    <w:rsid w:val="00627403"/>
    <w:rsid w:val="006275FC"/>
    <w:rsid w:val="00627936"/>
    <w:rsid w:val="00627DCC"/>
    <w:rsid w:val="00630029"/>
    <w:rsid w:val="00630122"/>
    <w:rsid w:val="00630242"/>
    <w:rsid w:val="006306E8"/>
    <w:rsid w:val="00630ABA"/>
    <w:rsid w:val="006312AC"/>
    <w:rsid w:val="006318DC"/>
    <w:rsid w:val="006321A3"/>
    <w:rsid w:val="00632261"/>
    <w:rsid w:val="006325F8"/>
    <w:rsid w:val="00632785"/>
    <w:rsid w:val="006331E3"/>
    <w:rsid w:val="0063331B"/>
    <w:rsid w:val="00633463"/>
    <w:rsid w:val="00633C81"/>
    <w:rsid w:val="006344FA"/>
    <w:rsid w:val="00634D42"/>
    <w:rsid w:val="00635ACA"/>
    <w:rsid w:val="00635B21"/>
    <w:rsid w:val="00635C6A"/>
    <w:rsid w:val="0063691E"/>
    <w:rsid w:val="00636B8B"/>
    <w:rsid w:val="00637720"/>
    <w:rsid w:val="006377B6"/>
    <w:rsid w:val="006379AD"/>
    <w:rsid w:val="00637D45"/>
    <w:rsid w:val="00637FAC"/>
    <w:rsid w:val="00640DAB"/>
    <w:rsid w:val="006411F4"/>
    <w:rsid w:val="006414A5"/>
    <w:rsid w:val="006417B1"/>
    <w:rsid w:val="006419F2"/>
    <w:rsid w:val="00641FBB"/>
    <w:rsid w:val="00642219"/>
    <w:rsid w:val="00642256"/>
    <w:rsid w:val="006423FD"/>
    <w:rsid w:val="00642D0C"/>
    <w:rsid w:val="006430A2"/>
    <w:rsid w:val="006430EF"/>
    <w:rsid w:val="00643520"/>
    <w:rsid w:val="00643BF2"/>
    <w:rsid w:val="006446F6"/>
    <w:rsid w:val="006448B6"/>
    <w:rsid w:val="00644980"/>
    <w:rsid w:val="00644CE0"/>
    <w:rsid w:val="00644E81"/>
    <w:rsid w:val="006453B4"/>
    <w:rsid w:val="00645811"/>
    <w:rsid w:val="00646836"/>
    <w:rsid w:val="00646FBB"/>
    <w:rsid w:val="00647448"/>
    <w:rsid w:val="00647558"/>
    <w:rsid w:val="0064782C"/>
    <w:rsid w:val="00647CE2"/>
    <w:rsid w:val="00647ED2"/>
    <w:rsid w:val="0065006D"/>
    <w:rsid w:val="006507DB"/>
    <w:rsid w:val="00650A10"/>
    <w:rsid w:val="00650AE3"/>
    <w:rsid w:val="00650CB5"/>
    <w:rsid w:val="00651564"/>
    <w:rsid w:val="0065175B"/>
    <w:rsid w:val="00651773"/>
    <w:rsid w:val="00651D79"/>
    <w:rsid w:val="00652056"/>
    <w:rsid w:val="00652520"/>
    <w:rsid w:val="00652C6C"/>
    <w:rsid w:val="006531F9"/>
    <w:rsid w:val="00653BA1"/>
    <w:rsid w:val="00653F80"/>
    <w:rsid w:val="00653FA3"/>
    <w:rsid w:val="00654083"/>
    <w:rsid w:val="00654468"/>
    <w:rsid w:val="00654534"/>
    <w:rsid w:val="00654AA3"/>
    <w:rsid w:val="00654B25"/>
    <w:rsid w:val="00654BC4"/>
    <w:rsid w:val="00654E13"/>
    <w:rsid w:val="00654EE1"/>
    <w:rsid w:val="006556B5"/>
    <w:rsid w:val="00655C54"/>
    <w:rsid w:val="00655CE8"/>
    <w:rsid w:val="00655E22"/>
    <w:rsid w:val="00655F70"/>
    <w:rsid w:val="006563EC"/>
    <w:rsid w:val="00656714"/>
    <w:rsid w:val="006567C6"/>
    <w:rsid w:val="006569B7"/>
    <w:rsid w:val="0065794F"/>
    <w:rsid w:val="00660081"/>
    <w:rsid w:val="00660477"/>
    <w:rsid w:val="006604C0"/>
    <w:rsid w:val="0066087F"/>
    <w:rsid w:val="00660D4C"/>
    <w:rsid w:val="00661005"/>
    <w:rsid w:val="006612EB"/>
    <w:rsid w:val="00661366"/>
    <w:rsid w:val="0066139F"/>
    <w:rsid w:val="0066164E"/>
    <w:rsid w:val="0066198F"/>
    <w:rsid w:val="006619D1"/>
    <w:rsid w:val="00661FBD"/>
    <w:rsid w:val="006630CF"/>
    <w:rsid w:val="006634A5"/>
    <w:rsid w:val="00663612"/>
    <w:rsid w:val="006639F9"/>
    <w:rsid w:val="00663C65"/>
    <w:rsid w:val="00663FB4"/>
    <w:rsid w:val="00664035"/>
    <w:rsid w:val="00664229"/>
    <w:rsid w:val="00664A6E"/>
    <w:rsid w:val="00664D05"/>
    <w:rsid w:val="00664F1A"/>
    <w:rsid w:val="006655F5"/>
    <w:rsid w:val="00665662"/>
    <w:rsid w:val="00665995"/>
    <w:rsid w:val="00665A05"/>
    <w:rsid w:val="0066625B"/>
    <w:rsid w:val="00666490"/>
    <w:rsid w:val="0066677D"/>
    <w:rsid w:val="00666D8F"/>
    <w:rsid w:val="00666DAA"/>
    <w:rsid w:val="00666E1D"/>
    <w:rsid w:val="00667029"/>
    <w:rsid w:val="006670F1"/>
    <w:rsid w:val="006674D0"/>
    <w:rsid w:val="006675E5"/>
    <w:rsid w:val="00667837"/>
    <w:rsid w:val="00667962"/>
    <w:rsid w:val="00667B96"/>
    <w:rsid w:val="00667CC3"/>
    <w:rsid w:val="00670787"/>
    <w:rsid w:val="00670B97"/>
    <w:rsid w:val="00670CFF"/>
    <w:rsid w:val="006710B7"/>
    <w:rsid w:val="00671281"/>
    <w:rsid w:val="00671A8E"/>
    <w:rsid w:val="00672267"/>
    <w:rsid w:val="00672B02"/>
    <w:rsid w:val="00673203"/>
    <w:rsid w:val="00673AA4"/>
    <w:rsid w:val="00673C33"/>
    <w:rsid w:val="00673E27"/>
    <w:rsid w:val="00674272"/>
    <w:rsid w:val="006744F2"/>
    <w:rsid w:val="006748BB"/>
    <w:rsid w:val="00674D1D"/>
    <w:rsid w:val="00674E3E"/>
    <w:rsid w:val="006756C6"/>
    <w:rsid w:val="0067592C"/>
    <w:rsid w:val="006766BF"/>
    <w:rsid w:val="00676730"/>
    <w:rsid w:val="006768AC"/>
    <w:rsid w:val="00676A30"/>
    <w:rsid w:val="00676ACF"/>
    <w:rsid w:val="00676B77"/>
    <w:rsid w:val="00676E00"/>
    <w:rsid w:val="00676F19"/>
    <w:rsid w:val="006770AC"/>
    <w:rsid w:val="00677365"/>
    <w:rsid w:val="0067793C"/>
    <w:rsid w:val="00680393"/>
    <w:rsid w:val="006817BA"/>
    <w:rsid w:val="00681971"/>
    <w:rsid w:val="00681CD5"/>
    <w:rsid w:val="00681EF8"/>
    <w:rsid w:val="00681F10"/>
    <w:rsid w:val="00682035"/>
    <w:rsid w:val="00683452"/>
    <w:rsid w:val="00683482"/>
    <w:rsid w:val="0068400B"/>
    <w:rsid w:val="0068411F"/>
    <w:rsid w:val="006842A8"/>
    <w:rsid w:val="006849BB"/>
    <w:rsid w:val="00684D14"/>
    <w:rsid w:val="006851DD"/>
    <w:rsid w:val="00685288"/>
    <w:rsid w:val="006855B9"/>
    <w:rsid w:val="00685950"/>
    <w:rsid w:val="00685BF8"/>
    <w:rsid w:val="00685CC7"/>
    <w:rsid w:val="0068616E"/>
    <w:rsid w:val="006862A6"/>
    <w:rsid w:val="00686701"/>
    <w:rsid w:val="00686A19"/>
    <w:rsid w:val="006871B1"/>
    <w:rsid w:val="00687C70"/>
    <w:rsid w:val="00690365"/>
    <w:rsid w:val="00690755"/>
    <w:rsid w:val="00690829"/>
    <w:rsid w:val="00690B42"/>
    <w:rsid w:val="00690DF3"/>
    <w:rsid w:val="006914D2"/>
    <w:rsid w:val="00691523"/>
    <w:rsid w:val="00691A16"/>
    <w:rsid w:val="00691B02"/>
    <w:rsid w:val="00691D58"/>
    <w:rsid w:val="00691D7A"/>
    <w:rsid w:val="00692183"/>
    <w:rsid w:val="006939EC"/>
    <w:rsid w:val="00694EC6"/>
    <w:rsid w:val="00694F8F"/>
    <w:rsid w:val="00695937"/>
    <w:rsid w:val="0069597C"/>
    <w:rsid w:val="00695D95"/>
    <w:rsid w:val="006960B9"/>
    <w:rsid w:val="00696258"/>
    <w:rsid w:val="00696326"/>
    <w:rsid w:val="00696736"/>
    <w:rsid w:val="00696E16"/>
    <w:rsid w:val="006970D5"/>
    <w:rsid w:val="00697118"/>
    <w:rsid w:val="0069739D"/>
    <w:rsid w:val="00697CDE"/>
    <w:rsid w:val="006A0222"/>
    <w:rsid w:val="006A0293"/>
    <w:rsid w:val="006A08C1"/>
    <w:rsid w:val="006A0BE2"/>
    <w:rsid w:val="006A0D51"/>
    <w:rsid w:val="006A0DCB"/>
    <w:rsid w:val="006A1186"/>
    <w:rsid w:val="006A16C5"/>
    <w:rsid w:val="006A1E83"/>
    <w:rsid w:val="006A1EE1"/>
    <w:rsid w:val="006A1F2C"/>
    <w:rsid w:val="006A2159"/>
    <w:rsid w:val="006A249B"/>
    <w:rsid w:val="006A3897"/>
    <w:rsid w:val="006A38F6"/>
    <w:rsid w:val="006A4211"/>
    <w:rsid w:val="006A436A"/>
    <w:rsid w:val="006A4813"/>
    <w:rsid w:val="006A49A4"/>
    <w:rsid w:val="006A4AE2"/>
    <w:rsid w:val="006A4D8A"/>
    <w:rsid w:val="006A4F99"/>
    <w:rsid w:val="006A50C8"/>
    <w:rsid w:val="006A5EE5"/>
    <w:rsid w:val="006A625E"/>
    <w:rsid w:val="006A64A9"/>
    <w:rsid w:val="006A661F"/>
    <w:rsid w:val="006A6AF9"/>
    <w:rsid w:val="006A6B52"/>
    <w:rsid w:val="006A7AD0"/>
    <w:rsid w:val="006A7D66"/>
    <w:rsid w:val="006A7DFF"/>
    <w:rsid w:val="006B02AA"/>
    <w:rsid w:val="006B0469"/>
    <w:rsid w:val="006B0925"/>
    <w:rsid w:val="006B1C87"/>
    <w:rsid w:val="006B24E1"/>
    <w:rsid w:val="006B277A"/>
    <w:rsid w:val="006B29BA"/>
    <w:rsid w:val="006B2C28"/>
    <w:rsid w:val="006B311C"/>
    <w:rsid w:val="006B38A8"/>
    <w:rsid w:val="006B3B09"/>
    <w:rsid w:val="006B3F25"/>
    <w:rsid w:val="006B4785"/>
    <w:rsid w:val="006B4949"/>
    <w:rsid w:val="006B4C57"/>
    <w:rsid w:val="006B52D9"/>
    <w:rsid w:val="006B556C"/>
    <w:rsid w:val="006B56EC"/>
    <w:rsid w:val="006B5A06"/>
    <w:rsid w:val="006B5ADB"/>
    <w:rsid w:val="006B69D2"/>
    <w:rsid w:val="006B6B5B"/>
    <w:rsid w:val="006B6CB4"/>
    <w:rsid w:val="006B735E"/>
    <w:rsid w:val="006B73B9"/>
    <w:rsid w:val="006B741B"/>
    <w:rsid w:val="006B7642"/>
    <w:rsid w:val="006B7EFE"/>
    <w:rsid w:val="006C0522"/>
    <w:rsid w:val="006C06D7"/>
    <w:rsid w:val="006C0CF3"/>
    <w:rsid w:val="006C0DBD"/>
    <w:rsid w:val="006C1021"/>
    <w:rsid w:val="006C13CB"/>
    <w:rsid w:val="006C145B"/>
    <w:rsid w:val="006C1A1F"/>
    <w:rsid w:val="006C25F1"/>
    <w:rsid w:val="006C2626"/>
    <w:rsid w:val="006C2922"/>
    <w:rsid w:val="006C2966"/>
    <w:rsid w:val="006C2C29"/>
    <w:rsid w:val="006C2EF3"/>
    <w:rsid w:val="006C355C"/>
    <w:rsid w:val="006C3790"/>
    <w:rsid w:val="006C3E91"/>
    <w:rsid w:val="006C44C8"/>
    <w:rsid w:val="006C44CD"/>
    <w:rsid w:val="006C4683"/>
    <w:rsid w:val="006C4749"/>
    <w:rsid w:val="006C4D9E"/>
    <w:rsid w:val="006C4FD2"/>
    <w:rsid w:val="006C51CD"/>
    <w:rsid w:val="006C5448"/>
    <w:rsid w:val="006C567D"/>
    <w:rsid w:val="006C56B8"/>
    <w:rsid w:val="006C6FE4"/>
    <w:rsid w:val="006C746C"/>
    <w:rsid w:val="006C758D"/>
    <w:rsid w:val="006C7693"/>
    <w:rsid w:val="006D0F7B"/>
    <w:rsid w:val="006D103A"/>
    <w:rsid w:val="006D1DE1"/>
    <w:rsid w:val="006D2317"/>
    <w:rsid w:val="006D266D"/>
    <w:rsid w:val="006D2C7E"/>
    <w:rsid w:val="006D2F68"/>
    <w:rsid w:val="006D31EC"/>
    <w:rsid w:val="006D32CD"/>
    <w:rsid w:val="006D3749"/>
    <w:rsid w:val="006D37B0"/>
    <w:rsid w:val="006D3994"/>
    <w:rsid w:val="006D3A92"/>
    <w:rsid w:val="006D3DBF"/>
    <w:rsid w:val="006D489D"/>
    <w:rsid w:val="006D4D0F"/>
    <w:rsid w:val="006D4D7F"/>
    <w:rsid w:val="006D4FD3"/>
    <w:rsid w:val="006D51A0"/>
    <w:rsid w:val="006D51B1"/>
    <w:rsid w:val="006D5A15"/>
    <w:rsid w:val="006D5D7E"/>
    <w:rsid w:val="006D5FF2"/>
    <w:rsid w:val="006D6048"/>
    <w:rsid w:val="006D65CA"/>
    <w:rsid w:val="006D6C3A"/>
    <w:rsid w:val="006D6E3C"/>
    <w:rsid w:val="006D6F55"/>
    <w:rsid w:val="006D6F58"/>
    <w:rsid w:val="006D73BB"/>
    <w:rsid w:val="006D76B9"/>
    <w:rsid w:val="006D7B92"/>
    <w:rsid w:val="006D7FD1"/>
    <w:rsid w:val="006E0448"/>
    <w:rsid w:val="006E09DE"/>
    <w:rsid w:val="006E0DF1"/>
    <w:rsid w:val="006E0E9C"/>
    <w:rsid w:val="006E1377"/>
    <w:rsid w:val="006E143C"/>
    <w:rsid w:val="006E1582"/>
    <w:rsid w:val="006E165D"/>
    <w:rsid w:val="006E1938"/>
    <w:rsid w:val="006E1970"/>
    <w:rsid w:val="006E1DDE"/>
    <w:rsid w:val="006E2136"/>
    <w:rsid w:val="006E2191"/>
    <w:rsid w:val="006E2329"/>
    <w:rsid w:val="006E24B2"/>
    <w:rsid w:val="006E2816"/>
    <w:rsid w:val="006E2917"/>
    <w:rsid w:val="006E2AF2"/>
    <w:rsid w:val="006E322B"/>
    <w:rsid w:val="006E3280"/>
    <w:rsid w:val="006E44D9"/>
    <w:rsid w:val="006E47C7"/>
    <w:rsid w:val="006E50A3"/>
    <w:rsid w:val="006E53B4"/>
    <w:rsid w:val="006E5E48"/>
    <w:rsid w:val="006E6220"/>
    <w:rsid w:val="006E62EB"/>
    <w:rsid w:val="006E64C8"/>
    <w:rsid w:val="006E6607"/>
    <w:rsid w:val="006E67FA"/>
    <w:rsid w:val="006E6AE5"/>
    <w:rsid w:val="006E6CFE"/>
    <w:rsid w:val="006E6E11"/>
    <w:rsid w:val="006E71C1"/>
    <w:rsid w:val="006E71F3"/>
    <w:rsid w:val="006E7410"/>
    <w:rsid w:val="006E778C"/>
    <w:rsid w:val="006E7AC2"/>
    <w:rsid w:val="006F00FD"/>
    <w:rsid w:val="006F0854"/>
    <w:rsid w:val="006F0C20"/>
    <w:rsid w:val="006F13A7"/>
    <w:rsid w:val="006F144F"/>
    <w:rsid w:val="006F155C"/>
    <w:rsid w:val="006F1A01"/>
    <w:rsid w:val="006F2800"/>
    <w:rsid w:val="006F28B2"/>
    <w:rsid w:val="006F3306"/>
    <w:rsid w:val="006F37B8"/>
    <w:rsid w:val="006F3D99"/>
    <w:rsid w:val="006F3DA0"/>
    <w:rsid w:val="006F43CD"/>
    <w:rsid w:val="006F46D2"/>
    <w:rsid w:val="006F513C"/>
    <w:rsid w:val="006F5E2D"/>
    <w:rsid w:val="006F5E70"/>
    <w:rsid w:val="006F61F8"/>
    <w:rsid w:val="006F6789"/>
    <w:rsid w:val="006F68F6"/>
    <w:rsid w:val="006F68F9"/>
    <w:rsid w:val="006F70DB"/>
    <w:rsid w:val="006F74EA"/>
    <w:rsid w:val="006F77E7"/>
    <w:rsid w:val="006F7D2B"/>
    <w:rsid w:val="00700017"/>
    <w:rsid w:val="007004C2"/>
    <w:rsid w:val="007007E6"/>
    <w:rsid w:val="00700A01"/>
    <w:rsid w:val="00701027"/>
    <w:rsid w:val="007012C0"/>
    <w:rsid w:val="00701345"/>
    <w:rsid w:val="007013CC"/>
    <w:rsid w:val="007016AF"/>
    <w:rsid w:val="0070195E"/>
    <w:rsid w:val="00701A74"/>
    <w:rsid w:val="00701EE8"/>
    <w:rsid w:val="00702372"/>
    <w:rsid w:val="007023B6"/>
    <w:rsid w:val="0070283F"/>
    <w:rsid w:val="00702E7F"/>
    <w:rsid w:val="00703056"/>
    <w:rsid w:val="00703094"/>
    <w:rsid w:val="00703459"/>
    <w:rsid w:val="00703BB5"/>
    <w:rsid w:val="00703C0D"/>
    <w:rsid w:val="00703E31"/>
    <w:rsid w:val="00704676"/>
    <w:rsid w:val="007047E3"/>
    <w:rsid w:val="00704935"/>
    <w:rsid w:val="00704CB9"/>
    <w:rsid w:val="00704CBD"/>
    <w:rsid w:val="0070514D"/>
    <w:rsid w:val="00705322"/>
    <w:rsid w:val="00706065"/>
    <w:rsid w:val="0070635D"/>
    <w:rsid w:val="00706390"/>
    <w:rsid w:val="007067A8"/>
    <w:rsid w:val="00706A36"/>
    <w:rsid w:val="00706E83"/>
    <w:rsid w:val="00707489"/>
    <w:rsid w:val="007075CD"/>
    <w:rsid w:val="00707882"/>
    <w:rsid w:val="00707895"/>
    <w:rsid w:val="007078B4"/>
    <w:rsid w:val="007079B4"/>
    <w:rsid w:val="007079E1"/>
    <w:rsid w:val="00707AAA"/>
    <w:rsid w:val="00707B1D"/>
    <w:rsid w:val="00707B2B"/>
    <w:rsid w:val="00707CC9"/>
    <w:rsid w:val="007105D2"/>
    <w:rsid w:val="0071073E"/>
    <w:rsid w:val="00710855"/>
    <w:rsid w:val="00710DDA"/>
    <w:rsid w:val="007112C8"/>
    <w:rsid w:val="007113AF"/>
    <w:rsid w:val="00711462"/>
    <w:rsid w:val="00711875"/>
    <w:rsid w:val="00711CB6"/>
    <w:rsid w:val="00711EEC"/>
    <w:rsid w:val="00711F5E"/>
    <w:rsid w:val="00712148"/>
    <w:rsid w:val="00712FE6"/>
    <w:rsid w:val="00713110"/>
    <w:rsid w:val="007134AA"/>
    <w:rsid w:val="00713D54"/>
    <w:rsid w:val="00713EEF"/>
    <w:rsid w:val="00714433"/>
    <w:rsid w:val="00714FEA"/>
    <w:rsid w:val="00715B06"/>
    <w:rsid w:val="00715CED"/>
    <w:rsid w:val="00715DED"/>
    <w:rsid w:val="0071687A"/>
    <w:rsid w:val="00716ADF"/>
    <w:rsid w:val="00716D12"/>
    <w:rsid w:val="00716E53"/>
    <w:rsid w:val="00720210"/>
    <w:rsid w:val="00720335"/>
    <w:rsid w:val="00720C62"/>
    <w:rsid w:val="00720DE0"/>
    <w:rsid w:val="00720F78"/>
    <w:rsid w:val="0072102A"/>
    <w:rsid w:val="00721307"/>
    <w:rsid w:val="00721627"/>
    <w:rsid w:val="00722509"/>
    <w:rsid w:val="007225E8"/>
    <w:rsid w:val="00722834"/>
    <w:rsid w:val="00722986"/>
    <w:rsid w:val="00722E20"/>
    <w:rsid w:val="007232BF"/>
    <w:rsid w:val="007236C8"/>
    <w:rsid w:val="00723718"/>
    <w:rsid w:val="00723918"/>
    <w:rsid w:val="00723961"/>
    <w:rsid w:val="00723E17"/>
    <w:rsid w:val="0072437F"/>
    <w:rsid w:val="00724530"/>
    <w:rsid w:val="007245EF"/>
    <w:rsid w:val="007247D2"/>
    <w:rsid w:val="00724F70"/>
    <w:rsid w:val="007251C7"/>
    <w:rsid w:val="007258F9"/>
    <w:rsid w:val="00725E74"/>
    <w:rsid w:val="00725F82"/>
    <w:rsid w:val="00726362"/>
    <w:rsid w:val="00726714"/>
    <w:rsid w:val="007275AE"/>
    <w:rsid w:val="0073050E"/>
    <w:rsid w:val="00730824"/>
    <w:rsid w:val="007309FE"/>
    <w:rsid w:val="0073118E"/>
    <w:rsid w:val="00731273"/>
    <w:rsid w:val="0073130C"/>
    <w:rsid w:val="0073150E"/>
    <w:rsid w:val="007315C2"/>
    <w:rsid w:val="007315FD"/>
    <w:rsid w:val="0073164F"/>
    <w:rsid w:val="007316EF"/>
    <w:rsid w:val="00731A34"/>
    <w:rsid w:val="00731CFE"/>
    <w:rsid w:val="00731E22"/>
    <w:rsid w:val="00731EE5"/>
    <w:rsid w:val="0073217C"/>
    <w:rsid w:val="00732307"/>
    <w:rsid w:val="00732999"/>
    <w:rsid w:val="00732E97"/>
    <w:rsid w:val="00733046"/>
    <w:rsid w:val="0073358D"/>
    <w:rsid w:val="0073369D"/>
    <w:rsid w:val="007343B2"/>
    <w:rsid w:val="0073441B"/>
    <w:rsid w:val="007344AB"/>
    <w:rsid w:val="007346A0"/>
    <w:rsid w:val="007348EF"/>
    <w:rsid w:val="007350D1"/>
    <w:rsid w:val="00735462"/>
    <w:rsid w:val="007356E3"/>
    <w:rsid w:val="007358D2"/>
    <w:rsid w:val="00735CCB"/>
    <w:rsid w:val="007368F9"/>
    <w:rsid w:val="00736BF9"/>
    <w:rsid w:val="00736F63"/>
    <w:rsid w:val="007370A6"/>
    <w:rsid w:val="007371A5"/>
    <w:rsid w:val="00737A30"/>
    <w:rsid w:val="00737C75"/>
    <w:rsid w:val="0074018D"/>
    <w:rsid w:val="0074096D"/>
    <w:rsid w:val="00740AA1"/>
    <w:rsid w:val="00741BCC"/>
    <w:rsid w:val="0074295A"/>
    <w:rsid w:val="00742B99"/>
    <w:rsid w:val="00742C38"/>
    <w:rsid w:val="00742DA3"/>
    <w:rsid w:val="0074315D"/>
    <w:rsid w:val="007448E2"/>
    <w:rsid w:val="00744F0A"/>
    <w:rsid w:val="007450F3"/>
    <w:rsid w:val="007451C7"/>
    <w:rsid w:val="0074537E"/>
    <w:rsid w:val="0074547C"/>
    <w:rsid w:val="007457D9"/>
    <w:rsid w:val="00745967"/>
    <w:rsid w:val="00746325"/>
    <w:rsid w:val="00746346"/>
    <w:rsid w:val="00746716"/>
    <w:rsid w:val="007469B0"/>
    <w:rsid w:val="0074771B"/>
    <w:rsid w:val="00747C06"/>
    <w:rsid w:val="00750DD0"/>
    <w:rsid w:val="0075126E"/>
    <w:rsid w:val="0075155A"/>
    <w:rsid w:val="00751707"/>
    <w:rsid w:val="00751752"/>
    <w:rsid w:val="007517EE"/>
    <w:rsid w:val="0075201C"/>
    <w:rsid w:val="007520EF"/>
    <w:rsid w:val="007522C7"/>
    <w:rsid w:val="0075294F"/>
    <w:rsid w:val="00752D88"/>
    <w:rsid w:val="00753027"/>
    <w:rsid w:val="007536EF"/>
    <w:rsid w:val="00753B0E"/>
    <w:rsid w:val="00754993"/>
    <w:rsid w:val="00754D82"/>
    <w:rsid w:val="00754DE8"/>
    <w:rsid w:val="00755432"/>
    <w:rsid w:val="00755674"/>
    <w:rsid w:val="007556FD"/>
    <w:rsid w:val="00755995"/>
    <w:rsid w:val="00755C06"/>
    <w:rsid w:val="00755DB0"/>
    <w:rsid w:val="00755EE1"/>
    <w:rsid w:val="00755F1A"/>
    <w:rsid w:val="00756547"/>
    <w:rsid w:val="00756B09"/>
    <w:rsid w:val="00756F1A"/>
    <w:rsid w:val="007571EA"/>
    <w:rsid w:val="007571FF"/>
    <w:rsid w:val="00757678"/>
    <w:rsid w:val="0075772A"/>
    <w:rsid w:val="00757AE6"/>
    <w:rsid w:val="007600F8"/>
    <w:rsid w:val="0076010A"/>
    <w:rsid w:val="0076020B"/>
    <w:rsid w:val="00760B48"/>
    <w:rsid w:val="00760C7B"/>
    <w:rsid w:val="00760F46"/>
    <w:rsid w:val="007611B5"/>
    <w:rsid w:val="007613B7"/>
    <w:rsid w:val="00761810"/>
    <w:rsid w:val="007619D0"/>
    <w:rsid w:val="00761CD9"/>
    <w:rsid w:val="00761EDE"/>
    <w:rsid w:val="00762007"/>
    <w:rsid w:val="00762164"/>
    <w:rsid w:val="0076233F"/>
    <w:rsid w:val="00762442"/>
    <w:rsid w:val="0076249D"/>
    <w:rsid w:val="00762BE7"/>
    <w:rsid w:val="00762D9F"/>
    <w:rsid w:val="00762FE0"/>
    <w:rsid w:val="007631AF"/>
    <w:rsid w:val="0076339A"/>
    <w:rsid w:val="00763873"/>
    <w:rsid w:val="0076392F"/>
    <w:rsid w:val="0076399F"/>
    <w:rsid w:val="00763BD3"/>
    <w:rsid w:val="00763EA4"/>
    <w:rsid w:val="00764AA1"/>
    <w:rsid w:val="0076545E"/>
    <w:rsid w:val="0076565B"/>
    <w:rsid w:val="00765BCF"/>
    <w:rsid w:val="0076609F"/>
    <w:rsid w:val="0076664B"/>
    <w:rsid w:val="00766AF8"/>
    <w:rsid w:val="00766FA4"/>
    <w:rsid w:val="00766FCD"/>
    <w:rsid w:val="00767202"/>
    <w:rsid w:val="00770A1C"/>
    <w:rsid w:val="00771A7F"/>
    <w:rsid w:val="00771B1C"/>
    <w:rsid w:val="00771B52"/>
    <w:rsid w:val="00771C84"/>
    <w:rsid w:val="00772522"/>
    <w:rsid w:val="00772561"/>
    <w:rsid w:val="00772891"/>
    <w:rsid w:val="00772E18"/>
    <w:rsid w:val="00773314"/>
    <w:rsid w:val="00773DD3"/>
    <w:rsid w:val="007742B8"/>
    <w:rsid w:val="00774504"/>
    <w:rsid w:val="00774715"/>
    <w:rsid w:val="00774DF7"/>
    <w:rsid w:val="00775433"/>
    <w:rsid w:val="0077553B"/>
    <w:rsid w:val="00777086"/>
    <w:rsid w:val="00777463"/>
    <w:rsid w:val="007775D7"/>
    <w:rsid w:val="007779A9"/>
    <w:rsid w:val="00777D4F"/>
    <w:rsid w:val="007801AC"/>
    <w:rsid w:val="00780314"/>
    <w:rsid w:val="0078044D"/>
    <w:rsid w:val="007806A7"/>
    <w:rsid w:val="00780BA7"/>
    <w:rsid w:val="00780CA2"/>
    <w:rsid w:val="00781240"/>
    <w:rsid w:val="0078144F"/>
    <w:rsid w:val="0078170C"/>
    <w:rsid w:val="0078173E"/>
    <w:rsid w:val="0078173F"/>
    <w:rsid w:val="00781AC4"/>
    <w:rsid w:val="00781CFE"/>
    <w:rsid w:val="007821CA"/>
    <w:rsid w:val="007821E4"/>
    <w:rsid w:val="00782314"/>
    <w:rsid w:val="007823F9"/>
    <w:rsid w:val="007824AA"/>
    <w:rsid w:val="007824C2"/>
    <w:rsid w:val="007825C1"/>
    <w:rsid w:val="007826EF"/>
    <w:rsid w:val="007827A0"/>
    <w:rsid w:val="00782875"/>
    <w:rsid w:val="0078299E"/>
    <w:rsid w:val="00782A52"/>
    <w:rsid w:val="00782B0E"/>
    <w:rsid w:val="00782D65"/>
    <w:rsid w:val="00783331"/>
    <w:rsid w:val="00783366"/>
    <w:rsid w:val="0078366B"/>
    <w:rsid w:val="00783851"/>
    <w:rsid w:val="00783D4D"/>
    <w:rsid w:val="0078459F"/>
    <w:rsid w:val="0078468E"/>
    <w:rsid w:val="00784BB6"/>
    <w:rsid w:val="007855CC"/>
    <w:rsid w:val="00785C47"/>
    <w:rsid w:val="007863DF"/>
    <w:rsid w:val="007865C5"/>
    <w:rsid w:val="0078689A"/>
    <w:rsid w:val="00786E0E"/>
    <w:rsid w:val="00790436"/>
    <w:rsid w:val="00790568"/>
    <w:rsid w:val="00790754"/>
    <w:rsid w:val="00790DA7"/>
    <w:rsid w:val="00790E3B"/>
    <w:rsid w:val="00791223"/>
    <w:rsid w:val="007913B5"/>
    <w:rsid w:val="00791504"/>
    <w:rsid w:val="00791923"/>
    <w:rsid w:val="0079192B"/>
    <w:rsid w:val="00791C30"/>
    <w:rsid w:val="00791C5D"/>
    <w:rsid w:val="007928D6"/>
    <w:rsid w:val="00792FF6"/>
    <w:rsid w:val="00793099"/>
    <w:rsid w:val="007932A5"/>
    <w:rsid w:val="007934A5"/>
    <w:rsid w:val="007936A1"/>
    <w:rsid w:val="00793877"/>
    <w:rsid w:val="00793D17"/>
    <w:rsid w:val="00794A31"/>
    <w:rsid w:val="00794B7C"/>
    <w:rsid w:val="007951C7"/>
    <w:rsid w:val="007952F0"/>
    <w:rsid w:val="007954DA"/>
    <w:rsid w:val="00795726"/>
    <w:rsid w:val="00796150"/>
    <w:rsid w:val="00796678"/>
    <w:rsid w:val="0079690E"/>
    <w:rsid w:val="00796A2B"/>
    <w:rsid w:val="00796E22"/>
    <w:rsid w:val="00797438"/>
    <w:rsid w:val="00797567"/>
    <w:rsid w:val="00797972"/>
    <w:rsid w:val="007A00ED"/>
    <w:rsid w:val="007A05CB"/>
    <w:rsid w:val="007A06E6"/>
    <w:rsid w:val="007A06FB"/>
    <w:rsid w:val="007A0817"/>
    <w:rsid w:val="007A0CBD"/>
    <w:rsid w:val="007A0CCF"/>
    <w:rsid w:val="007A0CED"/>
    <w:rsid w:val="007A0E94"/>
    <w:rsid w:val="007A1246"/>
    <w:rsid w:val="007A154E"/>
    <w:rsid w:val="007A181C"/>
    <w:rsid w:val="007A1ADA"/>
    <w:rsid w:val="007A1D64"/>
    <w:rsid w:val="007A1F9C"/>
    <w:rsid w:val="007A205C"/>
    <w:rsid w:val="007A2384"/>
    <w:rsid w:val="007A2623"/>
    <w:rsid w:val="007A2AA3"/>
    <w:rsid w:val="007A2CF4"/>
    <w:rsid w:val="007A3104"/>
    <w:rsid w:val="007A31C0"/>
    <w:rsid w:val="007A31F5"/>
    <w:rsid w:val="007A3796"/>
    <w:rsid w:val="007A3D3B"/>
    <w:rsid w:val="007A43BB"/>
    <w:rsid w:val="007A46EC"/>
    <w:rsid w:val="007A4A95"/>
    <w:rsid w:val="007A4FD8"/>
    <w:rsid w:val="007A5281"/>
    <w:rsid w:val="007A55DB"/>
    <w:rsid w:val="007A5D16"/>
    <w:rsid w:val="007A60FC"/>
    <w:rsid w:val="007A62C1"/>
    <w:rsid w:val="007A68B1"/>
    <w:rsid w:val="007A7172"/>
    <w:rsid w:val="007A71DC"/>
    <w:rsid w:val="007A738A"/>
    <w:rsid w:val="007A77DA"/>
    <w:rsid w:val="007A7CC0"/>
    <w:rsid w:val="007B07D4"/>
    <w:rsid w:val="007B0A8F"/>
    <w:rsid w:val="007B1355"/>
    <w:rsid w:val="007B136F"/>
    <w:rsid w:val="007B137E"/>
    <w:rsid w:val="007B1592"/>
    <w:rsid w:val="007B1698"/>
    <w:rsid w:val="007B1A12"/>
    <w:rsid w:val="007B1ADE"/>
    <w:rsid w:val="007B1D51"/>
    <w:rsid w:val="007B1F60"/>
    <w:rsid w:val="007B23C8"/>
    <w:rsid w:val="007B26CA"/>
    <w:rsid w:val="007B26FA"/>
    <w:rsid w:val="007B27AB"/>
    <w:rsid w:val="007B2D58"/>
    <w:rsid w:val="007B30F3"/>
    <w:rsid w:val="007B37B2"/>
    <w:rsid w:val="007B3854"/>
    <w:rsid w:val="007B3E4A"/>
    <w:rsid w:val="007B4161"/>
    <w:rsid w:val="007B44AB"/>
    <w:rsid w:val="007B47F6"/>
    <w:rsid w:val="007B5827"/>
    <w:rsid w:val="007B59CB"/>
    <w:rsid w:val="007B666C"/>
    <w:rsid w:val="007B6A7C"/>
    <w:rsid w:val="007B6A90"/>
    <w:rsid w:val="007B6A99"/>
    <w:rsid w:val="007B6CF6"/>
    <w:rsid w:val="007B755C"/>
    <w:rsid w:val="007B7860"/>
    <w:rsid w:val="007B7C64"/>
    <w:rsid w:val="007B7D7F"/>
    <w:rsid w:val="007C0026"/>
    <w:rsid w:val="007C03D9"/>
    <w:rsid w:val="007C0730"/>
    <w:rsid w:val="007C096A"/>
    <w:rsid w:val="007C0AF9"/>
    <w:rsid w:val="007C1068"/>
    <w:rsid w:val="007C1905"/>
    <w:rsid w:val="007C1A3A"/>
    <w:rsid w:val="007C1B9A"/>
    <w:rsid w:val="007C1E2B"/>
    <w:rsid w:val="007C29C9"/>
    <w:rsid w:val="007C335F"/>
    <w:rsid w:val="007C3D9B"/>
    <w:rsid w:val="007C4506"/>
    <w:rsid w:val="007C4751"/>
    <w:rsid w:val="007C4CD1"/>
    <w:rsid w:val="007C4D9D"/>
    <w:rsid w:val="007C51A5"/>
    <w:rsid w:val="007C5304"/>
    <w:rsid w:val="007C58A8"/>
    <w:rsid w:val="007C592C"/>
    <w:rsid w:val="007C5E69"/>
    <w:rsid w:val="007C62BF"/>
    <w:rsid w:val="007C62DB"/>
    <w:rsid w:val="007C70E2"/>
    <w:rsid w:val="007C751A"/>
    <w:rsid w:val="007C756A"/>
    <w:rsid w:val="007C75ED"/>
    <w:rsid w:val="007C7A8F"/>
    <w:rsid w:val="007C7E63"/>
    <w:rsid w:val="007D01EE"/>
    <w:rsid w:val="007D01FC"/>
    <w:rsid w:val="007D0C94"/>
    <w:rsid w:val="007D0D63"/>
    <w:rsid w:val="007D0E91"/>
    <w:rsid w:val="007D1164"/>
    <w:rsid w:val="007D13D5"/>
    <w:rsid w:val="007D1415"/>
    <w:rsid w:val="007D174D"/>
    <w:rsid w:val="007D1B4F"/>
    <w:rsid w:val="007D1CF3"/>
    <w:rsid w:val="007D1E1D"/>
    <w:rsid w:val="007D1F43"/>
    <w:rsid w:val="007D210C"/>
    <w:rsid w:val="007D26A3"/>
    <w:rsid w:val="007D282C"/>
    <w:rsid w:val="007D2D30"/>
    <w:rsid w:val="007D2FC1"/>
    <w:rsid w:val="007D3015"/>
    <w:rsid w:val="007D302F"/>
    <w:rsid w:val="007D34E9"/>
    <w:rsid w:val="007D358F"/>
    <w:rsid w:val="007D4221"/>
    <w:rsid w:val="007D45D6"/>
    <w:rsid w:val="007D53D5"/>
    <w:rsid w:val="007D56E5"/>
    <w:rsid w:val="007D575E"/>
    <w:rsid w:val="007D58AA"/>
    <w:rsid w:val="007D59B1"/>
    <w:rsid w:val="007D59D7"/>
    <w:rsid w:val="007D5A04"/>
    <w:rsid w:val="007D5B21"/>
    <w:rsid w:val="007D5F07"/>
    <w:rsid w:val="007D645F"/>
    <w:rsid w:val="007D67C3"/>
    <w:rsid w:val="007D68F6"/>
    <w:rsid w:val="007D70A1"/>
    <w:rsid w:val="007D7590"/>
    <w:rsid w:val="007E0048"/>
    <w:rsid w:val="007E05D3"/>
    <w:rsid w:val="007E07EC"/>
    <w:rsid w:val="007E1A7F"/>
    <w:rsid w:val="007E1B21"/>
    <w:rsid w:val="007E2AB7"/>
    <w:rsid w:val="007E3776"/>
    <w:rsid w:val="007E3896"/>
    <w:rsid w:val="007E395A"/>
    <w:rsid w:val="007E3B5F"/>
    <w:rsid w:val="007E3D1B"/>
    <w:rsid w:val="007E3FED"/>
    <w:rsid w:val="007E45E1"/>
    <w:rsid w:val="007E4D23"/>
    <w:rsid w:val="007E5235"/>
    <w:rsid w:val="007E5326"/>
    <w:rsid w:val="007E53F4"/>
    <w:rsid w:val="007E55F6"/>
    <w:rsid w:val="007E57BC"/>
    <w:rsid w:val="007E5AA7"/>
    <w:rsid w:val="007E5DFD"/>
    <w:rsid w:val="007E5E8D"/>
    <w:rsid w:val="007E7329"/>
    <w:rsid w:val="007E751D"/>
    <w:rsid w:val="007E771A"/>
    <w:rsid w:val="007E7ABA"/>
    <w:rsid w:val="007E7EB1"/>
    <w:rsid w:val="007E7FBB"/>
    <w:rsid w:val="007F0233"/>
    <w:rsid w:val="007F09C3"/>
    <w:rsid w:val="007F0E42"/>
    <w:rsid w:val="007F189B"/>
    <w:rsid w:val="007F1CD1"/>
    <w:rsid w:val="007F24E3"/>
    <w:rsid w:val="007F28F6"/>
    <w:rsid w:val="007F2A61"/>
    <w:rsid w:val="007F2C5C"/>
    <w:rsid w:val="007F2CAD"/>
    <w:rsid w:val="007F2CD6"/>
    <w:rsid w:val="007F34E6"/>
    <w:rsid w:val="007F3764"/>
    <w:rsid w:val="007F3BE7"/>
    <w:rsid w:val="007F3F5A"/>
    <w:rsid w:val="007F40F2"/>
    <w:rsid w:val="007F4590"/>
    <w:rsid w:val="007F5573"/>
    <w:rsid w:val="007F5B9A"/>
    <w:rsid w:val="007F6142"/>
    <w:rsid w:val="007F6477"/>
    <w:rsid w:val="007F69E3"/>
    <w:rsid w:val="007F6AE1"/>
    <w:rsid w:val="007F723D"/>
    <w:rsid w:val="007F7644"/>
    <w:rsid w:val="007F76F8"/>
    <w:rsid w:val="007F7D54"/>
    <w:rsid w:val="007F7F94"/>
    <w:rsid w:val="00800575"/>
    <w:rsid w:val="0080079C"/>
    <w:rsid w:val="008008FC"/>
    <w:rsid w:val="00800A61"/>
    <w:rsid w:val="008014EA"/>
    <w:rsid w:val="00801D98"/>
    <w:rsid w:val="00802752"/>
    <w:rsid w:val="00802C86"/>
    <w:rsid w:val="00802E93"/>
    <w:rsid w:val="008030E7"/>
    <w:rsid w:val="0080328F"/>
    <w:rsid w:val="00803DC4"/>
    <w:rsid w:val="00803E8C"/>
    <w:rsid w:val="00803F9B"/>
    <w:rsid w:val="008040BD"/>
    <w:rsid w:val="00804335"/>
    <w:rsid w:val="00804CAB"/>
    <w:rsid w:val="0080537E"/>
    <w:rsid w:val="00805B92"/>
    <w:rsid w:val="00805D78"/>
    <w:rsid w:val="00806291"/>
    <w:rsid w:val="008062CA"/>
    <w:rsid w:val="008065DF"/>
    <w:rsid w:val="00806752"/>
    <w:rsid w:val="008068C2"/>
    <w:rsid w:val="00806CCB"/>
    <w:rsid w:val="00807133"/>
    <w:rsid w:val="00807170"/>
    <w:rsid w:val="00807F2F"/>
    <w:rsid w:val="00810093"/>
    <w:rsid w:val="0081054C"/>
    <w:rsid w:val="0081067E"/>
    <w:rsid w:val="00810933"/>
    <w:rsid w:val="00810C38"/>
    <w:rsid w:val="00811265"/>
    <w:rsid w:val="0081138B"/>
    <w:rsid w:val="0081163A"/>
    <w:rsid w:val="00811BAF"/>
    <w:rsid w:val="0081217E"/>
    <w:rsid w:val="008121FF"/>
    <w:rsid w:val="008126AB"/>
    <w:rsid w:val="00812766"/>
    <w:rsid w:val="0081423A"/>
    <w:rsid w:val="00814313"/>
    <w:rsid w:val="008147A3"/>
    <w:rsid w:val="008147EC"/>
    <w:rsid w:val="00814C2B"/>
    <w:rsid w:val="00814D64"/>
    <w:rsid w:val="0081506C"/>
    <w:rsid w:val="008152AC"/>
    <w:rsid w:val="008153C3"/>
    <w:rsid w:val="008154D4"/>
    <w:rsid w:val="008158DF"/>
    <w:rsid w:val="00815A13"/>
    <w:rsid w:val="00815AD3"/>
    <w:rsid w:val="00816166"/>
    <w:rsid w:val="00816AB7"/>
    <w:rsid w:val="0081728F"/>
    <w:rsid w:val="00817414"/>
    <w:rsid w:val="00817744"/>
    <w:rsid w:val="0082006A"/>
    <w:rsid w:val="00820101"/>
    <w:rsid w:val="0082014E"/>
    <w:rsid w:val="0082055E"/>
    <w:rsid w:val="008205EF"/>
    <w:rsid w:val="00820973"/>
    <w:rsid w:val="00820BAB"/>
    <w:rsid w:val="00820FFE"/>
    <w:rsid w:val="00821972"/>
    <w:rsid w:val="00821D20"/>
    <w:rsid w:val="00821DC8"/>
    <w:rsid w:val="00821F62"/>
    <w:rsid w:val="00822071"/>
    <w:rsid w:val="008221F9"/>
    <w:rsid w:val="00823F27"/>
    <w:rsid w:val="0082412B"/>
    <w:rsid w:val="0082424A"/>
    <w:rsid w:val="008242B6"/>
    <w:rsid w:val="008243F6"/>
    <w:rsid w:val="00824D4B"/>
    <w:rsid w:val="00824F90"/>
    <w:rsid w:val="008259B7"/>
    <w:rsid w:val="00825F59"/>
    <w:rsid w:val="00826056"/>
    <w:rsid w:val="008261EB"/>
    <w:rsid w:val="00826B7A"/>
    <w:rsid w:val="00826BF3"/>
    <w:rsid w:val="00826C2D"/>
    <w:rsid w:val="00826F9A"/>
    <w:rsid w:val="00827005"/>
    <w:rsid w:val="00827278"/>
    <w:rsid w:val="0083034E"/>
    <w:rsid w:val="00830526"/>
    <w:rsid w:val="008305F8"/>
    <w:rsid w:val="00830979"/>
    <w:rsid w:val="00830B95"/>
    <w:rsid w:val="00830D58"/>
    <w:rsid w:val="0083121B"/>
    <w:rsid w:val="0083155A"/>
    <w:rsid w:val="008319C9"/>
    <w:rsid w:val="00831BD1"/>
    <w:rsid w:val="00831C72"/>
    <w:rsid w:val="00832366"/>
    <w:rsid w:val="008323FF"/>
    <w:rsid w:val="00832A0D"/>
    <w:rsid w:val="00832FEB"/>
    <w:rsid w:val="008332AB"/>
    <w:rsid w:val="00833962"/>
    <w:rsid w:val="00834467"/>
    <w:rsid w:val="008349CC"/>
    <w:rsid w:val="00834DFE"/>
    <w:rsid w:val="0083511B"/>
    <w:rsid w:val="008364A3"/>
    <w:rsid w:val="00836812"/>
    <w:rsid w:val="008368BB"/>
    <w:rsid w:val="00836B42"/>
    <w:rsid w:val="0083719A"/>
    <w:rsid w:val="00837477"/>
    <w:rsid w:val="00837B10"/>
    <w:rsid w:val="00837CD0"/>
    <w:rsid w:val="0084004E"/>
    <w:rsid w:val="0084034D"/>
    <w:rsid w:val="008409FF"/>
    <w:rsid w:val="00840F84"/>
    <w:rsid w:val="00841349"/>
    <w:rsid w:val="008413E7"/>
    <w:rsid w:val="008415C9"/>
    <w:rsid w:val="00841772"/>
    <w:rsid w:val="00842390"/>
    <w:rsid w:val="00842413"/>
    <w:rsid w:val="00842F58"/>
    <w:rsid w:val="0084373F"/>
    <w:rsid w:val="00843BEA"/>
    <w:rsid w:val="00844390"/>
    <w:rsid w:val="00844498"/>
    <w:rsid w:val="00844544"/>
    <w:rsid w:val="00844A96"/>
    <w:rsid w:val="00844B00"/>
    <w:rsid w:val="00844DE4"/>
    <w:rsid w:val="00844F8E"/>
    <w:rsid w:val="008459B4"/>
    <w:rsid w:val="008459DC"/>
    <w:rsid w:val="00845A4B"/>
    <w:rsid w:val="00845FE8"/>
    <w:rsid w:val="008461E0"/>
    <w:rsid w:val="008463DD"/>
    <w:rsid w:val="008464B2"/>
    <w:rsid w:val="008464CA"/>
    <w:rsid w:val="00846F44"/>
    <w:rsid w:val="0084733B"/>
    <w:rsid w:val="00847E69"/>
    <w:rsid w:val="00850148"/>
    <w:rsid w:val="008501F3"/>
    <w:rsid w:val="008502F6"/>
    <w:rsid w:val="00850458"/>
    <w:rsid w:val="00850839"/>
    <w:rsid w:val="00850A76"/>
    <w:rsid w:val="00850C40"/>
    <w:rsid w:val="0085133B"/>
    <w:rsid w:val="008513DD"/>
    <w:rsid w:val="00851652"/>
    <w:rsid w:val="008516B7"/>
    <w:rsid w:val="0085190E"/>
    <w:rsid w:val="0085198C"/>
    <w:rsid w:val="00851B2E"/>
    <w:rsid w:val="00852214"/>
    <w:rsid w:val="00852344"/>
    <w:rsid w:val="0085281F"/>
    <w:rsid w:val="00852944"/>
    <w:rsid w:val="00852B35"/>
    <w:rsid w:val="00852DD4"/>
    <w:rsid w:val="00853373"/>
    <w:rsid w:val="00853A57"/>
    <w:rsid w:val="00853B35"/>
    <w:rsid w:val="00853C96"/>
    <w:rsid w:val="008540F3"/>
    <w:rsid w:val="00854608"/>
    <w:rsid w:val="008546E5"/>
    <w:rsid w:val="008547B0"/>
    <w:rsid w:val="00854934"/>
    <w:rsid w:val="00854B57"/>
    <w:rsid w:val="00854B8E"/>
    <w:rsid w:val="00854BB8"/>
    <w:rsid w:val="00854DB2"/>
    <w:rsid w:val="00854F06"/>
    <w:rsid w:val="00854F55"/>
    <w:rsid w:val="00855E2E"/>
    <w:rsid w:val="00856167"/>
    <w:rsid w:val="00856346"/>
    <w:rsid w:val="008563A7"/>
    <w:rsid w:val="008563D4"/>
    <w:rsid w:val="0085692D"/>
    <w:rsid w:val="00857024"/>
    <w:rsid w:val="0085782F"/>
    <w:rsid w:val="00857995"/>
    <w:rsid w:val="008600C2"/>
    <w:rsid w:val="0086011A"/>
    <w:rsid w:val="008607B6"/>
    <w:rsid w:val="00860A42"/>
    <w:rsid w:val="00860C5C"/>
    <w:rsid w:val="00861B31"/>
    <w:rsid w:val="00861CAC"/>
    <w:rsid w:val="00861E55"/>
    <w:rsid w:val="00862220"/>
    <w:rsid w:val="0086232C"/>
    <w:rsid w:val="0086266C"/>
    <w:rsid w:val="00862AFA"/>
    <w:rsid w:val="00862F14"/>
    <w:rsid w:val="0086322F"/>
    <w:rsid w:val="008634C3"/>
    <w:rsid w:val="00863517"/>
    <w:rsid w:val="008637D5"/>
    <w:rsid w:val="00863BA8"/>
    <w:rsid w:val="00863E9C"/>
    <w:rsid w:val="008644AF"/>
    <w:rsid w:val="00864827"/>
    <w:rsid w:val="00864910"/>
    <w:rsid w:val="00865052"/>
    <w:rsid w:val="00865594"/>
    <w:rsid w:val="00865A4D"/>
    <w:rsid w:val="00865CE6"/>
    <w:rsid w:val="00865CF8"/>
    <w:rsid w:val="00866035"/>
    <w:rsid w:val="008666A6"/>
    <w:rsid w:val="00867360"/>
    <w:rsid w:val="0086747C"/>
    <w:rsid w:val="008675D9"/>
    <w:rsid w:val="008677C6"/>
    <w:rsid w:val="00867B5B"/>
    <w:rsid w:val="00867F2B"/>
    <w:rsid w:val="00870437"/>
    <w:rsid w:val="0087081C"/>
    <w:rsid w:val="00870DEA"/>
    <w:rsid w:val="00870F9F"/>
    <w:rsid w:val="00871089"/>
    <w:rsid w:val="0087173D"/>
    <w:rsid w:val="00871C2E"/>
    <w:rsid w:val="00871F97"/>
    <w:rsid w:val="008720A5"/>
    <w:rsid w:val="008720CB"/>
    <w:rsid w:val="008723CD"/>
    <w:rsid w:val="008723F8"/>
    <w:rsid w:val="00872659"/>
    <w:rsid w:val="008726CC"/>
    <w:rsid w:val="00872E81"/>
    <w:rsid w:val="00872F3D"/>
    <w:rsid w:val="00873478"/>
    <w:rsid w:val="008736F2"/>
    <w:rsid w:val="00873D60"/>
    <w:rsid w:val="00873EFF"/>
    <w:rsid w:val="00874331"/>
    <w:rsid w:val="008744E9"/>
    <w:rsid w:val="0087474E"/>
    <w:rsid w:val="00874BDC"/>
    <w:rsid w:val="00874C04"/>
    <w:rsid w:val="00875158"/>
    <w:rsid w:val="008752D8"/>
    <w:rsid w:val="00875714"/>
    <w:rsid w:val="00875BC5"/>
    <w:rsid w:val="00875DB1"/>
    <w:rsid w:val="00875DBE"/>
    <w:rsid w:val="00875E74"/>
    <w:rsid w:val="00875F00"/>
    <w:rsid w:val="00876199"/>
    <w:rsid w:val="00876250"/>
    <w:rsid w:val="008762FE"/>
    <w:rsid w:val="008771C1"/>
    <w:rsid w:val="0087730E"/>
    <w:rsid w:val="008774DE"/>
    <w:rsid w:val="00877B1A"/>
    <w:rsid w:val="00877EBC"/>
    <w:rsid w:val="00877F51"/>
    <w:rsid w:val="00880262"/>
    <w:rsid w:val="008805CA"/>
    <w:rsid w:val="008809FF"/>
    <w:rsid w:val="00881079"/>
    <w:rsid w:val="0088111D"/>
    <w:rsid w:val="008812C6"/>
    <w:rsid w:val="008814F3"/>
    <w:rsid w:val="0088154B"/>
    <w:rsid w:val="008822D0"/>
    <w:rsid w:val="008822FA"/>
    <w:rsid w:val="008829BA"/>
    <w:rsid w:val="00883782"/>
    <w:rsid w:val="00883B6D"/>
    <w:rsid w:val="0088435E"/>
    <w:rsid w:val="00884E33"/>
    <w:rsid w:val="008851A5"/>
    <w:rsid w:val="00885284"/>
    <w:rsid w:val="0088537B"/>
    <w:rsid w:val="00885527"/>
    <w:rsid w:val="008859F7"/>
    <w:rsid w:val="00885BD8"/>
    <w:rsid w:val="00885E0A"/>
    <w:rsid w:val="00885F5E"/>
    <w:rsid w:val="00886073"/>
    <w:rsid w:val="00887C4B"/>
    <w:rsid w:val="0089025D"/>
    <w:rsid w:val="00891F05"/>
    <w:rsid w:val="00891FFD"/>
    <w:rsid w:val="00892450"/>
    <w:rsid w:val="008926F9"/>
    <w:rsid w:val="0089335D"/>
    <w:rsid w:val="0089338C"/>
    <w:rsid w:val="00893814"/>
    <w:rsid w:val="0089438A"/>
    <w:rsid w:val="00894398"/>
    <w:rsid w:val="0089456B"/>
    <w:rsid w:val="0089458D"/>
    <w:rsid w:val="00894E81"/>
    <w:rsid w:val="008950FD"/>
    <w:rsid w:val="008956C6"/>
    <w:rsid w:val="008957F0"/>
    <w:rsid w:val="00895F0B"/>
    <w:rsid w:val="00895FEE"/>
    <w:rsid w:val="0089606E"/>
    <w:rsid w:val="0089616F"/>
    <w:rsid w:val="00896424"/>
    <w:rsid w:val="00896871"/>
    <w:rsid w:val="00896887"/>
    <w:rsid w:val="00896DFD"/>
    <w:rsid w:val="00896E4E"/>
    <w:rsid w:val="00896E6D"/>
    <w:rsid w:val="00896EA9"/>
    <w:rsid w:val="00896F82"/>
    <w:rsid w:val="00896FC8"/>
    <w:rsid w:val="00897002"/>
    <w:rsid w:val="00897354"/>
    <w:rsid w:val="008A0204"/>
    <w:rsid w:val="008A03E5"/>
    <w:rsid w:val="008A0AB9"/>
    <w:rsid w:val="008A1621"/>
    <w:rsid w:val="008A1666"/>
    <w:rsid w:val="008A17F3"/>
    <w:rsid w:val="008A1B7E"/>
    <w:rsid w:val="008A1DA4"/>
    <w:rsid w:val="008A2249"/>
    <w:rsid w:val="008A25A5"/>
    <w:rsid w:val="008A25B9"/>
    <w:rsid w:val="008A2C3C"/>
    <w:rsid w:val="008A2DC0"/>
    <w:rsid w:val="008A2FE5"/>
    <w:rsid w:val="008A324A"/>
    <w:rsid w:val="008A35BC"/>
    <w:rsid w:val="008A38C3"/>
    <w:rsid w:val="008A3998"/>
    <w:rsid w:val="008A3AA8"/>
    <w:rsid w:val="008A3AE4"/>
    <w:rsid w:val="008A3B00"/>
    <w:rsid w:val="008A3B78"/>
    <w:rsid w:val="008A44EE"/>
    <w:rsid w:val="008A4523"/>
    <w:rsid w:val="008A4A19"/>
    <w:rsid w:val="008A4CCF"/>
    <w:rsid w:val="008A5ABA"/>
    <w:rsid w:val="008A5C12"/>
    <w:rsid w:val="008A5F6F"/>
    <w:rsid w:val="008A5F89"/>
    <w:rsid w:val="008A6502"/>
    <w:rsid w:val="008A6A18"/>
    <w:rsid w:val="008A6AFA"/>
    <w:rsid w:val="008A6B74"/>
    <w:rsid w:val="008A6EB1"/>
    <w:rsid w:val="008A77B3"/>
    <w:rsid w:val="008B00CB"/>
    <w:rsid w:val="008B01D4"/>
    <w:rsid w:val="008B01D7"/>
    <w:rsid w:val="008B0292"/>
    <w:rsid w:val="008B03C8"/>
    <w:rsid w:val="008B0660"/>
    <w:rsid w:val="008B1296"/>
    <w:rsid w:val="008B1311"/>
    <w:rsid w:val="008B1370"/>
    <w:rsid w:val="008B1D08"/>
    <w:rsid w:val="008B1E63"/>
    <w:rsid w:val="008B2356"/>
    <w:rsid w:val="008B24CF"/>
    <w:rsid w:val="008B28CF"/>
    <w:rsid w:val="008B2903"/>
    <w:rsid w:val="008B2956"/>
    <w:rsid w:val="008B443E"/>
    <w:rsid w:val="008B45BA"/>
    <w:rsid w:val="008B50B8"/>
    <w:rsid w:val="008B51C0"/>
    <w:rsid w:val="008B5382"/>
    <w:rsid w:val="008B561D"/>
    <w:rsid w:val="008B568F"/>
    <w:rsid w:val="008B574C"/>
    <w:rsid w:val="008B5D19"/>
    <w:rsid w:val="008B5DD8"/>
    <w:rsid w:val="008B63C0"/>
    <w:rsid w:val="008B64E9"/>
    <w:rsid w:val="008B6663"/>
    <w:rsid w:val="008B6CE1"/>
    <w:rsid w:val="008B71E0"/>
    <w:rsid w:val="008B7302"/>
    <w:rsid w:val="008B7D50"/>
    <w:rsid w:val="008C0182"/>
    <w:rsid w:val="008C06E9"/>
    <w:rsid w:val="008C0E0C"/>
    <w:rsid w:val="008C1567"/>
    <w:rsid w:val="008C1868"/>
    <w:rsid w:val="008C258F"/>
    <w:rsid w:val="008C2B06"/>
    <w:rsid w:val="008C2B30"/>
    <w:rsid w:val="008C2BEA"/>
    <w:rsid w:val="008C2DF8"/>
    <w:rsid w:val="008C30D6"/>
    <w:rsid w:val="008C320F"/>
    <w:rsid w:val="008C3475"/>
    <w:rsid w:val="008C3A6A"/>
    <w:rsid w:val="008C3E19"/>
    <w:rsid w:val="008C4196"/>
    <w:rsid w:val="008C48D4"/>
    <w:rsid w:val="008C4B36"/>
    <w:rsid w:val="008C580D"/>
    <w:rsid w:val="008C6067"/>
    <w:rsid w:val="008C60AC"/>
    <w:rsid w:val="008C6988"/>
    <w:rsid w:val="008C6EAA"/>
    <w:rsid w:val="008C7112"/>
    <w:rsid w:val="008C7126"/>
    <w:rsid w:val="008C7653"/>
    <w:rsid w:val="008C7822"/>
    <w:rsid w:val="008C7AAA"/>
    <w:rsid w:val="008C7DAA"/>
    <w:rsid w:val="008C7ECE"/>
    <w:rsid w:val="008C7F00"/>
    <w:rsid w:val="008D00AB"/>
    <w:rsid w:val="008D0501"/>
    <w:rsid w:val="008D07A0"/>
    <w:rsid w:val="008D0B43"/>
    <w:rsid w:val="008D0D33"/>
    <w:rsid w:val="008D1628"/>
    <w:rsid w:val="008D1CBE"/>
    <w:rsid w:val="008D1DFE"/>
    <w:rsid w:val="008D1EDF"/>
    <w:rsid w:val="008D1FC7"/>
    <w:rsid w:val="008D28F0"/>
    <w:rsid w:val="008D3504"/>
    <w:rsid w:val="008D3893"/>
    <w:rsid w:val="008D413B"/>
    <w:rsid w:val="008D41F2"/>
    <w:rsid w:val="008D46A9"/>
    <w:rsid w:val="008D47A3"/>
    <w:rsid w:val="008D4B6E"/>
    <w:rsid w:val="008D4EE3"/>
    <w:rsid w:val="008D548C"/>
    <w:rsid w:val="008D5601"/>
    <w:rsid w:val="008D579A"/>
    <w:rsid w:val="008D5FBB"/>
    <w:rsid w:val="008D669E"/>
    <w:rsid w:val="008D6CAC"/>
    <w:rsid w:val="008D6CF4"/>
    <w:rsid w:val="008D73BF"/>
    <w:rsid w:val="008D7436"/>
    <w:rsid w:val="008D75C5"/>
    <w:rsid w:val="008D7C94"/>
    <w:rsid w:val="008E0925"/>
    <w:rsid w:val="008E0E12"/>
    <w:rsid w:val="008E1301"/>
    <w:rsid w:val="008E1894"/>
    <w:rsid w:val="008E1A18"/>
    <w:rsid w:val="008E1C4C"/>
    <w:rsid w:val="008E1CFF"/>
    <w:rsid w:val="008E1D3D"/>
    <w:rsid w:val="008E1FFA"/>
    <w:rsid w:val="008E21CA"/>
    <w:rsid w:val="008E2656"/>
    <w:rsid w:val="008E28F8"/>
    <w:rsid w:val="008E29E4"/>
    <w:rsid w:val="008E2D4E"/>
    <w:rsid w:val="008E30EF"/>
    <w:rsid w:val="008E3971"/>
    <w:rsid w:val="008E3BE8"/>
    <w:rsid w:val="008E3CE4"/>
    <w:rsid w:val="008E4B64"/>
    <w:rsid w:val="008E4D8C"/>
    <w:rsid w:val="008E4F22"/>
    <w:rsid w:val="008E527F"/>
    <w:rsid w:val="008E52FD"/>
    <w:rsid w:val="008E5B64"/>
    <w:rsid w:val="008E5E59"/>
    <w:rsid w:val="008E5F71"/>
    <w:rsid w:val="008E63C7"/>
    <w:rsid w:val="008E6525"/>
    <w:rsid w:val="008E67E2"/>
    <w:rsid w:val="008E6A9A"/>
    <w:rsid w:val="008E6D97"/>
    <w:rsid w:val="008E7E70"/>
    <w:rsid w:val="008F000C"/>
    <w:rsid w:val="008F05E2"/>
    <w:rsid w:val="008F07F5"/>
    <w:rsid w:val="008F137E"/>
    <w:rsid w:val="008F13F1"/>
    <w:rsid w:val="008F24A8"/>
    <w:rsid w:val="008F26C8"/>
    <w:rsid w:val="008F3187"/>
    <w:rsid w:val="008F3841"/>
    <w:rsid w:val="008F3999"/>
    <w:rsid w:val="008F3B69"/>
    <w:rsid w:val="008F41F7"/>
    <w:rsid w:val="008F453A"/>
    <w:rsid w:val="008F48FC"/>
    <w:rsid w:val="008F4F60"/>
    <w:rsid w:val="008F51EF"/>
    <w:rsid w:val="008F53E4"/>
    <w:rsid w:val="008F5901"/>
    <w:rsid w:val="008F5C8A"/>
    <w:rsid w:val="008F5FF3"/>
    <w:rsid w:val="008F68B2"/>
    <w:rsid w:val="008F6B68"/>
    <w:rsid w:val="008F6DDA"/>
    <w:rsid w:val="009001DF"/>
    <w:rsid w:val="0090024F"/>
    <w:rsid w:val="009002D2"/>
    <w:rsid w:val="009002EC"/>
    <w:rsid w:val="009008C3"/>
    <w:rsid w:val="00900EC6"/>
    <w:rsid w:val="00900FCF"/>
    <w:rsid w:val="00901902"/>
    <w:rsid w:val="009019AA"/>
    <w:rsid w:val="00901D3C"/>
    <w:rsid w:val="009020B9"/>
    <w:rsid w:val="009020F5"/>
    <w:rsid w:val="00902833"/>
    <w:rsid w:val="00903121"/>
    <w:rsid w:val="00904556"/>
    <w:rsid w:val="00904564"/>
    <w:rsid w:val="00904A60"/>
    <w:rsid w:val="00904B9A"/>
    <w:rsid w:val="00904CA3"/>
    <w:rsid w:val="009050CE"/>
    <w:rsid w:val="00905A07"/>
    <w:rsid w:val="00905A7E"/>
    <w:rsid w:val="00905BAE"/>
    <w:rsid w:val="00905EBD"/>
    <w:rsid w:val="0090609A"/>
    <w:rsid w:val="00906113"/>
    <w:rsid w:val="00906749"/>
    <w:rsid w:val="00906C67"/>
    <w:rsid w:val="00906CDD"/>
    <w:rsid w:val="009070A6"/>
    <w:rsid w:val="009077E5"/>
    <w:rsid w:val="00907AD1"/>
    <w:rsid w:val="00910498"/>
    <w:rsid w:val="0091081B"/>
    <w:rsid w:val="00910C10"/>
    <w:rsid w:val="0091171D"/>
    <w:rsid w:val="00911ADD"/>
    <w:rsid w:val="00911E8C"/>
    <w:rsid w:val="00911FA7"/>
    <w:rsid w:val="009126C8"/>
    <w:rsid w:val="00912B74"/>
    <w:rsid w:val="00912B86"/>
    <w:rsid w:val="00912C9E"/>
    <w:rsid w:val="00913081"/>
    <w:rsid w:val="00913865"/>
    <w:rsid w:val="00913DF4"/>
    <w:rsid w:val="0091447A"/>
    <w:rsid w:val="00914A6D"/>
    <w:rsid w:val="00914B20"/>
    <w:rsid w:val="00914DC5"/>
    <w:rsid w:val="00915408"/>
    <w:rsid w:val="009154B0"/>
    <w:rsid w:val="00915898"/>
    <w:rsid w:val="00915B54"/>
    <w:rsid w:val="00915D42"/>
    <w:rsid w:val="00915E0E"/>
    <w:rsid w:val="00915F88"/>
    <w:rsid w:val="00916886"/>
    <w:rsid w:val="00916A07"/>
    <w:rsid w:val="00916B03"/>
    <w:rsid w:val="009170CE"/>
    <w:rsid w:val="0091712F"/>
    <w:rsid w:val="00917AA5"/>
    <w:rsid w:val="00917DB1"/>
    <w:rsid w:val="00920004"/>
    <w:rsid w:val="00920946"/>
    <w:rsid w:val="00920AF7"/>
    <w:rsid w:val="00920E3F"/>
    <w:rsid w:val="00921094"/>
    <w:rsid w:val="00922030"/>
    <w:rsid w:val="00922F37"/>
    <w:rsid w:val="0092319A"/>
    <w:rsid w:val="00923C89"/>
    <w:rsid w:val="00923D78"/>
    <w:rsid w:val="00923D8D"/>
    <w:rsid w:val="00923DE9"/>
    <w:rsid w:val="00923EEE"/>
    <w:rsid w:val="00924633"/>
    <w:rsid w:val="009247AD"/>
    <w:rsid w:val="009248AD"/>
    <w:rsid w:val="00924907"/>
    <w:rsid w:val="009249CE"/>
    <w:rsid w:val="00924EA8"/>
    <w:rsid w:val="009250C0"/>
    <w:rsid w:val="0092511E"/>
    <w:rsid w:val="00925521"/>
    <w:rsid w:val="009257CF"/>
    <w:rsid w:val="00925D5A"/>
    <w:rsid w:val="00925EDA"/>
    <w:rsid w:val="00925F87"/>
    <w:rsid w:val="00926139"/>
    <w:rsid w:val="0092688A"/>
    <w:rsid w:val="00926B7F"/>
    <w:rsid w:val="00927595"/>
    <w:rsid w:val="00927695"/>
    <w:rsid w:val="00927B80"/>
    <w:rsid w:val="00927D7C"/>
    <w:rsid w:val="00927E16"/>
    <w:rsid w:val="00927F2F"/>
    <w:rsid w:val="009303FB"/>
    <w:rsid w:val="00930419"/>
    <w:rsid w:val="009304C8"/>
    <w:rsid w:val="00930BC0"/>
    <w:rsid w:val="00930F75"/>
    <w:rsid w:val="00931194"/>
    <w:rsid w:val="00931F77"/>
    <w:rsid w:val="00932205"/>
    <w:rsid w:val="00932883"/>
    <w:rsid w:val="00932B09"/>
    <w:rsid w:val="00932E44"/>
    <w:rsid w:val="00932F41"/>
    <w:rsid w:val="00933064"/>
    <w:rsid w:val="0093356A"/>
    <w:rsid w:val="00933616"/>
    <w:rsid w:val="00933630"/>
    <w:rsid w:val="00933A7C"/>
    <w:rsid w:val="00933DD8"/>
    <w:rsid w:val="00934780"/>
    <w:rsid w:val="009359E3"/>
    <w:rsid w:val="00936382"/>
    <w:rsid w:val="00936A09"/>
    <w:rsid w:val="00936DAE"/>
    <w:rsid w:val="00937002"/>
    <w:rsid w:val="0093743D"/>
    <w:rsid w:val="00937B84"/>
    <w:rsid w:val="00937D55"/>
    <w:rsid w:val="00937EE0"/>
    <w:rsid w:val="0094039C"/>
    <w:rsid w:val="009408FE"/>
    <w:rsid w:val="00940F01"/>
    <w:rsid w:val="009415E8"/>
    <w:rsid w:val="00941639"/>
    <w:rsid w:val="00941690"/>
    <w:rsid w:val="0094246A"/>
    <w:rsid w:val="00942B1B"/>
    <w:rsid w:val="00942EAA"/>
    <w:rsid w:val="00943E55"/>
    <w:rsid w:val="00944139"/>
    <w:rsid w:val="00944DCC"/>
    <w:rsid w:val="00944F23"/>
    <w:rsid w:val="009450FE"/>
    <w:rsid w:val="00945157"/>
    <w:rsid w:val="00945485"/>
    <w:rsid w:val="00945C32"/>
    <w:rsid w:val="00945C5F"/>
    <w:rsid w:val="00945C8F"/>
    <w:rsid w:val="00946201"/>
    <w:rsid w:val="009466D3"/>
    <w:rsid w:val="00946FAD"/>
    <w:rsid w:val="009506E2"/>
    <w:rsid w:val="00950840"/>
    <w:rsid w:val="00950B2E"/>
    <w:rsid w:val="00950BBD"/>
    <w:rsid w:val="00951270"/>
    <w:rsid w:val="009512B8"/>
    <w:rsid w:val="009516F6"/>
    <w:rsid w:val="00951D23"/>
    <w:rsid w:val="0095215B"/>
    <w:rsid w:val="00952429"/>
    <w:rsid w:val="00952EAD"/>
    <w:rsid w:val="009530E5"/>
    <w:rsid w:val="0095328E"/>
    <w:rsid w:val="009536FC"/>
    <w:rsid w:val="00953EDB"/>
    <w:rsid w:val="0095426A"/>
    <w:rsid w:val="00954BD6"/>
    <w:rsid w:val="00954CEC"/>
    <w:rsid w:val="00954D87"/>
    <w:rsid w:val="00955CBA"/>
    <w:rsid w:val="009564C9"/>
    <w:rsid w:val="00956787"/>
    <w:rsid w:val="0095773C"/>
    <w:rsid w:val="00957C1B"/>
    <w:rsid w:val="00957E8B"/>
    <w:rsid w:val="009604C4"/>
    <w:rsid w:val="009606D0"/>
    <w:rsid w:val="009613A2"/>
    <w:rsid w:val="0096141C"/>
    <w:rsid w:val="00961DE1"/>
    <w:rsid w:val="00962041"/>
    <w:rsid w:val="00962DAF"/>
    <w:rsid w:val="00962E14"/>
    <w:rsid w:val="00962EC1"/>
    <w:rsid w:val="00963458"/>
    <w:rsid w:val="00963D9E"/>
    <w:rsid w:val="00964026"/>
    <w:rsid w:val="00964089"/>
    <w:rsid w:val="0096410E"/>
    <w:rsid w:val="009645AC"/>
    <w:rsid w:val="00964A1F"/>
    <w:rsid w:val="00964ABF"/>
    <w:rsid w:val="00964AD7"/>
    <w:rsid w:val="00965485"/>
    <w:rsid w:val="009655D1"/>
    <w:rsid w:val="00965B0F"/>
    <w:rsid w:val="00965BEA"/>
    <w:rsid w:val="00965E7A"/>
    <w:rsid w:val="00965F81"/>
    <w:rsid w:val="00965FFD"/>
    <w:rsid w:val="0096602B"/>
    <w:rsid w:val="0096632F"/>
    <w:rsid w:val="00966805"/>
    <w:rsid w:val="00966CDD"/>
    <w:rsid w:val="00966D00"/>
    <w:rsid w:val="00966E54"/>
    <w:rsid w:val="009670AF"/>
    <w:rsid w:val="00967A79"/>
    <w:rsid w:val="00967B9C"/>
    <w:rsid w:val="009700C9"/>
    <w:rsid w:val="009709E9"/>
    <w:rsid w:val="00970BD9"/>
    <w:rsid w:val="00970EA4"/>
    <w:rsid w:val="00970FBB"/>
    <w:rsid w:val="00971B9B"/>
    <w:rsid w:val="00971DF9"/>
    <w:rsid w:val="009720E3"/>
    <w:rsid w:val="00972CB8"/>
    <w:rsid w:val="009737F5"/>
    <w:rsid w:val="00973BB6"/>
    <w:rsid w:val="00973F66"/>
    <w:rsid w:val="009741D8"/>
    <w:rsid w:val="009742F3"/>
    <w:rsid w:val="0097466B"/>
    <w:rsid w:val="00974ED2"/>
    <w:rsid w:val="00975238"/>
    <w:rsid w:val="00975838"/>
    <w:rsid w:val="00975A3C"/>
    <w:rsid w:val="00975F13"/>
    <w:rsid w:val="00975F49"/>
    <w:rsid w:val="0097696C"/>
    <w:rsid w:val="00977014"/>
    <w:rsid w:val="00977993"/>
    <w:rsid w:val="00977FA5"/>
    <w:rsid w:val="00980351"/>
    <w:rsid w:val="009805A7"/>
    <w:rsid w:val="009806CA"/>
    <w:rsid w:val="00980CDA"/>
    <w:rsid w:val="00980F0D"/>
    <w:rsid w:val="00981001"/>
    <w:rsid w:val="0098158D"/>
    <w:rsid w:val="009819D9"/>
    <w:rsid w:val="00981CAE"/>
    <w:rsid w:val="00981FA8"/>
    <w:rsid w:val="00982088"/>
    <w:rsid w:val="00982125"/>
    <w:rsid w:val="00983235"/>
    <w:rsid w:val="00983326"/>
    <w:rsid w:val="00983A06"/>
    <w:rsid w:val="00983AB5"/>
    <w:rsid w:val="00983DCF"/>
    <w:rsid w:val="009845C8"/>
    <w:rsid w:val="00984682"/>
    <w:rsid w:val="009847AA"/>
    <w:rsid w:val="00984A6C"/>
    <w:rsid w:val="00984D4C"/>
    <w:rsid w:val="009850A0"/>
    <w:rsid w:val="009857C4"/>
    <w:rsid w:val="009857EF"/>
    <w:rsid w:val="00985AC6"/>
    <w:rsid w:val="00985D98"/>
    <w:rsid w:val="00985FC0"/>
    <w:rsid w:val="00986069"/>
    <w:rsid w:val="0098611D"/>
    <w:rsid w:val="009862FF"/>
    <w:rsid w:val="009864AE"/>
    <w:rsid w:val="00987387"/>
    <w:rsid w:val="0098758E"/>
    <w:rsid w:val="0098777E"/>
    <w:rsid w:val="009877A9"/>
    <w:rsid w:val="00987A14"/>
    <w:rsid w:val="009908F4"/>
    <w:rsid w:val="00990DDE"/>
    <w:rsid w:val="00991222"/>
    <w:rsid w:val="0099158E"/>
    <w:rsid w:val="00991B1A"/>
    <w:rsid w:val="00991F38"/>
    <w:rsid w:val="00992041"/>
    <w:rsid w:val="00992179"/>
    <w:rsid w:val="00992802"/>
    <w:rsid w:val="009928C6"/>
    <w:rsid w:val="0099298A"/>
    <w:rsid w:val="00992B6C"/>
    <w:rsid w:val="0099308D"/>
    <w:rsid w:val="009931FB"/>
    <w:rsid w:val="00993403"/>
    <w:rsid w:val="00993B80"/>
    <w:rsid w:val="00993B83"/>
    <w:rsid w:val="0099409E"/>
    <w:rsid w:val="00994274"/>
    <w:rsid w:val="00994305"/>
    <w:rsid w:val="0099479A"/>
    <w:rsid w:val="009948F1"/>
    <w:rsid w:val="00994F80"/>
    <w:rsid w:val="009954E6"/>
    <w:rsid w:val="0099561C"/>
    <w:rsid w:val="0099575D"/>
    <w:rsid w:val="00995A25"/>
    <w:rsid w:val="00995E0C"/>
    <w:rsid w:val="00995F1F"/>
    <w:rsid w:val="00996749"/>
    <w:rsid w:val="00996B53"/>
    <w:rsid w:val="00996FE1"/>
    <w:rsid w:val="00997417"/>
    <w:rsid w:val="009975F5"/>
    <w:rsid w:val="009977FD"/>
    <w:rsid w:val="00997FC7"/>
    <w:rsid w:val="009A0B64"/>
    <w:rsid w:val="009A1563"/>
    <w:rsid w:val="009A1E4F"/>
    <w:rsid w:val="009A21E2"/>
    <w:rsid w:val="009A21E3"/>
    <w:rsid w:val="009A268F"/>
    <w:rsid w:val="009A2D03"/>
    <w:rsid w:val="009A39DC"/>
    <w:rsid w:val="009A3F27"/>
    <w:rsid w:val="009A43FC"/>
    <w:rsid w:val="009A4C35"/>
    <w:rsid w:val="009A4E2B"/>
    <w:rsid w:val="009A4EE2"/>
    <w:rsid w:val="009A52B5"/>
    <w:rsid w:val="009A531C"/>
    <w:rsid w:val="009A5753"/>
    <w:rsid w:val="009A57EB"/>
    <w:rsid w:val="009A59CC"/>
    <w:rsid w:val="009A63DD"/>
    <w:rsid w:val="009A6437"/>
    <w:rsid w:val="009A6442"/>
    <w:rsid w:val="009A6465"/>
    <w:rsid w:val="009A65B0"/>
    <w:rsid w:val="009A6612"/>
    <w:rsid w:val="009A67A3"/>
    <w:rsid w:val="009A68C8"/>
    <w:rsid w:val="009A699B"/>
    <w:rsid w:val="009A6CA4"/>
    <w:rsid w:val="009A7168"/>
    <w:rsid w:val="009A71BC"/>
    <w:rsid w:val="009A7BA5"/>
    <w:rsid w:val="009B04B1"/>
    <w:rsid w:val="009B103D"/>
    <w:rsid w:val="009B1313"/>
    <w:rsid w:val="009B180C"/>
    <w:rsid w:val="009B1B50"/>
    <w:rsid w:val="009B2036"/>
    <w:rsid w:val="009B2077"/>
    <w:rsid w:val="009B25E9"/>
    <w:rsid w:val="009B31CE"/>
    <w:rsid w:val="009B33A3"/>
    <w:rsid w:val="009B3624"/>
    <w:rsid w:val="009B383E"/>
    <w:rsid w:val="009B393E"/>
    <w:rsid w:val="009B3BE1"/>
    <w:rsid w:val="009B3BE6"/>
    <w:rsid w:val="009B3EBA"/>
    <w:rsid w:val="009B3EFA"/>
    <w:rsid w:val="009B42F4"/>
    <w:rsid w:val="009B4A9B"/>
    <w:rsid w:val="009B4CEE"/>
    <w:rsid w:val="009B585F"/>
    <w:rsid w:val="009B68E6"/>
    <w:rsid w:val="009B6DDA"/>
    <w:rsid w:val="009B6EBC"/>
    <w:rsid w:val="009B7A84"/>
    <w:rsid w:val="009B7A96"/>
    <w:rsid w:val="009B7C85"/>
    <w:rsid w:val="009B7E02"/>
    <w:rsid w:val="009B7E22"/>
    <w:rsid w:val="009B7FD9"/>
    <w:rsid w:val="009C04E9"/>
    <w:rsid w:val="009C0732"/>
    <w:rsid w:val="009C08B7"/>
    <w:rsid w:val="009C09B8"/>
    <w:rsid w:val="009C0A9D"/>
    <w:rsid w:val="009C0B9A"/>
    <w:rsid w:val="009C0D95"/>
    <w:rsid w:val="009C1557"/>
    <w:rsid w:val="009C17C5"/>
    <w:rsid w:val="009C17E2"/>
    <w:rsid w:val="009C181F"/>
    <w:rsid w:val="009C19DB"/>
    <w:rsid w:val="009C1AD6"/>
    <w:rsid w:val="009C2214"/>
    <w:rsid w:val="009C239A"/>
    <w:rsid w:val="009C23CF"/>
    <w:rsid w:val="009C3130"/>
    <w:rsid w:val="009C34BB"/>
    <w:rsid w:val="009C3668"/>
    <w:rsid w:val="009C36AB"/>
    <w:rsid w:val="009C387F"/>
    <w:rsid w:val="009C3D28"/>
    <w:rsid w:val="009C404D"/>
    <w:rsid w:val="009C42D6"/>
    <w:rsid w:val="009C4A1B"/>
    <w:rsid w:val="009C4AE7"/>
    <w:rsid w:val="009C4C11"/>
    <w:rsid w:val="009C4CDB"/>
    <w:rsid w:val="009C4DC8"/>
    <w:rsid w:val="009C4ECF"/>
    <w:rsid w:val="009C53E7"/>
    <w:rsid w:val="009C610F"/>
    <w:rsid w:val="009C63EA"/>
    <w:rsid w:val="009C659F"/>
    <w:rsid w:val="009C65A2"/>
    <w:rsid w:val="009C6D8C"/>
    <w:rsid w:val="009C6DB8"/>
    <w:rsid w:val="009C6EA2"/>
    <w:rsid w:val="009C77BF"/>
    <w:rsid w:val="009C7AAF"/>
    <w:rsid w:val="009C7C37"/>
    <w:rsid w:val="009D0196"/>
    <w:rsid w:val="009D08BD"/>
    <w:rsid w:val="009D0DB2"/>
    <w:rsid w:val="009D0FD1"/>
    <w:rsid w:val="009D1077"/>
    <w:rsid w:val="009D11E4"/>
    <w:rsid w:val="009D123B"/>
    <w:rsid w:val="009D16A0"/>
    <w:rsid w:val="009D1AA9"/>
    <w:rsid w:val="009D1F8A"/>
    <w:rsid w:val="009D2210"/>
    <w:rsid w:val="009D23A2"/>
    <w:rsid w:val="009D262A"/>
    <w:rsid w:val="009D26AB"/>
    <w:rsid w:val="009D2B03"/>
    <w:rsid w:val="009D2B9F"/>
    <w:rsid w:val="009D2F81"/>
    <w:rsid w:val="009D4309"/>
    <w:rsid w:val="009D45EE"/>
    <w:rsid w:val="009D4AC6"/>
    <w:rsid w:val="009D4C9F"/>
    <w:rsid w:val="009D4D90"/>
    <w:rsid w:val="009D4F93"/>
    <w:rsid w:val="009D5081"/>
    <w:rsid w:val="009D53F2"/>
    <w:rsid w:val="009D5747"/>
    <w:rsid w:val="009D5F65"/>
    <w:rsid w:val="009D6576"/>
    <w:rsid w:val="009D65A0"/>
    <w:rsid w:val="009D65C9"/>
    <w:rsid w:val="009D6725"/>
    <w:rsid w:val="009D6A08"/>
    <w:rsid w:val="009D6AC0"/>
    <w:rsid w:val="009D6D69"/>
    <w:rsid w:val="009D7226"/>
    <w:rsid w:val="009D73E3"/>
    <w:rsid w:val="009D7A5B"/>
    <w:rsid w:val="009D7DCA"/>
    <w:rsid w:val="009D7E2C"/>
    <w:rsid w:val="009E00F5"/>
    <w:rsid w:val="009E05A1"/>
    <w:rsid w:val="009E0E64"/>
    <w:rsid w:val="009E1113"/>
    <w:rsid w:val="009E15BA"/>
    <w:rsid w:val="009E17D9"/>
    <w:rsid w:val="009E1A69"/>
    <w:rsid w:val="009E1B6C"/>
    <w:rsid w:val="009E246E"/>
    <w:rsid w:val="009E24CA"/>
    <w:rsid w:val="009E25D4"/>
    <w:rsid w:val="009E30A3"/>
    <w:rsid w:val="009E3284"/>
    <w:rsid w:val="009E3321"/>
    <w:rsid w:val="009E33BA"/>
    <w:rsid w:val="009E33D7"/>
    <w:rsid w:val="009E3CEB"/>
    <w:rsid w:val="009E425A"/>
    <w:rsid w:val="009E4772"/>
    <w:rsid w:val="009E4D6A"/>
    <w:rsid w:val="009E4E20"/>
    <w:rsid w:val="009E505F"/>
    <w:rsid w:val="009E5F03"/>
    <w:rsid w:val="009E6094"/>
    <w:rsid w:val="009E610F"/>
    <w:rsid w:val="009E61EB"/>
    <w:rsid w:val="009E668B"/>
    <w:rsid w:val="009E6753"/>
    <w:rsid w:val="009E688A"/>
    <w:rsid w:val="009E692D"/>
    <w:rsid w:val="009E6DDC"/>
    <w:rsid w:val="009E6EA8"/>
    <w:rsid w:val="009E728A"/>
    <w:rsid w:val="009E72CB"/>
    <w:rsid w:val="009E73F1"/>
    <w:rsid w:val="009E790A"/>
    <w:rsid w:val="009F0C2B"/>
    <w:rsid w:val="009F12F9"/>
    <w:rsid w:val="009F1373"/>
    <w:rsid w:val="009F22CF"/>
    <w:rsid w:val="009F3357"/>
    <w:rsid w:val="009F3547"/>
    <w:rsid w:val="009F364B"/>
    <w:rsid w:val="009F384E"/>
    <w:rsid w:val="009F3959"/>
    <w:rsid w:val="009F3B3E"/>
    <w:rsid w:val="009F456B"/>
    <w:rsid w:val="009F5237"/>
    <w:rsid w:val="009F546B"/>
    <w:rsid w:val="009F557E"/>
    <w:rsid w:val="009F56AB"/>
    <w:rsid w:val="009F57AF"/>
    <w:rsid w:val="009F58DF"/>
    <w:rsid w:val="009F5D02"/>
    <w:rsid w:val="009F6117"/>
    <w:rsid w:val="009F6229"/>
    <w:rsid w:val="009F622D"/>
    <w:rsid w:val="009F6536"/>
    <w:rsid w:val="009F65D3"/>
    <w:rsid w:val="009F66E8"/>
    <w:rsid w:val="009F68F0"/>
    <w:rsid w:val="009F6E86"/>
    <w:rsid w:val="009F7293"/>
    <w:rsid w:val="009F7437"/>
    <w:rsid w:val="009F7512"/>
    <w:rsid w:val="009F7857"/>
    <w:rsid w:val="009F799F"/>
    <w:rsid w:val="00A008B2"/>
    <w:rsid w:val="00A00FFC"/>
    <w:rsid w:val="00A0182E"/>
    <w:rsid w:val="00A018E6"/>
    <w:rsid w:val="00A01900"/>
    <w:rsid w:val="00A01AE7"/>
    <w:rsid w:val="00A01BFA"/>
    <w:rsid w:val="00A02024"/>
    <w:rsid w:val="00A02ABA"/>
    <w:rsid w:val="00A03B4E"/>
    <w:rsid w:val="00A03DFB"/>
    <w:rsid w:val="00A04005"/>
    <w:rsid w:val="00A04ADC"/>
    <w:rsid w:val="00A04C02"/>
    <w:rsid w:val="00A04F2A"/>
    <w:rsid w:val="00A05612"/>
    <w:rsid w:val="00A05DBE"/>
    <w:rsid w:val="00A061A9"/>
    <w:rsid w:val="00A06520"/>
    <w:rsid w:val="00A06ABB"/>
    <w:rsid w:val="00A06AD0"/>
    <w:rsid w:val="00A06C25"/>
    <w:rsid w:val="00A07088"/>
    <w:rsid w:val="00A0751F"/>
    <w:rsid w:val="00A07587"/>
    <w:rsid w:val="00A075DE"/>
    <w:rsid w:val="00A076A6"/>
    <w:rsid w:val="00A076CB"/>
    <w:rsid w:val="00A077BA"/>
    <w:rsid w:val="00A07883"/>
    <w:rsid w:val="00A07AF7"/>
    <w:rsid w:val="00A07B61"/>
    <w:rsid w:val="00A10FDB"/>
    <w:rsid w:val="00A1156A"/>
    <w:rsid w:val="00A11AD2"/>
    <w:rsid w:val="00A11F58"/>
    <w:rsid w:val="00A12016"/>
    <w:rsid w:val="00A122AA"/>
    <w:rsid w:val="00A1242F"/>
    <w:rsid w:val="00A12C70"/>
    <w:rsid w:val="00A12CE4"/>
    <w:rsid w:val="00A1328C"/>
    <w:rsid w:val="00A13325"/>
    <w:rsid w:val="00A13377"/>
    <w:rsid w:val="00A135B0"/>
    <w:rsid w:val="00A13671"/>
    <w:rsid w:val="00A1400A"/>
    <w:rsid w:val="00A141FA"/>
    <w:rsid w:val="00A146D1"/>
    <w:rsid w:val="00A14DC1"/>
    <w:rsid w:val="00A14E04"/>
    <w:rsid w:val="00A15012"/>
    <w:rsid w:val="00A1506E"/>
    <w:rsid w:val="00A150E9"/>
    <w:rsid w:val="00A1514F"/>
    <w:rsid w:val="00A152D9"/>
    <w:rsid w:val="00A15539"/>
    <w:rsid w:val="00A15544"/>
    <w:rsid w:val="00A1556E"/>
    <w:rsid w:val="00A162F2"/>
    <w:rsid w:val="00A164C4"/>
    <w:rsid w:val="00A16C13"/>
    <w:rsid w:val="00A16D1B"/>
    <w:rsid w:val="00A17435"/>
    <w:rsid w:val="00A17883"/>
    <w:rsid w:val="00A179E2"/>
    <w:rsid w:val="00A200E6"/>
    <w:rsid w:val="00A20330"/>
    <w:rsid w:val="00A205F5"/>
    <w:rsid w:val="00A20838"/>
    <w:rsid w:val="00A20857"/>
    <w:rsid w:val="00A20F23"/>
    <w:rsid w:val="00A215A1"/>
    <w:rsid w:val="00A217AB"/>
    <w:rsid w:val="00A21B72"/>
    <w:rsid w:val="00A21B97"/>
    <w:rsid w:val="00A21BAC"/>
    <w:rsid w:val="00A221B4"/>
    <w:rsid w:val="00A2235E"/>
    <w:rsid w:val="00A2275D"/>
    <w:rsid w:val="00A228E9"/>
    <w:rsid w:val="00A22EC6"/>
    <w:rsid w:val="00A23367"/>
    <w:rsid w:val="00A23559"/>
    <w:rsid w:val="00A23C96"/>
    <w:rsid w:val="00A23E9B"/>
    <w:rsid w:val="00A24133"/>
    <w:rsid w:val="00A245F3"/>
    <w:rsid w:val="00A24784"/>
    <w:rsid w:val="00A24901"/>
    <w:rsid w:val="00A24F53"/>
    <w:rsid w:val="00A24F6F"/>
    <w:rsid w:val="00A2514B"/>
    <w:rsid w:val="00A25189"/>
    <w:rsid w:val="00A253BB"/>
    <w:rsid w:val="00A255A1"/>
    <w:rsid w:val="00A25694"/>
    <w:rsid w:val="00A25ABE"/>
    <w:rsid w:val="00A2611F"/>
    <w:rsid w:val="00A2636D"/>
    <w:rsid w:val="00A263BF"/>
    <w:rsid w:val="00A26418"/>
    <w:rsid w:val="00A2645A"/>
    <w:rsid w:val="00A26CA1"/>
    <w:rsid w:val="00A26CE0"/>
    <w:rsid w:val="00A26E88"/>
    <w:rsid w:val="00A2716C"/>
    <w:rsid w:val="00A27384"/>
    <w:rsid w:val="00A274B1"/>
    <w:rsid w:val="00A27656"/>
    <w:rsid w:val="00A278C2"/>
    <w:rsid w:val="00A278ED"/>
    <w:rsid w:val="00A27DBE"/>
    <w:rsid w:val="00A30214"/>
    <w:rsid w:val="00A306A3"/>
    <w:rsid w:val="00A308F7"/>
    <w:rsid w:val="00A30A4C"/>
    <w:rsid w:val="00A30B15"/>
    <w:rsid w:val="00A30CDE"/>
    <w:rsid w:val="00A30F44"/>
    <w:rsid w:val="00A31230"/>
    <w:rsid w:val="00A313C7"/>
    <w:rsid w:val="00A316C7"/>
    <w:rsid w:val="00A318CD"/>
    <w:rsid w:val="00A31C08"/>
    <w:rsid w:val="00A323F8"/>
    <w:rsid w:val="00A324BF"/>
    <w:rsid w:val="00A324E6"/>
    <w:rsid w:val="00A32976"/>
    <w:rsid w:val="00A33B0F"/>
    <w:rsid w:val="00A33C06"/>
    <w:rsid w:val="00A342B5"/>
    <w:rsid w:val="00A3497D"/>
    <w:rsid w:val="00A356D0"/>
    <w:rsid w:val="00A35962"/>
    <w:rsid w:val="00A36550"/>
    <w:rsid w:val="00A367F4"/>
    <w:rsid w:val="00A36A27"/>
    <w:rsid w:val="00A36E14"/>
    <w:rsid w:val="00A36EFB"/>
    <w:rsid w:val="00A36F86"/>
    <w:rsid w:val="00A37006"/>
    <w:rsid w:val="00A37EB8"/>
    <w:rsid w:val="00A40189"/>
    <w:rsid w:val="00A40BC5"/>
    <w:rsid w:val="00A40BEE"/>
    <w:rsid w:val="00A40CE5"/>
    <w:rsid w:val="00A4108A"/>
    <w:rsid w:val="00A410F6"/>
    <w:rsid w:val="00A41628"/>
    <w:rsid w:val="00A41808"/>
    <w:rsid w:val="00A41944"/>
    <w:rsid w:val="00A423D0"/>
    <w:rsid w:val="00A42577"/>
    <w:rsid w:val="00A42FA3"/>
    <w:rsid w:val="00A43532"/>
    <w:rsid w:val="00A43911"/>
    <w:rsid w:val="00A43C72"/>
    <w:rsid w:val="00A43D37"/>
    <w:rsid w:val="00A4486E"/>
    <w:rsid w:val="00A44AE3"/>
    <w:rsid w:val="00A44C61"/>
    <w:rsid w:val="00A44E23"/>
    <w:rsid w:val="00A44F3C"/>
    <w:rsid w:val="00A457FA"/>
    <w:rsid w:val="00A45E22"/>
    <w:rsid w:val="00A46124"/>
    <w:rsid w:val="00A470DE"/>
    <w:rsid w:val="00A47B80"/>
    <w:rsid w:val="00A47EDC"/>
    <w:rsid w:val="00A47FD4"/>
    <w:rsid w:val="00A502FB"/>
    <w:rsid w:val="00A505E6"/>
    <w:rsid w:val="00A509A8"/>
    <w:rsid w:val="00A50B6C"/>
    <w:rsid w:val="00A5107F"/>
    <w:rsid w:val="00A51251"/>
    <w:rsid w:val="00A5134B"/>
    <w:rsid w:val="00A514C5"/>
    <w:rsid w:val="00A515E5"/>
    <w:rsid w:val="00A519AB"/>
    <w:rsid w:val="00A51CEB"/>
    <w:rsid w:val="00A521C4"/>
    <w:rsid w:val="00A5278C"/>
    <w:rsid w:val="00A536A6"/>
    <w:rsid w:val="00A53A2A"/>
    <w:rsid w:val="00A53D09"/>
    <w:rsid w:val="00A5424A"/>
    <w:rsid w:val="00A54745"/>
    <w:rsid w:val="00A547A7"/>
    <w:rsid w:val="00A553B6"/>
    <w:rsid w:val="00A55448"/>
    <w:rsid w:val="00A55655"/>
    <w:rsid w:val="00A5585F"/>
    <w:rsid w:val="00A55D6D"/>
    <w:rsid w:val="00A5689F"/>
    <w:rsid w:val="00A5690B"/>
    <w:rsid w:val="00A56A6F"/>
    <w:rsid w:val="00A56CE6"/>
    <w:rsid w:val="00A56DBB"/>
    <w:rsid w:val="00A57043"/>
    <w:rsid w:val="00A571D0"/>
    <w:rsid w:val="00A57A51"/>
    <w:rsid w:val="00A57D8F"/>
    <w:rsid w:val="00A60085"/>
    <w:rsid w:val="00A60334"/>
    <w:rsid w:val="00A603D4"/>
    <w:rsid w:val="00A607E6"/>
    <w:rsid w:val="00A60BF3"/>
    <w:rsid w:val="00A60CD8"/>
    <w:rsid w:val="00A60D0E"/>
    <w:rsid w:val="00A60DCE"/>
    <w:rsid w:val="00A60E81"/>
    <w:rsid w:val="00A615DC"/>
    <w:rsid w:val="00A61C57"/>
    <w:rsid w:val="00A61F6B"/>
    <w:rsid w:val="00A623B3"/>
    <w:rsid w:val="00A6240E"/>
    <w:rsid w:val="00A624D7"/>
    <w:rsid w:val="00A62509"/>
    <w:rsid w:val="00A627D3"/>
    <w:rsid w:val="00A628F0"/>
    <w:rsid w:val="00A62DA6"/>
    <w:rsid w:val="00A62E44"/>
    <w:rsid w:val="00A630E3"/>
    <w:rsid w:val="00A63157"/>
    <w:rsid w:val="00A635D0"/>
    <w:rsid w:val="00A63748"/>
    <w:rsid w:val="00A63F11"/>
    <w:rsid w:val="00A63F61"/>
    <w:rsid w:val="00A646A5"/>
    <w:rsid w:val="00A646C5"/>
    <w:rsid w:val="00A6477A"/>
    <w:rsid w:val="00A64AC4"/>
    <w:rsid w:val="00A6502B"/>
    <w:rsid w:val="00A65514"/>
    <w:rsid w:val="00A6637E"/>
    <w:rsid w:val="00A66E3F"/>
    <w:rsid w:val="00A66EF9"/>
    <w:rsid w:val="00A67147"/>
    <w:rsid w:val="00A6761C"/>
    <w:rsid w:val="00A67BD4"/>
    <w:rsid w:val="00A67D1C"/>
    <w:rsid w:val="00A67F45"/>
    <w:rsid w:val="00A703E7"/>
    <w:rsid w:val="00A705E7"/>
    <w:rsid w:val="00A70689"/>
    <w:rsid w:val="00A70B7D"/>
    <w:rsid w:val="00A70E79"/>
    <w:rsid w:val="00A71189"/>
    <w:rsid w:val="00A71362"/>
    <w:rsid w:val="00A71550"/>
    <w:rsid w:val="00A717D3"/>
    <w:rsid w:val="00A71AED"/>
    <w:rsid w:val="00A721D9"/>
    <w:rsid w:val="00A722BF"/>
    <w:rsid w:val="00A7244B"/>
    <w:rsid w:val="00A727FB"/>
    <w:rsid w:val="00A7289E"/>
    <w:rsid w:val="00A72BE8"/>
    <w:rsid w:val="00A72E8C"/>
    <w:rsid w:val="00A72FF7"/>
    <w:rsid w:val="00A73121"/>
    <w:rsid w:val="00A734C6"/>
    <w:rsid w:val="00A73AAD"/>
    <w:rsid w:val="00A73CAB"/>
    <w:rsid w:val="00A73EBE"/>
    <w:rsid w:val="00A7403D"/>
    <w:rsid w:val="00A74528"/>
    <w:rsid w:val="00A74873"/>
    <w:rsid w:val="00A74F51"/>
    <w:rsid w:val="00A75133"/>
    <w:rsid w:val="00A752D3"/>
    <w:rsid w:val="00A75482"/>
    <w:rsid w:val="00A7565B"/>
    <w:rsid w:val="00A758CC"/>
    <w:rsid w:val="00A75AFD"/>
    <w:rsid w:val="00A75DE8"/>
    <w:rsid w:val="00A76359"/>
    <w:rsid w:val="00A76618"/>
    <w:rsid w:val="00A76806"/>
    <w:rsid w:val="00A76973"/>
    <w:rsid w:val="00A769AA"/>
    <w:rsid w:val="00A769D2"/>
    <w:rsid w:val="00A76FAD"/>
    <w:rsid w:val="00A7737D"/>
    <w:rsid w:val="00A77789"/>
    <w:rsid w:val="00A77848"/>
    <w:rsid w:val="00A778CE"/>
    <w:rsid w:val="00A77B09"/>
    <w:rsid w:val="00A77C7A"/>
    <w:rsid w:val="00A80298"/>
    <w:rsid w:val="00A80459"/>
    <w:rsid w:val="00A80A52"/>
    <w:rsid w:val="00A80AF5"/>
    <w:rsid w:val="00A80BE4"/>
    <w:rsid w:val="00A813C9"/>
    <w:rsid w:val="00A81507"/>
    <w:rsid w:val="00A8165A"/>
    <w:rsid w:val="00A81A0C"/>
    <w:rsid w:val="00A81A2F"/>
    <w:rsid w:val="00A81B09"/>
    <w:rsid w:val="00A81BEB"/>
    <w:rsid w:val="00A82248"/>
    <w:rsid w:val="00A8284D"/>
    <w:rsid w:val="00A82C1B"/>
    <w:rsid w:val="00A82E27"/>
    <w:rsid w:val="00A83786"/>
    <w:rsid w:val="00A83EC4"/>
    <w:rsid w:val="00A84301"/>
    <w:rsid w:val="00A84396"/>
    <w:rsid w:val="00A84988"/>
    <w:rsid w:val="00A84B75"/>
    <w:rsid w:val="00A8510F"/>
    <w:rsid w:val="00A860A2"/>
    <w:rsid w:val="00A867A3"/>
    <w:rsid w:val="00A86B25"/>
    <w:rsid w:val="00A86EAA"/>
    <w:rsid w:val="00A8715A"/>
    <w:rsid w:val="00A87763"/>
    <w:rsid w:val="00A87994"/>
    <w:rsid w:val="00A87B6B"/>
    <w:rsid w:val="00A9047E"/>
    <w:rsid w:val="00A907A8"/>
    <w:rsid w:val="00A90F0F"/>
    <w:rsid w:val="00A90F5C"/>
    <w:rsid w:val="00A917CE"/>
    <w:rsid w:val="00A9188E"/>
    <w:rsid w:val="00A91D1C"/>
    <w:rsid w:val="00A928E9"/>
    <w:rsid w:val="00A92969"/>
    <w:rsid w:val="00A92CCA"/>
    <w:rsid w:val="00A9362E"/>
    <w:rsid w:val="00A938DF"/>
    <w:rsid w:val="00A93F0E"/>
    <w:rsid w:val="00A94149"/>
    <w:rsid w:val="00A943B4"/>
    <w:rsid w:val="00A953C3"/>
    <w:rsid w:val="00A95944"/>
    <w:rsid w:val="00A959E1"/>
    <w:rsid w:val="00A95BC4"/>
    <w:rsid w:val="00A95F0C"/>
    <w:rsid w:val="00A960CE"/>
    <w:rsid w:val="00A96165"/>
    <w:rsid w:val="00A9629E"/>
    <w:rsid w:val="00A969BE"/>
    <w:rsid w:val="00A96A6F"/>
    <w:rsid w:val="00A96E5F"/>
    <w:rsid w:val="00A9704E"/>
    <w:rsid w:val="00A973F7"/>
    <w:rsid w:val="00A97E7A"/>
    <w:rsid w:val="00AA0264"/>
    <w:rsid w:val="00AA02ED"/>
    <w:rsid w:val="00AA0833"/>
    <w:rsid w:val="00AA0BB9"/>
    <w:rsid w:val="00AA0CB5"/>
    <w:rsid w:val="00AA10B9"/>
    <w:rsid w:val="00AA111F"/>
    <w:rsid w:val="00AA12CA"/>
    <w:rsid w:val="00AA1445"/>
    <w:rsid w:val="00AA1831"/>
    <w:rsid w:val="00AA30EC"/>
    <w:rsid w:val="00AA3350"/>
    <w:rsid w:val="00AA34B2"/>
    <w:rsid w:val="00AA35FE"/>
    <w:rsid w:val="00AA3734"/>
    <w:rsid w:val="00AA3E2F"/>
    <w:rsid w:val="00AA3EAF"/>
    <w:rsid w:val="00AA3EE1"/>
    <w:rsid w:val="00AA4119"/>
    <w:rsid w:val="00AA414C"/>
    <w:rsid w:val="00AA415C"/>
    <w:rsid w:val="00AA41C6"/>
    <w:rsid w:val="00AA47C9"/>
    <w:rsid w:val="00AA5249"/>
    <w:rsid w:val="00AA5510"/>
    <w:rsid w:val="00AA558B"/>
    <w:rsid w:val="00AA5BAB"/>
    <w:rsid w:val="00AA5E5F"/>
    <w:rsid w:val="00AA5FD2"/>
    <w:rsid w:val="00AA638C"/>
    <w:rsid w:val="00AA7131"/>
    <w:rsid w:val="00AA719D"/>
    <w:rsid w:val="00AA71CF"/>
    <w:rsid w:val="00AA747B"/>
    <w:rsid w:val="00AA750F"/>
    <w:rsid w:val="00AA798E"/>
    <w:rsid w:val="00AA79AD"/>
    <w:rsid w:val="00AA79C5"/>
    <w:rsid w:val="00AA7C9B"/>
    <w:rsid w:val="00AB039A"/>
    <w:rsid w:val="00AB09A0"/>
    <w:rsid w:val="00AB130D"/>
    <w:rsid w:val="00AB13B9"/>
    <w:rsid w:val="00AB1401"/>
    <w:rsid w:val="00AB1D65"/>
    <w:rsid w:val="00AB264F"/>
    <w:rsid w:val="00AB2C2B"/>
    <w:rsid w:val="00AB2FA6"/>
    <w:rsid w:val="00AB32FE"/>
    <w:rsid w:val="00AB3359"/>
    <w:rsid w:val="00AB3381"/>
    <w:rsid w:val="00AB35DD"/>
    <w:rsid w:val="00AB38F0"/>
    <w:rsid w:val="00AB392B"/>
    <w:rsid w:val="00AB3A5F"/>
    <w:rsid w:val="00AB49AA"/>
    <w:rsid w:val="00AB4ED9"/>
    <w:rsid w:val="00AB4EEF"/>
    <w:rsid w:val="00AB5485"/>
    <w:rsid w:val="00AB5569"/>
    <w:rsid w:val="00AB71B1"/>
    <w:rsid w:val="00AB7534"/>
    <w:rsid w:val="00AC0229"/>
    <w:rsid w:val="00AC056A"/>
    <w:rsid w:val="00AC067F"/>
    <w:rsid w:val="00AC0BAC"/>
    <w:rsid w:val="00AC1381"/>
    <w:rsid w:val="00AC2BB7"/>
    <w:rsid w:val="00AC2DBB"/>
    <w:rsid w:val="00AC2E3E"/>
    <w:rsid w:val="00AC33F6"/>
    <w:rsid w:val="00AC35C9"/>
    <w:rsid w:val="00AC36A4"/>
    <w:rsid w:val="00AC39C2"/>
    <w:rsid w:val="00AC46E1"/>
    <w:rsid w:val="00AC4B96"/>
    <w:rsid w:val="00AC4D32"/>
    <w:rsid w:val="00AC4E64"/>
    <w:rsid w:val="00AC52D1"/>
    <w:rsid w:val="00AC5399"/>
    <w:rsid w:val="00AC54A3"/>
    <w:rsid w:val="00AC56B5"/>
    <w:rsid w:val="00AC56B6"/>
    <w:rsid w:val="00AC5700"/>
    <w:rsid w:val="00AC573D"/>
    <w:rsid w:val="00AC638C"/>
    <w:rsid w:val="00AC6618"/>
    <w:rsid w:val="00AC66EE"/>
    <w:rsid w:val="00AC673A"/>
    <w:rsid w:val="00AC680F"/>
    <w:rsid w:val="00AC68A7"/>
    <w:rsid w:val="00AC71A9"/>
    <w:rsid w:val="00AC77B9"/>
    <w:rsid w:val="00AC79C0"/>
    <w:rsid w:val="00AC7CAC"/>
    <w:rsid w:val="00AC7D29"/>
    <w:rsid w:val="00AC7E98"/>
    <w:rsid w:val="00AD04AE"/>
    <w:rsid w:val="00AD0E35"/>
    <w:rsid w:val="00AD109E"/>
    <w:rsid w:val="00AD1100"/>
    <w:rsid w:val="00AD1277"/>
    <w:rsid w:val="00AD158C"/>
    <w:rsid w:val="00AD190A"/>
    <w:rsid w:val="00AD2000"/>
    <w:rsid w:val="00AD20B2"/>
    <w:rsid w:val="00AD20E2"/>
    <w:rsid w:val="00AD220C"/>
    <w:rsid w:val="00AD2773"/>
    <w:rsid w:val="00AD2FB7"/>
    <w:rsid w:val="00AD32FA"/>
    <w:rsid w:val="00AD37E1"/>
    <w:rsid w:val="00AD436F"/>
    <w:rsid w:val="00AD4EFB"/>
    <w:rsid w:val="00AD565B"/>
    <w:rsid w:val="00AD5740"/>
    <w:rsid w:val="00AD5B7B"/>
    <w:rsid w:val="00AD5EEC"/>
    <w:rsid w:val="00AD681A"/>
    <w:rsid w:val="00AD6DF8"/>
    <w:rsid w:val="00AD6ECE"/>
    <w:rsid w:val="00AD6F53"/>
    <w:rsid w:val="00AD73BB"/>
    <w:rsid w:val="00AD74E4"/>
    <w:rsid w:val="00AD750A"/>
    <w:rsid w:val="00AD7789"/>
    <w:rsid w:val="00AD78D4"/>
    <w:rsid w:val="00AD7C05"/>
    <w:rsid w:val="00AD7EB6"/>
    <w:rsid w:val="00AD7FE8"/>
    <w:rsid w:val="00AE0B82"/>
    <w:rsid w:val="00AE0BFA"/>
    <w:rsid w:val="00AE0DCF"/>
    <w:rsid w:val="00AE0F15"/>
    <w:rsid w:val="00AE14BB"/>
    <w:rsid w:val="00AE1DD7"/>
    <w:rsid w:val="00AE1EDC"/>
    <w:rsid w:val="00AE230B"/>
    <w:rsid w:val="00AE24E7"/>
    <w:rsid w:val="00AE2650"/>
    <w:rsid w:val="00AE28D8"/>
    <w:rsid w:val="00AE2D20"/>
    <w:rsid w:val="00AE2F23"/>
    <w:rsid w:val="00AE342D"/>
    <w:rsid w:val="00AE356F"/>
    <w:rsid w:val="00AE3696"/>
    <w:rsid w:val="00AE3908"/>
    <w:rsid w:val="00AE391E"/>
    <w:rsid w:val="00AE3999"/>
    <w:rsid w:val="00AE39E1"/>
    <w:rsid w:val="00AE4002"/>
    <w:rsid w:val="00AE446C"/>
    <w:rsid w:val="00AE4A1B"/>
    <w:rsid w:val="00AE53BB"/>
    <w:rsid w:val="00AE65B3"/>
    <w:rsid w:val="00AE6D4B"/>
    <w:rsid w:val="00AE75F9"/>
    <w:rsid w:val="00AE7666"/>
    <w:rsid w:val="00AE7C98"/>
    <w:rsid w:val="00AE7E21"/>
    <w:rsid w:val="00AE7F5C"/>
    <w:rsid w:val="00AF06E4"/>
    <w:rsid w:val="00AF0868"/>
    <w:rsid w:val="00AF0AD2"/>
    <w:rsid w:val="00AF1EBD"/>
    <w:rsid w:val="00AF2311"/>
    <w:rsid w:val="00AF2F58"/>
    <w:rsid w:val="00AF3468"/>
    <w:rsid w:val="00AF3AEF"/>
    <w:rsid w:val="00AF3BD5"/>
    <w:rsid w:val="00AF3C81"/>
    <w:rsid w:val="00AF3CC6"/>
    <w:rsid w:val="00AF4972"/>
    <w:rsid w:val="00AF4DA5"/>
    <w:rsid w:val="00AF5711"/>
    <w:rsid w:val="00AF5833"/>
    <w:rsid w:val="00AF59B1"/>
    <w:rsid w:val="00AF5C54"/>
    <w:rsid w:val="00AF5C5B"/>
    <w:rsid w:val="00AF5D43"/>
    <w:rsid w:val="00AF609A"/>
    <w:rsid w:val="00AF658C"/>
    <w:rsid w:val="00AF67B0"/>
    <w:rsid w:val="00AF6888"/>
    <w:rsid w:val="00AF6A67"/>
    <w:rsid w:val="00AF6CA5"/>
    <w:rsid w:val="00AF6D0C"/>
    <w:rsid w:val="00AF6E9D"/>
    <w:rsid w:val="00AF717F"/>
    <w:rsid w:val="00AF71DE"/>
    <w:rsid w:val="00AF7301"/>
    <w:rsid w:val="00AF75DA"/>
    <w:rsid w:val="00AF7869"/>
    <w:rsid w:val="00B008AC"/>
    <w:rsid w:val="00B0092E"/>
    <w:rsid w:val="00B013A5"/>
    <w:rsid w:val="00B018CA"/>
    <w:rsid w:val="00B019F2"/>
    <w:rsid w:val="00B01CE9"/>
    <w:rsid w:val="00B01E29"/>
    <w:rsid w:val="00B02764"/>
    <w:rsid w:val="00B027ED"/>
    <w:rsid w:val="00B02A25"/>
    <w:rsid w:val="00B02EAF"/>
    <w:rsid w:val="00B02F48"/>
    <w:rsid w:val="00B031CB"/>
    <w:rsid w:val="00B032A5"/>
    <w:rsid w:val="00B038D4"/>
    <w:rsid w:val="00B039F8"/>
    <w:rsid w:val="00B03B09"/>
    <w:rsid w:val="00B0408B"/>
    <w:rsid w:val="00B044E0"/>
    <w:rsid w:val="00B047A4"/>
    <w:rsid w:val="00B05DBF"/>
    <w:rsid w:val="00B066BD"/>
    <w:rsid w:val="00B06ABF"/>
    <w:rsid w:val="00B07069"/>
    <w:rsid w:val="00B074F9"/>
    <w:rsid w:val="00B100BE"/>
    <w:rsid w:val="00B10340"/>
    <w:rsid w:val="00B10570"/>
    <w:rsid w:val="00B10AAB"/>
    <w:rsid w:val="00B10AD2"/>
    <w:rsid w:val="00B10B33"/>
    <w:rsid w:val="00B10C22"/>
    <w:rsid w:val="00B10E33"/>
    <w:rsid w:val="00B110CD"/>
    <w:rsid w:val="00B1128D"/>
    <w:rsid w:val="00B116B6"/>
    <w:rsid w:val="00B11847"/>
    <w:rsid w:val="00B11939"/>
    <w:rsid w:val="00B11D8B"/>
    <w:rsid w:val="00B12AC4"/>
    <w:rsid w:val="00B12F25"/>
    <w:rsid w:val="00B1324C"/>
    <w:rsid w:val="00B13F30"/>
    <w:rsid w:val="00B13F99"/>
    <w:rsid w:val="00B14DF0"/>
    <w:rsid w:val="00B1512E"/>
    <w:rsid w:val="00B1558E"/>
    <w:rsid w:val="00B155C5"/>
    <w:rsid w:val="00B15918"/>
    <w:rsid w:val="00B15CC5"/>
    <w:rsid w:val="00B15E8B"/>
    <w:rsid w:val="00B16557"/>
    <w:rsid w:val="00B16838"/>
    <w:rsid w:val="00B16924"/>
    <w:rsid w:val="00B16AA9"/>
    <w:rsid w:val="00B17019"/>
    <w:rsid w:val="00B17169"/>
    <w:rsid w:val="00B20664"/>
    <w:rsid w:val="00B2077B"/>
    <w:rsid w:val="00B20DF1"/>
    <w:rsid w:val="00B211AB"/>
    <w:rsid w:val="00B2147B"/>
    <w:rsid w:val="00B214D8"/>
    <w:rsid w:val="00B2150D"/>
    <w:rsid w:val="00B216C5"/>
    <w:rsid w:val="00B21D68"/>
    <w:rsid w:val="00B21FC8"/>
    <w:rsid w:val="00B221C0"/>
    <w:rsid w:val="00B225D8"/>
    <w:rsid w:val="00B22DBD"/>
    <w:rsid w:val="00B23291"/>
    <w:rsid w:val="00B23292"/>
    <w:rsid w:val="00B234BD"/>
    <w:rsid w:val="00B238C6"/>
    <w:rsid w:val="00B23CD9"/>
    <w:rsid w:val="00B23FB0"/>
    <w:rsid w:val="00B24812"/>
    <w:rsid w:val="00B249D0"/>
    <w:rsid w:val="00B24AD9"/>
    <w:rsid w:val="00B25002"/>
    <w:rsid w:val="00B250AF"/>
    <w:rsid w:val="00B251F0"/>
    <w:rsid w:val="00B25F41"/>
    <w:rsid w:val="00B260F8"/>
    <w:rsid w:val="00B2699B"/>
    <w:rsid w:val="00B26CE3"/>
    <w:rsid w:val="00B26D34"/>
    <w:rsid w:val="00B273A9"/>
    <w:rsid w:val="00B2750C"/>
    <w:rsid w:val="00B275BE"/>
    <w:rsid w:val="00B27A3D"/>
    <w:rsid w:val="00B27CED"/>
    <w:rsid w:val="00B30216"/>
    <w:rsid w:val="00B302AC"/>
    <w:rsid w:val="00B3149B"/>
    <w:rsid w:val="00B319CB"/>
    <w:rsid w:val="00B31D29"/>
    <w:rsid w:val="00B31D5F"/>
    <w:rsid w:val="00B31DED"/>
    <w:rsid w:val="00B3206C"/>
    <w:rsid w:val="00B32120"/>
    <w:rsid w:val="00B3248E"/>
    <w:rsid w:val="00B32CDA"/>
    <w:rsid w:val="00B33705"/>
    <w:rsid w:val="00B33A27"/>
    <w:rsid w:val="00B34308"/>
    <w:rsid w:val="00B3450E"/>
    <w:rsid w:val="00B3463A"/>
    <w:rsid w:val="00B34D8B"/>
    <w:rsid w:val="00B35218"/>
    <w:rsid w:val="00B35835"/>
    <w:rsid w:val="00B36426"/>
    <w:rsid w:val="00B3652C"/>
    <w:rsid w:val="00B3673D"/>
    <w:rsid w:val="00B36BB8"/>
    <w:rsid w:val="00B36BDB"/>
    <w:rsid w:val="00B37499"/>
    <w:rsid w:val="00B3757A"/>
    <w:rsid w:val="00B37652"/>
    <w:rsid w:val="00B37EDE"/>
    <w:rsid w:val="00B40037"/>
    <w:rsid w:val="00B4026F"/>
    <w:rsid w:val="00B409E8"/>
    <w:rsid w:val="00B40B0D"/>
    <w:rsid w:val="00B41019"/>
    <w:rsid w:val="00B41EBD"/>
    <w:rsid w:val="00B41F7E"/>
    <w:rsid w:val="00B42359"/>
    <w:rsid w:val="00B4236A"/>
    <w:rsid w:val="00B4255B"/>
    <w:rsid w:val="00B426B6"/>
    <w:rsid w:val="00B42C5A"/>
    <w:rsid w:val="00B435B7"/>
    <w:rsid w:val="00B4366C"/>
    <w:rsid w:val="00B43678"/>
    <w:rsid w:val="00B436AE"/>
    <w:rsid w:val="00B44595"/>
    <w:rsid w:val="00B448A0"/>
    <w:rsid w:val="00B448EC"/>
    <w:rsid w:val="00B44D64"/>
    <w:rsid w:val="00B45434"/>
    <w:rsid w:val="00B45C6D"/>
    <w:rsid w:val="00B462C6"/>
    <w:rsid w:val="00B463E6"/>
    <w:rsid w:val="00B467AC"/>
    <w:rsid w:val="00B46811"/>
    <w:rsid w:val="00B46859"/>
    <w:rsid w:val="00B46D59"/>
    <w:rsid w:val="00B46FD9"/>
    <w:rsid w:val="00B47B6A"/>
    <w:rsid w:val="00B47E7F"/>
    <w:rsid w:val="00B47E94"/>
    <w:rsid w:val="00B5016A"/>
    <w:rsid w:val="00B504B9"/>
    <w:rsid w:val="00B5078E"/>
    <w:rsid w:val="00B50E02"/>
    <w:rsid w:val="00B50EBB"/>
    <w:rsid w:val="00B512CA"/>
    <w:rsid w:val="00B51303"/>
    <w:rsid w:val="00B51403"/>
    <w:rsid w:val="00B5156F"/>
    <w:rsid w:val="00B515B9"/>
    <w:rsid w:val="00B5187B"/>
    <w:rsid w:val="00B521EC"/>
    <w:rsid w:val="00B52337"/>
    <w:rsid w:val="00B524FD"/>
    <w:rsid w:val="00B52A87"/>
    <w:rsid w:val="00B530A8"/>
    <w:rsid w:val="00B53813"/>
    <w:rsid w:val="00B53E79"/>
    <w:rsid w:val="00B53FA4"/>
    <w:rsid w:val="00B54AFB"/>
    <w:rsid w:val="00B54C97"/>
    <w:rsid w:val="00B54E35"/>
    <w:rsid w:val="00B55245"/>
    <w:rsid w:val="00B5537D"/>
    <w:rsid w:val="00B554BA"/>
    <w:rsid w:val="00B55A00"/>
    <w:rsid w:val="00B56584"/>
    <w:rsid w:val="00B567FE"/>
    <w:rsid w:val="00B56D7F"/>
    <w:rsid w:val="00B574DD"/>
    <w:rsid w:val="00B57BA8"/>
    <w:rsid w:val="00B57C45"/>
    <w:rsid w:val="00B57D10"/>
    <w:rsid w:val="00B57F11"/>
    <w:rsid w:val="00B6033F"/>
    <w:rsid w:val="00B604BB"/>
    <w:rsid w:val="00B60628"/>
    <w:rsid w:val="00B6066E"/>
    <w:rsid w:val="00B60A7A"/>
    <w:rsid w:val="00B612E3"/>
    <w:rsid w:val="00B614FF"/>
    <w:rsid w:val="00B621ED"/>
    <w:rsid w:val="00B6237B"/>
    <w:rsid w:val="00B626F3"/>
    <w:rsid w:val="00B628A0"/>
    <w:rsid w:val="00B62BC2"/>
    <w:rsid w:val="00B62C50"/>
    <w:rsid w:val="00B62DF9"/>
    <w:rsid w:val="00B632E9"/>
    <w:rsid w:val="00B6384F"/>
    <w:rsid w:val="00B63AB2"/>
    <w:rsid w:val="00B63BA0"/>
    <w:rsid w:val="00B63E65"/>
    <w:rsid w:val="00B63FB4"/>
    <w:rsid w:val="00B6416F"/>
    <w:rsid w:val="00B646C1"/>
    <w:rsid w:val="00B646F0"/>
    <w:rsid w:val="00B64C41"/>
    <w:rsid w:val="00B651B4"/>
    <w:rsid w:val="00B65828"/>
    <w:rsid w:val="00B6585E"/>
    <w:rsid w:val="00B65E75"/>
    <w:rsid w:val="00B6649C"/>
    <w:rsid w:val="00B66529"/>
    <w:rsid w:val="00B66550"/>
    <w:rsid w:val="00B669FC"/>
    <w:rsid w:val="00B673C0"/>
    <w:rsid w:val="00B676F3"/>
    <w:rsid w:val="00B679D2"/>
    <w:rsid w:val="00B70164"/>
    <w:rsid w:val="00B704A5"/>
    <w:rsid w:val="00B70FB3"/>
    <w:rsid w:val="00B712B9"/>
    <w:rsid w:val="00B71ABE"/>
    <w:rsid w:val="00B71DB8"/>
    <w:rsid w:val="00B735C8"/>
    <w:rsid w:val="00B73A3D"/>
    <w:rsid w:val="00B73A55"/>
    <w:rsid w:val="00B73DEE"/>
    <w:rsid w:val="00B74169"/>
    <w:rsid w:val="00B7431C"/>
    <w:rsid w:val="00B744C5"/>
    <w:rsid w:val="00B74500"/>
    <w:rsid w:val="00B74719"/>
    <w:rsid w:val="00B749AB"/>
    <w:rsid w:val="00B74F01"/>
    <w:rsid w:val="00B74FC4"/>
    <w:rsid w:val="00B75161"/>
    <w:rsid w:val="00B7563F"/>
    <w:rsid w:val="00B756E4"/>
    <w:rsid w:val="00B757AA"/>
    <w:rsid w:val="00B759F6"/>
    <w:rsid w:val="00B763F0"/>
    <w:rsid w:val="00B76712"/>
    <w:rsid w:val="00B7686B"/>
    <w:rsid w:val="00B76A33"/>
    <w:rsid w:val="00B76E10"/>
    <w:rsid w:val="00B76F4E"/>
    <w:rsid w:val="00B77315"/>
    <w:rsid w:val="00B775C7"/>
    <w:rsid w:val="00B77A36"/>
    <w:rsid w:val="00B77C79"/>
    <w:rsid w:val="00B81060"/>
    <w:rsid w:val="00B810B8"/>
    <w:rsid w:val="00B81E47"/>
    <w:rsid w:val="00B8222B"/>
    <w:rsid w:val="00B82264"/>
    <w:rsid w:val="00B829D9"/>
    <w:rsid w:val="00B82C93"/>
    <w:rsid w:val="00B82D53"/>
    <w:rsid w:val="00B82E48"/>
    <w:rsid w:val="00B83F4B"/>
    <w:rsid w:val="00B84E07"/>
    <w:rsid w:val="00B8534A"/>
    <w:rsid w:val="00B8574E"/>
    <w:rsid w:val="00B85FE2"/>
    <w:rsid w:val="00B86573"/>
    <w:rsid w:val="00B86732"/>
    <w:rsid w:val="00B86B5E"/>
    <w:rsid w:val="00B86C85"/>
    <w:rsid w:val="00B86FCC"/>
    <w:rsid w:val="00B8724C"/>
    <w:rsid w:val="00B875A4"/>
    <w:rsid w:val="00B877F4"/>
    <w:rsid w:val="00B8797F"/>
    <w:rsid w:val="00B901CC"/>
    <w:rsid w:val="00B90480"/>
    <w:rsid w:val="00B90921"/>
    <w:rsid w:val="00B90DF5"/>
    <w:rsid w:val="00B90E19"/>
    <w:rsid w:val="00B91025"/>
    <w:rsid w:val="00B91868"/>
    <w:rsid w:val="00B9207A"/>
    <w:rsid w:val="00B92123"/>
    <w:rsid w:val="00B929EC"/>
    <w:rsid w:val="00B92C64"/>
    <w:rsid w:val="00B939BA"/>
    <w:rsid w:val="00B93D00"/>
    <w:rsid w:val="00B9405C"/>
    <w:rsid w:val="00B940DF"/>
    <w:rsid w:val="00B940E7"/>
    <w:rsid w:val="00B94146"/>
    <w:rsid w:val="00B9454B"/>
    <w:rsid w:val="00B94B68"/>
    <w:rsid w:val="00B9523A"/>
    <w:rsid w:val="00B95702"/>
    <w:rsid w:val="00B961BC"/>
    <w:rsid w:val="00B9633D"/>
    <w:rsid w:val="00B96EAE"/>
    <w:rsid w:val="00B97235"/>
    <w:rsid w:val="00B97465"/>
    <w:rsid w:val="00B9787D"/>
    <w:rsid w:val="00B978D7"/>
    <w:rsid w:val="00BA004D"/>
    <w:rsid w:val="00BA058B"/>
    <w:rsid w:val="00BA0C4C"/>
    <w:rsid w:val="00BA0FB4"/>
    <w:rsid w:val="00BA11A0"/>
    <w:rsid w:val="00BA138D"/>
    <w:rsid w:val="00BA153D"/>
    <w:rsid w:val="00BA18B0"/>
    <w:rsid w:val="00BA1965"/>
    <w:rsid w:val="00BA1976"/>
    <w:rsid w:val="00BA1BDA"/>
    <w:rsid w:val="00BA1C9F"/>
    <w:rsid w:val="00BA1F44"/>
    <w:rsid w:val="00BA22CB"/>
    <w:rsid w:val="00BA2532"/>
    <w:rsid w:val="00BA3404"/>
    <w:rsid w:val="00BA39F7"/>
    <w:rsid w:val="00BA4029"/>
    <w:rsid w:val="00BA43F7"/>
    <w:rsid w:val="00BA4420"/>
    <w:rsid w:val="00BA459C"/>
    <w:rsid w:val="00BA4E72"/>
    <w:rsid w:val="00BA5629"/>
    <w:rsid w:val="00BA56F1"/>
    <w:rsid w:val="00BA57B2"/>
    <w:rsid w:val="00BA5A5C"/>
    <w:rsid w:val="00BA5CEE"/>
    <w:rsid w:val="00BA5D78"/>
    <w:rsid w:val="00BA5D8E"/>
    <w:rsid w:val="00BA6392"/>
    <w:rsid w:val="00BA67F1"/>
    <w:rsid w:val="00BA68E1"/>
    <w:rsid w:val="00BA6E60"/>
    <w:rsid w:val="00BA7021"/>
    <w:rsid w:val="00BA7842"/>
    <w:rsid w:val="00BA7CBF"/>
    <w:rsid w:val="00BA7F96"/>
    <w:rsid w:val="00BB061C"/>
    <w:rsid w:val="00BB0AF3"/>
    <w:rsid w:val="00BB1900"/>
    <w:rsid w:val="00BB1A63"/>
    <w:rsid w:val="00BB1E50"/>
    <w:rsid w:val="00BB22F7"/>
    <w:rsid w:val="00BB34DD"/>
    <w:rsid w:val="00BB354D"/>
    <w:rsid w:val="00BB36D8"/>
    <w:rsid w:val="00BB3D8E"/>
    <w:rsid w:val="00BB4855"/>
    <w:rsid w:val="00BB495B"/>
    <w:rsid w:val="00BB4A08"/>
    <w:rsid w:val="00BB4D02"/>
    <w:rsid w:val="00BB5C41"/>
    <w:rsid w:val="00BB61CE"/>
    <w:rsid w:val="00BB64DA"/>
    <w:rsid w:val="00BB6868"/>
    <w:rsid w:val="00BB6948"/>
    <w:rsid w:val="00BB69C2"/>
    <w:rsid w:val="00BB69EA"/>
    <w:rsid w:val="00BB6AE9"/>
    <w:rsid w:val="00BB6C8A"/>
    <w:rsid w:val="00BB6DFC"/>
    <w:rsid w:val="00BB7727"/>
    <w:rsid w:val="00BB7AEC"/>
    <w:rsid w:val="00BC0438"/>
    <w:rsid w:val="00BC0463"/>
    <w:rsid w:val="00BC0703"/>
    <w:rsid w:val="00BC0AAF"/>
    <w:rsid w:val="00BC0FCA"/>
    <w:rsid w:val="00BC14BE"/>
    <w:rsid w:val="00BC1B8F"/>
    <w:rsid w:val="00BC1DBF"/>
    <w:rsid w:val="00BC1EE9"/>
    <w:rsid w:val="00BC1FC8"/>
    <w:rsid w:val="00BC207D"/>
    <w:rsid w:val="00BC2283"/>
    <w:rsid w:val="00BC24A3"/>
    <w:rsid w:val="00BC24C4"/>
    <w:rsid w:val="00BC2F1E"/>
    <w:rsid w:val="00BC322F"/>
    <w:rsid w:val="00BC35AC"/>
    <w:rsid w:val="00BC35CE"/>
    <w:rsid w:val="00BC3791"/>
    <w:rsid w:val="00BC3950"/>
    <w:rsid w:val="00BC3BBE"/>
    <w:rsid w:val="00BC3BE1"/>
    <w:rsid w:val="00BC3DB8"/>
    <w:rsid w:val="00BC3F17"/>
    <w:rsid w:val="00BC3F78"/>
    <w:rsid w:val="00BC3FFD"/>
    <w:rsid w:val="00BC48AB"/>
    <w:rsid w:val="00BC48C6"/>
    <w:rsid w:val="00BC4DD4"/>
    <w:rsid w:val="00BC4E91"/>
    <w:rsid w:val="00BC51BC"/>
    <w:rsid w:val="00BC5219"/>
    <w:rsid w:val="00BC54E0"/>
    <w:rsid w:val="00BC613A"/>
    <w:rsid w:val="00BC6378"/>
    <w:rsid w:val="00BC64BF"/>
    <w:rsid w:val="00BC6A08"/>
    <w:rsid w:val="00BC6AEB"/>
    <w:rsid w:val="00BC768B"/>
    <w:rsid w:val="00BC772A"/>
    <w:rsid w:val="00BC7829"/>
    <w:rsid w:val="00BC788D"/>
    <w:rsid w:val="00BC7BAB"/>
    <w:rsid w:val="00BD03BA"/>
    <w:rsid w:val="00BD088E"/>
    <w:rsid w:val="00BD0B76"/>
    <w:rsid w:val="00BD0FE9"/>
    <w:rsid w:val="00BD18A7"/>
    <w:rsid w:val="00BD1907"/>
    <w:rsid w:val="00BD209D"/>
    <w:rsid w:val="00BD217F"/>
    <w:rsid w:val="00BD2180"/>
    <w:rsid w:val="00BD2400"/>
    <w:rsid w:val="00BD2493"/>
    <w:rsid w:val="00BD294D"/>
    <w:rsid w:val="00BD2972"/>
    <w:rsid w:val="00BD2980"/>
    <w:rsid w:val="00BD2C18"/>
    <w:rsid w:val="00BD2E0F"/>
    <w:rsid w:val="00BD383D"/>
    <w:rsid w:val="00BD4556"/>
    <w:rsid w:val="00BD4710"/>
    <w:rsid w:val="00BD490C"/>
    <w:rsid w:val="00BD49D0"/>
    <w:rsid w:val="00BD5627"/>
    <w:rsid w:val="00BD579A"/>
    <w:rsid w:val="00BD6143"/>
    <w:rsid w:val="00BD61C4"/>
    <w:rsid w:val="00BD621B"/>
    <w:rsid w:val="00BD63DE"/>
    <w:rsid w:val="00BD6517"/>
    <w:rsid w:val="00BD677D"/>
    <w:rsid w:val="00BD7657"/>
    <w:rsid w:val="00BD766F"/>
    <w:rsid w:val="00BD7731"/>
    <w:rsid w:val="00BD7CA0"/>
    <w:rsid w:val="00BD7D03"/>
    <w:rsid w:val="00BD7D91"/>
    <w:rsid w:val="00BD7E9E"/>
    <w:rsid w:val="00BD7FB2"/>
    <w:rsid w:val="00BE0272"/>
    <w:rsid w:val="00BE0764"/>
    <w:rsid w:val="00BE0A0D"/>
    <w:rsid w:val="00BE0D14"/>
    <w:rsid w:val="00BE1215"/>
    <w:rsid w:val="00BE1855"/>
    <w:rsid w:val="00BE19EB"/>
    <w:rsid w:val="00BE1AE5"/>
    <w:rsid w:val="00BE1EA8"/>
    <w:rsid w:val="00BE29EB"/>
    <w:rsid w:val="00BE34E3"/>
    <w:rsid w:val="00BE35C5"/>
    <w:rsid w:val="00BE3EA4"/>
    <w:rsid w:val="00BE41BD"/>
    <w:rsid w:val="00BE46BD"/>
    <w:rsid w:val="00BE4A44"/>
    <w:rsid w:val="00BE4E1D"/>
    <w:rsid w:val="00BE5542"/>
    <w:rsid w:val="00BE5C3F"/>
    <w:rsid w:val="00BE5FB1"/>
    <w:rsid w:val="00BE6206"/>
    <w:rsid w:val="00BE63A0"/>
    <w:rsid w:val="00BE6579"/>
    <w:rsid w:val="00BE6C2A"/>
    <w:rsid w:val="00BE6F7E"/>
    <w:rsid w:val="00BE7008"/>
    <w:rsid w:val="00BE7364"/>
    <w:rsid w:val="00BE7503"/>
    <w:rsid w:val="00BE7979"/>
    <w:rsid w:val="00BE7ED9"/>
    <w:rsid w:val="00BF08EE"/>
    <w:rsid w:val="00BF0BD8"/>
    <w:rsid w:val="00BF158D"/>
    <w:rsid w:val="00BF1771"/>
    <w:rsid w:val="00BF18A6"/>
    <w:rsid w:val="00BF1986"/>
    <w:rsid w:val="00BF1BBE"/>
    <w:rsid w:val="00BF1CB1"/>
    <w:rsid w:val="00BF1D2B"/>
    <w:rsid w:val="00BF1DE9"/>
    <w:rsid w:val="00BF2002"/>
    <w:rsid w:val="00BF2354"/>
    <w:rsid w:val="00BF2556"/>
    <w:rsid w:val="00BF2D01"/>
    <w:rsid w:val="00BF2F0E"/>
    <w:rsid w:val="00BF2F5F"/>
    <w:rsid w:val="00BF2F99"/>
    <w:rsid w:val="00BF3E3B"/>
    <w:rsid w:val="00BF4078"/>
    <w:rsid w:val="00BF479A"/>
    <w:rsid w:val="00BF4CA2"/>
    <w:rsid w:val="00BF4F01"/>
    <w:rsid w:val="00BF4F81"/>
    <w:rsid w:val="00BF51E0"/>
    <w:rsid w:val="00BF51F6"/>
    <w:rsid w:val="00BF5368"/>
    <w:rsid w:val="00BF55FF"/>
    <w:rsid w:val="00BF56CC"/>
    <w:rsid w:val="00BF5739"/>
    <w:rsid w:val="00BF594E"/>
    <w:rsid w:val="00BF59CD"/>
    <w:rsid w:val="00BF5A90"/>
    <w:rsid w:val="00BF5F3D"/>
    <w:rsid w:val="00BF63DC"/>
    <w:rsid w:val="00BF68E0"/>
    <w:rsid w:val="00BF6BB4"/>
    <w:rsid w:val="00BF6E99"/>
    <w:rsid w:val="00BF6EAD"/>
    <w:rsid w:val="00BF701B"/>
    <w:rsid w:val="00BF7326"/>
    <w:rsid w:val="00BF7792"/>
    <w:rsid w:val="00BF7A9B"/>
    <w:rsid w:val="00BF7BDB"/>
    <w:rsid w:val="00C0014D"/>
    <w:rsid w:val="00C0032D"/>
    <w:rsid w:val="00C00463"/>
    <w:rsid w:val="00C009AF"/>
    <w:rsid w:val="00C00A57"/>
    <w:rsid w:val="00C0144E"/>
    <w:rsid w:val="00C01548"/>
    <w:rsid w:val="00C016B7"/>
    <w:rsid w:val="00C01936"/>
    <w:rsid w:val="00C01F5F"/>
    <w:rsid w:val="00C02065"/>
    <w:rsid w:val="00C02416"/>
    <w:rsid w:val="00C02585"/>
    <w:rsid w:val="00C028A0"/>
    <w:rsid w:val="00C0317B"/>
    <w:rsid w:val="00C031D2"/>
    <w:rsid w:val="00C0320C"/>
    <w:rsid w:val="00C032B6"/>
    <w:rsid w:val="00C03372"/>
    <w:rsid w:val="00C034E3"/>
    <w:rsid w:val="00C04069"/>
    <w:rsid w:val="00C04B8A"/>
    <w:rsid w:val="00C05430"/>
    <w:rsid w:val="00C05483"/>
    <w:rsid w:val="00C055E0"/>
    <w:rsid w:val="00C0563C"/>
    <w:rsid w:val="00C0581A"/>
    <w:rsid w:val="00C05FE2"/>
    <w:rsid w:val="00C062D4"/>
    <w:rsid w:val="00C06425"/>
    <w:rsid w:val="00C066EF"/>
    <w:rsid w:val="00C06A42"/>
    <w:rsid w:val="00C06C17"/>
    <w:rsid w:val="00C06CA1"/>
    <w:rsid w:val="00C0701B"/>
    <w:rsid w:val="00C0738E"/>
    <w:rsid w:val="00C073F4"/>
    <w:rsid w:val="00C078D5"/>
    <w:rsid w:val="00C07B22"/>
    <w:rsid w:val="00C07E93"/>
    <w:rsid w:val="00C10567"/>
    <w:rsid w:val="00C1079E"/>
    <w:rsid w:val="00C108C2"/>
    <w:rsid w:val="00C10FF1"/>
    <w:rsid w:val="00C11084"/>
    <w:rsid w:val="00C11ABD"/>
    <w:rsid w:val="00C11BC4"/>
    <w:rsid w:val="00C11DC3"/>
    <w:rsid w:val="00C11ECD"/>
    <w:rsid w:val="00C121ED"/>
    <w:rsid w:val="00C122F7"/>
    <w:rsid w:val="00C12357"/>
    <w:rsid w:val="00C12901"/>
    <w:rsid w:val="00C12B69"/>
    <w:rsid w:val="00C12C26"/>
    <w:rsid w:val="00C132B1"/>
    <w:rsid w:val="00C133CF"/>
    <w:rsid w:val="00C1344F"/>
    <w:rsid w:val="00C13E94"/>
    <w:rsid w:val="00C14120"/>
    <w:rsid w:val="00C14306"/>
    <w:rsid w:val="00C14547"/>
    <w:rsid w:val="00C148E6"/>
    <w:rsid w:val="00C14917"/>
    <w:rsid w:val="00C14DA6"/>
    <w:rsid w:val="00C15BAA"/>
    <w:rsid w:val="00C15CF5"/>
    <w:rsid w:val="00C16311"/>
    <w:rsid w:val="00C163CB"/>
    <w:rsid w:val="00C1644D"/>
    <w:rsid w:val="00C167AF"/>
    <w:rsid w:val="00C168EB"/>
    <w:rsid w:val="00C16AB3"/>
    <w:rsid w:val="00C16E9B"/>
    <w:rsid w:val="00C16FDD"/>
    <w:rsid w:val="00C17131"/>
    <w:rsid w:val="00C176B4"/>
    <w:rsid w:val="00C17AB4"/>
    <w:rsid w:val="00C17DFF"/>
    <w:rsid w:val="00C17F53"/>
    <w:rsid w:val="00C20E78"/>
    <w:rsid w:val="00C20EDE"/>
    <w:rsid w:val="00C214A0"/>
    <w:rsid w:val="00C21988"/>
    <w:rsid w:val="00C21DCE"/>
    <w:rsid w:val="00C21E26"/>
    <w:rsid w:val="00C21F99"/>
    <w:rsid w:val="00C2227E"/>
    <w:rsid w:val="00C226FA"/>
    <w:rsid w:val="00C22817"/>
    <w:rsid w:val="00C22DF9"/>
    <w:rsid w:val="00C237B9"/>
    <w:rsid w:val="00C24338"/>
    <w:rsid w:val="00C2546A"/>
    <w:rsid w:val="00C25A29"/>
    <w:rsid w:val="00C263FD"/>
    <w:rsid w:val="00C26B8B"/>
    <w:rsid w:val="00C26CC1"/>
    <w:rsid w:val="00C26D1C"/>
    <w:rsid w:val="00C26EC8"/>
    <w:rsid w:val="00C26F5E"/>
    <w:rsid w:val="00C2701D"/>
    <w:rsid w:val="00C2703C"/>
    <w:rsid w:val="00C27118"/>
    <w:rsid w:val="00C2713C"/>
    <w:rsid w:val="00C2735D"/>
    <w:rsid w:val="00C27460"/>
    <w:rsid w:val="00C278B6"/>
    <w:rsid w:val="00C27A9F"/>
    <w:rsid w:val="00C27C90"/>
    <w:rsid w:val="00C27C99"/>
    <w:rsid w:val="00C27D5B"/>
    <w:rsid w:val="00C27E0E"/>
    <w:rsid w:val="00C27E47"/>
    <w:rsid w:val="00C302D1"/>
    <w:rsid w:val="00C305BF"/>
    <w:rsid w:val="00C30BAB"/>
    <w:rsid w:val="00C3106A"/>
    <w:rsid w:val="00C31077"/>
    <w:rsid w:val="00C311C6"/>
    <w:rsid w:val="00C31224"/>
    <w:rsid w:val="00C3165F"/>
    <w:rsid w:val="00C31947"/>
    <w:rsid w:val="00C31AED"/>
    <w:rsid w:val="00C31C37"/>
    <w:rsid w:val="00C31C40"/>
    <w:rsid w:val="00C31F96"/>
    <w:rsid w:val="00C32332"/>
    <w:rsid w:val="00C32C69"/>
    <w:rsid w:val="00C32D48"/>
    <w:rsid w:val="00C32E74"/>
    <w:rsid w:val="00C33175"/>
    <w:rsid w:val="00C332D7"/>
    <w:rsid w:val="00C33405"/>
    <w:rsid w:val="00C33557"/>
    <w:rsid w:val="00C336E1"/>
    <w:rsid w:val="00C337DF"/>
    <w:rsid w:val="00C3384D"/>
    <w:rsid w:val="00C33D23"/>
    <w:rsid w:val="00C33FFA"/>
    <w:rsid w:val="00C34294"/>
    <w:rsid w:val="00C3462F"/>
    <w:rsid w:val="00C34C86"/>
    <w:rsid w:val="00C351C0"/>
    <w:rsid w:val="00C35BC6"/>
    <w:rsid w:val="00C35D41"/>
    <w:rsid w:val="00C36471"/>
    <w:rsid w:val="00C36C95"/>
    <w:rsid w:val="00C36FED"/>
    <w:rsid w:val="00C37AB4"/>
    <w:rsid w:val="00C40CF8"/>
    <w:rsid w:val="00C41204"/>
    <w:rsid w:val="00C41370"/>
    <w:rsid w:val="00C41557"/>
    <w:rsid w:val="00C41693"/>
    <w:rsid w:val="00C419B0"/>
    <w:rsid w:val="00C41BDE"/>
    <w:rsid w:val="00C41E8C"/>
    <w:rsid w:val="00C41F5E"/>
    <w:rsid w:val="00C4222E"/>
    <w:rsid w:val="00C42360"/>
    <w:rsid w:val="00C423C7"/>
    <w:rsid w:val="00C4279E"/>
    <w:rsid w:val="00C42A14"/>
    <w:rsid w:val="00C42E37"/>
    <w:rsid w:val="00C43422"/>
    <w:rsid w:val="00C4376C"/>
    <w:rsid w:val="00C43778"/>
    <w:rsid w:val="00C43F30"/>
    <w:rsid w:val="00C43F9B"/>
    <w:rsid w:val="00C440C3"/>
    <w:rsid w:val="00C44247"/>
    <w:rsid w:val="00C44555"/>
    <w:rsid w:val="00C451C8"/>
    <w:rsid w:val="00C45237"/>
    <w:rsid w:val="00C453DB"/>
    <w:rsid w:val="00C46061"/>
    <w:rsid w:val="00C46C46"/>
    <w:rsid w:val="00C473F0"/>
    <w:rsid w:val="00C474DC"/>
    <w:rsid w:val="00C47672"/>
    <w:rsid w:val="00C47A91"/>
    <w:rsid w:val="00C5054B"/>
    <w:rsid w:val="00C50621"/>
    <w:rsid w:val="00C5096E"/>
    <w:rsid w:val="00C50C2A"/>
    <w:rsid w:val="00C50D17"/>
    <w:rsid w:val="00C50D22"/>
    <w:rsid w:val="00C50D63"/>
    <w:rsid w:val="00C51262"/>
    <w:rsid w:val="00C51685"/>
    <w:rsid w:val="00C51951"/>
    <w:rsid w:val="00C52019"/>
    <w:rsid w:val="00C5205D"/>
    <w:rsid w:val="00C522A7"/>
    <w:rsid w:val="00C52486"/>
    <w:rsid w:val="00C52540"/>
    <w:rsid w:val="00C52725"/>
    <w:rsid w:val="00C534F0"/>
    <w:rsid w:val="00C537E2"/>
    <w:rsid w:val="00C542ED"/>
    <w:rsid w:val="00C546A2"/>
    <w:rsid w:val="00C54771"/>
    <w:rsid w:val="00C54CAB"/>
    <w:rsid w:val="00C550D6"/>
    <w:rsid w:val="00C5516C"/>
    <w:rsid w:val="00C55368"/>
    <w:rsid w:val="00C55998"/>
    <w:rsid w:val="00C55AE4"/>
    <w:rsid w:val="00C55FAD"/>
    <w:rsid w:val="00C565C6"/>
    <w:rsid w:val="00C565E6"/>
    <w:rsid w:val="00C567A2"/>
    <w:rsid w:val="00C567B7"/>
    <w:rsid w:val="00C56B58"/>
    <w:rsid w:val="00C56C71"/>
    <w:rsid w:val="00C56F42"/>
    <w:rsid w:val="00C57524"/>
    <w:rsid w:val="00C575B1"/>
    <w:rsid w:val="00C576DA"/>
    <w:rsid w:val="00C5786F"/>
    <w:rsid w:val="00C57A96"/>
    <w:rsid w:val="00C57B87"/>
    <w:rsid w:val="00C57CEB"/>
    <w:rsid w:val="00C57D0B"/>
    <w:rsid w:val="00C57F91"/>
    <w:rsid w:val="00C6004F"/>
    <w:rsid w:val="00C6043A"/>
    <w:rsid w:val="00C60446"/>
    <w:rsid w:val="00C606E6"/>
    <w:rsid w:val="00C60A0B"/>
    <w:rsid w:val="00C60E00"/>
    <w:rsid w:val="00C611FD"/>
    <w:rsid w:val="00C61556"/>
    <w:rsid w:val="00C617BE"/>
    <w:rsid w:val="00C62BC6"/>
    <w:rsid w:val="00C62F59"/>
    <w:rsid w:val="00C6345F"/>
    <w:rsid w:val="00C63B43"/>
    <w:rsid w:val="00C6444A"/>
    <w:rsid w:val="00C644F1"/>
    <w:rsid w:val="00C652EE"/>
    <w:rsid w:val="00C65466"/>
    <w:rsid w:val="00C65517"/>
    <w:rsid w:val="00C65A3A"/>
    <w:rsid w:val="00C65CF2"/>
    <w:rsid w:val="00C65ED9"/>
    <w:rsid w:val="00C6619F"/>
    <w:rsid w:val="00C663E3"/>
    <w:rsid w:val="00C664E7"/>
    <w:rsid w:val="00C668BD"/>
    <w:rsid w:val="00C66B33"/>
    <w:rsid w:val="00C66BA4"/>
    <w:rsid w:val="00C67260"/>
    <w:rsid w:val="00C70004"/>
    <w:rsid w:val="00C70DE5"/>
    <w:rsid w:val="00C70DEA"/>
    <w:rsid w:val="00C71C59"/>
    <w:rsid w:val="00C71C7C"/>
    <w:rsid w:val="00C72020"/>
    <w:rsid w:val="00C72062"/>
    <w:rsid w:val="00C723F1"/>
    <w:rsid w:val="00C7241D"/>
    <w:rsid w:val="00C726B6"/>
    <w:rsid w:val="00C72820"/>
    <w:rsid w:val="00C72CA8"/>
    <w:rsid w:val="00C73D1F"/>
    <w:rsid w:val="00C73D27"/>
    <w:rsid w:val="00C73EE3"/>
    <w:rsid w:val="00C749B3"/>
    <w:rsid w:val="00C75E03"/>
    <w:rsid w:val="00C75EDF"/>
    <w:rsid w:val="00C76004"/>
    <w:rsid w:val="00C76145"/>
    <w:rsid w:val="00C76356"/>
    <w:rsid w:val="00C76734"/>
    <w:rsid w:val="00C76BC0"/>
    <w:rsid w:val="00C77503"/>
    <w:rsid w:val="00C7790A"/>
    <w:rsid w:val="00C77BA6"/>
    <w:rsid w:val="00C77BE5"/>
    <w:rsid w:val="00C77C01"/>
    <w:rsid w:val="00C77E4C"/>
    <w:rsid w:val="00C80072"/>
    <w:rsid w:val="00C801C3"/>
    <w:rsid w:val="00C802B3"/>
    <w:rsid w:val="00C81106"/>
    <w:rsid w:val="00C81180"/>
    <w:rsid w:val="00C816F1"/>
    <w:rsid w:val="00C81AC1"/>
    <w:rsid w:val="00C826EE"/>
    <w:rsid w:val="00C82BC3"/>
    <w:rsid w:val="00C82DCA"/>
    <w:rsid w:val="00C82E03"/>
    <w:rsid w:val="00C82F60"/>
    <w:rsid w:val="00C831DF"/>
    <w:rsid w:val="00C8370D"/>
    <w:rsid w:val="00C83861"/>
    <w:rsid w:val="00C83A0F"/>
    <w:rsid w:val="00C83D3B"/>
    <w:rsid w:val="00C8423D"/>
    <w:rsid w:val="00C8447F"/>
    <w:rsid w:val="00C8496E"/>
    <w:rsid w:val="00C84AC5"/>
    <w:rsid w:val="00C84D8A"/>
    <w:rsid w:val="00C85490"/>
    <w:rsid w:val="00C859BA"/>
    <w:rsid w:val="00C85C22"/>
    <w:rsid w:val="00C85CF7"/>
    <w:rsid w:val="00C86003"/>
    <w:rsid w:val="00C860FF"/>
    <w:rsid w:val="00C86BC2"/>
    <w:rsid w:val="00C86C62"/>
    <w:rsid w:val="00C86ED7"/>
    <w:rsid w:val="00C8747B"/>
    <w:rsid w:val="00C875D2"/>
    <w:rsid w:val="00C90103"/>
    <w:rsid w:val="00C9022C"/>
    <w:rsid w:val="00C90322"/>
    <w:rsid w:val="00C91552"/>
    <w:rsid w:val="00C91734"/>
    <w:rsid w:val="00C9235E"/>
    <w:rsid w:val="00C923B8"/>
    <w:rsid w:val="00C92578"/>
    <w:rsid w:val="00C92CC6"/>
    <w:rsid w:val="00C94152"/>
    <w:rsid w:val="00C9451D"/>
    <w:rsid w:val="00C9457E"/>
    <w:rsid w:val="00C948D6"/>
    <w:rsid w:val="00C949D7"/>
    <w:rsid w:val="00C94BFF"/>
    <w:rsid w:val="00C94DB0"/>
    <w:rsid w:val="00C94EFE"/>
    <w:rsid w:val="00C94F1A"/>
    <w:rsid w:val="00C9568B"/>
    <w:rsid w:val="00C95CC2"/>
    <w:rsid w:val="00C95E0F"/>
    <w:rsid w:val="00C95EC0"/>
    <w:rsid w:val="00C9638C"/>
    <w:rsid w:val="00C969C6"/>
    <w:rsid w:val="00C96C40"/>
    <w:rsid w:val="00C96DB7"/>
    <w:rsid w:val="00C96F25"/>
    <w:rsid w:val="00C973DF"/>
    <w:rsid w:val="00C97C4B"/>
    <w:rsid w:val="00C97DB0"/>
    <w:rsid w:val="00C97DF2"/>
    <w:rsid w:val="00C97F38"/>
    <w:rsid w:val="00C97FB7"/>
    <w:rsid w:val="00CA0538"/>
    <w:rsid w:val="00CA096B"/>
    <w:rsid w:val="00CA1223"/>
    <w:rsid w:val="00CA1232"/>
    <w:rsid w:val="00CA18A1"/>
    <w:rsid w:val="00CA1B2A"/>
    <w:rsid w:val="00CA1C43"/>
    <w:rsid w:val="00CA211D"/>
    <w:rsid w:val="00CA22DE"/>
    <w:rsid w:val="00CA22F5"/>
    <w:rsid w:val="00CA259B"/>
    <w:rsid w:val="00CA26DE"/>
    <w:rsid w:val="00CA31D3"/>
    <w:rsid w:val="00CA332E"/>
    <w:rsid w:val="00CA345A"/>
    <w:rsid w:val="00CA34BD"/>
    <w:rsid w:val="00CA390C"/>
    <w:rsid w:val="00CA393D"/>
    <w:rsid w:val="00CA3D16"/>
    <w:rsid w:val="00CA47D3"/>
    <w:rsid w:val="00CA4E24"/>
    <w:rsid w:val="00CA50C9"/>
    <w:rsid w:val="00CA56C1"/>
    <w:rsid w:val="00CA60EC"/>
    <w:rsid w:val="00CA64D4"/>
    <w:rsid w:val="00CA66DB"/>
    <w:rsid w:val="00CA6B53"/>
    <w:rsid w:val="00CA6F13"/>
    <w:rsid w:val="00CA7608"/>
    <w:rsid w:val="00CB0363"/>
    <w:rsid w:val="00CB0665"/>
    <w:rsid w:val="00CB06CB"/>
    <w:rsid w:val="00CB08B0"/>
    <w:rsid w:val="00CB0E0F"/>
    <w:rsid w:val="00CB0E70"/>
    <w:rsid w:val="00CB1025"/>
    <w:rsid w:val="00CB105F"/>
    <w:rsid w:val="00CB1F62"/>
    <w:rsid w:val="00CB23C5"/>
    <w:rsid w:val="00CB23E4"/>
    <w:rsid w:val="00CB2964"/>
    <w:rsid w:val="00CB2BAB"/>
    <w:rsid w:val="00CB2FC2"/>
    <w:rsid w:val="00CB325B"/>
    <w:rsid w:val="00CB3286"/>
    <w:rsid w:val="00CB3702"/>
    <w:rsid w:val="00CB377D"/>
    <w:rsid w:val="00CB3996"/>
    <w:rsid w:val="00CB3D51"/>
    <w:rsid w:val="00CB3DC2"/>
    <w:rsid w:val="00CB3F2E"/>
    <w:rsid w:val="00CB428C"/>
    <w:rsid w:val="00CB4F35"/>
    <w:rsid w:val="00CB53AF"/>
    <w:rsid w:val="00CB5731"/>
    <w:rsid w:val="00CB5803"/>
    <w:rsid w:val="00CB5C5E"/>
    <w:rsid w:val="00CB63DB"/>
    <w:rsid w:val="00CB667E"/>
    <w:rsid w:val="00CB6AE7"/>
    <w:rsid w:val="00CB71DF"/>
    <w:rsid w:val="00CB78CD"/>
    <w:rsid w:val="00CC00BB"/>
    <w:rsid w:val="00CC0C43"/>
    <w:rsid w:val="00CC125A"/>
    <w:rsid w:val="00CC128F"/>
    <w:rsid w:val="00CC148B"/>
    <w:rsid w:val="00CC14A5"/>
    <w:rsid w:val="00CC16F0"/>
    <w:rsid w:val="00CC18DC"/>
    <w:rsid w:val="00CC1991"/>
    <w:rsid w:val="00CC1C4D"/>
    <w:rsid w:val="00CC1FB5"/>
    <w:rsid w:val="00CC2576"/>
    <w:rsid w:val="00CC3561"/>
    <w:rsid w:val="00CC3A23"/>
    <w:rsid w:val="00CC3AF9"/>
    <w:rsid w:val="00CC3B76"/>
    <w:rsid w:val="00CC48BD"/>
    <w:rsid w:val="00CC48FC"/>
    <w:rsid w:val="00CC4AFC"/>
    <w:rsid w:val="00CC4F94"/>
    <w:rsid w:val="00CC540A"/>
    <w:rsid w:val="00CC609D"/>
    <w:rsid w:val="00CC60B2"/>
    <w:rsid w:val="00CC61D8"/>
    <w:rsid w:val="00CC6995"/>
    <w:rsid w:val="00CC72E5"/>
    <w:rsid w:val="00CC7559"/>
    <w:rsid w:val="00CC79D0"/>
    <w:rsid w:val="00CD0238"/>
    <w:rsid w:val="00CD0866"/>
    <w:rsid w:val="00CD0A2E"/>
    <w:rsid w:val="00CD1128"/>
    <w:rsid w:val="00CD1408"/>
    <w:rsid w:val="00CD177C"/>
    <w:rsid w:val="00CD17F5"/>
    <w:rsid w:val="00CD18CC"/>
    <w:rsid w:val="00CD1DAC"/>
    <w:rsid w:val="00CD1E15"/>
    <w:rsid w:val="00CD2183"/>
    <w:rsid w:val="00CD246B"/>
    <w:rsid w:val="00CD2703"/>
    <w:rsid w:val="00CD2A44"/>
    <w:rsid w:val="00CD2C52"/>
    <w:rsid w:val="00CD2C81"/>
    <w:rsid w:val="00CD2DC8"/>
    <w:rsid w:val="00CD3389"/>
    <w:rsid w:val="00CD3D74"/>
    <w:rsid w:val="00CD3DBF"/>
    <w:rsid w:val="00CD3E93"/>
    <w:rsid w:val="00CD4C92"/>
    <w:rsid w:val="00CD4CCD"/>
    <w:rsid w:val="00CD5355"/>
    <w:rsid w:val="00CD5365"/>
    <w:rsid w:val="00CD5853"/>
    <w:rsid w:val="00CD62D5"/>
    <w:rsid w:val="00CD6427"/>
    <w:rsid w:val="00CD648F"/>
    <w:rsid w:val="00CD6D15"/>
    <w:rsid w:val="00CD6E28"/>
    <w:rsid w:val="00CD6FD8"/>
    <w:rsid w:val="00CD736B"/>
    <w:rsid w:val="00CD7D27"/>
    <w:rsid w:val="00CE00AE"/>
    <w:rsid w:val="00CE00D8"/>
    <w:rsid w:val="00CE02C8"/>
    <w:rsid w:val="00CE0404"/>
    <w:rsid w:val="00CE0608"/>
    <w:rsid w:val="00CE09D1"/>
    <w:rsid w:val="00CE0E5C"/>
    <w:rsid w:val="00CE100F"/>
    <w:rsid w:val="00CE1374"/>
    <w:rsid w:val="00CE144C"/>
    <w:rsid w:val="00CE1966"/>
    <w:rsid w:val="00CE1A28"/>
    <w:rsid w:val="00CE2117"/>
    <w:rsid w:val="00CE21EC"/>
    <w:rsid w:val="00CE2278"/>
    <w:rsid w:val="00CE2490"/>
    <w:rsid w:val="00CE2502"/>
    <w:rsid w:val="00CE25A4"/>
    <w:rsid w:val="00CE3250"/>
    <w:rsid w:val="00CE3867"/>
    <w:rsid w:val="00CE3F54"/>
    <w:rsid w:val="00CE3F98"/>
    <w:rsid w:val="00CE4777"/>
    <w:rsid w:val="00CE5401"/>
    <w:rsid w:val="00CE573A"/>
    <w:rsid w:val="00CE58E4"/>
    <w:rsid w:val="00CE5929"/>
    <w:rsid w:val="00CE5C37"/>
    <w:rsid w:val="00CE5D1A"/>
    <w:rsid w:val="00CE5D8B"/>
    <w:rsid w:val="00CE5DAE"/>
    <w:rsid w:val="00CE6457"/>
    <w:rsid w:val="00CE64E4"/>
    <w:rsid w:val="00CE67D6"/>
    <w:rsid w:val="00CE6E1B"/>
    <w:rsid w:val="00CE7092"/>
    <w:rsid w:val="00CE73C2"/>
    <w:rsid w:val="00CE744F"/>
    <w:rsid w:val="00CE74DB"/>
    <w:rsid w:val="00CE7807"/>
    <w:rsid w:val="00CE78CA"/>
    <w:rsid w:val="00CE7B50"/>
    <w:rsid w:val="00CE7DC8"/>
    <w:rsid w:val="00CE7FD9"/>
    <w:rsid w:val="00CF03DC"/>
    <w:rsid w:val="00CF060C"/>
    <w:rsid w:val="00CF06BA"/>
    <w:rsid w:val="00CF103C"/>
    <w:rsid w:val="00CF111E"/>
    <w:rsid w:val="00CF1251"/>
    <w:rsid w:val="00CF14DF"/>
    <w:rsid w:val="00CF16EF"/>
    <w:rsid w:val="00CF1F3E"/>
    <w:rsid w:val="00CF1F6B"/>
    <w:rsid w:val="00CF2247"/>
    <w:rsid w:val="00CF2A64"/>
    <w:rsid w:val="00CF2D79"/>
    <w:rsid w:val="00CF2DC1"/>
    <w:rsid w:val="00CF31C1"/>
    <w:rsid w:val="00CF32DC"/>
    <w:rsid w:val="00CF335C"/>
    <w:rsid w:val="00CF346E"/>
    <w:rsid w:val="00CF3475"/>
    <w:rsid w:val="00CF38F9"/>
    <w:rsid w:val="00CF3C72"/>
    <w:rsid w:val="00CF40B2"/>
    <w:rsid w:val="00CF42B8"/>
    <w:rsid w:val="00CF42C3"/>
    <w:rsid w:val="00CF4B04"/>
    <w:rsid w:val="00CF4B56"/>
    <w:rsid w:val="00CF508A"/>
    <w:rsid w:val="00CF52C7"/>
    <w:rsid w:val="00CF52FC"/>
    <w:rsid w:val="00CF55DA"/>
    <w:rsid w:val="00CF5932"/>
    <w:rsid w:val="00CF6756"/>
    <w:rsid w:val="00CF6E2E"/>
    <w:rsid w:val="00CF7655"/>
    <w:rsid w:val="00D002A3"/>
    <w:rsid w:val="00D003CF"/>
    <w:rsid w:val="00D00D86"/>
    <w:rsid w:val="00D0175F"/>
    <w:rsid w:val="00D01C1B"/>
    <w:rsid w:val="00D01D45"/>
    <w:rsid w:val="00D02ACD"/>
    <w:rsid w:val="00D02C7F"/>
    <w:rsid w:val="00D02F55"/>
    <w:rsid w:val="00D038C2"/>
    <w:rsid w:val="00D04D5E"/>
    <w:rsid w:val="00D04E71"/>
    <w:rsid w:val="00D05753"/>
    <w:rsid w:val="00D05AAE"/>
    <w:rsid w:val="00D0698B"/>
    <w:rsid w:val="00D069C9"/>
    <w:rsid w:val="00D06A4C"/>
    <w:rsid w:val="00D06C78"/>
    <w:rsid w:val="00D06CA6"/>
    <w:rsid w:val="00D06F47"/>
    <w:rsid w:val="00D0727A"/>
    <w:rsid w:val="00D07440"/>
    <w:rsid w:val="00D07803"/>
    <w:rsid w:val="00D07D71"/>
    <w:rsid w:val="00D102AE"/>
    <w:rsid w:val="00D1043D"/>
    <w:rsid w:val="00D10AE9"/>
    <w:rsid w:val="00D10C26"/>
    <w:rsid w:val="00D1119D"/>
    <w:rsid w:val="00D1155C"/>
    <w:rsid w:val="00D11594"/>
    <w:rsid w:val="00D11983"/>
    <w:rsid w:val="00D11AFB"/>
    <w:rsid w:val="00D11DF4"/>
    <w:rsid w:val="00D1217E"/>
    <w:rsid w:val="00D12A33"/>
    <w:rsid w:val="00D12EE5"/>
    <w:rsid w:val="00D12F3D"/>
    <w:rsid w:val="00D13044"/>
    <w:rsid w:val="00D13169"/>
    <w:rsid w:val="00D13258"/>
    <w:rsid w:val="00D132DF"/>
    <w:rsid w:val="00D13AB2"/>
    <w:rsid w:val="00D13C6E"/>
    <w:rsid w:val="00D13DF4"/>
    <w:rsid w:val="00D140C6"/>
    <w:rsid w:val="00D141BC"/>
    <w:rsid w:val="00D1440D"/>
    <w:rsid w:val="00D14511"/>
    <w:rsid w:val="00D14538"/>
    <w:rsid w:val="00D14C62"/>
    <w:rsid w:val="00D14D42"/>
    <w:rsid w:val="00D14DA5"/>
    <w:rsid w:val="00D150B1"/>
    <w:rsid w:val="00D158D5"/>
    <w:rsid w:val="00D1595F"/>
    <w:rsid w:val="00D15BCB"/>
    <w:rsid w:val="00D15CBE"/>
    <w:rsid w:val="00D17742"/>
    <w:rsid w:val="00D178B7"/>
    <w:rsid w:val="00D179A1"/>
    <w:rsid w:val="00D17AD0"/>
    <w:rsid w:val="00D17F4E"/>
    <w:rsid w:val="00D201B7"/>
    <w:rsid w:val="00D2078A"/>
    <w:rsid w:val="00D208D4"/>
    <w:rsid w:val="00D2096C"/>
    <w:rsid w:val="00D20B8E"/>
    <w:rsid w:val="00D20C73"/>
    <w:rsid w:val="00D20E16"/>
    <w:rsid w:val="00D21CD6"/>
    <w:rsid w:val="00D21D6E"/>
    <w:rsid w:val="00D228EE"/>
    <w:rsid w:val="00D2306B"/>
    <w:rsid w:val="00D23AC7"/>
    <w:rsid w:val="00D23C97"/>
    <w:rsid w:val="00D24082"/>
    <w:rsid w:val="00D2413E"/>
    <w:rsid w:val="00D24568"/>
    <w:rsid w:val="00D24B71"/>
    <w:rsid w:val="00D24C29"/>
    <w:rsid w:val="00D24F67"/>
    <w:rsid w:val="00D25653"/>
    <w:rsid w:val="00D26A13"/>
    <w:rsid w:val="00D27218"/>
    <w:rsid w:val="00D275E5"/>
    <w:rsid w:val="00D275EF"/>
    <w:rsid w:val="00D27888"/>
    <w:rsid w:val="00D27A7F"/>
    <w:rsid w:val="00D27C14"/>
    <w:rsid w:val="00D27FA9"/>
    <w:rsid w:val="00D30229"/>
    <w:rsid w:val="00D303E6"/>
    <w:rsid w:val="00D305BC"/>
    <w:rsid w:val="00D3083E"/>
    <w:rsid w:val="00D30AF0"/>
    <w:rsid w:val="00D30CAC"/>
    <w:rsid w:val="00D30ED3"/>
    <w:rsid w:val="00D310E0"/>
    <w:rsid w:val="00D31684"/>
    <w:rsid w:val="00D31CA7"/>
    <w:rsid w:val="00D322C8"/>
    <w:rsid w:val="00D32585"/>
    <w:rsid w:val="00D328C5"/>
    <w:rsid w:val="00D3293D"/>
    <w:rsid w:val="00D32D9A"/>
    <w:rsid w:val="00D32E91"/>
    <w:rsid w:val="00D33346"/>
    <w:rsid w:val="00D33E7D"/>
    <w:rsid w:val="00D342A2"/>
    <w:rsid w:val="00D34506"/>
    <w:rsid w:val="00D34A46"/>
    <w:rsid w:val="00D34B50"/>
    <w:rsid w:val="00D34CCB"/>
    <w:rsid w:val="00D35326"/>
    <w:rsid w:val="00D3558A"/>
    <w:rsid w:val="00D359F2"/>
    <w:rsid w:val="00D35B63"/>
    <w:rsid w:val="00D35EC4"/>
    <w:rsid w:val="00D36373"/>
    <w:rsid w:val="00D36423"/>
    <w:rsid w:val="00D36A50"/>
    <w:rsid w:val="00D36DF8"/>
    <w:rsid w:val="00D371B2"/>
    <w:rsid w:val="00D37258"/>
    <w:rsid w:val="00D374E9"/>
    <w:rsid w:val="00D37A6C"/>
    <w:rsid w:val="00D37C80"/>
    <w:rsid w:val="00D400CA"/>
    <w:rsid w:val="00D4028C"/>
    <w:rsid w:val="00D40383"/>
    <w:rsid w:val="00D40789"/>
    <w:rsid w:val="00D40BA9"/>
    <w:rsid w:val="00D40CC0"/>
    <w:rsid w:val="00D4121D"/>
    <w:rsid w:val="00D41526"/>
    <w:rsid w:val="00D416AB"/>
    <w:rsid w:val="00D41A3B"/>
    <w:rsid w:val="00D41BF8"/>
    <w:rsid w:val="00D41CDF"/>
    <w:rsid w:val="00D42381"/>
    <w:rsid w:val="00D426BF"/>
    <w:rsid w:val="00D42FCF"/>
    <w:rsid w:val="00D43081"/>
    <w:rsid w:val="00D43132"/>
    <w:rsid w:val="00D4345D"/>
    <w:rsid w:val="00D434D6"/>
    <w:rsid w:val="00D435C2"/>
    <w:rsid w:val="00D435EC"/>
    <w:rsid w:val="00D4388C"/>
    <w:rsid w:val="00D43BDC"/>
    <w:rsid w:val="00D43BF2"/>
    <w:rsid w:val="00D43DA9"/>
    <w:rsid w:val="00D43EEA"/>
    <w:rsid w:val="00D448EC"/>
    <w:rsid w:val="00D44B4E"/>
    <w:rsid w:val="00D44FCC"/>
    <w:rsid w:val="00D453D8"/>
    <w:rsid w:val="00D45778"/>
    <w:rsid w:val="00D45B67"/>
    <w:rsid w:val="00D4660B"/>
    <w:rsid w:val="00D46791"/>
    <w:rsid w:val="00D47820"/>
    <w:rsid w:val="00D47998"/>
    <w:rsid w:val="00D47D34"/>
    <w:rsid w:val="00D47DED"/>
    <w:rsid w:val="00D502CD"/>
    <w:rsid w:val="00D50458"/>
    <w:rsid w:val="00D50615"/>
    <w:rsid w:val="00D508EC"/>
    <w:rsid w:val="00D50C09"/>
    <w:rsid w:val="00D50FD3"/>
    <w:rsid w:val="00D5103F"/>
    <w:rsid w:val="00D515DF"/>
    <w:rsid w:val="00D516B8"/>
    <w:rsid w:val="00D516DB"/>
    <w:rsid w:val="00D51998"/>
    <w:rsid w:val="00D51E1A"/>
    <w:rsid w:val="00D51FB2"/>
    <w:rsid w:val="00D5245B"/>
    <w:rsid w:val="00D53053"/>
    <w:rsid w:val="00D530DA"/>
    <w:rsid w:val="00D53189"/>
    <w:rsid w:val="00D532A0"/>
    <w:rsid w:val="00D535EF"/>
    <w:rsid w:val="00D536B6"/>
    <w:rsid w:val="00D53779"/>
    <w:rsid w:val="00D54020"/>
    <w:rsid w:val="00D545AB"/>
    <w:rsid w:val="00D5462F"/>
    <w:rsid w:val="00D546EA"/>
    <w:rsid w:val="00D5470A"/>
    <w:rsid w:val="00D54C95"/>
    <w:rsid w:val="00D54CFA"/>
    <w:rsid w:val="00D5515E"/>
    <w:rsid w:val="00D5637E"/>
    <w:rsid w:val="00D56570"/>
    <w:rsid w:val="00D568BB"/>
    <w:rsid w:val="00D56C39"/>
    <w:rsid w:val="00D56D5D"/>
    <w:rsid w:val="00D57019"/>
    <w:rsid w:val="00D5729A"/>
    <w:rsid w:val="00D572C6"/>
    <w:rsid w:val="00D5790B"/>
    <w:rsid w:val="00D57A78"/>
    <w:rsid w:val="00D57B9B"/>
    <w:rsid w:val="00D57BD1"/>
    <w:rsid w:val="00D57D8C"/>
    <w:rsid w:val="00D6033D"/>
    <w:rsid w:val="00D60358"/>
    <w:rsid w:val="00D60411"/>
    <w:rsid w:val="00D605ED"/>
    <w:rsid w:val="00D607BA"/>
    <w:rsid w:val="00D60B62"/>
    <w:rsid w:val="00D61046"/>
    <w:rsid w:val="00D6119E"/>
    <w:rsid w:val="00D615E0"/>
    <w:rsid w:val="00D61676"/>
    <w:rsid w:val="00D623E1"/>
    <w:rsid w:val="00D62782"/>
    <w:rsid w:val="00D62903"/>
    <w:rsid w:val="00D62AAB"/>
    <w:rsid w:val="00D62B0F"/>
    <w:rsid w:val="00D62B93"/>
    <w:rsid w:val="00D62C06"/>
    <w:rsid w:val="00D62C9B"/>
    <w:rsid w:val="00D6325B"/>
    <w:rsid w:val="00D633CC"/>
    <w:rsid w:val="00D6366B"/>
    <w:rsid w:val="00D63B87"/>
    <w:rsid w:val="00D63CBC"/>
    <w:rsid w:val="00D6406B"/>
    <w:rsid w:val="00D640ED"/>
    <w:rsid w:val="00D6456E"/>
    <w:rsid w:val="00D648CB"/>
    <w:rsid w:val="00D64BAD"/>
    <w:rsid w:val="00D65555"/>
    <w:rsid w:val="00D657D6"/>
    <w:rsid w:val="00D65BB5"/>
    <w:rsid w:val="00D667F6"/>
    <w:rsid w:val="00D669CB"/>
    <w:rsid w:val="00D66EF2"/>
    <w:rsid w:val="00D67371"/>
    <w:rsid w:val="00D67A93"/>
    <w:rsid w:val="00D7039D"/>
    <w:rsid w:val="00D703E5"/>
    <w:rsid w:val="00D70BE9"/>
    <w:rsid w:val="00D70C1D"/>
    <w:rsid w:val="00D70FB4"/>
    <w:rsid w:val="00D71000"/>
    <w:rsid w:val="00D71005"/>
    <w:rsid w:val="00D71148"/>
    <w:rsid w:val="00D711AA"/>
    <w:rsid w:val="00D715F9"/>
    <w:rsid w:val="00D71C0E"/>
    <w:rsid w:val="00D721BD"/>
    <w:rsid w:val="00D72F92"/>
    <w:rsid w:val="00D730F3"/>
    <w:rsid w:val="00D73701"/>
    <w:rsid w:val="00D73776"/>
    <w:rsid w:val="00D73892"/>
    <w:rsid w:val="00D73B16"/>
    <w:rsid w:val="00D7406F"/>
    <w:rsid w:val="00D74165"/>
    <w:rsid w:val="00D742BC"/>
    <w:rsid w:val="00D7432A"/>
    <w:rsid w:val="00D746AC"/>
    <w:rsid w:val="00D75414"/>
    <w:rsid w:val="00D755FF"/>
    <w:rsid w:val="00D756BC"/>
    <w:rsid w:val="00D757D9"/>
    <w:rsid w:val="00D75DB6"/>
    <w:rsid w:val="00D770F6"/>
    <w:rsid w:val="00D77175"/>
    <w:rsid w:val="00D775D9"/>
    <w:rsid w:val="00D77BAB"/>
    <w:rsid w:val="00D8013C"/>
    <w:rsid w:val="00D802FE"/>
    <w:rsid w:val="00D8053C"/>
    <w:rsid w:val="00D80CBD"/>
    <w:rsid w:val="00D815E5"/>
    <w:rsid w:val="00D8184B"/>
    <w:rsid w:val="00D818E9"/>
    <w:rsid w:val="00D81F78"/>
    <w:rsid w:val="00D821A6"/>
    <w:rsid w:val="00D823DF"/>
    <w:rsid w:val="00D828CC"/>
    <w:rsid w:val="00D82941"/>
    <w:rsid w:val="00D82A11"/>
    <w:rsid w:val="00D82BE3"/>
    <w:rsid w:val="00D82CBE"/>
    <w:rsid w:val="00D83C24"/>
    <w:rsid w:val="00D83E21"/>
    <w:rsid w:val="00D84487"/>
    <w:rsid w:val="00D844E5"/>
    <w:rsid w:val="00D848F9"/>
    <w:rsid w:val="00D84F9A"/>
    <w:rsid w:val="00D85AED"/>
    <w:rsid w:val="00D85B7F"/>
    <w:rsid w:val="00D86038"/>
    <w:rsid w:val="00D86180"/>
    <w:rsid w:val="00D865D0"/>
    <w:rsid w:val="00D86780"/>
    <w:rsid w:val="00D86B20"/>
    <w:rsid w:val="00D86C64"/>
    <w:rsid w:val="00D8700E"/>
    <w:rsid w:val="00D875C2"/>
    <w:rsid w:val="00D87761"/>
    <w:rsid w:val="00D878D6"/>
    <w:rsid w:val="00D87A74"/>
    <w:rsid w:val="00D87DCC"/>
    <w:rsid w:val="00D90435"/>
    <w:rsid w:val="00D9049F"/>
    <w:rsid w:val="00D907E9"/>
    <w:rsid w:val="00D908C9"/>
    <w:rsid w:val="00D90DC6"/>
    <w:rsid w:val="00D9130F"/>
    <w:rsid w:val="00D91931"/>
    <w:rsid w:val="00D9230B"/>
    <w:rsid w:val="00D92A46"/>
    <w:rsid w:val="00D92A57"/>
    <w:rsid w:val="00D93289"/>
    <w:rsid w:val="00D935FF"/>
    <w:rsid w:val="00D93850"/>
    <w:rsid w:val="00D94050"/>
    <w:rsid w:val="00D94139"/>
    <w:rsid w:val="00D942F5"/>
    <w:rsid w:val="00D944B6"/>
    <w:rsid w:val="00D94783"/>
    <w:rsid w:val="00D9492C"/>
    <w:rsid w:val="00D94D85"/>
    <w:rsid w:val="00D957C4"/>
    <w:rsid w:val="00D958DF"/>
    <w:rsid w:val="00D95902"/>
    <w:rsid w:val="00D95EE7"/>
    <w:rsid w:val="00D9600A"/>
    <w:rsid w:val="00D9635E"/>
    <w:rsid w:val="00D96474"/>
    <w:rsid w:val="00D96818"/>
    <w:rsid w:val="00D968A3"/>
    <w:rsid w:val="00D96AA6"/>
    <w:rsid w:val="00D96AAC"/>
    <w:rsid w:val="00D96B8B"/>
    <w:rsid w:val="00D96EDA"/>
    <w:rsid w:val="00D97046"/>
    <w:rsid w:val="00D97411"/>
    <w:rsid w:val="00D978CE"/>
    <w:rsid w:val="00D97AA2"/>
    <w:rsid w:val="00DA0BBB"/>
    <w:rsid w:val="00DA0E70"/>
    <w:rsid w:val="00DA10FE"/>
    <w:rsid w:val="00DA1168"/>
    <w:rsid w:val="00DA1795"/>
    <w:rsid w:val="00DA20DA"/>
    <w:rsid w:val="00DA27F1"/>
    <w:rsid w:val="00DA27FB"/>
    <w:rsid w:val="00DA2A87"/>
    <w:rsid w:val="00DA2B49"/>
    <w:rsid w:val="00DA2E25"/>
    <w:rsid w:val="00DA37AC"/>
    <w:rsid w:val="00DA3878"/>
    <w:rsid w:val="00DA3B1B"/>
    <w:rsid w:val="00DA45A6"/>
    <w:rsid w:val="00DA484A"/>
    <w:rsid w:val="00DA4BE2"/>
    <w:rsid w:val="00DA4C61"/>
    <w:rsid w:val="00DA56AB"/>
    <w:rsid w:val="00DA5CB9"/>
    <w:rsid w:val="00DA5F28"/>
    <w:rsid w:val="00DA659B"/>
    <w:rsid w:val="00DA6AAF"/>
    <w:rsid w:val="00DA6BAD"/>
    <w:rsid w:val="00DA6C9B"/>
    <w:rsid w:val="00DA7356"/>
    <w:rsid w:val="00DA73BB"/>
    <w:rsid w:val="00DA7492"/>
    <w:rsid w:val="00DA74A5"/>
    <w:rsid w:val="00DA7849"/>
    <w:rsid w:val="00DA7C64"/>
    <w:rsid w:val="00DA7ECB"/>
    <w:rsid w:val="00DB03C6"/>
    <w:rsid w:val="00DB05C3"/>
    <w:rsid w:val="00DB0705"/>
    <w:rsid w:val="00DB0A59"/>
    <w:rsid w:val="00DB0B8D"/>
    <w:rsid w:val="00DB0C60"/>
    <w:rsid w:val="00DB153C"/>
    <w:rsid w:val="00DB15CA"/>
    <w:rsid w:val="00DB15FF"/>
    <w:rsid w:val="00DB17CC"/>
    <w:rsid w:val="00DB2106"/>
    <w:rsid w:val="00DB2519"/>
    <w:rsid w:val="00DB28A7"/>
    <w:rsid w:val="00DB2B2F"/>
    <w:rsid w:val="00DB2D2A"/>
    <w:rsid w:val="00DB3122"/>
    <w:rsid w:val="00DB33B5"/>
    <w:rsid w:val="00DB3461"/>
    <w:rsid w:val="00DB3491"/>
    <w:rsid w:val="00DB35FB"/>
    <w:rsid w:val="00DB3F7E"/>
    <w:rsid w:val="00DB430E"/>
    <w:rsid w:val="00DB4649"/>
    <w:rsid w:val="00DB48AB"/>
    <w:rsid w:val="00DB4B0B"/>
    <w:rsid w:val="00DB4B18"/>
    <w:rsid w:val="00DB4B2A"/>
    <w:rsid w:val="00DB4B4F"/>
    <w:rsid w:val="00DB5505"/>
    <w:rsid w:val="00DB56A2"/>
    <w:rsid w:val="00DB580D"/>
    <w:rsid w:val="00DB5DA0"/>
    <w:rsid w:val="00DB676C"/>
    <w:rsid w:val="00DB6884"/>
    <w:rsid w:val="00DB6895"/>
    <w:rsid w:val="00DB6E79"/>
    <w:rsid w:val="00DB6F46"/>
    <w:rsid w:val="00DB708E"/>
    <w:rsid w:val="00DB749D"/>
    <w:rsid w:val="00DB7C7C"/>
    <w:rsid w:val="00DB7CC1"/>
    <w:rsid w:val="00DC0225"/>
    <w:rsid w:val="00DC0A45"/>
    <w:rsid w:val="00DC1172"/>
    <w:rsid w:val="00DC1786"/>
    <w:rsid w:val="00DC1BA5"/>
    <w:rsid w:val="00DC2100"/>
    <w:rsid w:val="00DC233C"/>
    <w:rsid w:val="00DC237C"/>
    <w:rsid w:val="00DC2527"/>
    <w:rsid w:val="00DC284F"/>
    <w:rsid w:val="00DC339F"/>
    <w:rsid w:val="00DC4F1E"/>
    <w:rsid w:val="00DC51A7"/>
    <w:rsid w:val="00DC5488"/>
    <w:rsid w:val="00DC5499"/>
    <w:rsid w:val="00DC58E9"/>
    <w:rsid w:val="00DC60A4"/>
    <w:rsid w:val="00DC62EA"/>
    <w:rsid w:val="00DC6945"/>
    <w:rsid w:val="00DC6B90"/>
    <w:rsid w:val="00DC6C2D"/>
    <w:rsid w:val="00DC6DCD"/>
    <w:rsid w:val="00DC740F"/>
    <w:rsid w:val="00DC760D"/>
    <w:rsid w:val="00DC7678"/>
    <w:rsid w:val="00DC7DC5"/>
    <w:rsid w:val="00DC7E8A"/>
    <w:rsid w:val="00DC7FC2"/>
    <w:rsid w:val="00DD0167"/>
    <w:rsid w:val="00DD0ADD"/>
    <w:rsid w:val="00DD111A"/>
    <w:rsid w:val="00DD122C"/>
    <w:rsid w:val="00DD16EF"/>
    <w:rsid w:val="00DD1905"/>
    <w:rsid w:val="00DD194E"/>
    <w:rsid w:val="00DD1C93"/>
    <w:rsid w:val="00DD1E0F"/>
    <w:rsid w:val="00DD217C"/>
    <w:rsid w:val="00DD233B"/>
    <w:rsid w:val="00DD2370"/>
    <w:rsid w:val="00DD2404"/>
    <w:rsid w:val="00DD2F84"/>
    <w:rsid w:val="00DD311B"/>
    <w:rsid w:val="00DD3DB1"/>
    <w:rsid w:val="00DD41ED"/>
    <w:rsid w:val="00DD45EC"/>
    <w:rsid w:val="00DD483A"/>
    <w:rsid w:val="00DD4C71"/>
    <w:rsid w:val="00DD4EF9"/>
    <w:rsid w:val="00DD50E3"/>
    <w:rsid w:val="00DD58ED"/>
    <w:rsid w:val="00DD58F5"/>
    <w:rsid w:val="00DD59AB"/>
    <w:rsid w:val="00DD5C06"/>
    <w:rsid w:val="00DD6120"/>
    <w:rsid w:val="00DD6386"/>
    <w:rsid w:val="00DD63D5"/>
    <w:rsid w:val="00DD6EE0"/>
    <w:rsid w:val="00DD7053"/>
    <w:rsid w:val="00DD74AD"/>
    <w:rsid w:val="00DD7A63"/>
    <w:rsid w:val="00DE0049"/>
    <w:rsid w:val="00DE01CF"/>
    <w:rsid w:val="00DE033B"/>
    <w:rsid w:val="00DE06CD"/>
    <w:rsid w:val="00DE0BA0"/>
    <w:rsid w:val="00DE0ED8"/>
    <w:rsid w:val="00DE0FFF"/>
    <w:rsid w:val="00DE169D"/>
    <w:rsid w:val="00DE17D9"/>
    <w:rsid w:val="00DE1D7F"/>
    <w:rsid w:val="00DE1DBE"/>
    <w:rsid w:val="00DE1EA3"/>
    <w:rsid w:val="00DE1EE1"/>
    <w:rsid w:val="00DE1F43"/>
    <w:rsid w:val="00DE2227"/>
    <w:rsid w:val="00DE22D9"/>
    <w:rsid w:val="00DE23EB"/>
    <w:rsid w:val="00DE265E"/>
    <w:rsid w:val="00DE2EDA"/>
    <w:rsid w:val="00DE32E9"/>
    <w:rsid w:val="00DE3753"/>
    <w:rsid w:val="00DE39E4"/>
    <w:rsid w:val="00DE39F0"/>
    <w:rsid w:val="00DE3CEE"/>
    <w:rsid w:val="00DE43B2"/>
    <w:rsid w:val="00DE4A05"/>
    <w:rsid w:val="00DE4F03"/>
    <w:rsid w:val="00DE4FA9"/>
    <w:rsid w:val="00DE5550"/>
    <w:rsid w:val="00DE5A79"/>
    <w:rsid w:val="00DE601A"/>
    <w:rsid w:val="00DE6156"/>
    <w:rsid w:val="00DE6536"/>
    <w:rsid w:val="00DE684F"/>
    <w:rsid w:val="00DE6B96"/>
    <w:rsid w:val="00DE6BD1"/>
    <w:rsid w:val="00DE6F16"/>
    <w:rsid w:val="00DE718A"/>
    <w:rsid w:val="00DE71C8"/>
    <w:rsid w:val="00DE7367"/>
    <w:rsid w:val="00DF0684"/>
    <w:rsid w:val="00DF07CE"/>
    <w:rsid w:val="00DF0872"/>
    <w:rsid w:val="00DF0A22"/>
    <w:rsid w:val="00DF139D"/>
    <w:rsid w:val="00DF168B"/>
    <w:rsid w:val="00DF1C5A"/>
    <w:rsid w:val="00DF27EF"/>
    <w:rsid w:val="00DF2D9C"/>
    <w:rsid w:val="00DF3655"/>
    <w:rsid w:val="00DF3C0C"/>
    <w:rsid w:val="00DF3FE8"/>
    <w:rsid w:val="00DF43B3"/>
    <w:rsid w:val="00DF4840"/>
    <w:rsid w:val="00DF4E43"/>
    <w:rsid w:val="00DF51C5"/>
    <w:rsid w:val="00DF53FE"/>
    <w:rsid w:val="00DF55B6"/>
    <w:rsid w:val="00DF560F"/>
    <w:rsid w:val="00DF5A99"/>
    <w:rsid w:val="00DF5BC0"/>
    <w:rsid w:val="00DF647E"/>
    <w:rsid w:val="00DF6778"/>
    <w:rsid w:val="00DF6862"/>
    <w:rsid w:val="00DF6CB1"/>
    <w:rsid w:val="00DF7674"/>
    <w:rsid w:val="00DF7A37"/>
    <w:rsid w:val="00DF7BE4"/>
    <w:rsid w:val="00DF7F92"/>
    <w:rsid w:val="00E003A7"/>
    <w:rsid w:val="00E004F7"/>
    <w:rsid w:val="00E00654"/>
    <w:rsid w:val="00E0073B"/>
    <w:rsid w:val="00E00C1B"/>
    <w:rsid w:val="00E00DAA"/>
    <w:rsid w:val="00E00DD2"/>
    <w:rsid w:val="00E00FC1"/>
    <w:rsid w:val="00E01037"/>
    <w:rsid w:val="00E010D6"/>
    <w:rsid w:val="00E01110"/>
    <w:rsid w:val="00E02715"/>
    <w:rsid w:val="00E0287A"/>
    <w:rsid w:val="00E02A26"/>
    <w:rsid w:val="00E0316C"/>
    <w:rsid w:val="00E031C8"/>
    <w:rsid w:val="00E03279"/>
    <w:rsid w:val="00E03E58"/>
    <w:rsid w:val="00E048E2"/>
    <w:rsid w:val="00E04F60"/>
    <w:rsid w:val="00E05002"/>
    <w:rsid w:val="00E054D8"/>
    <w:rsid w:val="00E05529"/>
    <w:rsid w:val="00E05FB4"/>
    <w:rsid w:val="00E06041"/>
    <w:rsid w:val="00E0778E"/>
    <w:rsid w:val="00E07F9C"/>
    <w:rsid w:val="00E108B0"/>
    <w:rsid w:val="00E11418"/>
    <w:rsid w:val="00E1159D"/>
    <w:rsid w:val="00E11A65"/>
    <w:rsid w:val="00E11B3E"/>
    <w:rsid w:val="00E11E54"/>
    <w:rsid w:val="00E12080"/>
    <w:rsid w:val="00E12237"/>
    <w:rsid w:val="00E1272D"/>
    <w:rsid w:val="00E12882"/>
    <w:rsid w:val="00E12B6B"/>
    <w:rsid w:val="00E12EF5"/>
    <w:rsid w:val="00E13864"/>
    <w:rsid w:val="00E139FC"/>
    <w:rsid w:val="00E13A61"/>
    <w:rsid w:val="00E13C63"/>
    <w:rsid w:val="00E13C95"/>
    <w:rsid w:val="00E13D51"/>
    <w:rsid w:val="00E13E00"/>
    <w:rsid w:val="00E13EB2"/>
    <w:rsid w:val="00E14F4D"/>
    <w:rsid w:val="00E15136"/>
    <w:rsid w:val="00E156F0"/>
    <w:rsid w:val="00E158A3"/>
    <w:rsid w:val="00E15A3B"/>
    <w:rsid w:val="00E162DD"/>
    <w:rsid w:val="00E16312"/>
    <w:rsid w:val="00E169CE"/>
    <w:rsid w:val="00E17043"/>
    <w:rsid w:val="00E1722D"/>
    <w:rsid w:val="00E179E0"/>
    <w:rsid w:val="00E20072"/>
    <w:rsid w:val="00E201F9"/>
    <w:rsid w:val="00E20432"/>
    <w:rsid w:val="00E2078F"/>
    <w:rsid w:val="00E20965"/>
    <w:rsid w:val="00E21446"/>
    <w:rsid w:val="00E2150C"/>
    <w:rsid w:val="00E215FE"/>
    <w:rsid w:val="00E219AA"/>
    <w:rsid w:val="00E21F48"/>
    <w:rsid w:val="00E228A4"/>
    <w:rsid w:val="00E23187"/>
    <w:rsid w:val="00E232A2"/>
    <w:rsid w:val="00E233F7"/>
    <w:rsid w:val="00E23909"/>
    <w:rsid w:val="00E239D0"/>
    <w:rsid w:val="00E23A28"/>
    <w:rsid w:val="00E23A4A"/>
    <w:rsid w:val="00E2444C"/>
    <w:rsid w:val="00E244D1"/>
    <w:rsid w:val="00E2461B"/>
    <w:rsid w:val="00E24EE8"/>
    <w:rsid w:val="00E25558"/>
    <w:rsid w:val="00E25CA6"/>
    <w:rsid w:val="00E25CB1"/>
    <w:rsid w:val="00E25E1C"/>
    <w:rsid w:val="00E265AC"/>
    <w:rsid w:val="00E26602"/>
    <w:rsid w:val="00E267DA"/>
    <w:rsid w:val="00E267F7"/>
    <w:rsid w:val="00E26DB7"/>
    <w:rsid w:val="00E27127"/>
    <w:rsid w:val="00E272CD"/>
    <w:rsid w:val="00E27609"/>
    <w:rsid w:val="00E27D03"/>
    <w:rsid w:val="00E27DC8"/>
    <w:rsid w:val="00E305FA"/>
    <w:rsid w:val="00E30879"/>
    <w:rsid w:val="00E30C8C"/>
    <w:rsid w:val="00E30F38"/>
    <w:rsid w:val="00E3105C"/>
    <w:rsid w:val="00E31063"/>
    <w:rsid w:val="00E31852"/>
    <w:rsid w:val="00E31C73"/>
    <w:rsid w:val="00E31CBD"/>
    <w:rsid w:val="00E31F10"/>
    <w:rsid w:val="00E327CB"/>
    <w:rsid w:val="00E32C2C"/>
    <w:rsid w:val="00E32C6C"/>
    <w:rsid w:val="00E32FFF"/>
    <w:rsid w:val="00E332AB"/>
    <w:rsid w:val="00E33682"/>
    <w:rsid w:val="00E33FCF"/>
    <w:rsid w:val="00E34044"/>
    <w:rsid w:val="00E35A90"/>
    <w:rsid w:val="00E35AE6"/>
    <w:rsid w:val="00E362F9"/>
    <w:rsid w:val="00E36481"/>
    <w:rsid w:val="00E36DC7"/>
    <w:rsid w:val="00E370E7"/>
    <w:rsid w:val="00E3733D"/>
    <w:rsid w:val="00E37947"/>
    <w:rsid w:val="00E37C21"/>
    <w:rsid w:val="00E37C61"/>
    <w:rsid w:val="00E37C69"/>
    <w:rsid w:val="00E37EE1"/>
    <w:rsid w:val="00E401E9"/>
    <w:rsid w:val="00E4023C"/>
    <w:rsid w:val="00E40369"/>
    <w:rsid w:val="00E40545"/>
    <w:rsid w:val="00E40E51"/>
    <w:rsid w:val="00E42630"/>
    <w:rsid w:val="00E426D7"/>
    <w:rsid w:val="00E427B8"/>
    <w:rsid w:val="00E428AB"/>
    <w:rsid w:val="00E428E0"/>
    <w:rsid w:val="00E42A95"/>
    <w:rsid w:val="00E42C47"/>
    <w:rsid w:val="00E42E25"/>
    <w:rsid w:val="00E43574"/>
    <w:rsid w:val="00E43AD5"/>
    <w:rsid w:val="00E44075"/>
    <w:rsid w:val="00E44C7A"/>
    <w:rsid w:val="00E44C99"/>
    <w:rsid w:val="00E44C9D"/>
    <w:rsid w:val="00E44D64"/>
    <w:rsid w:val="00E452DF"/>
    <w:rsid w:val="00E45302"/>
    <w:rsid w:val="00E4577B"/>
    <w:rsid w:val="00E45DCC"/>
    <w:rsid w:val="00E4650F"/>
    <w:rsid w:val="00E465F3"/>
    <w:rsid w:val="00E46775"/>
    <w:rsid w:val="00E46926"/>
    <w:rsid w:val="00E46A11"/>
    <w:rsid w:val="00E46B19"/>
    <w:rsid w:val="00E46C32"/>
    <w:rsid w:val="00E474A1"/>
    <w:rsid w:val="00E47505"/>
    <w:rsid w:val="00E47D3F"/>
    <w:rsid w:val="00E50074"/>
    <w:rsid w:val="00E501E8"/>
    <w:rsid w:val="00E50311"/>
    <w:rsid w:val="00E50640"/>
    <w:rsid w:val="00E509C9"/>
    <w:rsid w:val="00E51AA2"/>
    <w:rsid w:val="00E51AB0"/>
    <w:rsid w:val="00E52539"/>
    <w:rsid w:val="00E52711"/>
    <w:rsid w:val="00E52805"/>
    <w:rsid w:val="00E52816"/>
    <w:rsid w:val="00E52B7F"/>
    <w:rsid w:val="00E534EF"/>
    <w:rsid w:val="00E53642"/>
    <w:rsid w:val="00E536DE"/>
    <w:rsid w:val="00E53976"/>
    <w:rsid w:val="00E540FB"/>
    <w:rsid w:val="00E5424F"/>
    <w:rsid w:val="00E54335"/>
    <w:rsid w:val="00E546BE"/>
    <w:rsid w:val="00E546D4"/>
    <w:rsid w:val="00E54A55"/>
    <w:rsid w:val="00E54D4D"/>
    <w:rsid w:val="00E54EBC"/>
    <w:rsid w:val="00E54EC8"/>
    <w:rsid w:val="00E55344"/>
    <w:rsid w:val="00E553A8"/>
    <w:rsid w:val="00E55C76"/>
    <w:rsid w:val="00E55DA6"/>
    <w:rsid w:val="00E56042"/>
    <w:rsid w:val="00E564DE"/>
    <w:rsid w:val="00E56B69"/>
    <w:rsid w:val="00E56CE1"/>
    <w:rsid w:val="00E5726C"/>
    <w:rsid w:val="00E5735C"/>
    <w:rsid w:val="00E5745F"/>
    <w:rsid w:val="00E576E9"/>
    <w:rsid w:val="00E57FAA"/>
    <w:rsid w:val="00E6013C"/>
    <w:rsid w:val="00E60258"/>
    <w:rsid w:val="00E6034B"/>
    <w:rsid w:val="00E60754"/>
    <w:rsid w:val="00E61070"/>
    <w:rsid w:val="00E6126A"/>
    <w:rsid w:val="00E615A0"/>
    <w:rsid w:val="00E6188F"/>
    <w:rsid w:val="00E61920"/>
    <w:rsid w:val="00E619E1"/>
    <w:rsid w:val="00E61B9A"/>
    <w:rsid w:val="00E61ECE"/>
    <w:rsid w:val="00E61F58"/>
    <w:rsid w:val="00E625ED"/>
    <w:rsid w:val="00E631BE"/>
    <w:rsid w:val="00E63232"/>
    <w:rsid w:val="00E6359F"/>
    <w:rsid w:val="00E638C6"/>
    <w:rsid w:val="00E63B4F"/>
    <w:rsid w:val="00E6419C"/>
    <w:rsid w:val="00E644F3"/>
    <w:rsid w:val="00E644F5"/>
    <w:rsid w:val="00E64727"/>
    <w:rsid w:val="00E647F1"/>
    <w:rsid w:val="00E6487E"/>
    <w:rsid w:val="00E649CB"/>
    <w:rsid w:val="00E64A8C"/>
    <w:rsid w:val="00E65112"/>
    <w:rsid w:val="00E65141"/>
    <w:rsid w:val="00E6538F"/>
    <w:rsid w:val="00E65442"/>
    <w:rsid w:val="00E65453"/>
    <w:rsid w:val="00E65BC3"/>
    <w:rsid w:val="00E66150"/>
    <w:rsid w:val="00E66BC8"/>
    <w:rsid w:val="00E66CF2"/>
    <w:rsid w:val="00E66E95"/>
    <w:rsid w:val="00E677B9"/>
    <w:rsid w:val="00E67B8D"/>
    <w:rsid w:val="00E67D52"/>
    <w:rsid w:val="00E70354"/>
    <w:rsid w:val="00E704FA"/>
    <w:rsid w:val="00E70800"/>
    <w:rsid w:val="00E70BBD"/>
    <w:rsid w:val="00E71247"/>
    <w:rsid w:val="00E71CCA"/>
    <w:rsid w:val="00E722B2"/>
    <w:rsid w:val="00E7237D"/>
    <w:rsid w:val="00E72750"/>
    <w:rsid w:val="00E72918"/>
    <w:rsid w:val="00E72949"/>
    <w:rsid w:val="00E73DDF"/>
    <w:rsid w:val="00E74A35"/>
    <w:rsid w:val="00E74DE8"/>
    <w:rsid w:val="00E758DE"/>
    <w:rsid w:val="00E75945"/>
    <w:rsid w:val="00E7596A"/>
    <w:rsid w:val="00E75DB8"/>
    <w:rsid w:val="00E75DCC"/>
    <w:rsid w:val="00E76915"/>
    <w:rsid w:val="00E76C05"/>
    <w:rsid w:val="00E76CE2"/>
    <w:rsid w:val="00E76D14"/>
    <w:rsid w:val="00E77400"/>
    <w:rsid w:val="00E8024C"/>
    <w:rsid w:val="00E8042C"/>
    <w:rsid w:val="00E80666"/>
    <w:rsid w:val="00E80F5A"/>
    <w:rsid w:val="00E80FB8"/>
    <w:rsid w:val="00E81205"/>
    <w:rsid w:val="00E8186C"/>
    <w:rsid w:val="00E81CEC"/>
    <w:rsid w:val="00E82069"/>
    <w:rsid w:val="00E8219F"/>
    <w:rsid w:val="00E82BA7"/>
    <w:rsid w:val="00E82E2A"/>
    <w:rsid w:val="00E83229"/>
    <w:rsid w:val="00E83696"/>
    <w:rsid w:val="00E83747"/>
    <w:rsid w:val="00E83B57"/>
    <w:rsid w:val="00E83CF2"/>
    <w:rsid w:val="00E8442C"/>
    <w:rsid w:val="00E848D1"/>
    <w:rsid w:val="00E84AC5"/>
    <w:rsid w:val="00E84DD6"/>
    <w:rsid w:val="00E856EB"/>
    <w:rsid w:val="00E85786"/>
    <w:rsid w:val="00E85815"/>
    <w:rsid w:val="00E8582D"/>
    <w:rsid w:val="00E8589C"/>
    <w:rsid w:val="00E85DE1"/>
    <w:rsid w:val="00E85EAB"/>
    <w:rsid w:val="00E860AB"/>
    <w:rsid w:val="00E8621B"/>
    <w:rsid w:val="00E8628A"/>
    <w:rsid w:val="00E86AFB"/>
    <w:rsid w:val="00E86B0F"/>
    <w:rsid w:val="00E86D5B"/>
    <w:rsid w:val="00E86FDF"/>
    <w:rsid w:val="00E8704F"/>
    <w:rsid w:val="00E875DC"/>
    <w:rsid w:val="00E87687"/>
    <w:rsid w:val="00E87927"/>
    <w:rsid w:val="00E902F4"/>
    <w:rsid w:val="00E90632"/>
    <w:rsid w:val="00E910EA"/>
    <w:rsid w:val="00E91459"/>
    <w:rsid w:val="00E91C6A"/>
    <w:rsid w:val="00E920D4"/>
    <w:rsid w:val="00E924AB"/>
    <w:rsid w:val="00E9256C"/>
    <w:rsid w:val="00E92809"/>
    <w:rsid w:val="00E9286B"/>
    <w:rsid w:val="00E92B04"/>
    <w:rsid w:val="00E933F3"/>
    <w:rsid w:val="00E93C4A"/>
    <w:rsid w:val="00E93C9F"/>
    <w:rsid w:val="00E93DA2"/>
    <w:rsid w:val="00E9543D"/>
    <w:rsid w:val="00E9564F"/>
    <w:rsid w:val="00E95FB7"/>
    <w:rsid w:val="00E960F9"/>
    <w:rsid w:val="00E96482"/>
    <w:rsid w:val="00E9680E"/>
    <w:rsid w:val="00E96B76"/>
    <w:rsid w:val="00E9738A"/>
    <w:rsid w:val="00E974AA"/>
    <w:rsid w:val="00E97A6A"/>
    <w:rsid w:val="00E97A6B"/>
    <w:rsid w:val="00E97FD8"/>
    <w:rsid w:val="00EA036C"/>
    <w:rsid w:val="00EA03DD"/>
    <w:rsid w:val="00EA0885"/>
    <w:rsid w:val="00EA0A64"/>
    <w:rsid w:val="00EA0A8A"/>
    <w:rsid w:val="00EA116A"/>
    <w:rsid w:val="00EA116C"/>
    <w:rsid w:val="00EA1395"/>
    <w:rsid w:val="00EA1435"/>
    <w:rsid w:val="00EA1737"/>
    <w:rsid w:val="00EA179A"/>
    <w:rsid w:val="00EA1B2B"/>
    <w:rsid w:val="00EA1BE1"/>
    <w:rsid w:val="00EA1E72"/>
    <w:rsid w:val="00EA2113"/>
    <w:rsid w:val="00EA25BB"/>
    <w:rsid w:val="00EA26DD"/>
    <w:rsid w:val="00EA276C"/>
    <w:rsid w:val="00EA289D"/>
    <w:rsid w:val="00EA30A4"/>
    <w:rsid w:val="00EA316C"/>
    <w:rsid w:val="00EA3708"/>
    <w:rsid w:val="00EA3B6D"/>
    <w:rsid w:val="00EA3D28"/>
    <w:rsid w:val="00EA401A"/>
    <w:rsid w:val="00EA41AE"/>
    <w:rsid w:val="00EA4456"/>
    <w:rsid w:val="00EA45EC"/>
    <w:rsid w:val="00EA4806"/>
    <w:rsid w:val="00EA4955"/>
    <w:rsid w:val="00EA4E81"/>
    <w:rsid w:val="00EA5515"/>
    <w:rsid w:val="00EA6167"/>
    <w:rsid w:val="00EA6765"/>
    <w:rsid w:val="00EA67D5"/>
    <w:rsid w:val="00EA683C"/>
    <w:rsid w:val="00EA6D8A"/>
    <w:rsid w:val="00EA6ED9"/>
    <w:rsid w:val="00EA73E3"/>
    <w:rsid w:val="00EA7738"/>
    <w:rsid w:val="00EA7751"/>
    <w:rsid w:val="00EA7852"/>
    <w:rsid w:val="00EA7B32"/>
    <w:rsid w:val="00EB0573"/>
    <w:rsid w:val="00EB06FE"/>
    <w:rsid w:val="00EB07B6"/>
    <w:rsid w:val="00EB1003"/>
    <w:rsid w:val="00EB1300"/>
    <w:rsid w:val="00EB1574"/>
    <w:rsid w:val="00EB158F"/>
    <w:rsid w:val="00EB1906"/>
    <w:rsid w:val="00EB1926"/>
    <w:rsid w:val="00EB1C99"/>
    <w:rsid w:val="00EB1EAB"/>
    <w:rsid w:val="00EB2288"/>
    <w:rsid w:val="00EB2356"/>
    <w:rsid w:val="00EB24CF"/>
    <w:rsid w:val="00EB2895"/>
    <w:rsid w:val="00EB2990"/>
    <w:rsid w:val="00EB2A65"/>
    <w:rsid w:val="00EB3559"/>
    <w:rsid w:val="00EB41D2"/>
    <w:rsid w:val="00EB430D"/>
    <w:rsid w:val="00EB4465"/>
    <w:rsid w:val="00EB45B4"/>
    <w:rsid w:val="00EB46BF"/>
    <w:rsid w:val="00EB5107"/>
    <w:rsid w:val="00EB5332"/>
    <w:rsid w:val="00EB5658"/>
    <w:rsid w:val="00EB57EB"/>
    <w:rsid w:val="00EB5B11"/>
    <w:rsid w:val="00EB5C24"/>
    <w:rsid w:val="00EB5CA0"/>
    <w:rsid w:val="00EB5D65"/>
    <w:rsid w:val="00EB5EA4"/>
    <w:rsid w:val="00EB61B1"/>
    <w:rsid w:val="00EB62DF"/>
    <w:rsid w:val="00EB6894"/>
    <w:rsid w:val="00EB68FB"/>
    <w:rsid w:val="00EB6CD0"/>
    <w:rsid w:val="00EB7191"/>
    <w:rsid w:val="00EB71CB"/>
    <w:rsid w:val="00EB7281"/>
    <w:rsid w:val="00EC06BD"/>
    <w:rsid w:val="00EC08FE"/>
    <w:rsid w:val="00EC0ACE"/>
    <w:rsid w:val="00EC0B82"/>
    <w:rsid w:val="00EC0C04"/>
    <w:rsid w:val="00EC0DD9"/>
    <w:rsid w:val="00EC0E6A"/>
    <w:rsid w:val="00EC11DE"/>
    <w:rsid w:val="00EC1344"/>
    <w:rsid w:val="00EC1484"/>
    <w:rsid w:val="00EC157B"/>
    <w:rsid w:val="00EC17C0"/>
    <w:rsid w:val="00EC21E1"/>
    <w:rsid w:val="00EC2262"/>
    <w:rsid w:val="00EC22F9"/>
    <w:rsid w:val="00EC237A"/>
    <w:rsid w:val="00EC24C1"/>
    <w:rsid w:val="00EC2A91"/>
    <w:rsid w:val="00EC2D86"/>
    <w:rsid w:val="00EC2FDE"/>
    <w:rsid w:val="00EC3261"/>
    <w:rsid w:val="00EC38DA"/>
    <w:rsid w:val="00EC3F42"/>
    <w:rsid w:val="00EC3FE2"/>
    <w:rsid w:val="00EC429F"/>
    <w:rsid w:val="00EC4D5F"/>
    <w:rsid w:val="00EC4EED"/>
    <w:rsid w:val="00EC5D0C"/>
    <w:rsid w:val="00EC67E6"/>
    <w:rsid w:val="00EC6CC3"/>
    <w:rsid w:val="00EC71A5"/>
    <w:rsid w:val="00EC7FF6"/>
    <w:rsid w:val="00ED09D9"/>
    <w:rsid w:val="00ED1267"/>
    <w:rsid w:val="00ED135C"/>
    <w:rsid w:val="00ED1580"/>
    <w:rsid w:val="00ED1755"/>
    <w:rsid w:val="00ED1AEA"/>
    <w:rsid w:val="00ED1E37"/>
    <w:rsid w:val="00ED1F47"/>
    <w:rsid w:val="00ED2157"/>
    <w:rsid w:val="00ED295B"/>
    <w:rsid w:val="00ED30FD"/>
    <w:rsid w:val="00ED3750"/>
    <w:rsid w:val="00ED3CD3"/>
    <w:rsid w:val="00ED3EA4"/>
    <w:rsid w:val="00ED4481"/>
    <w:rsid w:val="00ED4657"/>
    <w:rsid w:val="00ED46D2"/>
    <w:rsid w:val="00ED548B"/>
    <w:rsid w:val="00ED5DDF"/>
    <w:rsid w:val="00ED5E25"/>
    <w:rsid w:val="00ED6117"/>
    <w:rsid w:val="00ED623B"/>
    <w:rsid w:val="00ED62EF"/>
    <w:rsid w:val="00ED67E2"/>
    <w:rsid w:val="00ED6A05"/>
    <w:rsid w:val="00ED6CDF"/>
    <w:rsid w:val="00ED7473"/>
    <w:rsid w:val="00ED7DE6"/>
    <w:rsid w:val="00EE00C8"/>
    <w:rsid w:val="00EE04C8"/>
    <w:rsid w:val="00EE0F6D"/>
    <w:rsid w:val="00EE1173"/>
    <w:rsid w:val="00EE135F"/>
    <w:rsid w:val="00EE13C4"/>
    <w:rsid w:val="00EE1456"/>
    <w:rsid w:val="00EE17D0"/>
    <w:rsid w:val="00EE1823"/>
    <w:rsid w:val="00EE20DF"/>
    <w:rsid w:val="00EE25CA"/>
    <w:rsid w:val="00EE28F0"/>
    <w:rsid w:val="00EE2B0F"/>
    <w:rsid w:val="00EE2EA6"/>
    <w:rsid w:val="00EE301A"/>
    <w:rsid w:val="00EE32B6"/>
    <w:rsid w:val="00EE3754"/>
    <w:rsid w:val="00EE3BCC"/>
    <w:rsid w:val="00EE3CD1"/>
    <w:rsid w:val="00EE3D68"/>
    <w:rsid w:val="00EE42DD"/>
    <w:rsid w:val="00EE46F1"/>
    <w:rsid w:val="00EE4A0F"/>
    <w:rsid w:val="00EE50DD"/>
    <w:rsid w:val="00EE50EA"/>
    <w:rsid w:val="00EE5133"/>
    <w:rsid w:val="00EE5A17"/>
    <w:rsid w:val="00EE5C44"/>
    <w:rsid w:val="00EE62E8"/>
    <w:rsid w:val="00EE6939"/>
    <w:rsid w:val="00EE71F0"/>
    <w:rsid w:val="00EE74F5"/>
    <w:rsid w:val="00EE7684"/>
    <w:rsid w:val="00EF00BC"/>
    <w:rsid w:val="00EF02AD"/>
    <w:rsid w:val="00EF0393"/>
    <w:rsid w:val="00EF0B50"/>
    <w:rsid w:val="00EF0C17"/>
    <w:rsid w:val="00EF18AF"/>
    <w:rsid w:val="00EF1A5A"/>
    <w:rsid w:val="00EF1EB2"/>
    <w:rsid w:val="00EF228A"/>
    <w:rsid w:val="00EF31E3"/>
    <w:rsid w:val="00EF322A"/>
    <w:rsid w:val="00EF3BEC"/>
    <w:rsid w:val="00EF417C"/>
    <w:rsid w:val="00EF42A2"/>
    <w:rsid w:val="00EF4431"/>
    <w:rsid w:val="00EF44C3"/>
    <w:rsid w:val="00EF46E4"/>
    <w:rsid w:val="00EF4A40"/>
    <w:rsid w:val="00EF4F2D"/>
    <w:rsid w:val="00EF4FD4"/>
    <w:rsid w:val="00EF51DE"/>
    <w:rsid w:val="00EF57CD"/>
    <w:rsid w:val="00EF57E4"/>
    <w:rsid w:val="00EF5BEA"/>
    <w:rsid w:val="00EF6F2D"/>
    <w:rsid w:val="00F000F3"/>
    <w:rsid w:val="00F00397"/>
    <w:rsid w:val="00F008B9"/>
    <w:rsid w:val="00F008D1"/>
    <w:rsid w:val="00F00A54"/>
    <w:rsid w:val="00F01C1A"/>
    <w:rsid w:val="00F01DA9"/>
    <w:rsid w:val="00F023E7"/>
    <w:rsid w:val="00F024CC"/>
    <w:rsid w:val="00F02A5D"/>
    <w:rsid w:val="00F02AF4"/>
    <w:rsid w:val="00F02E79"/>
    <w:rsid w:val="00F02E7A"/>
    <w:rsid w:val="00F0317B"/>
    <w:rsid w:val="00F0341B"/>
    <w:rsid w:val="00F03E79"/>
    <w:rsid w:val="00F04052"/>
    <w:rsid w:val="00F04081"/>
    <w:rsid w:val="00F047FA"/>
    <w:rsid w:val="00F0519D"/>
    <w:rsid w:val="00F051E7"/>
    <w:rsid w:val="00F05684"/>
    <w:rsid w:val="00F05B1F"/>
    <w:rsid w:val="00F05B63"/>
    <w:rsid w:val="00F05FF9"/>
    <w:rsid w:val="00F0670C"/>
    <w:rsid w:val="00F06D46"/>
    <w:rsid w:val="00F06E90"/>
    <w:rsid w:val="00F06E9B"/>
    <w:rsid w:val="00F06EAF"/>
    <w:rsid w:val="00F0747B"/>
    <w:rsid w:val="00F07745"/>
    <w:rsid w:val="00F07766"/>
    <w:rsid w:val="00F07F71"/>
    <w:rsid w:val="00F1033E"/>
    <w:rsid w:val="00F10431"/>
    <w:rsid w:val="00F10919"/>
    <w:rsid w:val="00F10929"/>
    <w:rsid w:val="00F114AF"/>
    <w:rsid w:val="00F1159B"/>
    <w:rsid w:val="00F116D4"/>
    <w:rsid w:val="00F12172"/>
    <w:rsid w:val="00F123B5"/>
    <w:rsid w:val="00F125F9"/>
    <w:rsid w:val="00F1278E"/>
    <w:rsid w:val="00F12AEF"/>
    <w:rsid w:val="00F12EB0"/>
    <w:rsid w:val="00F13045"/>
    <w:rsid w:val="00F131F2"/>
    <w:rsid w:val="00F13355"/>
    <w:rsid w:val="00F13E84"/>
    <w:rsid w:val="00F140DF"/>
    <w:rsid w:val="00F14546"/>
    <w:rsid w:val="00F148A0"/>
    <w:rsid w:val="00F14949"/>
    <w:rsid w:val="00F14C52"/>
    <w:rsid w:val="00F14DD5"/>
    <w:rsid w:val="00F150B0"/>
    <w:rsid w:val="00F15F00"/>
    <w:rsid w:val="00F1716B"/>
    <w:rsid w:val="00F17209"/>
    <w:rsid w:val="00F20203"/>
    <w:rsid w:val="00F20209"/>
    <w:rsid w:val="00F209E2"/>
    <w:rsid w:val="00F20FF1"/>
    <w:rsid w:val="00F21116"/>
    <w:rsid w:val="00F21142"/>
    <w:rsid w:val="00F2125A"/>
    <w:rsid w:val="00F2147C"/>
    <w:rsid w:val="00F218FE"/>
    <w:rsid w:val="00F21925"/>
    <w:rsid w:val="00F224A3"/>
    <w:rsid w:val="00F22D2A"/>
    <w:rsid w:val="00F22E59"/>
    <w:rsid w:val="00F22EF5"/>
    <w:rsid w:val="00F234FD"/>
    <w:rsid w:val="00F2351E"/>
    <w:rsid w:val="00F23681"/>
    <w:rsid w:val="00F23793"/>
    <w:rsid w:val="00F23B8B"/>
    <w:rsid w:val="00F23C6D"/>
    <w:rsid w:val="00F23E5B"/>
    <w:rsid w:val="00F24329"/>
    <w:rsid w:val="00F245F8"/>
    <w:rsid w:val="00F25001"/>
    <w:rsid w:val="00F25104"/>
    <w:rsid w:val="00F2515F"/>
    <w:rsid w:val="00F256FB"/>
    <w:rsid w:val="00F2591B"/>
    <w:rsid w:val="00F25BCD"/>
    <w:rsid w:val="00F261B8"/>
    <w:rsid w:val="00F261C4"/>
    <w:rsid w:val="00F2631E"/>
    <w:rsid w:val="00F26CE9"/>
    <w:rsid w:val="00F26D78"/>
    <w:rsid w:val="00F26E65"/>
    <w:rsid w:val="00F26EF9"/>
    <w:rsid w:val="00F27091"/>
    <w:rsid w:val="00F27107"/>
    <w:rsid w:val="00F2730E"/>
    <w:rsid w:val="00F2733D"/>
    <w:rsid w:val="00F273E2"/>
    <w:rsid w:val="00F277E5"/>
    <w:rsid w:val="00F27AA6"/>
    <w:rsid w:val="00F27C6A"/>
    <w:rsid w:val="00F302F3"/>
    <w:rsid w:val="00F311A8"/>
    <w:rsid w:val="00F31785"/>
    <w:rsid w:val="00F317A6"/>
    <w:rsid w:val="00F31834"/>
    <w:rsid w:val="00F3234A"/>
    <w:rsid w:val="00F3276F"/>
    <w:rsid w:val="00F32CB4"/>
    <w:rsid w:val="00F333F8"/>
    <w:rsid w:val="00F335DC"/>
    <w:rsid w:val="00F33731"/>
    <w:rsid w:val="00F33840"/>
    <w:rsid w:val="00F33B32"/>
    <w:rsid w:val="00F33F21"/>
    <w:rsid w:val="00F34245"/>
    <w:rsid w:val="00F349BA"/>
    <w:rsid w:val="00F34B5D"/>
    <w:rsid w:val="00F34BB8"/>
    <w:rsid w:val="00F34C75"/>
    <w:rsid w:val="00F34CC3"/>
    <w:rsid w:val="00F355C1"/>
    <w:rsid w:val="00F356F4"/>
    <w:rsid w:val="00F35C4F"/>
    <w:rsid w:val="00F3618A"/>
    <w:rsid w:val="00F36502"/>
    <w:rsid w:val="00F368DB"/>
    <w:rsid w:val="00F36C72"/>
    <w:rsid w:val="00F36DEC"/>
    <w:rsid w:val="00F36E1D"/>
    <w:rsid w:val="00F3708C"/>
    <w:rsid w:val="00F3746F"/>
    <w:rsid w:val="00F37481"/>
    <w:rsid w:val="00F37771"/>
    <w:rsid w:val="00F4031C"/>
    <w:rsid w:val="00F40BBA"/>
    <w:rsid w:val="00F40F0E"/>
    <w:rsid w:val="00F410D0"/>
    <w:rsid w:val="00F411A5"/>
    <w:rsid w:val="00F41429"/>
    <w:rsid w:val="00F41791"/>
    <w:rsid w:val="00F41A0A"/>
    <w:rsid w:val="00F41A99"/>
    <w:rsid w:val="00F41AA2"/>
    <w:rsid w:val="00F41AAD"/>
    <w:rsid w:val="00F41C3A"/>
    <w:rsid w:val="00F41CF3"/>
    <w:rsid w:val="00F41EC4"/>
    <w:rsid w:val="00F41F8E"/>
    <w:rsid w:val="00F41FE5"/>
    <w:rsid w:val="00F42309"/>
    <w:rsid w:val="00F423FD"/>
    <w:rsid w:val="00F4368F"/>
    <w:rsid w:val="00F43732"/>
    <w:rsid w:val="00F43960"/>
    <w:rsid w:val="00F43C50"/>
    <w:rsid w:val="00F43DE1"/>
    <w:rsid w:val="00F44399"/>
    <w:rsid w:val="00F44F05"/>
    <w:rsid w:val="00F45178"/>
    <w:rsid w:val="00F456BE"/>
    <w:rsid w:val="00F45A7F"/>
    <w:rsid w:val="00F45EC3"/>
    <w:rsid w:val="00F460B7"/>
    <w:rsid w:val="00F460F1"/>
    <w:rsid w:val="00F466D8"/>
    <w:rsid w:val="00F46CD4"/>
    <w:rsid w:val="00F46FEA"/>
    <w:rsid w:val="00F46FF9"/>
    <w:rsid w:val="00F47292"/>
    <w:rsid w:val="00F47530"/>
    <w:rsid w:val="00F47C22"/>
    <w:rsid w:val="00F47C8F"/>
    <w:rsid w:val="00F50783"/>
    <w:rsid w:val="00F5086C"/>
    <w:rsid w:val="00F50FDB"/>
    <w:rsid w:val="00F511A3"/>
    <w:rsid w:val="00F51319"/>
    <w:rsid w:val="00F51433"/>
    <w:rsid w:val="00F524E0"/>
    <w:rsid w:val="00F52AD0"/>
    <w:rsid w:val="00F52F78"/>
    <w:rsid w:val="00F53114"/>
    <w:rsid w:val="00F53290"/>
    <w:rsid w:val="00F533CE"/>
    <w:rsid w:val="00F5352B"/>
    <w:rsid w:val="00F535C4"/>
    <w:rsid w:val="00F53928"/>
    <w:rsid w:val="00F539AB"/>
    <w:rsid w:val="00F53BCB"/>
    <w:rsid w:val="00F54767"/>
    <w:rsid w:val="00F55226"/>
    <w:rsid w:val="00F55A98"/>
    <w:rsid w:val="00F561B5"/>
    <w:rsid w:val="00F56A0A"/>
    <w:rsid w:val="00F56BC2"/>
    <w:rsid w:val="00F56D63"/>
    <w:rsid w:val="00F576A4"/>
    <w:rsid w:val="00F60485"/>
    <w:rsid w:val="00F60771"/>
    <w:rsid w:val="00F60AF5"/>
    <w:rsid w:val="00F60C9C"/>
    <w:rsid w:val="00F6131D"/>
    <w:rsid w:val="00F61658"/>
    <w:rsid w:val="00F61913"/>
    <w:rsid w:val="00F61E21"/>
    <w:rsid w:val="00F61F02"/>
    <w:rsid w:val="00F622A9"/>
    <w:rsid w:val="00F627A4"/>
    <w:rsid w:val="00F629DF"/>
    <w:rsid w:val="00F62D33"/>
    <w:rsid w:val="00F62F80"/>
    <w:rsid w:val="00F632C4"/>
    <w:rsid w:val="00F63A87"/>
    <w:rsid w:val="00F63FF6"/>
    <w:rsid w:val="00F64280"/>
    <w:rsid w:val="00F6461E"/>
    <w:rsid w:val="00F64720"/>
    <w:rsid w:val="00F64AEC"/>
    <w:rsid w:val="00F64ECC"/>
    <w:rsid w:val="00F650AB"/>
    <w:rsid w:val="00F65174"/>
    <w:rsid w:val="00F65327"/>
    <w:rsid w:val="00F660C3"/>
    <w:rsid w:val="00F662A5"/>
    <w:rsid w:val="00F6663E"/>
    <w:rsid w:val="00F667D5"/>
    <w:rsid w:val="00F669BB"/>
    <w:rsid w:val="00F66C18"/>
    <w:rsid w:val="00F66D4F"/>
    <w:rsid w:val="00F66E17"/>
    <w:rsid w:val="00F67308"/>
    <w:rsid w:val="00F674FD"/>
    <w:rsid w:val="00F67DF3"/>
    <w:rsid w:val="00F70501"/>
    <w:rsid w:val="00F70719"/>
    <w:rsid w:val="00F71508"/>
    <w:rsid w:val="00F71509"/>
    <w:rsid w:val="00F71623"/>
    <w:rsid w:val="00F7176C"/>
    <w:rsid w:val="00F717EB"/>
    <w:rsid w:val="00F71986"/>
    <w:rsid w:val="00F720CC"/>
    <w:rsid w:val="00F72538"/>
    <w:rsid w:val="00F725C3"/>
    <w:rsid w:val="00F72679"/>
    <w:rsid w:val="00F7270F"/>
    <w:rsid w:val="00F72805"/>
    <w:rsid w:val="00F72A48"/>
    <w:rsid w:val="00F72F8D"/>
    <w:rsid w:val="00F730ED"/>
    <w:rsid w:val="00F736F1"/>
    <w:rsid w:val="00F73AFF"/>
    <w:rsid w:val="00F73BC0"/>
    <w:rsid w:val="00F73E85"/>
    <w:rsid w:val="00F73EC7"/>
    <w:rsid w:val="00F73F05"/>
    <w:rsid w:val="00F743C2"/>
    <w:rsid w:val="00F74678"/>
    <w:rsid w:val="00F748E5"/>
    <w:rsid w:val="00F74993"/>
    <w:rsid w:val="00F74BD3"/>
    <w:rsid w:val="00F757FA"/>
    <w:rsid w:val="00F75A40"/>
    <w:rsid w:val="00F760E8"/>
    <w:rsid w:val="00F765BB"/>
    <w:rsid w:val="00F766F9"/>
    <w:rsid w:val="00F76C16"/>
    <w:rsid w:val="00F76EDA"/>
    <w:rsid w:val="00F77C79"/>
    <w:rsid w:val="00F802FF"/>
    <w:rsid w:val="00F8051A"/>
    <w:rsid w:val="00F805A4"/>
    <w:rsid w:val="00F80C59"/>
    <w:rsid w:val="00F81468"/>
    <w:rsid w:val="00F81B60"/>
    <w:rsid w:val="00F82906"/>
    <w:rsid w:val="00F82B4B"/>
    <w:rsid w:val="00F831C4"/>
    <w:rsid w:val="00F833FC"/>
    <w:rsid w:val="00F836F3"/>
    <w:rsid w:val="00F83728"/>
    <w:rsid w:val="00F838E5"/>
    <w:rsid w:val="00F841B5"/>
    <w:rsid w:val="00F84290"/>
    <w:rsid w:val="00F8429D"/>
    <w:rsid w:val="00F84CAE"/>
    <w:rsid w:val="00F84CCF"/>
    <w:rsid w:val="00F84F62"/>
    <w:rsid w:val="00F85A92"/>
    <w:rsid w:val="00F85AAC"/>
    <w:rsid w:val="00F85E18"/>
    <w:rsid w:val="00F85F7F"/>
    <w:rsid w:val="00F86295"/>
    <w:rsid w:val="00F8694F"/>
    <w:rsid w:val="00F86C1F"/>
    <w:rsid w:val="00F872D6"/>
    <w:rsid w:val="00F87CC2"/>
    <w:rsid w:val="00F87E8A"/>
    <w:rsid w:val="00F901C7"/>
    <w:rsid w:val="00F90568"/>
    <w:rsid w:val="00F905CB"/>
    <w:rsid w:val="00F90DD7"/>
    <w:rsid w:val="00F911C5"/>
    <w:rsid w:val="00F9154F"/>
    <w:rsid w:val="00F91930"/>
    <w:rsid w:val="00F921E3"/>
    <w:rsid w:val="00F92DB2"/>
    <w:rsid w:val="00F93915"/>
    <w:rsid w:val="00F93E95"/>
    <w:rsid w:val="00F950D1"/>
    <w:rsid w:val="00F95233"/>
    <w:rsid w:val="00F953C9"/>
    <w:rsid w:val="00F957F3"/>
    <w:rsid w:val="00F9592B"/>
    <w:rsid w:val="00F95E29"/>
    <w:rsid w:val="00F962B0"/>
    <w:rsid w:val="00F965B5"/>
    <w:rsid w:val="00F967BE"/>
    <w:rsid w:val="00F969A9"/>
    <w:rsid w:val="00F96B62"/>
    <w:rsid w:val="00F970BE"/>
    <w:rsid w:val="00F979BF"/>
    <w:rsid w:val="00F97B48"/>
    <w:rsid w:val="00F97CB5"/>
    <w:rsid w:val="00FA001F"/>
    <w:rsid w:val="00FA013F"/>
    <w:rsid w:val="00FA0522"/>
    <w:rsid w:val="00FA066A"/>
    <w:rsid w:val="00FA099F"/>
    <w:rsid w:val="00FA09C2"/>
    <w:rsid w:val="00FA0C75"/>
    <w:rsid w:val="00FA0FE1"/>
    <w:rsid w:val="00FA0FEB"/>
    <w:rsid w:val="00FA115B"/>
    <w:rsid w:val="00FA14BA"/>
    <w:rsid w:val="00FA163D"/>
    <w:rsid w:val="00FA17F9"/>
    <w:rsid w:val="00FA1B85"/>
    <w:rsid w:val="00FA1EFA"/>
    <w:rsid w:val="00FA2156"/>
    <w:rsid w:val="00FA252D"/>
    <w:rsid w:val="00FA2558"/>
    <w:rsid w:val="00FA2635"/>
    <w:rsid w:val="00FA3789"/>
    <w:rsid w:val="00FA37B9"/>
    <w:rsid w:val="00FA3947"/>
    <w:rsid w:val="00FA3E06"/>
    <w:rsid w:val="00FA4447"/>
    <w:rsid w:val="00FA48B0"/>
    <w:rsid w:val="00FA4AD4"/>
    <w:rsid w:val="00FA5231"/>
    <w:rsid w:val="00FA5A93"/>
    <w:rsid w:val="00FA5DE4"/>
    <w:rsid w:val="00FA5EAD"/>
    <w:rsid w:val="00FA649C"/>
    <w:rsid w:val="00FA67A1"/>
    <w:rsid w:val="00FA681C"/>
    <w:rsid w:val="00FA693E"/>
    <w:rsid w:val="00FA6A2A"/>
    <w:rsid w:val="00FA6E9A"/>
    <w:rsid w:val="00FA6EDE"/>
    <w:rsid w:val="00FA7094"/>
    <w:rsid w:val="00FA7647"/>
    <w:rsid w:val="00FA76CE"/>
    <w:rsid w:val="00FA7A25"/>
    <w:rsid w:val="00FA7A98"/>
    <w:rsid w:val="00FB0879"/>
    <w:rsid w:val="00FB0971"/>
    <w:rsid w:val="00FB1989"/>
    <w:rsid w:val="00FB19A8"/>
    <w:rsid w:val="00FB2341"/>
    <w:rsid w:val="00FB23C8"/>
    <w:rsid w:val="00FB255D"/>
    <w:rsid w:val="00FB2602"/>
    <w:rsid w:val="00FB2772"/>
    <w:rsid w:val="00FB2A68"/>
    <w:rsid w:val="00FB2A88"/>
    <w:rsid w:val="00FB2D78"/>
    <w:rsid w:val="00FB314B"/>
    <w:rsid w:val="00FB32CE"/>
    <w:rsid w:val="00FB3339"/>
    <w:rsid w:val="00FB36D0"/>
    <w:rsid w:val="00FB3CA3"/>
    <w:rsid w:val="00FB3E56"/>
    <w:rsid w:val="00FB421E"/>
    <w:rsid w:val="00FB4408"/>
    <w:rsid w:val="00FB4437"/>
    <w:rsid w:val="00FB460C"/>
    <w:rsid w:val="00FB473F"/>
    <w:rsid w:val="00FB4918"/>
    <w:rsid w:val="00FB4CC9"/>
    <w:rsid w:val="00FB4D01"/>
    <w:rsid w:val="00FB4EE1"/>
    <w:rsid w:val="00FB52F1"/>
    <w:rsid w:val="00FB546F"/>
    <w:rsid w:val="00FB5952"/>
    <w:rsid w:val="00FB5DBC"/>
    <w:rsid w:val="00FB6297"/>
    <w:rsid w:val="00FB62E0"/>
    <w:rsid w:val="00FB6783"/>
    <w:rsid w:val="00FB685B"/>
    <w:rsid w:val="00FB6F44"/>
    <w:rsid w:val="00FB7DD0"/>
    <w:rsid w:val="00FB7E89"/>
    <w:rsid w:val="00FC08A3"/>
    <w:rsid w:val="00FC08AA"/>
    <w:rsid w:val="00FC1229"/>
    <w:rsid w:val="00FC127B"/>
    <w:rsid w:val="00FC148B"/>
    <w:rsid w:val="00FC17BD"/>
    <w:rsid w:val="00FC1BA0"/>
    <w:rsid w:val="00FC1DBA"/>
    <w:rsid w:val="00FC1DCE"/>
    <w:rsid w:val="00FC1E06"/>
    <w:rsid w:val="00FC2258"/>
    <w:rsid w:val="00FC2550"/>
    <w:rsid w:val="00FC2730"/>
    <w:rsid w:val="00FC3209"/>
    <w:rsid w:val="00FC3C7E"/>
    <w:rsid w:val="00FC3CBE"/>
    <w:rsid w:val="00FC405B"/>
    <w:rsid w:val="00FC45EF"/>
    <w:rsid w:val="00FC47CC"/>
    <w:rsid w:val="00FC4B4B"/>
    <w:rsid w:val="00FC506E"/>
    <w:rsid w:val="00FC525E"/>
    <w:rsid w:val="00FC5369"/>
    <w:rsid w:val="00FC5F67"/>
    <w:rsid w:val="00FC6042"/>
    <w:rsid w:val="00FC6110"/>
    <w:rsid w:val="00FC6287"/>
    <w:rsid w:val="00FC6365"/>
    <w:rsid w:val="00FC757A"/>
    <w:rsid w:val="00FC75F7"/>
    <w:rsid w:val="00FC78A4"/>
    <w:rsid w:val="00FC7A7A"/>
    <w:rsid w:val="00FD0001"/>
    <w:rsid w:val="00FD014C"/>
    <w:rsid w:val="00FD1227"/>
    <w:rsid w:val="00FD1467"/>
    <w:rsid w:val="00FD154E"/>
    <w:rsid w:val="00FD1874"/>
    <w:rsid w:val="00FD1E61"/>
    <w:rsid w:val="00FD1EEE"/>
    <w:rsid w:val="00FD2141"/>
    <w:rsid w:val="00FD23CA"/>
    <w:rsid w:val="00FD263C"/>
    <w:rsid w:val="00FD26E5"/>
    <w:rsid w:val="00FD28CF"/>
    <w:rsid w:val="00FD291A"/>
    <w:rsid w:val="00FD296A"/>
    <w:rsid w:val="00FD2AFD"/>
    <w:rsid w:val="00FD2EE9"/>
    <w:rsid w:val="00FD3702"/>
    <w:rsid w:val="00FD38B0"/>
    <w:rsid w:val="00FD39B7"/>
    <w:rsid w:val="00FD3A55"/>
    <w:rsid w:val="00FD3BA0"/>
    <w:rsid w:val="00FD3C49"/>
    <w:rsid w:val="00FD3FF3"/>
    <w:rsid w:val="00FD439D"/>
    <w:rsid w:val="00FD4713"/>
    <w:rsid w:val="00FD479F"/>
    <w:rsid w:val="00FD4E41"/>
    <w:rsid w:val="00FD4E45"/>
    <w:rsid w:val="00FD505D"/>
    <w:rsid w:val="00FD5187"/>
    <w:rsid w:val="00FD56AD"/>
    <w:rsid w:val="00FD5BF9"/>
    <w:rsid w:val="00FD6235"/>
    <w:rsid w:val="00FD648B"/>
    <w:rsid w:val="00FD681A"/>
    <w:rsid w:val="00FD76B1"/>
    <w:rsid w:val="00FD7884"/>
    <w:rsid w:val="00FD7A5A"/>
    <w:rsid w:val="00FE04B8"/>
    <w:rsid w:val="00FE05D6"/>
    <w:rsid w:val="00FE06E0"/>
    <w:rsid w:val="00FE092E"/>
    <w:rsid w:val="00FE0A1D"/>
    <w:rsid w:val="00FE0AE2"/>
    <w:rsid w:val="00FE0B9E"/>
    <w:rsid w:val="00FE1414"/>
    <w:rsid w:val="00FE21B3"/>
    <w:rsid w:val="00FE2333"/>
    <w:rsid w:val="00FE2789"/>
    <w:rsid w:val="00FE27F4"/>
    <w:rsid w:val="00FE29DB"/>
    <w:rsid w:val="00FE2A6B"/>
    <w:rsid w:val="00FE30F6"/>
    <w:rsid w:val="00FE3753"/>
    <w:rsid w:val="00FE3ABA"/>
    <w:rsid w:val="00FE3FF7"/>
    <w:rsid w:val="00FE44C9"/>
    <w:rsid w:val="00FE4A60"/>
    <w:rsid w:val="00FE4C3C"/>
    <w:rsid w:val="00FE4CD8"/>
    <w:rsid w:val="00FE4D9B"/>
    <w:rsid w:val="00FE4E8D"/>
    <w:rsid w:val="00FE5540"/>
    <w:rsid w:val="00FE560B"/>
    <w:rsid w:val="00FE5B80"/>
    <w:rsid w:val="00FE5F3B"/>
    <w:rsid w:val="00FE6021"/>
    <w:rsid w:val="00FE634B"/>
    <w:rsid w:val="00FE63FD"/>
    <w:rsid w:val="00FE6EB2"/>
    <w:rsid w:val="00FE7EE2"/>
    <w:rsid w:val="00FF0512"/>
    <w:rsid w:val="00FF0A05"/>
    <w:rsid w:val="00FF0CFB"/>
    <w:rsid w:val="00FF1095"/>
    <w:rsid w:val="00FF1163"/>
    <w:rsid w:val="00FF13DC"/>
    <w:rsid w:val="00FF16BE"/>
    <w:rsid w:val="00FF1766"/>
    <w:rsid w:val="00FF208B"/>
    <w:rsid w:val="00FF2163"/>
    <w:rsid w:val="00FF2237"/>
    <w:rsid w:val="00FF2719"/>
    <w:rsid w:val="00FF2772"/>
    <w:rsid w:val="00FF29B5"/>
    <w:rsid w:val="00FF2ADE"/>
    <w:rsid w:val="00FF2CF6"/>
    <w:rsid w:val="00FF2D1C"/>
    <w:rsid w:val="00FF2D24"/>
    <w:rsid w:val="00FF360A"/>
    <w:rsid w:val="00FF3B8E"/>
    <w:rsid w:val="00FF4194"/>
    <w:rsid w:val="00FF4B37"/>
    <w:rsid w:val="00FF4FB5"/>
    <w:rsid w:val="00FF4FF7"/>
    <w:rsid w:val="00FF5327"/>
    <w:rsid w:val="00FF5374"/>
    <w:rsid w:val="00FF5896"/>
    <w:rsid w:val="00FF65A5"/>
    <w:rsid w:val="00FF65BA"/>
    <w:rsid w:val="00FF6A41"/>
    <w:rsid w:val="00FF6BBB"/>
    <w:rsid w:val="00FF701E"/>
    <w:rsid w:val="00FF744F"/>
    <w:rsid w:val="00FF7D47"/>
    <w:rsid w:val="00FF7EB5"/>
    <w:rsid w:val="00FF7F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center;mso-width-percent:400;mso-height-percent:200;mso-width-relative:margin;mso-height-relative:margin" fillcolor="white">
      <v:fill color="white"/>
      <v:textbox style="mso-fit-shape-to-text:t"/>
      <o:colormru v:ext="edit" colors="#bd1f2b,#cf1e24,#d90b13,#e31c18"/>
    </o:shapedefaults>
    <o:shapelayout v:ext="edit">
      <o:idmap v:ext="edit" data="1"/>
    </o:shapelayout>
  </w:shapeDefaults>
  <w:decimalSymbol w:val=","/>
  <w:listSeparator w:val=";"/>
  <w14:docId w14:val="7EDA69B5"/>
  <w15:docId w15:val="{D1FF6A96-7BB2-4C7C-A4F6-5DE537DD0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A19E1"/>
    <w:pPr>
      <w:widowControl w:val="0"/>
      <w:overflowPunct w:val="0"/>
      <w:autoSpaceDE w:val="0"/>
      <w:autoSpaceDN w:val="0"/>
      <w:adjustRightInd w:val="0"/>
      <w:spacing w:before="100" w:after="100"/>
    </w:pPr>
    <w:rPr>
      <w:kern w:val="28"/>
    </w:rPr>
  </w:style>
  <w:style w:type="paragraph" w:styleId="Titolo1">
    <w:name w:val="heading 1"/>
    <w:basedOn w:val="Normale"/>
    <w:next w:val="Normale"/>
    <w:link w:val="Titolo1Carattere"/>
    <w:uiPriority w:val="99"/>
    <w:qFormat/>
    <w:rsid w:val="00BC3FFD"/>
    <w:pPr>
      <w:keepNext/>
      <w:spacing w:before="0" w:after="120"/>
      <w:jc w:val="both"/>
      <w:outlineLvl w:val="0"/>
    </w:pPr>
    <w:rPr>
      <w:rFonts w:ascii="Cambria" w:hAnsi="Cambria"/>
      <w:b/>
      <w:kern w:val="32"/>
      <w:sz w:val="32"/>
    </w:rPr>
  </w:style>
  <w:style w:type="paragraph" w:styleId="Titolo3">
    <w:name w:val="heading 3"/>
    <w:basedOn w:val="Normale"/>
    <w:next w:val="Normale"/>
    <w:link w:val="Titolo3Carattere"/>
    <w:unhideWhenUsed/>
    <w:qFormat/>
    <w:locked/>
    <w:rsid w:val="00E77400"/>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qFormat/>
    <w:locked/>
    <w:rsid w:val="00CD17F5"/>
    <w:pPr>
      <w:keepNext/>
      <w:keepLines/>
      <w:spacing w:before="200" w:after="0"/>
      <w:outlineLvl w:val="3"/>
    </w:pPr>
    <w:rPr>
      <w:rFonts w:ascii="Cambria" w:hAnsi="Cambria"/>
      <w:b/>
      <w:bCs/>
      <w:i/>
      <w:i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226782"/>
    <w:rPr>
      <w:rFonts w:ascii="Cambria" w:hAnsi="Cambria" w:cs="Times New Roman"/>
      <w:b/>
      <w:kern w:val="32"/>
      <w:sz w:val="32"/>
    </w:rPr>
  </w:style>
  <w:style w:type="paragraph" w:styleId="Corpotesto">
    <w:name w:val="Body Text"/>
    <w:basedOn w:val="Normale"/>
    <w:link w:val="CorpotestoCarattere"/>
    <w:uiPriority w:val="99"/>
    <w:rsid w:val="00BC3FFD"/>
    <w:pPr>
      <w:spacing w:before="0" w:after="0" w:line="360" w:lineRule="auto"/>
    </w:pPr>
  </w:style>
  <w:style w:type="character" w:customStyle="1" w:styleId="CorpotestoCarattere">
    <w:name w:val="Corpo testo Carattere"/>
    <w:link w:val="Corpotesto"/>
    <w:uiPriority w:val="99"/>
    <w:locked/>
    <w:rsid w:val="00226782"/>
    <w:rPr>
      <w:rFonts w:cs="Times New Roman"/>
      <w:kern w:val="28"/>
      <w:sz w:val="20"/>
    </w:rPr>
  </w:style>
  <w:style w:type="paragraph" w:styleId="Pidipagina">
    <w:name w:val="footer"/>
    <w:basedOn w:val="Normale"/>
    <w:link w:val="PidipaginaCarattere"/>
    <w:uiPriority w:val="99"/>
    <w:rsid w:val="00BC3FFD"/>
    <w:pPr>
      <w:tabs>
        <w:tab w:val="center" w:pos="4818"/>
        <w:tab w:val="right" w:pos="9637"/>
      </w:tabs>
      <w:spacing w:before="0" w:after="0"/>
      <w:jc w:val="both"/>
    </w:pPr>
  </w:style>
  <w:style w:type="character" w:customStyle="1" w:styleId="PidipaginaCarattere">
    <w:name w:val="Piè di pagina Carattere"/>
    <w:link w:val="Pidipagina"/>
    <w:uiPriority w:val="99"/>
    <w:locked/>
    <w:rsid w:val="00226782"/>
    <w:rPr>
      <w:rFonts w:cs="Times New Roman"/>
      <w:kern w:val="28"/>
      <w:sz w:val="20"/>
    </w:rPr>
  </w:style>
  <w:style w:type="character" w:styleId="Collegamentoipertestuale">
    <w:name w:val="Hyperlink"/>
    <w:uiPriority w:val="99"/>
    <w:rsid w:val="001F7282"/>
    <w:rPr>
      <w:rFonts w:cs="Times New Roman"/>
      <w:color w:val="0000FF"/>
      <w:u w:val="single"/>
    </w:rPr>
  </w:style>
  <w:style w:type="paragraph" w:styleId="Intestazione">
    <w:name w:val="header"/>
    <w:basedOn w:val="Normale"/>
    <w:link w:val="IntestazioneCarattere"/>
    <w:uiPriority w:val="99"/>
    <w:rsid w:val="000F6161"/>
    <w:pPr>
      <w:tabs>
        <w:tab w:val="center" w:pos="4819"/>
        <w:tab w:val="right" w:pos="9638"/>
      </w:tabs>
    </w:pPr>
  </w:style>
  <w:style w:type="character" w:customStyle="1" w:styleId="IntestazioneCarattere">
    <w:name w:val="Intestazione Carattere"/>
    <w:link w:val="Intestazione"/>
    <w:uiPriority w:val="99"/>
    <w:locked/>
    <w:rsid w:val="00226782"/>
    <w:rPr>
      <w:rFonts w:cs="Times New Roman"/>
      <w:kern w:val="28"/>
      <w:sz w:val="20"/>
    </w:rPr>
  </w:style>
  <w:style w:type="character" w:styleId="Numeropagina">
    <w:name w:val="page number"/>
    <w:uiPriority w:val="99"/>
    <w:rsid w:val="0026018C"/>
    <w:rPr>
      <w:rFonts w:cs="Times New Roman"/>
    </w:rPr>
  </w:style>
  <w:style w:type="paragraph" w:styleId="Testofumetto">
    <w:name w:val="Balloon Text"/>
    <w:basedOn w:val="Normale"/>
    <w:link w:val="TestofumettoCarattere"/>
    <w:uiPriority w:val="99"/>
    <w:semiHidden/>
    <w:rsid w:val="00486F36"/>
    <w:rPr>
      <w:sz w:val="2"/>
    </w:rPr>
  </w:style>
  <w:style w:type="character" w:customStyle="1" w:styleId="TestofumettoCarattere">
    <w:name w:val="Testo fumetto Carattere"/>
    <w:link w:val="Testofumetto"/>
    <w:uiPriority w:val="99"/>
    <w:semiHidden/>
    <w:locked/>
    <w:rsid w:val="00226782"/>
    <w:rPr>
      <w:rFonts w:cs="Times New Roman"/>
      <w:kern w:val="28"/>
      <w:sz w:val="2"/>
    </w:rPr>
  </w:style>
  <w:style w:type="paragraph" w:styleId="NormaleWeb">
    <w:name w:val="Normal (Web)"/>
    <w:basedOn w:val="Normale"/>
    <w:uiPriority w:val="99"/>
    <w:rsid w:val="00100058"/>
    <w:pPr>
      <w:widowControl/>
      <w:overflowPunct/>
      <w:autoSpaceDE/>
      <w:autoSpaceDN/>
      <w:adjustRightInd/>
      <w:spacing w:beforeAutospacing="1" w:afterAutospacing="1"/>
    </w:pPr>
    <w:rPr>
      <w:kern w:val="0"/>
      <w:sz w:val="24"/>
      <w:szCs w:val="24"/>
    </w:rPr>
  </w:style>
  <w:style w:type="paragraph" w:styleId="PreformattatoHTML">
    <w:name w:val="HTML Preformatted"/>
    <w:basedOn w:val="Normale"/>
    <w:link w:val="PreformattatoHTMLCarattere"/>
    <w:uiPriority w:val="99"/>
    <w:rsid w:val="009060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after="0"/>
    </w:pPr>
    <w:rPr>
      <w:rFonts w:ascii="Courier New" w:hAnsi="Courier New"/>
    </w:rPr>
  </w:style>
  <w:style w:type="character" w:customStyle="1" w:styleId="PreformattatoHTMLCarattere">
    <w:name w:val="Preformattato HTML Carattere"/>
    <w:link w:val="PreformattatoHTML"/>
    <w:uiPriority w:val="99"/>
    <w:locked/>
    <w:rsid w:val="00226782"/>
    <w:rPr>
      <w:rFonts w:ascii="Courier New" w:hAnsi="Courier New" w:cs="Times New Roman"/>
      <w:kern w:val="28"/>
      <w:sz w:val="20"/>
    </w:rPr>
  </w:style>
  <w:style w:type="character" w:styleId="Enfasigrassetto">
    <w:name w:val="Strong"/>
    <w:uiPriority w:val="99"/>
    <w:qFormat/>
    <w:rsid w:val="008C6EAA"/>
    <w:rPr>
      <w:rFonts w:cs="Times New Roman"/>
      <w:b/>
    </w:rPr>
  </w:style>
  <w:style w:type="table" w:styleId="Grigliatabella">
    <w:name w:val="Table Grid"/>
    <w:basedOn w:val="Tabellanormale"/>
    <w:uiPriority w:val="99"/>
    <w:locked/>
    <w:rsid w:val="00E75D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E75DCC"/>
  </w:style>
  <w:style w:type="paragraph" w:styleId="Testonotaapidipagina">
    <w:name w:val="footnote text"/>
    <w:basedOn w:val="Normale"/>
    <w:link w:val="TestonotaapidipaginaCarattere"/>
    <w:uiPriority w:val="99"/>
    <w:rsid w:val="006C145B"/>
  </w:style>
  <w:style w:type="character" w:customStyle="1" w:styleId="TestonotaapidipaginaCarattere">
    <w:name w:val="Testo nota a piè di pagina Carattere"/>
    <w:link w:val="Testonotaapidipagina"/>
    <w:uiPriority w:val="99"/>
    <w:locked/>
    <w:rsid w:val="00F05FF9"/>
    <w:rPr>
      <w:rFonts w:cs="Times New Roman"/>
      <w:kern w:val="28"/>
      <w:sz w:val="20"/>
    </w:rPr>
  </w:style>
  <w:style w:type="character" w:styleId="Rimandonotaapidipagina">
    <w:name w:val="footnote reference"/>
    <w:rsid w:val="006C145B"/>
    <w:rPr>
      <w:rFonts w:cs="Times New Roman"/>
      <w:vertAlign w:val="superscript"/>
    </w:rPr>
  </w:style>
  <w:style w:type="character" w:styleId="Enfasicorsivo">
    <w:name w:val="Emphasis"/>
    <w:uiPriority w:val="99"/>
    <w:qFormat/>
    <w:locked/>
    <w:rsid w:val="00E80FB8"/>
    <w:rPr>
      <w:rFonts w:cs="Times New Roman"/>
      <w:i/>
    </w:rPr>
  </w:style>
  <w:style w:type="paragraph" w:customStyle="1" w:styleId="Grigliamedia1-Colore21">
    <w:name w:val="Griglia media 1 - Colore 21"/>
    <w:basedOn w:val="Normale"/>
    <w:uiPriority w:val="34"/>
    <w:qFormat/>
    <w:rsid w:val="0022535F"/>
    <w:pPr>
      <w:ind w:left="720"/>
      <w:contextualSpacing/>
    </w:pPr>
  </w:style>
  <w:style w:type="character" w:styleId="Rimandocommento">
    <w:name w:val="annotation reference"/>
    <w:uiPriority w:val="99"/>
    <w:semiHidden/>
    <w:unhideWhenUsed/>
    <w:rsid w:val="00407D29"/>
    <w:rPr>
      <w:sz w:val="16"/>
      <w:szCs w:val="16"/>
    </w:rPr>
  </w:style>
  <w:style w:type="paragraph" w:styleId="Testocommento">
    <w:name w:val="annotation text"/>
    <w:basedOn w:val="Normale"/>
    <w:link w:val="TestocommentoCarattere"/>
    <w:uiPriority w:val="99"/>
    <w:semiHidden/>
    <w:unhideWhenUsed/>
    <w:rsid w:val="00407D29"/>
  </w:style>
  <w:style w:type="character" w:customStyle="1" w:styleId="TestocommentoCarattere">
    <w:name w:val="Testo commento Carattere"/>
    <w:link w:val="Testocommento"/>
    <w:uiPriority w:val="99"/>
    <w:semiHidden/>
    <w:rsid w:val="00407D29"/>
    <w:rPr>
      <w:kern w:val="28"/>
      <w:sz w:val="20"/>
      <w:szCs w:val="20"/>
    </w:rPr>
  </w:style>
  <w:style w:type="paragraph" w:styleId="Soggettocommento">
    <w:name w:val="annotation subject"/>
    <w:basedOn w:val="Testocommento"/>
    <w:next w:val="Testocommento"/>
    <w:link w:val="SoggettocommentoCarattere"/>
    <w:uiPriority w:val="99"/>
    <w:semiHidden/>
    <w:unhideWhenUsed/>
    <w:rsid w:val="00407D29"/>
    <w:rPr>
      <w:b/>
      <w:bCs/>
    </w:rPr>
  </w:style>
  <w:style w:type="character" w:customStyle="1" w:styleId="SoggettocommentoCarattere">
    <w:name w:val="Soggetto commento Carattere"/>
    <w:link w:val="Soggettocommento"/>
    <w:uiPriority w:val="99"/>
    <w:semiHidden/>
    <w:rsid w:val="00407D29"/>
    <w:rPr>
      <w:b/>
      <w:bCs/>
      <w:kern w:val="28"/>
      <w:sz w:val="20"/>
      <w:szCs w:val="20"/>
    </w:rPr>
  </w:style>
  <w:style w:type="paragraph" w:styleId="Sottotitolo">
    <w:name w:val="Subtitle"/>
    <w:basedOn w:val="Normale"/>
    <w:next w:val="Normale"/>
    <w:link w:val="SottotitoloCarattere"/>
    <w:qFormat/>
    <w:locked/>
    <w:rsid w:val="006166D3"/>
    <w:pPr>
      <w:numPr>
        <w:ilvl w:val="1"/>
      </w:numPr>
    </w:pPr>
    <w:rPr>
      <w:rFonts w:ascii="Cambria" w:hAnsi="Cambria"/>
      <w:i/>
      <w:iCs/>
      <w:color w:val="4F81BD"/>
      <w:spacing w:val="15"/>
      <w:sz w:val="24"/>
      <w:szCs w:val="24"/>
    </w:rPr>
  </w:style>
  <w:style w:type="character" w:customStyle="1" w:styleId="SottotitoloCarattere">
    <w:name w:val="Sottotitolo Carattere"/>
    <w:link w:val="Sottotitolo"/>
    <w:rsid w:val="006166D3"/>
    <w:rPr>
      <w:rFonts w:ascii="Cambria" w:eastAsia="Times New Roman" w:hAnsi="Cambria" w:cs="Times New Roman"/>
      <w:i/>
      <w:iCs/>
      <w:color w:val="4F81BD"/>
      <w:spacing w:val="15"/>
      <w:kern w:val="28"/>
      <w:sz w:val="24"/>
      <w:szCs w:val="24"/>
    </w:rPr>
  </w:style>
  <w:style w:type="character" w:customStyle="1" w:styleId="Titolo4Carattere">
    <w:name w:val="Titolo 4 Carattere"/>
    <w:link w:val="Titolo4"/>
    <w:uiPriority w:val="9"/>
    <w:rsid w:val="00CD17F5"/>
    <w:rPr>
      <w:rFonts w:ascii="Cambria" w:eastAsia="Times New Roman" w:hAnsi="Cambria" w:cs="Times New Roman"/>
      <w:b/>
      <w:bCs/>
      <w:i/>
      <w:iCs/>
      <w:color w:val="4F81BD"/>
      <w:kern w:val="28"/>
      <w:sz w:val="20"/>
      <w:szCs w:val="20"/>
    </w:rPr>
  </w:style>
  <w:style w:type="paragraph" w:customStyle="1" w:styleId="Default">
    <w:name w:val="Default"/>
    <w:uiPriority w:val="99"/>
    <w:rsid w:val="00417ECD"/>
    <w:pPr>
      <w:autoSpaceDE w:val="0"/>
      <w:autoSpaceDN w:val="0"/>
      <w:adjustRightInd w:val="0"/>
    </w:pPr>
    <w:rPr>
      <w:rFonts w:ascii="Arial Narrow" w:hAnsi="Arial Narrow"/>
      <w:color w:val="000000"/>
      <w:sz w:val="24"/>
      <w:szCs w:val="24"/>
    </w:rPr>
  </w:style>
  <w:style w:type="paragraph" w:customStyle="1" w:styleId="Paragrafobase">
    <w:name w:val="[Paragrafo base]"/>
    <w:basedOn w:val="Normale"/>
    <w:uiPriority w:val="99"/>
    <w:rsid w:val="00083173"/>
    <w:pPr>
      <w:overflowPunct/>
      <w:spacing w:before="0" w:after="0" w:line="288" w:lineRule="auto"/>
      <w:textAlignment w:val="center"/>
    </w:pPr>
    <w:rPr>
      <w:rFonts w:ascii="Times-Roman" w:hAnsi="Times-Roman" w:cs="Times-Roman"/>
      <w:color w:val="000000"/>
      <w:kern w:val="0"/>
      <w:sz w:val="24"/>
      <w:szCs w:val="24"/>
    </w:rPr>
  </w:style>
  <w:style w:type="table" w:customStyle="1" w:styleId="Grigliatabella1">
    <w:name w:val="Griglia tabella1"/>
    <w:basedOn w:val="Tabellanormale"/>
    <w:next w:val="Grigliatabella"/>
    <w:uiPriority w:val="99"/>
    <w:rsid w:val="00A36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1TitoGra">
    <w:name w:val="001TitoGra"/>
    <w:basedOn w:val="Normale"/>
    <w:qFormat/>
    <w:rsid w:val="00FF1163"/>
    <w:pPr>
      <w:spacing w:before="0" w:after="0" w:line="240" w:lineRule="exact"/>
    </w:pPr>
    <w:rPr>
      <w:rFonts w:ascii="Arial Narrow" w:hAnsi="Arial Narrow" w:cs="Arial"/>
      <w:b/>
      <w:color w:val="5F5F5F"/>
      <w:sz w:val="22"/>
      <w:szCs w:val="22"/>
    </w:rPr>
  </w:style>
  <w:style w:type="paragraph" w:customStyle="1" w:styleId="001TitoloBolocco">
    <w:name w:val="001TitoloBolocco"/>
    <w:basedOn w:val="Titolo1"/>
    <w:link w:val="001TitoloBoloccoCarattere"/>
    <w:qFormat/>
    <w:rsid w:val="00FA4447"/>
    <w:pPr>
      <w:pBdr>
        <w:bottom w:val="single" w:sz="18" w:space="1" w:color="E31C18"/>
      </w:pBdr>
      <w:spacing w:after="240" w:line="240" w:lineRule="exact"/>
    </w:pPr>
    <w:rPr>
      <w:rFonts w:ascii="Calibri" w:hAnsi="Calibri" w:cs="Arial"/>
      <w:bCs/>
      <w:caps/>
      <w:color w:val="000000"/>
      <w:sz w:val="26"/>
      <w:szCs w:val="28"/>
    </w:rPr>
  </w:style>
  <w:style w:type="character" w:customStyle="1" w:styleId="001TitoloBoloccoCarattere">
    <w:name w:val="001TitoloBolocco Carattere"/>
    <w:link w:val="001TitoloBolocco"/>
    <w:rsid w:val="00FA4447"/>
    <w:rPr>
      <w:rFonts w:ascii="Calibri" w:hAnsi="Calibri" w:cs="Arial"/>
      <w:b/>
      <w:bCs/>
      <w:caps/>
      <w:color w:val="000000"/>
      <w:kern w:val="32"/>
      <w:sz w:val="26"/>
      <w:szCs w:val="28"/>
    </w:rPr>
  </w:style>
  <w:style w:type="paragraph" w:customStyle="1" w:styleId="00TitoGra1">
    <w:name w:val="00TitoGra1"/>
    <w:basedOn w:val="Normale"/>
    <w:qFormat/>
    <w:rsid w:val="00E53642"/>
    <w:pPr>
      <w:spacing w:before="0" w:after="0" w:line="280" w:lineRule="exact"/>
    </w:pPr>
    <w:rPr>
      <w:rFonts w:ascii="Calibri" w:hAnsi="Calibri" w:cs="Arial"/>
      <w:b/>
      <w:color w:val="D90B13"/>
      <w:sz w:val="28"/>
      <w:szCs w:val="28"/>
    </w:rPr>
  </w:style>
  <w:style w:type="character" w:customStyle="1" w:styleId="001TitoGraRed">
    <w:name w:val="001TitoGraRed"/>
    <w:uiPriority w:val="1"/>
    <w:qFormat/>
    <w:rsid w:val="00FF1163"/>
    <w:rPr>
      <w:color w:val="E31C18"/>
    </w:rPr>
  </w:style>
  <w:style w:type="paragraph" w:customStyle="1" w:styleId="001SottotitoloGra">
    <w:name w:val="001SottotitoloGra"/>
    <w:basedOn w:val="001TitoGra"/>
    <w:qFormat/>
    <w:rsid w:val="00FF1163"/>
    <w:pPr>
      <w:spacing w:after="120"/>
    </w:pPr>
    <w:rPr>
      <w:b w:val="0"/>
      <w:sz w:val="20"/>
      <w:szCs w:val="20"/>
    </w:rPr>
  </w:style>
  <w:style w:type="paragraph" w:styleId="Rientrocorpodeltesto">
    <w:name w:val="Body Text Indent"/>
    <w:basedOn w:val="Normale"/>
    <w:link w:val="RientrocorpodeltestoCarattere"/>
    <w:uiPriority w:val="99"/>
    <w:semiHidden/>
    <w:unhideWhenUsed/>
    <w:rsid w:val="00A53D09"/>
    <w:pPr>
      <w:spacing w:after="120"/>
      <w:ind w:left="283"/>
    </w:pPr>
  </w:style>
  <w:style w:type="character" w:customStyle="1" w:styleId="RientrocorpodeltestoCarattere">
    <w:name w:val="Rientro corpo del testo Carattere"/>
    <w:link w:val="Rientrocorpodeltesto"/>
    <w:uiPriority w:val="99"/>
    <w:semiHidden/>
    <w:rsid w:val="00A53D09"/>
    <w:rPr>
      <w:kern w:val="28"/>
    </w:rPr>
  </w:style>
  <w:style w:type="character" w:customStyle="1" w:styleId="st">
    <w:name w:val="st"/>
    <w:rsid w:val="00431975"/>
  </w:style>
  <w:style w:type="paragraph" w:styleId="Paragrafoelenco">
    <w:name w:val="List Paragraph"/>
    <w:basedOn w:val="Normale"/>
    <w:uiPriority w:val="34"/>
    <w:qFormat/>
    <w:rsid w:val="00011C85"/>
    <w:pPr>
      <w:widowControl/>
      <w:overflowPunct/>
      <w:autoSpaceDE/>
      <w:autoSpaceDN/>
      <w:adjustRightInd/>
      <w:spacing w:before="0" w:after="0"/>
      <w:ind w:left="720"/>
      <w:contextualSpacing/>
    </w:pPr>
    <w:rPr>
      <w:rFonts w:ascii="Calibri" w:eastAsia="Calibri" w:hAnsi="Calibri"/>
      <w:kern w:val="0"/>
      <w:sz w:val="24"/>
      <w:szCs w:val="24"/>
    </w:rPr>
  </w:style>
  <w:style w:type="character" w:styleId="Collegamentovisitato">
    <w:name w:val="FollowedHyperlink"/>
    <w:basedOn w:val="Carpredefinitoparagrafo"/>
    <w:uiPriority w:val="99"/>
    <w:semiHidden/>
    <w:unhideWhenUsed/>
    <w:rsid w:val="00C55AE4"/>
    <w:rPr>
      <w:color w:val="800080" w:themeColor="followedHyperlink"/>
      <w:u w:val="single"/>
    </w:rPr>
  </w:style>
  <w:style w:type="paragraph" w:styleId="Corpodeltesto2">
    <w:name w:val="Body Text 2"/>
    <w:basedOn w:val="Normale"/>
    <w:link w:val="Corpodeltesto2Carattere"/>
    <w:uiPriority w:val="99"/>
    <w:unhideWhenUsed/>
    <w:rsid w:val="003A0D1A"/>
    <w:pPr>
      <w:spacing w:after="120" w:line="480" w:lineRule="auto"/>
    </w:pPr>
  </w:style>
  <w:style w:type="character" w:customStyle="1" w:styleId="Corpodeltesto2Carattere">
    <w:name w:val="Corpo del testo 2 Carattere"/>
    <w:basedOn w:val="Carpredefinitoparagrafo"/>
    <w:link w:val="Corpodeltesto2"/>
    <w:uiPriority w:val="99"/>
    <w:rsid w:val="003A0D1A"/>
    <w:rPr>
      <w:kern w:val="28"/>
    </w:rPr>
  </w:style>
  <w:style w:type="paragraph" w:customStyle="1" w:styleId="Elencoacolori-Colore11">
    <w:name w:val="Elenco a colori - Colore 11"/>
    <w:basedOn w:val="Normale"/>
    <w:uiPriority w:val="34"/>
    <w:qFormat/>
    <w:rsid w:val="003D697C"/>
    <w:pPr>
      <w:widowControl/>
      <w:overflowPunct/>
      <w:autoSpaceDE/>
      <w:autoSpaceDN/>
      <w:adjustRightInd/>
      <w:spacing w:before="0" w:after="0"/>
      <w:ind w:left="720"/>
      <w:contextualSpacing/>
    </w:pPr>
    <w:rPr>
      <w:rFonts w:ascii="Calibri" w:eastAsia="Calibri" w:hAnsi="Calibri"/>
      <w:kern w:val="0"/>
      <w:sz w:val="24"/>
      <w:szCs w:val="24"/>
    </w:rPr>
  </w:style>
  <w:style w:type="character" w:customStyle="1" w:styleId="Corpodeltesto2Carattere1">
    <w:name w:val="Corpo del testo 2 Carattere1"/>
    <w:uiPriority w:val="99"/>
    <w:semiHidden/>
    <w:rsid w:val="003D697C"/>
    <w:rPr>
      <w:kern w:val="28"/>
    </w:rPr>
  </w:style>
  <w:style w:type="character" w:customStyle="1" w:styleId="TestonotaapidipaginaCarattere1">
    <w:name w:val="Testo nota a piè di pagina Carattere1"/>
    <w:uiPriority w:val="99"/>
    <w:semiHidden/>
    <w:rsid w:val="003D697C"/>
    <w:rPr>
      <w:sz w:val="20"/>
    </w:rPr>
  </w:style>
  <w:style w:type="paragraph" w:customStyle="1" w:styleId="Rientrocorpodeltesto31">
    <w:name w:val="Rientro corpo del testo 31"/>
    <w:basedOn w:val="Normale"/>
    <w:uiPriority w:val="99"/>
    <w:rsid w:val="003D697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autoSpaceDE/>
      <w:autoSpaceDN/>
      <w:adjustRightInd/>
      <w:spacing w:before="0" w:after="0" w:line="240" w:lineRule="exact"/>
      <w:ind w:left="-567"/>
      <w:jc w:val="both"/>
    </w:pPr>
    <w:rPr>
      <w:spacing w:val="-3"/>
      <w:kern w:val="0"/>
      <w:sz w:val="22"/>
      <w:lang w:eastAsia="ar-SA"/>
    </w:rPr>
  </w:style>
  <w:style w:type="character" w:customStyle="1" w:styleId="Titolo3Carattere">
    <w:name w:val="Titolo 3 Carattere"/>
    <w:basedOn w:val="Carpredefinitoparagrafo"/>
    <w:link w:val="Titolo3"/>
    <w:rsid w:val="00E77400"/>
    <w:rPr>
      <w:rFonts w:asciiTheme="majorHAnsi" w:eastAsiaTheme="majorEastAsia" w:hAnsiTheme="majorHAnsi" w:cstheme="majorBidi"/>
      <w:b/>
      <w:bCs/>
      <w:color w:val="4F81BD" w:themeColor="accent1"/>
      <w:kern w:val="28"/>
    </w:rPr>
  </w:style>
  <w:style w:type="paragraph" w:styleId="Revisione">
    <w:name w:val="Revision"/>
    <w:hidden/>
    <w:uiPriority w:val="71"/>
    <w:rsid w:val="001D330A"/>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700">
      <w:bodyDiv w:val="1"/>
      <w:marLeft w:val="0"/>
      <w:marRight w:val="0"/>
      <w:marTop w:val="0"/>
      <w:marBottom w:val="0"/>
      <w:divBdr>
        <w:top w:val="none" w:sz="0" w:space="0" w:color="auto"/>
        <w:left w:val="none" w:sz="0" w:space="0" w:color="auto"/>
        <w:bottom w:val="none" w:sz="0" w:space="0" w:color="auto"/>
        <w:right w:val="none" w:sz="0" w:space="0" w:color="auto"/>
      </w:divBdr>
    </w:div>
    <w:div w:id="4673486">
      <w:bodyDiv w:val="1"/>
      <w:marLeft w:val="0"/>
      <w:marRight w:val="0"/>
      <w:marTop w:val="0"/>
      <w:marBottom w:val="0"/>
      <w:divBdr>
        <w:top w:val="none" w:sz="0" w:space="0" w:color="auto"/>
        <w:left w:val="none" w:sz="0" w:space="0" w:color="auto"/>
        <w:bottom w:val="none" w:sz="0" w:space="0" w:color="auto"/>
        <w:right w:val="none" w:sz="0" w:space="0" w:color="auto"/>
      </w:divBdr>
    </w:div>
    <w:div w:id="6180447">
      <w:bodyDiv w:val="1"/>
      <w:marLeft w:val="0"/>
      <w:marRight w:val="0"/>
      <w:marTop w:val="0"/>
      <w:marBottom w:val="0"/>
      <w:divBdr>
        <w:top w:val="none" w:sz="0" w:space="0" w:color="auto"/>
        <w:left w:val="none" w:sz="0" w:space="0" w:color="auto"/>
        <w:bottom w:val="none" w:sz="0" w:space="0" w:color="auto"/>
        <w:right w:val="none" w:sz="0" w:space="0" w:color="auto"/>
      </w:divBdr>
    </w:div>
    <w:div w:id="29649862">
      <w:bodyDiv w:val="1"/>
      <w:marLeft w:val="0"/>
      <w:marRight w:val="0"/>
      <w:marTop w:val="0"/>
      <w:marBottom w:val="0"/>
      <w:divBdr>
        <w:top w:val="none" w:sz="0" w:space="0" w:color="auto"/>
        <w:left w:val="none" w:sz="0" w:space="0" w:color="auto"/>
        <w:bottom w:val="none" w:sz="0" w:space="0" w:color="auto"/>
        <w:right w:val="none" w:sz="0" w:space="0" w:color="auto"/>
      </w:divBdr>
    </w:div>
    <w:div w:id="38866925">
      <w:bodyDiv w:val="1"/>
      <w:marLeft w:val="0"/>
      <w:marRight w:val="0"/>
      <w:marTop w:val="0"/>
      <w:marBottom w:val="0"/>
      <w:divBdr>
        <w:top w:val="none" w:sz="0" w:space="0" w:color="auto"/>
        <w:left w:val="none" w:sz="0" w:space="0" w:color="auto"/>
        <w:bottom w:val="none" w:sz="0" w:space="0" w:color="auto"/>
        <w:right w:val="none" w:sz="0" w:space="0" w:color="auto"/>
      </w:divBdr>
    </w:div>
    <w:div w:id="56101012">
      <w:bodyDiv w:val="1"/>
      <w:marLeft w:val="0"/>
      <w:marRight w:val="0"/>
      <w:marTop w:val="0"/>
      <w:marBottom w:val="0"/>
      <w:divBdr>
        <w:top w:val="none" w:sz="0" w:space="0" w:color="auto"/>
        <w:left w:val="none" w:sz="0" w:space="0" w:color="auto"/>
        <w:bottom w:val="none" w:sz="0" w:space="0" w:color="auto"/>
        <w:right w:val="none" w:sz="0" w:space="0" w:color="auto"/>
      </w:divBdr>
    </w:div>
    <w:div w:id="69041894">
      <w:bodyDiv w:val="1"/>
      <w:marLeft w:val="0"/>
      <w:marRight w:val="0"/>
      <w:marTop w:val="0"/>
      <w:marBottom w:val="0"/>
      <w:divBdr>
        <w:top w:val="none" w:sz="0" w:space="0" w:color="auto"/>
        <w:left w:val="none" w:sz="0" w:space="0" w:color="auto"/>
        <w:bottom w:val="none" w:sz="0" w:space="0" w:color="auto"/>
        <w:right w:val="none" w:sz="0" w:space="0" w:color="auto"/>
      </w:divBdr>
    </w:div>
    <w:div w:id="72625743">
      <w:bodyDiv w:val="1"/>
      <w:marLeft w:val="0"/>
      <w:marRight w:val="0"/>
      <w:marTop w:val="0"/>
      <w:marBottom w:val="0"/>
      <w:divBdr>
        <w:top w:val="none" w:sz="0" w:space="0" w:color="auto"/>
        <w:left w:val="none" w:sz="0" w:space="0" w:color="auto"/>
        <w:bottom w:val="none" w:sz="0" w:space="0" w:color="auto"/>
        <w:right w:val="none" w:sz="0" w:space="0" w:color="auto"/>
      </w:divBdr>
    </w:div>
    <w:div w:id="73742131">
      <w:bodyDiv w:val="1"/>
      <w:marLeft w:val="0"/>
      <w:marRight w:val="0"/>
      <w:marTop w:val="0"/>
      <w:marBottom w:val="0"/>
      <w:divBdr>
        <w:top w:val="none" w:sz="0" w:space="0" w:color="auto"/>
        <w:left w:val="none" w:sz="0" w:space="0" w:color="auto"/>
        <w:bottom w:val="none" w:sz="0" w:space="0" w:color="auto"/>
        <w:right w:val="none" w:sz="0" w:space="0" w:color="auto"/>
      </w:divBdr>
    </w:div>
    <w:div w:id="111638430">
      <w:bodyDiv w:val="1"/>
      <w:marLeft w:val="0"/>
      <w:marRight w:val="0"/>
      <w:marTop w:val="0"/>
      <w:marBottom w:val="0"/>
      <w:divBdr>
        <w:top w:val="none" w:sz="0" w:space="0" w:color="auto"/>
        <w:left w:val="none" w:sz="0" w:space="0" w:color="auto"/>
        <w:bottom w:val="none" w:sz="0" w:space="0" w:color="auto"/>
        <w:right w:val="none" w:sz="0" w:space="0" w:color="auto"/>
      </w:divBdr>
    </w:div>
    <w:div w:id="190531945">
      <w:bodyDiv w:val="1"/>
      <w:marLeft w:val="0"/>
      <w:marRight w:val="0"/>
      <w:marTop w:val="0"/>
      <w:marBottom w:val="0"/>
      <w:divBdr>
        <w:top w:val="none" w:sz="0" w:space="0" w:color="auto"/>
        <w:left w:val="none" w:sz="0" w:space="0" w:color="auto"/>
        <w:bottom w:val="none" w:sz="0" w:space="0" w:color="auto"/>
        <w:right w:val="none" w:sz="0" w:space="0" w:color="auto"/>
      </w:divBdr>
    </w:div>
    <w:div w:id="193345705">
      <w:bodyDiv w:val="1"/>
      <w:marLeft w:val="0"/>
      <w:marRight w:val="0"/>
      <w:marTop w:val="0"/>
      <w:marBottom w:val="0"/>
      <w:divBdr>
        <w:top w:val="none" w:sz="0" w:space="0" w:color="auto"/>
        <w:left w:val="none" w:sz="0" w:space="0" w:color="auto"/>
        <w:bottom w:val="none" w:sz="0" w:space="0" w:color="auto"/>
        <w:right w:val="none" w:sz="0" w:space="0" w:color="auto"/>
      </w:divBdr>
    </w:div>
    <w:div w:id="217282464">
      <w:bodyDiv w:val="1"/>
      <w:marLeft w:val="0"/>
      <w:marRight w:val="0"/>
      <w:marTop w:val="0"/>
      <w:marBottom w:val="0"/>
      <w:divBdr>
        <w:top w:val="none" w:sz="0" w:space="0" w:color="auto"/>
        <w:left w:val="none" w:sz="0" w:space="0" w:color="auto"/>
        <w:bottom w:val="none" w:sz="0" w:space="0" w:color="auto"/>
        <w:right w:val="none" w:sz="0" w:space="0" w:color="auto"/>
      </w:divBdr>
    </w:div>
    <w:div w:id="224222885">
      <w:bodyDiv w:val="1"/>
      <w:marLeft w:val="0"/>
      <w:marRight w:val="0"/>
      <w:marTop w:val="0"/>
      <w:marBottom w:val="0"/>
      <w:divBdr>
        <w:top w:val="none" w:sz="0" w:space="0" w:color="auto"/>
        <w:left w:val="none" w:sz="0" w:space="0" w:color="auto"/>
        <w:bottom w:val="none" w:sz="0" w:space="0" w:color="auto"/>
        <w:right w:val="none" w:sz="0" w:space="0" w:color="auto"/>
      </w:divBdr>
    </w:div>
    <w:div w:id="237443218">
      <w:bodyDiv w:val="1"/>
      <w:marLeft w:val="0"/>
      <w:marRight w:val="0"/>
      <w:marTop w:val="0"/>
      <w:marBottom w:val="0"/>
      <w:divBdr>
        <w:top w:val="none" w:sz="0" w:space="0" w:color="auto"/>
        <w:left w:val="none" w:sz="0" w:space="0" w:color="auto"/>
        <w:bottom w:val="none" w:sz="0" w:space="0" w:color="auto"/>
        <w:right w:val="none" w:sz="0" w:space="0" w:color="auto"/>
      </w:divBdr>
    </w:div>
    <w:div w:id="253520606">
      <w:bodyDiv w:val="1"/>
      <w:marLeft w:val="0"/>
      <w:marRight w:val="0"/>
      <w:marTop w:val="0"/>
      <w:marBottom w:val="0"/>
      <w:divBdr>
        <w:top w:val="none" w:sz="0" w:space="0" w:color="auto"/>
        <w:left w:val="none" w:sz="0" w:space="0" w:color="auto"/>
        <w:bottom w:val="none" w:sz="0" w:space="0" w:color="auto"/>
        <w:right w:val="none" w:sz="0" w:space="0" w:color="auto"/>
      </w:divBdr>
    </w:div>
    <w:div w:id="262542289">
      <w:bodyDiv w:val="1"/>
      <w:marLeft w:val="0"/>
      <w:marRight w:val="0"/>
      <w:marTop w:val="0"/>
      <w:marBottom w:val="0"/>
      <w:divBdr>
        <w:top w:val="none" w:sz="0" w:space="0" w:color="auto"/>
        <w:left w:val="none" w:sz="0" w:space="0" w:color="auto"/>
        <w:bottom w:val="none" w:sz="0" w:space="0" w:color="auto"/>
        <w:right w:val="none" w:sz="0" w:space="0" w:color="auto"/>
      </w:divBdr>
    </w:div>
    <w:div w:id="309137912">
      <w:bodyDiv w:val="1"/>
      <w:marLeft w:val="0"/>
      <w:marRight w:val="0"/>
      <w:marTop w:val="0"/>
      <w:marBottom w:val="0"/>
      <w:divBdr>
        <w:top w:val="none" w:sz="0" w:space="0" w:color="auto"/>
        <w:left w:val="none" w:sz="0" w:space="0" w:color="auto"/>
        <w:bottom w:val="none" w:sz="0" w:space="0" w:color="auto"/>
        <w:right w:val="none" w:sz="0" w:space="0" w:color="auto"/>
      </w:divBdr>
    </w:div>
    <w:div w:id="364403850">
      <w:bodyDiv w:val="1"/>
      <w:marLeft w:val="0"/>
      <w:marRight w:val="0"/>
      <w:marTop w:val="0"/>
      <w:marBottom w:val="0"/>
      <w:divBdr>
        <w:top w:val="none" w:sz="0" w:space="0" w:color="auto"/>
        <w:left w:val="none" w:sz="0" w:space="0" w:color="auto"/>
        <w:bottom w:val="none" w:sz="0" w:space="0" w:color="auto"/>
        <w:right w:val="none" w:sz="0" w:space="0" w:color="auto"/>
      </w:divBdr>
    </w:div>
    <w:div w:id="402219072">
      <w:bodyDiv w:val="1"/>
      <w:marLeft w:val="0"/>
      <w:marRight w:val="0"/>
      <w:marTop w:val="0"/>
      <w:marBottom w:val="0"/>
      <w:divBdr>
        <w:top w:val="none" w:sz="0" w:space="0" w:color="auto"/>
        <w:left w:val="none" w:sz="0" w:space="0" w:color="auto"/>
        <w:bottom w:val="none" w:sz="0" w:space="0" w:color="auto"/>
        <w:right w:val="none" w:sz="0" w:space="0" w:color="auto"/>
      </w:divBdr>
    </w:div>
    <w:div w:id="474226301">
      <w:bodyDiv w:val="1"/>
      <w:marLeft w:val="0"/>
      <w:marRight w:val="0"/>
      <w:marTop w:val="0"/>
      <w:marBottom w:val="0"/>
      <w:divBdr>
        <w:top w:val="none" w:sz="0" w:space="0" w:color="auto"/>
        <w:left w:val="none" w:sz="0" w:space="0" w:color="auto"/>
        <w:bottom w:val="none" w:sz="0" w:space="0" w:color="auto"/>
        <w:right w:val="none" w:sz="0" w:space="0" w:color="auto"/>
      </w:divBdr>
    </w:div>
    <w:div w:id="498884580">
      <w:bodyDiv w:val="1"/>
      <w:marLeft w:val="0"/>
      <w:marRight w:val="0"/>
      <w:marTop w:val="0"/>
      <w:marBottom w:val="0"/>
      <w:divBdr>
        <w:top w:val="none" w:sz="0" w:space="0" w:color="auto"/>
        <w:left w:val="none" w:sz="0" w:space="0" w:color="auto"/>
        <w:bottom w:val="none" w:sz="0" w:space="0" w:color="auto"/>
        <w:right w:val="none" w:sz="0" w:space="0" w:color="auto"/>
      </w:divBdr>
    </w:div>
    <w:div w:id="521630806">
      <w:bodyDiv w:val="1"/>
      <w:marLeft w:val="0"/>
      <w:marRight w:val="0"/>
      <w:marTop w:val="0"/>
      <w:marBottom w:val="0"/>
      <w:divBdr>
        <w:top w:val="none" w:sz="0" w:space="0" w:color="auto"/>
        <w:left w:val="none" w:sz="0" w:space="0" w:color="auto"/>
        <w:bottom w:val="none" w:sz="0" w:space="0" w:color="auto"/>
        <w:right w:val="none" w:sz="0" w:space="0" w:color="auto"/>
      </w:divBdr>
    </w:div>
    <w:div w:id="530411729">
      <w:bodyDiv w:val="1"/>
      <w:marLeft w:val="0"/>
      <w:marRight w:val="0"/>
      <w:marTop w:val="0"/>
      <w:marBottom w:val="0"/>
      <w:divBdr>
        <w:top w:val="none" w:sz="0" w:space="0" w:color="auto"/>
        <w:left w:val="none" w:sz="0" w:space="0" w:color="auto"/>
        <w:bottom w:val="none" w:sz="0" w:space="0" w:color="auto"/>
        <w:right w:val="none" w:sz="0" w:space="0" w:color="auto"/>
      </w:divBdr>
    </w:div>
    <w:div w:id="532038552">
      <w:bodyDiv w:val="1"/>
      <w:marLeft w:val="0"/>
      <w:marRight w:val="0"/>
      <w:marTop w:val="0"/>
      <w:marBottom w:val="0"/>
      <w:divBdr>
        <w:top w:val="none" w:sz="0" w:space="0" w:color="auto"/>
        <w:left w:val="none" w:sz="0" w:space="0" w:color="auto"/>
        <w:bottom w:val="none" w:sz="0" w:space="0" w:color="auto"/>
        <w:right w:val="none" w:sz="0" w:space="0" w:color="auto"/>
      </w:divBdr>
    </w:div>
    <w:div w:id="546995541">
      <w:bodyDiv w:val="1"/>
      <w:marLeft w:val="0"/>
      <w:marRight w:val="0"/>
      <w:marTop w:val="0"/>
      <w:marBottom w:val="0"/>
      <w:divBdr>
        <w:top w:val="none" w:sz="0" w:space="0" w:color="auto"/>
        <w:left w:val="none" w:sz="0" w:space="0" w:color="auto"/>
        <w:bottom w:val="none" w:sz="0" w:space="0" w:color="auto"/>
        <w:right w:val="none" w:sz="0" w:space="0" w:color="auto"/>
      </w:divBdr>
    </w:div>
    <w:div w:id="572397950">
      <w:bodyDiv w:val="1"/>
      <w:marLeft w:val="0"/>
      <w:marRight w:val="0"/>
      <w:marTop w:val="0"/>
      <w:marBottom w:val="0"/>
      <w:divBdr>
        <w:top w:val="none" w:sz="0" w:space="0" w:color="auto"/>
        <w:left w:val="none" w:sz="0" w:space="0" w:color="auto"/>
        <w:bottom w:val="none" w:sz="0" w:space="0" w:color="auto"/>
        <w:right w:val="none" w:sz="0" w:space="0" w:color="auto"/>
      </w:divBdr>
    </w:div>
    <w:div w:id="588998793">
      <w:bodyDiv w:val="1"/>
      <w:marLeft w:val="0"/>
      <w:marRight w:val="0"/>
      <w:marTop w:val="0"/>
      <w:marBottom w:val="0"/>
      <w:divBdr>
        <w:top w:val="none" w:sz="0" w:space="0" w:color="auto"/>
        <w:left w:val="none" w:sz="0" w:space="0" w:color="auto"/>
        <w:bottom w:val="none" w:sz="0" w:space="0" w:color="auto"/>
        <w:right w:val="none" w:sz="0" w:space="0" w:color="auto"/>
      </w:divBdr>
    </w:div>
    <w:div w:id="602761312">
      <w:bodyDiv w:val="1"/>
      <w:marLeft w:val="0"/>
      <w:marRight w:val="0"/>
      <w:marTop w:val="0"/>
      <w:marBottom w:val="0"/>
      <w:divBdr>
        <w:top w:val="none" w:sz="0" w:space="0" w:color="auto"/>
        <w:left w:val="none" w:sz="0" w:space="0" w:color="auto"/>
        <w:bottom w:val="none" w:sz="0" w:space="0" w:color="auto"/>
        <w:right w:val="none" w:sz="0" w:space="0" w:color="auto"/>
      </w:divBdr>
    </w:div>
    <w:div w:id="622662056">
      <w:bodyDiv w:val="1"/>
      <w:marLeft w:val="0"/>
      <w:marRight w:val="0"/>
      <w:marTop w:val="0"/>
      <w:marBottom w:val="0"/>
      <w:divBdr>
        <w:top w:val="none" w:sz="0" w:space="0" w:color="auto"/>
        <w:left w:val="none" w:sz="0" w:space="0" w:color="auto"/>
        <w:bottom w:val="none" w:sz="0" w:space="0" w:color="auto"/>
        <w:right w:val="none" w:sz="0" w:space="0" w:color="auto"/>
      </w:divBdr>
    </w:div>
    <w:div w:id="631524876">
      <w:bodyDiv w:val="1"/>
      <w:marLeft w:val="0"/>
      <w:marRight w:val="0"/>
      <w:marTop w:val="0"/>
      <w:marBottom w:val="0"/>
      <w:divBdr>
        <w:top w:val="none" w:sz="0" w:space="0" w:color="auto"/>
        <w:left w:val="none" w:sz="0" w:space="0" w:color="auto"/>
        <w:bottom w:val="none" w:sz="0" w:space="0" w:color="auto"/>
        <w:right w:val="none" w:sz="0" w:space="0" w:color="auto"/>
      </w:divBdr>
    </w:div>
    <w:div w:id="636954640">
      <w:bodyDiv w:val="1"/>
      <w:marLeft w:val="0"/>
      <w:marRight w:val="0"/>
      <w:marTop w:val="0"/>
      <w:marBottom w:val="0"/>
      <w:divBdr>
        <w:top w:val="none" w:sz="0" w:space="0" w:color="auto"/>
        <w:left w:val="none" w:sz="0" w:space="0" w:color="auto"/>
        <w:bottom w:val="none" w:sz="0" w:space="0" w:color="auto"/>
        <w:right w:val="none" w:sz="0" w:space="0" w:color="auto"/>
      </w:divBdr>
    </w:div>
    <w:div w:id="646596715">
      <w:bodyDiv w:val="1"/>
      <w:marLeft w:val="0"/>
      <w:marRight w:val="0"/>
      <w:marTop w:val="0"/>
      <w:marBottom w:val="0"/>
      <w:divBdr>
        <w:top w:val="none" w:sz="0" w:space="0" w:color="auto"/>
        <w:left w:val="none" w:sz="0" w:space="0" w:color="auto"/>
        <w:bottom w:val="none" w:sz="0" w:space="0" w:color="auto"/>
        <w:right w:val="none" w:sz="0" w:space="0" w:color="auto"/>
      </w:divBdr>
    </w:div>
    <w:div w:id="669018745">
      <w:bodyDiv w:val="1"/>
      <w:marLeft w:val="0"/>
      <w:marRight w:val="0"/>
      <w:marTop w:val="0"/>
      <w:marBottom w:val="0"/>
      <w:divBdr>
        <w:top w:val="none" w:sz="0" w:space="0" w:color="auto"/>
        <w:left w:val="none" w:sz="0" w:space="0" w:color="auto"/>
        <w:bottom w:val="none" w:sz="0" w:space="0" w:color="auto"/>
        <w:right w:val="none" w:sz="0" w:space="0" w:color="auto"/>
      </w:divBdr>
    </w:div>
    <w:div w:id="679351289">
      <w:bodyDiv w:val="1"/>
      <w:marLeft w:val="0"/>
      <w:marRight w:val="0"/>
      <w:marTop w:val="0"/>
      <w:marBottom w:val="0"/>
      <w:divBdr>
        <w:top w:val="none" w:sz="0" w:space="0" w:color="auto"/>
        <w:left w:val="none" w:sz="0" w:space="0" w:color="auto"/>
        <w:bottom w:val="none" w:sz="0" w:space="0" w:color="auto"/>
        <w:right w:val="none" w:sz="0" w:space="0" w:color="auto"/>
      </w:divBdr>
    </w:div>
    <w:div w:id="707073509">
      <w:bodyDiv w:val="1"/>
      <w:marLeft w:val="0"/>
      <w:marRight w:val="0"/>
      <w:marTop w:val="0"/>
      <w:marBottom w:val="0"/>
      <w:divBdr>
        <w:top w:val="none" w:sz="0" w:space="0" w:color="auto"/>
        <w:left w:val="none" w:sz="0" w:space="0" w:color="auto"/>
        <w:bottom w:val="none" w:sz="0" w:space="0" w:color="auto"/>
        <w:right w:val="none" w:sz="0" w:space="0" w:color="auto"/>
      </w:divBdr>
    </w:div>
    <w:div w:id="709768472">
      <w:bodyDiv w:val="1"/>
      <w:marLeft w:val="0"/>
      <w:marRight w:val="0"/>
      <w:marTop w:val="0"/>
      <w:marBottom w:val="0"/>
      <w:divBdr>
        <w:top w:val="none" w:sz="0" w:space="0" w:color="auto"/>
        <w:left w:val="none" w:sz="0" w:space="0" w:color="auto"/>
        <w:bottom w:val="none" w:sz="0" w:space="0" w:color="auto"/>
        <w:right w:val="none" w:sz="0" w:space="0" w:color="auto"/>
      </w:divBdr>
    </w:div>
    <w:div w:id="727991793">
      <w:bodyDiv w:val="1"/>
      <w:marLeft w:val="0"/>
      <w:marRight w:val="0"/>
      <w:marTop w:val="0"/>
      <w:marBottom w:val="0"/>
      <w:divBdr>
        <w:top w:val="none" w:sz="0" w:space="0" w:color="auto"/>
        <w:left w:val="none" w:sz="0" w:space="0" w:color="auto"/>
        <w:bottom w:val="none" w:sz="0" w:space="0" w:color="auto"/>
        <w:right w:val="none" w:sz="0" w:space="0" w:color="auto"/>
      </w:divBdr>
    </w:div>
    <w:div w:id="740325353">
      <w:bodyDiv w:val="1"/>
      <w:marLeft w:val="0"/>
      <w:marRight w:val="0"/>
      <w:marTop w:val="0"/>
      <w:marBottom w:val="0"/>
      <w:divBdr>
        <w:top w:val="none" w:sz="0" w:space="0" w:color="auto"/>
        <w:left w:val="none" w:sz="0" w:space="0" w:color="auto"/>
        <w:bottom w:val="none" w:sz="0" w:space="0" w:color="auto"/>
        <w:right w:val="none" w:sz="0" w:space="0" w:color="auto"/>
      </w:divBdr>
    </w:div>
    <w:div w:id="772897932">
      <w:bodyDiv w:val="1"/>
      <w:marLeft w:val="0"/>
      <w:marRight w:val="0"/>
      <w:marTop w:val="0"/>
      <w:marBottom w:val="0"/>
      <w:divBdr>
        <w:top w:val="none" w:sz="0" w:space="0" w:color="auto"/>
        <w:left w:val="none" w:sz="0" w:space="0" w:color="auto"/>
        <w:bottom w:val="none" w:sz="0" w:space="0" w:color="auto"/>
        <w:right w:val="none" w:sz="0" w:space="0" w:color="auto"/>
      </w:divBdr>
    </w:div>
    <w:div w:id="777142644">
      <w:bodyDiv w:val="1"/>
      <w:marLeft w:val="0"/>
      <w:marRight w:val="0"/>
      <w:marTop w:val="0"/>
      <w:marBottom w:val="0"/>
      <w:divBdr>
        <w:top w:val="none" w:sz="0" w:space="0" w:color="auto"/>
        <w:left w:val="none" w:sz="0" w:space="0" w:color="auto"/>
        <w:bottom w:val="none" w:sz="0" w:space="0" w:color="auto"/>
        <w:right w:val="none" w:sz="0" w:space="0" w:color="auto"/>
      </w:divBdr>
    </w:div>
    <w:div w:id="777220110">
      <w:bodyDiv w:val="1"/>
      <w:marLeft w:val="0"/>
      <w:marRight w:val="0"/>
      <w:marTop w:val="0"/>
      <w:marBottom w:val="0"/>
      <w:divBdr>
        <w:top w:val="none" w:sz="0" w:space="0" w:color="auto"/>
        <w:left w:val="none" w:sz="0" w:space="0" w:color="auto"/>
        <w:bottom w:val="none" w:sz="0" w:space="0" w:color="auto"/>
        <w:right w:val="none" w:sz="0" w:space="0" w:color="auto"/>
      </w:divBdr>
    </w:div>
    <w:div w:id="788858470">
      <w:bodyDiv w:val="1"/>
      <w:marLeft w:val="0"/>
      <w:marRight w:val="0"/>
      <w:marTop w:val="0"/>
      <w:marBottom w:val="0"/>
      <w:divBdr>
        <w:top w:val="none" w:sz="0" w:space="0" w:color="auto"/>
        <w:left w:val="none" w:sz="0" w:space="0" w:color="auto"/>
        <w:bottom w:val="none" w:sz="0" w:space="0" w:color="auto"/>
        <w:right w:val="none" w:sz="0" w:space="0" w:color="auto"/>
      </w:divBdr>
    </w:div>
    <w:div w:id="789978370">
      <w:marLeft w:val="0"/>
      <w:marRight w:val="0"/>
      <w:marTop w:val="0"/>
      <w:marBottom w:val="0"/>
      <w:divBdr>
        <w:top w:val="none" w:sz="0" w:space="0" w:color="auto"/>
        <w:left w:val="none" w:sz="0" w:space="0" w:color="auto"/>
        <w:bottom w:val="none" w:sz="0" w:space="0" w:color="auto"/>
        <w:right w:val="none" w:sz="0" w:space="0" w:color="auto"/>
      </w:divBdr>
    </w:div>
    <w:div w:id="789978371">
      <w:marLeft w:val="0"/>
      <w:marRight w:val="0"/>
      <w:marTop w:val="0"/>
      <w:marBottom w:val="0"/>
      <w:divBdr>
        <w:top w:val="none" w:sz="0" w:space="0" w:color="auto"/>
        <w:left w:val="none" w:sz="0" w:space="0" w:color="auto"/>
        <w:bottom w:val="none" w:sz="0" w:space="0" w:color="auto"/>
        <w:right w:val="none" w:sz="0" w:space="0" w:color="auto"/>
      </w:divBdr>
    </w:div>
    <w:div w:id="789978372">
      <w:marLeft w:val="0"/>
      <w:marRight w:val="0"/>
      <w:marTop w:val="0"/>
      <w:marBottom w:val="0"/>
      <w:divBdr>
        <w:top w:val="none" w:sz="0" w:space="0" w:color="auto"/>
        <w:left w:val="none" w:sz="0" w:space="0" w:color="auto"/>
        <w:bottom w:val="none" w:sz="0" w:space="0" w:color="auto"/>
        <w:right w:val="none" w:sz="0" w:space="0" w:color="auto"/>
      </w:divBdr>
    </w:div>
    <w:div w:id="789978373">
      <w:marLeft w:val="0"/>
      <w:marRight w:val="0"/>
      <w:marTop w:val="0"/>
      <w:marBottom w:val="0"/>
      <w:divBdr>
        <w:top w:val="none" w:sz="0" w:space="0" w:color="auto"/>
        <w:left w:val="none" w:sz="0" w:space="0" w:color="auto"/>
        <w:bottom w:val="none" w:sz="0" w:space="0" w:color="auto"/>
        <w:right w:val="none" w:sz="0" w:space="0" w:color="auto"/>
      </w:divBdr>
    </w:div>
    <w:div w:id="789978374">
      <w:marLeft w:val="0"/>
      <w:marRight w:val="0"/>
      <w:marTop w:val="0"/>
      <w:marBottom w:val="0"/>
      <w:divBdr>
        <w:top w:val="none" w:sz="0" w:space="0" w:color="auto"/>
        <w:left w:val="none" w:sz="0" w:space="0" w:color="auto"/>
        <w:bottom w:val="none" w:sz="0" w:space="0" w:color="auto"/>
        <w:right w:val="none" w:sz="0" w:space="0" w:color="auto"/>
      </w:divBdr>
    </w:div>
    <w:div w:id="789978375">
      <w:marLeft w:val="0"/>
      <w:marRight w:val="0"/>
      <w:marTop w:val="0"/>
      <w:marBottom w:val="0"/>
      <w:divBdr>
        <w:top w:val="none" w:sz="0" w:space="0" w:color="auto"/>
        <w:left w:val="none" w:sz="0" w:space="0" w:color="auto"/>
        <w:bottom w:val="none" w:sz="0" w:space="0" w:color="auto"/>
        <w:right w:val="none" w:sz="0" w:space="0" w:color="auto"/>
      </w:divBdr>
    </w:div>
    <w:div w:id="789978376">
      <w:marLeft w:val="0"/>
      <w:marRight w:val="0"/>
      <w:marTop w:val="0"/>
      <w:marBottom w:val="0"/>
      <w:divBdr>
        <w:top w:val="none" w:sz="0" w:space="0" w:color="auto"/>
        <w:left w:val="none" w:sz="0" w:space="0" w:color="auto"/>
        <w:bottom w:val="none" w:sz="0" w:space="0" w:color="auto"/>
        <w:right w:val="none" w:sz="0" w:space="0" w:color="auto"/>
      </w:divBdr>
    </w:div>
    <w:div w:id="789978377">
      <w:marLeft w:val="0"/>
      <w:marRight w:val="0"/>
      <w:marTop w:val="0"/>
      <w:marBottom w:val="0"/>
      <w:divBdr>
        <w:top w:val="none" w:sz="0" w:space="0" w:color="auto"/>
        <w:left w:val="none" w:sz="0" w:space="0" w:color="auto"/>
        <w:bottom w:val="none" w:sz="0" w:space="0" w:color="auto"/>
        <w:right w:val="none" w:sz="0" w:space="0" w:color="auto"/>
      </w:divBdr>
    </w:div>
    <w:div w:id="789978378">
      <w:marLeft w:val="0"/>
      <w:marRight w:val="0"/>
      <w:marTop w:val="0"/>
      <w:marBottom w:val="0"/>
      <w:divBdr>
        <w:top w:val="none" w:sz="0" w:space="0" w:color="auto"/>
        <w:left w:val="none" w:sz="0" w:space="0" w:color="auto"/>
        <w:bottom w:val="none" w:sz="0" w:space="0" w:color="auto"/>
        <w:right w:val="none" w:sz="0" w:space="0" w:color="auto"/>
      </w:divBdr>
    </w:div>
    <w:div w:id="789978379">
      <w:marLeft w:val="0"/>
      <w:marRight w:val="0"/>
      <w:marTop w:val="0"/>
      <w:marBottom w:val="0"/>
      <w:divBdr>
        <w:top w:val="none" w:sz="0" w:space="0" w:color="auto"/>
        <w:left w:val="none" w:sz="0" w:space="0" w:color="auto"/>
        <w:bottom w:val="none" w:sz="0" w:space="0" w:color="auto"/>
        <w:right w:val="none" w:sz="0" w:space="0" w:color="auto"/>
      </w:divBdr>
    </w:div>
    <w:div w:id="789978380">
      <w:marLeft w:val="0"/>
      <w:marRight w:val="0"/>
      <w:marTop w:val="0"/>
      <w:marBottom w:val="0"/>
      <w:divBdr>
        <w:top w:val="none" w:sz="0" w:space="0" w:color="auto"/>
        <w:left w:val="none" w:sz="0" w:space="0" w:color="auto"/>
        <w:bottom w:val="none" w:sz="0" w:space="0" w:color="auto"/>
        <w:right w:val="none" w:sz="0" w:space="0" w:color="auto"/>
      </w:divBdr>
    </w:div>
    <w:div w:id="789978381">
      <w:marLeft w:val="0"/>
      <w:marRight w:val="0"/>
      <w:marTop w:val="0"/>
      <w:marBottom w:val="0"/>
      <w:divBdr>
        <w:top w:val="none" w:sz="0" w:space="0" w:color="auto"/>
        <w:left w:val="none" w:sz="0" w:space="0" w:color="auto"/>
        <w:bottom w:val="none" w:sz="0" w:space="0" w:color="auto"/>
        <w:right w:val="none" w:sz="0" w:space="0" w:color="auto"/>
      </w:divBdr>
    </w:div>
    <w:div w:id="789978382">
      <w:marLeft w:val="0"/>
      <w:marRight w:val="0"/>
      <w:marTop w:val="0"/>
      <w:marBottom w:val="0"/>
      <w:divBdr>
        <w:top w:val="none" w:sz="0" w:space="0" w:color="auto"/>
        <w:left w:val="none" w:sz="0" w:space="0" w:color="auto"/>
        <w:bottom w:val="none" w:sz="0" w:space="0" w:color="auto"/>
        <w:right w:val="none" w:sz="0" w:space="0" w:color="auto"/>
      </w:divBdr>
    </w:div>
    <w:div w:id="789978383">
      <w:marLeft w:val="0"/>
      <w:marRight w:val="0"/>
      <w:marTop w:val="0"/>
      <w:marBottom w:val="0"/>
      <w:divBdr>
        <w:top w:val="none" w:sz="0" w:space="0" w:color="auto"/>
        <w:left w:val="none" w:sz="0" w:space="0" w:color="auto"/>
        <w:bottom w:val="none" w:sz="0" w:space="0" w:color="auto"/>
        <w:right w:val="none" w:sz="0" w:space="0" w:color="auto"/>
      </w:divBdr>
    </w:div>
    <w:div w:id="789978384">
      <w:marLeft w:val="0"/>
      <w:marRight w:val="0"/>
      <w:marTop w:val="0"/>
      <w:marBottom w:val="0"/>
      <w:divBdr>
        <w:top w:val="none" w:sz="0" w:space="0" w:color="auto"/>
        <w:left w:val="none" w:sz="0" w:space="0" w:color="auto"/>
        <w:bottom w:val="none" w:sz="0" w:space="0" w:color="auto"/>
        <w:right w:val="none" w:sz="0" w:space="0" w:color="auto"/>
      </w:divBdr>
    </w:div>
    <w:div w:id="789978385">
      <w:marLeft w:val="0"/>
      <w:marRight w:val="0"/>
      <w:marTop w:val="0"/>
      <w:marBottom w:val="0"/>
      <w:divBdr>
        <w:top w:val="none" w:sz="0" w:space="0" w:color="auto"/>
        <w:left w:val="none" w:sz="0" w:space="0" w:color="auto"/>
        <w:bottom w:val="none" w:sz="0" w:space="0" w:color="auto"/>
        <w:right w:val="none" w:sz="0" w:space="0" w:color="auto"/>
      </w:divBdr>
    </w:div>
    <w:div w:id="789978386">
      <w:marLeft w:val="0"/>
      <w:marRight w:val="0"/>
      <w:marTop w:val="0"/>
      <w:marBottom w:val="0"/>
      <w:divBdr>
        <w:top w:val="none" w:sz="0" w:space="0" w:color="auto"/>
        <w:left w:val="none" w:sz="0" w:space="0" w:color="auto"/>
        <w:bottom w:val="none" w:sz="0" w:space="0" w:color="auto"/>
        <w:right w:val="none" w:sz="0" w:space="0" w:color="auto"/>
      </w:divBdr>
    </w:div>
    <w:div w:id="789978387">
      <w:marLeft w:val="0"/>
      <w:marRight w:val="0"/>
      <w:marTop w:val="0"/>
      <w:marBottom w:val="0"/>
      <w:divBdr>
        <w:top w:val="none" w:sz="0" w:space="0" w:color="auto"/>
        <w:left w:val="none" w:sz="0" w:space="0" w:color="auto"/>
        <w:bottom w:val="none" w:sz="0" w:space="0" w:color="auto"/>
        <w:right w:val="none" w:sz="0" w:space="0" w:color="auto"/>
      </w:divBdr>
    </w:div>
    <w:div w:id="789978388">
      <w:marLeft w:val="0"/>
      <w:marRight w:val="0"/>
      <w:marTop w:val="0"/>
      <w:marBottom w:val="0"/>
      <w:divBdr>
        <w:top w:val="none" w:sz="0" w:space="0" w:color="auto"/>
        <w:left w:val="none" w:sz="0" w:space="0" w:color="auto"/>
        <w:bottom w:val="none" w:sz="0" w:space="0" w:color="auto"/>
        <w:right w:val="none" w:sz="0" w:space="0" w:color="auto"/>
      </w:divBdr>
    </w:div>
    <w:div w:id="789978389">
      <w:marLeft w:val="0"/>
      <w:marRight w:val="0"/>
      <w:marTop w:val="0"/>
      <w:marBottom w:val="0"/>
      <w:divBdr>
        <w:top w:val="none" w:sz="0" w:space="0" w:color="auto"/>
        <w:left w:val="none" w:sz="0" w:space="0" w:color="auto"/>
        <w:bottom w:val="none" w:sz="0" w:space="0" w:color="auto"/>
        <w:right w:val="none" w:sz="0" w:space="0" w:color="auto"/>
      </w:divBdr>
    </w:div>
    <w:div w:id="789978390">
      <w:marLeft w:val="0"/>
      <w:marRight w:val="0"/>
      <w:marTop w:val="0"/>
      <w:marBottom w:val="0"/>
      <w:divBdr>
        <w:top w:val="none" w:sz="0" w:space="0" w:color="auto"/>
        <w:left w:val="none" w:sz="0" w:space="0" w:color="auto"/>
        <w:bottom w:val="none" w:sz="0" w:space="0" w:color="auto"/>
        <w:right w:val="none" w:sz="0" w:space="0" w:color="auto"/>
      </w:divBdr>
    </w:div>
    <w:div w:id="789978391">
      <w:marLeft w:val="0"/>
      <w:marRight w:val="0"/>
      <w:marTop w:val="0"/>
      <w:marBottom w:val="0"/>
      <w:divBdr>
        <w:top w:val="none" w:sz="0" w:space="0" w:color="auto"/>
        <w:left w:val="none" w:sz="0" w:space="0" w:color="auto"/>
        <w:bottom w:val="none" w:sz="0" w:space="0" w:color="auto"/>
        <w:right w:val="none" w:sz="0" w:space="0" w:color="auto"/>
      </w:divBdr>
    </w:div>
    <w:div w:id="789978392">
      <w:marLeft w:val="0"/>
      <w:marRight w:val="0"/>
      <w:marTop w:val="0"/>
      <w:marBottom w:val="0"/>
      <w:divBdr>
        <w:top w:val="none" w:sz="0" w:space="0" w:color="auto"/>
        <w:left w:val="none" w:sz="0" w:space="0" w:color="auto"/>
        <w:bottom w:val="none" w:sz="0" w:space="0" w:color="auto"/>
        <w:right w:val="none" w:sz="0" w:space="0" w:color="auto"/>
      </w:divBdr>
    </w:div>
    <w:div w:id="789978393">
      <w:marLeft w:val="0"/>
      <w:marRight w:val="0"/>
      <w:marTop w:val="0"/>
      <w:marBottom w:val="0"/>
      <w:divBdr>
        <w:top w:val="none" w:sz="0" w:space="0" w:color="auto"/>
        <w:left w:val="none" w:sz="0" w:space="0" w:color="auto"/>
        <w:bottom w:val="none" w:sz="0" w:space="0" w:color="auto"/>
        <w:right w:val="none" w:sz="0" w:space="0" w:color="auto"/>
      </w:divBdr>
    </w:div>
    <w:div w:id="789978394">
      <w:marLeft w:val="0"/>
      <w:marRight w:val="0"/>
      <w:marTop w:val="0"/>
      <w:marBottom w:val="0"/>
      <w:divBdr>
        <w:top w:val="none" w:sz="0" w:space="0" w:color="auto"/>
        <w:left w:val="none" w:sz="0" w:space="0" w:color="auto"/>
        <w:bottom w:val="none" w:sz="0" w:space="0" w:color="auto"/>
        <w:right w:val="none" w:sz="0" w:space="0" w:color="auto"/>
      </w:divBdr>
    </w:div>
    <w:div w:id="789978395">
      <w:marLeft w:val="0"/>
      <w:marRight w:val="0"/>
      <w:marTop w:val="0"/>
      <w:marBottom w:val="0"/>
      <w:divBdr>
        <w:top w:val="none" w:sz="0" w:space="0" w:color="auto"/>
        <w:left w:val="none" w:sz="0" w:space="0" w:color="auto"/>
        <w:bottom w:val="none" w:sz="0" w:space="0" w:color="auto"/>
        <w:right w:val="none" w:sz="0" w:space="0" w:color="auto"/>
      </w:divBdr>
    </w:div>
    <w:div w:id="789978396">
      <w:marLeft w:val="0"/>
      <w:marRight w:val="0"/>
      <w:marTop w:val="0"/>
      <w:marBottom w:val="0"/>
      <w:divBdr>
        <w:top w:val="none" w:sz="0" w:space="0" w:color="auto"/>
        <w:left w:val="none" w:sz="0" w:space="0" w:color="auto"/>
        <w:bottom w:val="none" w:sz="0" w:space="0" w:color="auto"/>
        <w:right w:val="none" w:sz="0" w:space="0" w:color="auto"/>
      </w:divBdr>
    </w:div>
    <w:div w:id="789978397">
      <w:marLeft w:val="0"/>
      <w:marRight w:val="0"/>
      <w:marTop w:val="0"/>
      <w:marBottom w:val="0"/>
      <w:divBdr>
        <w:top w:val="none" w:sz="0" w:space="0" w:color="auto"/>
        <w:left w:val="none" w:sz="0" w:space="0" w:color="auto"/>
        <w:bottom w:val="none" w:sz="0" w:space="0" w:color="auto"/>
        <w:right w:val="none" w:sz="0" w:space="0" w:color="auto"/>
      </w:divBdr>
    </w:div>
    <w:div w:id="789978398">
      <w:marLeft w:val="0"/>
      <w:marRight w:val="0"/>
      <w:marTop w:val="0"/>
      <w:marBottom w:val="0"/>
      <w:divBdr>
        <w:top w:val="none" w:sz="0" w:space="0" w:color="auto"/>
        <w:left w:val="none" w:sz="0" w:space="0" w:color="auto"/>
        <w:bottom w:val="none" w:sz="0" w:space="0" w:color="auto"/>
        <w:right w:val="none" w:sz="0" w:space="0" w:color="auto"/>
      </w:divBdr>
    </w:div>
    <w:div w:id="789978399">
      <w:marLeft w:val="0"/>
      <w:marRight w:val="0"/>
      <w:marTop w:val="0"/>
      <w:marBottom w:val="0"/>
      <w:divBdr>
        <w:top w:val="none" w:sz="0" w:space="0" w:color="auto"/>
        <w:left w:val="none" w:sz="0" w:space="0" w:color="auto"/>
        <w:bottom w:val="none" w:sz="0" w:space="0" w:color="auto"/>
        <w:right w:val="none" w:sz="0" w:space="0" w:color="auto"/>
      </w:divBdr>
    </w:div>
    <w:div w:id="789978400">
      <w:marLeft w:val="0"/>
      <w:marRight w:val="0"/>
      <w:marTop w:val="0"/>
      <w:marBottom w:val="0"/>
      <w:divBdr>
        <w:top w:val="none" w:sz="0" w:space="0" w:color="auto"/>
        <w:left w:val="none" w:sz="0" w:space="0" w:color="auto"/>
        <w:bottom w:val="none" w:sz="0" w:space="0" w:color="auto"/>
        <w:right w:val="none" w:sz="0" w:space="0" w:color="auto"/>
      </w:divBdr>
    </w:div>
    <w:div w:id="789978401">
      <w:marLeft w:val="0"/>
      <w:marRight w:val="0"/>
      <w:marTop w:val="0"/>
      <w:marBottom w:val="0"/>
      <w:divBdr>
        <w:top w:val="none" w:sz="0" w:space="0" w:color="auto"/>
        <w:left w:val="none" w:sz="0" w:space="0" w:color="auto"/>
        <w:bottom w:val="none" w:sz="0" w:space="0" w:color="auto"/>
        <w:right w:val="none" w:sz="0" w:space="0" w:color="auto"/>
      </w:divBdr>
    </w:div>
    <w:div w:id="789978402">
      <w:marLeft w:val="0"/>
      <w:marRight w:val="0"/>
      <w:marTop w:val="0"/>
      <w:marBottom w:val="0"/>
      <w:divBdr>
        <w:top w:val="none" w:sz="0" w:space="0" w:color="auto"/>
        <w:left w:val="none" w:sz="0" w:space="0" w:color="auto"/>
        <w:bottom w:val="none" w:sz="0" w:space="0" w:color="auto"/>
        <w:right w:val="none" w:sz="0" w:space="0" w:color="auto"/>
      </w:divBdr>
    </w:div>
    <w:div w:id="789978403">
      <w:marLeft w:val="0"/>
      <w:marRight w:val="0"/>
      <w:marTop w:val="0"/>
      <w:marBottom w:val="0"/>
      <w:divBdr>
        <w:top w:val="none" w:sz="0" w:space="0" w:color="auto"/>
        <w:left w:val="none" w:sz="0" w:space="0" w:color="auto"/>
        <w:bottom w:val="none" w:sz="0" w:space="0" w:color="auto"/>
        <w:right w:val="none" w:sz="0" w:space="0" w:color="auto"/>
      </w:divBdr>
    </w:div>
    <w:div w:id="789978404">
      <w:marLeft w:val="0"/>
      <w:marRight w:val="0"/>
      <w:marTop w:val="0"/>
      <w:marBottom w:val="0"/>
      <w:divBdr>
        <w:top w:val="none" w:sz="0" w:space="0" w:color="auto"/>
        <w:left w:val="none" w:sz="0" w:space="0" w:color="auto"/>
        <w:bottom w:val="none" w:sz="0" w:space="0" w:color="auto"/>
        <w:right w:val="none" w:sz="0" w:space="0" w:color="auto"/>
      </w:divBdr>
    </w:div>
    <w:div w:id="789978405">
      <w:marLeft w:val="0"/>
      <w:marRight w:val="0"/>
      <w:marTop w:val="0"/>
      <w:marBottom w:val="0"/>
      <w:divBdr>
        <w:top w:val="none" w:sz="0" w:space="0" w:color="auto"/>
        <w:left w:val="none" w:sz="0" w:space="0" w:color="auto"/>
        <w:bottom w:val="none" w:sz="0" w:space="0" w:color="auto"/>
        <w:right w:val="none" w:sz="0" w:space="0" w:color="auto"/>
      </w:divBdr>
    </w:div>
    <w:div w:id="789978406">
      <w:marLeft w:val="0"/>
      <w:marRight w:val="0"/>
      <w:marTop w:val="0"/>
      <w:marBottom w:val="0"/>
      <w:divBdr>
        <w:top w:val="none" w:sz="0" w:space="0" w:color="auto"/>
        <w:left w:val="none" w:sz="0" w:space="0" w:color="auto"/>
        <w:bottom w:val="none" w:sz="0" w:space="0" w:color="auto"/>
        <w:right w:val="none" w:sz="0" w:space="0" w:color="auto"/>
      </w:divBdr>
    </w:div>
    <w:div w:id="789978407">
      <w:marLeft w:val="0"/>
      <w:marRight w:val="0"/>
      <w:marTop w:val="0"/>
      <w:marBottom w:val="0"/>
      <w:divBdr>
        <w:top w:val="none" w:sz="0" w:space="0" w:color="auto"/>
        <w:left w:val="none" w:sz="0" w:space="0" w:color="auto"/>
        <w:bottom w:val="none" w:sz="0" w:space="0" w:color="auto"/>
        <w:right w:val="none" w:sz="0" w:space="0" w:color="auto"/>
      </w:divBdr>
    </w:div>
    <w:div w:id="789978408">
      <w:marLeft w:val="0"/>
      <w:marRight w:val="0"/>
      <w:marTop w:val="0"/>
      <w:marBottom w:val="0"/>
      <w:divBdr>
        <w:top w:val="none" w:sz="0" w:space="0" w:color="auto"/>
        <w:left w:val="none" w:sz="0" w:space="0" w:color="auto"/>
        <w:bottom w:val="none" w:sz="0" w:space="0" w:color="auto"/>
        <w:right w:val="none" w:sz="0" w:space="0" w:color="auto"/>
      </w:divBdr>
    </w:div>
    <w:div w:id="789978409">
      <w:marLeft w:val="0"/>
      <w:marRight w:val="0"/>
      <w:marTop w:val="0"/>
      <w:marBottom w:val="0"/>
      <w:divBdr>
        <w:top w:val="none" w:sz="0" w:space="0" w:color="auto"/>
        <w:left w:val="none" w:sz="0" w:space="0" w:color="auto"/>
        <w:bottom w:val="none" w:sz="0" w:space="0" w:color="auto"/>
        <w:right w:val="none" w:sz="0" w:space="0" w:color="auto"/>
      </w:divBdr>
    </w:div>
    <w:div w:id="789978410">
      <w:marLeft w:val="0"/>
      <w:marRight w:val="0"/>
      <w:marTop w:val="0"/>
      <w:marBottom w:val="0"/>
      <w:divBdr>
        <w:top w:val="none" w:sz="0" w:space="0" w:color="auto"/>
        <w:left w:val="none" w:sz="0" w:space="0" w:color="auto"/>
        <w:bottom w:val="none" w:sz="0" w:space="0" w:color="auto"/>
        <w:right w:val="none" w:sz="0" w:space="0" w:color="auto"/>
      </w:divBdr>
    </w:div>
    <w:div w:id="789978411">
      <w:marLeft w:val="0"/>
      <w:marRight w:val="0"/>
      <w:marTop w:val="0"/>
      <w:marBottom w:val="0"/>
      <w:divBdr>
        <w:top w:val="none" w:sz="0" w:space="0" w:color="auto"/>
        <w:left w:val="none" w:sz="0" w:space="0" w:color="auto"/>
        <w:bottom w:val="none" w:sz="0" w:space="0" w:color="auto"/>
        <w:right w:val="none" w:sz="0" w:space="0" w:color="auto"/>
      </w:divBdr>
    </w:div>
    <w:div w:id="789978412">
      <w:marLeft w:val="0"/>
      <w:marRight w:val="0"/>
      <w:marTop w:val="0"/>
      <w:marBottom w:val="0"/>
      <w:divBdr>
        <w:top w:val="none" w:sz="0" w:space="0" w:color="auto"/>
        <w:left w:val="none" w:sz="0" w:space="0" w:color="auto"/>
        <w:bottom w:val="none" w:sz="0" w:space="0" w:color="auto"/>
        <w:right w:val="none" w:sz="0" w:space="0" w:color="auto"/>
      </w:divBdr>
    </w:div>
    <w:div w:id="789978413">
      <w:marLeft w:val="0"/>
      <w:marRight w:val="0"/>
      <w:marTop w:val="0"/>
      <w:marBottom w:val="0"/>
      <w:divBdr>
        <w:top w:val="none" w:sz="0" w:space="0" w:color="auto"/>
        <w:left w:val="none" w:sz="0" w:space="0" w:color="auto"/>
        <w:bottom w:val="none" w:sz="0" w:space="0" w:color="auto"/>
        <w:right w:val="none" w:sz="0" w:space="0" w:color="auto"/>
      </w:divBdr>
    </w:div>
    <w:div w:id="789978414">
      <w:marLeft w:val="0"/>
      <w:marRight w:val="0"/>
      <w:marTop w:val="0"/>
      <w:marBottom w:val="0"/>
      <w:divBdr>
        <w:top w:val="none" w:sz="0" w:space="0" w:color="auto"/>
        <w:left w:val="none" w:sz="0" w:space="0" w:color="auto"/>
        <w:bottom w:val="none" w:sz="0" w:space="0" w:color="auto"/>
        <w:right w:val="none" w:sz="0" w:space="0" w:color="auto"/>
      </w:divBdr>
    </w:div>
    <w:div w:id="789978415">
      <w:marLeft w:val="0"/>
      <w:marRight w:val="0"/>
      <w:marTop w:val="0"/>
      <w:marBottom w:val="0"/>
      <w:divBdr>
        <w:top w:val="none" w:sz="0" w:space="0" w:color="auto"/>
        <w:left w:val="none" w:sz="0" w:space="0" w:color="auto"/>
        <w:bottom w:val="none" w:sz="0" w:space="0" w:color="auto"/>
        <w:right w:val="none" w:sz="0" w:space="0" w:color="auto"/>
      </w:divBdr>
    </w:div>
    <w:div w:id="789978416">
      <w:marLeft w:val="0"/>
      <w:marRight w:val="0"/>
      <w:marTop w:val="0"/>
      <w:marBottom w:val="0"/>
      <w:divBdr>
        <w:top w:val="none" w:sz="0" w:space="0" w:color="auto"/>
        <w:left w:val="none" w:sz="0" w:space="0" w:color="auto"/>
        <w:bottom w:val="none" w:sz="0" w:space="0" w:color="auto"/>
        <w:right w:val="none" w:sz="0" w:space="0" w:color="auto"/>
      </w:divBdr>
    </w:div>
    <w:div w:id="789978417">
      <w:marLeft w:val="0"/>
      <w:marRight w:val="0"/>
      <w:marTop w:val="0"/>
      <w:marBottom w:val="0"/>
      <w:divBdr>
        <w:top w:val="none" w:sz="0" w:space="0" w:color="auto"/>
        <w:left w:val="none" w:sz="0" w:space="0" w:color="auto"/>
        <w:bottom w:val="none" w:sz="0" w:space="0" w:color="auto"/>
        <w:right w:val="none" w:sz="0" w:space="0" w:color="auto"/>
      </w:divBdr>
    </w:div>
    <w:div w:id="789978418">
      <w:marLeft w:val="0"/>
      <w:marRight w:val="0"/>
      <w:marTop w:val="0"/>
      <w:marBottom w:val="0"/>
      <w:divBdr>
        <w:top w:val="none" w:sz="0" w:space="0" w:color="auto"/>
        <w:left w:val="none" w:sz="0" w:space="0" w:color="auto"/>
        <w:bottom w:val="none" w:sz="0" w:space="0" w:color="auto"/>
        <w:right w:val="none" w:sz="0" w:space="0" w:color="auto"/>
      </w:divBdr>
    </w:div>
    <w:div w:id="789978419">
      <w:marLeft w:val="0"/>
      <w:marRight w:val="0"/>
      <w:marTop w:val="0"/>
      <w:marBottom w:val="0"/>
      <w:divBdr>
        <w:top w:val="none" w:sz="0" w:space="0" w:color="auto"/>
        <w:left w:val="none" w:sz="0" w:space="0" w:color="auto"/>
        <w:bottom w:val="none" w:sz="0" w:space="0" w:color="auto"/>
        <w:right w:val="none" w:sz="0" w:space="0" w:color="auto"/>
      </w:divBdr>
    </w:div>
    <w:div w:id="789978420">
      <w:marLeft w:val="0"/>
      <w:marRight w:val="0"/>
      <w:marTop w:val="0"/>
      <w:marBottom w:val="0"/>
      <w:divBdr>
        <w:top w:val="none" w:sz="0" w:space="0" w:color="auto"/>
        <w:left w:val="none" w:sz="0" w:space="0" w:color="auto"/>
        <w:bottom w:val="none" w:sz="0" w:space="0" w:color="auto"/>
        <w:right w:val="none" w:sz="0" w:space="0" w:color="auto"/>
      </w:divBdr>
    </w:div>
    <w:div w:id="789978421">
      <w:marLeft w:val="0"/>
      <w:marRight w:val="0"/>
      <w:marTop w:val="0"/>
      <w:marBottom w:val="0"/>
      <w:divBdr>
        <w:top w:val="none" w:sz="0" w:space="0" w:color="auto"/>
        <w:left w:val="none" w:sz="0" w:space="0" w:color="auto"/>
        <w:bottom w:val="none" w:sz="0" w:space="0" w:color="auto"/>
        <w:right w:val="none" w:sz="0" w:space="0" w:color="auto"/>
      </w:divBdr>
    </w:div>
    <w:div w:id="789978422">
      <w:marLeft w:val="0"/>
      <w:marRight w:val="0"/>
      <w:marTop w:val="0"/>
      <w:marBottom w:val="0"/>
      <w:divBdr>
        <w:top w:val="none" w:sz="0" w:space="0" w:color="auto"/>
        <w:left w:val="none" w:sz="0" w:space="0" w:color="auto"/>
        <w:bottom w:val="none" w:sz="0" w:space="0" w:color="auto"/>
        <w:right w:val="none" w:sz="0" w:space="0" w:color="auto"/>
      </w:divBdr>
    </w:div>
    <w:div w:id="789978423">
      <w:marLeft w:val="0"/>
      <w:marRight w:val="0"/>
      <w:marTop w:val="0"/>
      <w:marBottom w:val="0"/>
      <w:divBdr>
        <w:top w:val="none" w:sz="0" w:space="0" w:color="auto"/>
        <w:left w:val="none" w:sz="0" w:space="0" w:color="auto"/>
        <w:bottom w:val="none" w:sz="0" w:space="0" w:color="auto"/>
        <w:right w:val="none" w:sz="0" w:space="0" w:color="auto"/>
      </w:divBdr>
    </w:div>
    <w:div w:id="789978424">
      <w:marLeft w:val="0"/>
      <w:marRight w:val="0"/>
      <w:marTop w:val="0"/>
      <w:marBottom w:val="0"/>
      <w:divBdr>
        <w:top w:val="none" w:sz="0" w:space="0" w:color="auto"/>
        <w:left w:val="none" w:sz="0" w:space="0" w:color="auto"/>
        <w:bottom w:val="none" w:sz="0" w:space="0" w:color="auto"/>
        <w:right w:val="none" w:sz="0" w:space="0" w:color="auto"/>
      </w:divBdr>
    </w:div>
    <w:div w:id="789978425">
      <w:marLeft w:val="0"/>
      <w:marRight w:val="0"/>
      <w:marTop w:val="0"/>
      <w:marBottom w:val="0"/>
      <w:divBdr>
        <w:top w:val="none" w:sz="0" w:space="0" w:color="auto"/>
        <w:left w:val="none" w:sz="0" w:space="0" w:color="auto"/>
        <w:bottom w:val="none" w:sz="0" w:space="0" w:color="auto"/>
        <w:right w:val="none" w:sz="0" w:space="0" w:color="auto"/>
      </w:divBdr>
    </w:div>
    <w:div w:id="789978426">
      <w:marLeft w:val="0"/>
      <w:marRight w:val="0"/>
      <w:marTop w:val="0"/>
      <w:marBottom w:val="0"/>
      <w:divBdr>
        <w:top w:val="none" w:sz="0" w:space="0" w:color="auto"/>
        <w:left w:val="none" w:sz="0" w:space="0" w:color="auto"/>
        <w:bottom w:val="none" w:sz="0" w:space="0" w:color="auto"/>
        <w:right w:val="none" w:sz="0" w:space="0" w:color="auto"/>
      </w:divBdr>
    </w:div>
    <w:div w:id="789978427">
      <w:marLeft w:val="0"/>
      <w:marRight w:val="0"/>
      <w:marTop w:val="0"/>
      <w:marBottom w:val="0"/>
      <w:divBdr>
        <w:top w:val="none" w:sz="0" w:space="0" w:color="auto"/>
        <w:left w:val="none" w:sz="0" w:space="0" w:color="auto"/>
        <w:bottom w:val="none" w:sz="0" w:space="0" w:color="auto"/>
        <w:right w:val="none" w:sz="0" w:space="0" w:color="auto"/>
      </w:divBdr>
    </w:div>
    <w:div w:id="789978428">
      <w:marLeft w:val="0"/>
      <w:marRight w:val="0"/>
      <w:marTop w:val="0"/>
      <w:marBottom w:val="0"/>
      <w:divBdr>
        <w:top w:val="none" w:sz="0" w:space="0" w:color="auto"/>
        <w:left w:val="none" w:sz="0" w:space="0" w:color="auto"/>
        <w:bottom w:val="none" w:sz="0" w:space="0" w:color="auto"/>
        <w:right w:val="none" w:sz="0" w:space="0" w:color="auto"/>
      </w:divBdr>
    </w:div>
    <w:div w:id="789978429">
      <w:marLeft w:val="0"/>
      <w:marRight w:val="0"/>
      <w:marTop w:val="0"/>
      <w:marBottom w:val="0"/>
      <w:divBdr>
        <w:top w:val="none" w:sz="0" w:space="0" w:color="auto"/>
        <w:left w:val="none" w:sz="0" w:space="0" w:color="auto"/>
        <w:bottom w:val="none" w:sz="0" w:space="0" w:color="auto"/>
        <w:right w:val="none" w:sz="0" w:space="0" w:color="auto"/>
      </w:divBdr>
    </w:div>
    <w:div w:id="789978430">
      <w:marLeft w:val="0"/>
      <w:marRight w:val="0"/>
      <w:marTop w:val="0"/>
      <w:marBottom w:val="0"/>
      <w:divBdr>
        <w:top w:val="none" w:sz="0" w:space="0" w:color="auto"/>
        <w:left w:val="none" w:sz="0" w:space="0" w:color="auto"/>
        <w:bottom w:val="none" w:sz="0" w:space="0" w:color="auto"/>
        <w:right w:val="none" w:sz="0" w:space="0" w:color="auto"/>
      </w:divBdr>
    </w:div>
    <w:div w:id="789978431">
      <w:marLeft w:val="0"/>
      <w:marRight w:val="0"/>
      <w:marTop w:val="0"/>
      <w:marBottom w:val="0"/>
      <w:divBdr>
        <w:top w:val="none" w:sz="0" w:space="0" w:color="auto"/>
        <w:left w:val="none" w:sz="0" w:space="0" w:color="auto"/>
        <w:bottom w:val="none" w:sz="0" w:space="0" w:color="auto"/>
        <w:right w:val="none" w:sz="0" w:space="0" w:color="auto"/>
      </w:divBdr>
    </w:div>
    <w:div w:id="789978432">
      <w:marLeft w:val="0"/>
      <w:marRight w:val="0"/>
      <w:marTop w:val="0"/>
      <w:marBottom w:val="0"/>
      <w:divBdr>
        <w:top w:val="none" w:sz="0" w:space="0" w:color="auto"/>
        <w:left w:val="none" w:sz="0" w:space="0" w:color="auto"/>
        <w:bottom w:val="none" w:sz="0" w:space="0" w:color="auto"/>
        <w:right w:val="none" w:sz="0" w:space="0" w:color="auto"/>
      </w:divBdr>
    </w:div>
    <w:div w:id="789978433">
      <w:marLeft w:val="0"/>
      <w:marRight w:val="0"/>
      <w:marTop w:val="0"/>
      <w:marBottom w:val="0"/>
      <w:divBdr>
        <w:top w:val="none" w:sz="0" w:space="0" w:color="auto"/>
        <w:left w:val="none" w:sz="0" w:space="0" w:color="auto"/>
        <w:bottom w:val="none" w:sz="0" w:space="0" w:color="auto"/>
        <w:right w:val="none" w:sz="0" w:space="0" w:color="auto"/>
      </w:divBdr>
    </w:div>
    <w:div w:id="789978434">
      <w:marLeft w:val="0"/>
      <w:marRight w:val="0"/>
      <w:marTop w:val="0"/>
      <w:marBottom w:val="0"/>
      <w:divBdr>
        <w:top w:val="none" w:sz="0" w:space="0" w:color="auto"/>
        <w:left w:val="none" w:sz="0" w:space="0" w:color="auto"/>
        <w:bottom w:val="none" w:sz="0" w:space="0" w:color="auto"/>
        <w:right w:val="none" w:sz="0" w:space="0" w:color="auto"/>
      </w:divBdr>
    </w:div>
    <w:div w:id="789978435">
      <w:marLeft w:val="0"/>
      <w:marRight w:val="0"/>
      <w:marTop w:val="0"/>
      <w:marBottom w:val="0"/>
      <w:divBdr>
        <w:top w:val="none" w:sz="0" w:space="0" w:color="auto"/>
        <w:left w:val="none" w:sz="0" w:space="0" w:color="auto"/>
        <w:bottom w:val="none" w:sz="0" w:space="0" w:color="auto"/>
        <w:right w:val="none" w:sz="0" w:space="0" w:color="auto"/>
      </w:divBdr>
    </w:div>
    <w:div w:id="789978436">
      <w:marLeft w:val="0"/>
      <w:marRight w:val="0"/>
      <w:marTop w:val="0"/>
      <w:marBottom w:val="0"/>
      <w:divBdr>
        <w:top w:val="none" w:sz="0" w:space="0" w:color="auto"/>
        <w:left w:val="none" w:sz="0" w:space="0" w:color="auto"/>
        <w:bottom w:val="none" w:sz="0" w:space="0" w:color="auto"/>
        <w:right w:val="none" w:sz="0" w:space="0" w:color="auto"/>
      </w:divBdr>
    </w:div>
    <w:div w:id="789978437">
      <w:marLeft w:val="0"/>
      <w:marRight w:val="0"/>
      <w:marTop w:val="0"/>
      <w:marBottom w:val="0"/>
      <w:divBdr>
        <w:top w:val="none" w:sz="0" w:space="0" w:color="auto"/>
        <w:left w:val="none" w:sz="0" w:space="0" w:color="auto"/>
        <w:bottom w:val="none" w:sz="0" w:space="0" w:color="auto"/>
        <w:right w:val="none" w:sz="0" w:space="0" w:color="auto"/>
      </w:divBdr>
    </w:div>
    <w:div w:id="789978438">
      <w:marLeft w:val="0"/>
      <w:marRight w:val="0"/>
      <w:marTop w:val="0"/>
      <w:marBottom w:val="0"/>
      <w:divBdr>
        <w:top w:val="none" w:sz="0" w:space="0" w:color="auto"/>
        <w:left w:val="none" w:sz="0" w:space="0" w:color="auto"/>
        <w:bottom w:val="none" w:sz="0" w:space="0" w:color="auto"/>
        <w:right w:val="none" w:sz="0" w:space="0" w:color="auto"/>
      </w:divBdr>
    </w:div>
    <w:div w:id="789978439">
      <w:marLeft w:val="0"/>
      <w:marRight w:val="0"/>
      <w:marTop w:val="0"/>
      <w:marBottom w:val="0"/>
      <w:divBdr>
        <w:top w:val="none" w:sz="0" w:space="0" w:color="auto"/>
        <w:left w:val="none" w:sz="0" w:space="0" w:color="auto"/>
        <w:bottom w:val="none" w:sz="0" w:space="0" w:color="auto"/>
        <w:right w:val="none" w:sz="0" w:space="0" w:color="auto"/>
      </w:divBdr>
    </w:div>
    <w:div w:id="789978440">
      <w:marLeft w:val="0"/>
      <w:marRight w:val="0"/>
      <w:marTop w:val="0"/>
      <w:marBottom w:val="0"/>
      <w:divBdr>
        <w:top w:val="none" w:sz="0" w:space="0" w:color="auto"/>
        <w:left w:val="none" w:sz="0" w:space="0" w:color="auto"/>
        <w:bottom w:val="none" w:sz="0" w:space="0" w:color="auto"/>
        <w:right w:val="none" w:sz="0" w:space="0" w:color="auto"/>
      </w:divBdr>
    </w:div>
    <w:div w:id="789978441">
      <w:marLeft w:val="0"/>
      <w:marRight w:val="0"/>
      <w:marTop w:val="0"/>
      <w:marBottom w:val="0"/>
      <w:divBdr>
        <w:top w:val="none" w:sz="0" w:space="0" w:color="auto"/>
        <w:left w:val="none" w:sz="0" w:space="0" w:color="auto"/>
        <w:bottom w:val="none" w:sz="0" w:space="0" w:color="auto"/>
        <w:right w:val="none" w:sz="0" w:space="0" w:color="auto"/>
      </w:divBdr>
    </w:div>
    <w:div w:id="789978442">
      <w:marLeft w:val="0"/>
      <w:marRight w:val="0"/>
      <w:marTop w:val="0"/>
      <w:marBottom w:val="0"/>
      <w:divBdr>
        <w:top w:val="none" w:sz="0" w:space="0" w:color="auto"/>
        <w:left w:val="none" w:sz="0" w:space="0" w:color="auto"/>
        <w:bottom w:val="none" w:sz="0" w:space="0" w:color="auto"/>
        <w:right w:val="none" w:sz="0" w:space="0" w:color="auto"/>
      </w:divBdr>
    </w:div>
    <w:div w:id="789978443">
      <w:marLeft w:val="0"/>
      <w:marRight w:val="0"/>
      <w:marTop w:val="0"/>
      <w:marBottom w:val="0"/>
      <w:divBdr>
        <w:top w:val="none" w:sz="0" w:space="0" w:color="auto"/>
        <w:left w:val="none" w:sz="0" w:space="0" w:color="auto"/>
        <w:bottom w:val="none" w:sz="0" w:space="0" w:color="auto"/>
        <w:right w:val="none" w:sz="0" w:space="0" w:color="auto"/>
      </w:divBdr>
    </w:div>
    <w:div w:id="789978444">
      <w:marLeft w:val="0"/>
      <w:marRight w:val="0"/>
      <w:marTop w:val="0"/>
      <w:marBottom w:val="0"/>
      <w:divBdr>
        <w:top w:val="none" w:sz="0" w:space="0" w:color="auto"/>
        <w:left w:val="none" w:sz="0" w:space="0" w:color="auto"/>
        <w:bottom w:val="none" w:sz="0" w:space="0" w:color="auto"/>
        <w:right w:val="none" w:sz="0" w:space="0" w:color="auto"/>
      </w:divBdr>
    </w:div>
    <w:div w:id="789978445">
      <w:marLeft w:val="0"/>
      <w:marRight w:val="0"/>
      <w:marTop w:val="0"/>
      <w:marBottom w:val="0"/>
      <w:divBdr>
        <w:top w:val="none" w:sz="0" w:space="0" w:color="auto"/>
        <w:left w:val="none" w:sz="0" w:space="0" w:color="auto"/>
        <w:bottom w:val="none" w:sz="0" w:space="0" w:color="auto"/>
        <w:right w:val="none" w:sz="0" w:space="0" w:color="auto"/>
      </w:divBdr>
    </w:div>
    <w:div w:id="789978446">
      <w:marLeft w:val="0"/>
      <w:marRight w:val="0"/>
      <w:marTop w:val="0"/>
      <w:marBottom w:val="0"/>
      <w:divBdr>
        <w:top w:val="none" w:sz="0" w:space="0" w:color="auto"/>
        <w:left w:val="none" w:sz="0" w:space="0" w:color="auto"/>
        <w:bottom w:val="none" w:sz="0" w:space="0" w:color="auto"/>
        <w:right w:val="none" w:sz="0" w:space="0" w:color="auto"/>
      </w:divBdr>
    </w:div>
    <w:div w:id="789978447">
      <w:marLeft w:val="0"/>
      <w:marRight w:val="0"/>
      <w:marTop w:val="0"/>
      <w:marBottom w:val="0"/>
      <w:divBdr>
        <w:top w:val="none" w:sz="0" w:space="0" w:color="auto"/>
        <w:left w:val="none" w:sz="0" w:space="0" w:color="auto"/>
        <w:bottom w:val="none" w:sz="0" w:space="0" w:color="auto"/>
        <w:right w:val="none" w:sz="0" w:space="0" w:color="auto"/>
      </w:divBdr>
    </w:div>
    <w:div w:id="789978448">
      <w:marLeft w:val="0"/>
      <w:marRight w:val="0"/>
      <w:marTop w:val="0"/>
      <w:marBottom w:val="0"/>
      <w:divBdr>
        <w:top w:val="none" w:sz="0" w:space="0" w:color="auto"/>
        <w:left w:val="none" w:sz="0" w:space="0" w:color="auto"/>
        <w:bottom w:val="none" w:sz="0" w:space="0" w:color="auto"/>
        <w:right w:val="none" w:sz="0" w:space="0" w:color="auto"/>
      </w:divBdr>
    </w:div>
    <w:div w:id="789978449">
      <w:marLeft w:val="0"/>
      <w:marRight w:val="0"/>
      <w:marTop w:val="0"/>
      <w:marBottom w:val="0"/>
      <w:divBdr>
        <w:top w:val="none" w:sz="0" w:space="0" w:color="auto"/>
        <w:left w:val="none" w:sz="0" w:space="0" w:color="auto"/>
        <w:bottom w:val="none" w:sz="0" w:space="0" w:color="auto"/>
        <w:right w:val="none" w:sz="0" w:space="0" w:color="auto"/>
      </w:divBdr>
    </w:div>
    <w:div w:id="789978450">
      <w:marLeft w:val="0"/>
      <w:marRight w:val="0"/>
      <w:marTop w:val="0"/>
      <w:marBottom w:val="0"/>
      <w:divBdr>
        <w:top w:val="none" w:sz="0" w:space="0" w:color="auto"/>
        <w:left w:val="none" w:sz="0" w:space="0" w:color="auto"/>
        <w:bottom w:val="none" w:sz="0" w:space="0" w:color="auto"/>
        <w:right w:val="none" w:sz="0" w:space="0" w:color="auto"/>
      </w:divBdr>
    </w:div>
    <w:div w:id="789978451">
      <w:marLeft w:val="0"/>
      <w:marRight w:val="0"/>
      <w:marTop w:val="0"/>
      <w:marBottom w:val="0"/>
      <w:divBdr>
        <w:top w:val="none" w:sz="0" w:space="0" w:color="auto"/>
        <w:left w:val="none" w:sz="0" w:space="0" w:color="auto"/>
        <w:bottom w:val="none" w:sz="0" w:space="0" w:color="auto"/>
        <w:right w:val="none" w:sz="0" w:space="0" w:color="auto"/>
      </w:divBdr>
    </w:div>
    <w:div w:id="789978452">
      <w:marLeft w:val="0"/>
      <w:marRight w:val="0"/>
      <w:marTop w:val="0"/>
      <w:marBottom w:val="0"/>
      <w:divBdr>
        <w:top w:val="none" w:sz="0" w:space="0" w:color="auto"/>
        <w:left w:val="none" w:sz="0" w:space="0" w:color="auto"/>
        <w:bottom w:val="none" w:sz="0" w:space="0" w:color="auto"/>
        <w:right w:val="none" w:sz="0" w:space="0" w:color="auto"/>
      </w:divBdr>
    </w:div>
    <w:div w:id="789978453">
      <w:marLeft w:val="0"/>
      <w:marRight w:val="0"/>
      <w:marTop w:val="0"/>
      <w:marBottom w:val="0"/>
      <w:divBdr>
        <w:top w:val="none" w:sz="0" w:space="0" w:color="auto"/>
        <w:left w:val="none" w:sz="0" w:space="0" w:color="auto"/>
        <w:bottom w:val="none" w:sz="0" w:space="0" w:color="auto"/>
        <w:right w:val="none" w:sz="0" w:space="0" w:color="auto"/>
      </w:divBdr>
    </w:div>
    <w:div w:id="789978454">
      <w:marLeft w:val="0"/>
      <w:marRight w:val="0"/>
      <w:marTop w:val="0"/>
      <w:marBottom w:val="0"/>
      <w:divBdr>
        <w:top w:val="none" w:sz="0" w:space="0" w:color="auto"/>
        <w:left w:val="none" w:sz="0" w:space="0" w:color="auto"/>
        <w:bottom w:val="none" w:sz="0" w:space="0" w:color="auto"/>
        <w:right w:val="none" w:sz="0" w:space="0" w:color="auto"/>
      </w:divBdr>
    </w:div>
    <w:div w:id="789978455">
      <w:marLeft w:val="0"/>
      <w:marRight w:val="0"/>
      <w:marTop w:val="0"/>
      <w:marBottom w:val="0"/>
      <w:divBdr>
        <w:top w:val="none" w:sz="0" w:space="0" w:color="auto"/>
        <w:left w:val="none" w:sz="0" w:space="0" w:color="auto"/>
        <w:bottom w:val="none" w:sz="0" w:space="0" w:color="auto"/>
        <w:right w:val="none" w:sz="0" w:space="0" w:color="auto"/>
      </w:divBdr>
    </w:div>
    <w:div w:id="789978456">
      <w:marLeft w:val="0"/>
      <w:marRight w:val="0"/>
      <w:marTop w:val="0"/>
      <w:marBottom w:val="0"/>
      <w:divBdr>
        <w:top w:val="none" w:sz="0" w:space="0" w:color="auto"/>
        <w:left w:val="none" w:sz="0" w:space="0" w:color="auto"/>
        <w:bottom w:val="none" w:sz="0" w:space="0" w:color="auto"/>
        <w:right w:val="none" w:sz="0" w:space="0" w:color="auto"/>
      </w:divBdr>
    </w:div>
    <w:div w:id="789978457">
      <w:marLeft w:val="0"/>
      <w:marRight w:val="0"/>
      <w:marTop w:val="0"/>
      <w:marBottom w:val="0"/>
      <w:divBdr>
        <w:top w:val="none" w:sz="0" w:space="0" w:color="auto"/>
        <w:left w:val="none" w:sz="0" w:space="0" w:color="auto"/>
        <w:bottom w:val="none" w:sz="0" w:space="0" w:color="auto"/>
        <w:right w:val="none" w:sz="0" w:space="0" w:color="auto"/>
      </w:divBdr>
    </w:div>
    <w:div w:id="789978458">
      <w:marLeft w:val="0"/>
      <w:marRight w:val="0"/>
      <w:marTop w:val="0"/>
      <w:marBottom w:val="0"/>
      <w:divBdr>
        <w:top w:val="none" w:sz="0" w:space="0" w:color="auto"/>
        <w:left w:val="none" w:sz="0" w:space="0" w:color="auto"/>
        <w:bottom w:val="none" w:sz="0" w:space="0" w:color="auto"/>
        <w:right w:val="none" w:sz="0" w:space="0" w:color="auto"/>
      </w:divBdr>
    </w:div>
    <w:div w:id="789978459">
      <w:marLeft w:val="0"/>
      <w:marRight w:val="0"/>
      <w:marTop w:val="0"/>
      <w:marBottom w:val="0"/>
      <w:divBdr>
        <w:top w:val="none" w:sz="0" w:space="0" w:color="auto"/>
        <w:left w:val="none" w:sz="0" w:space="0" w:color="auto"/>
        <w:bottom w:val="none" w:sz="0" w:space="0" w:color="auto"/>
        <w:right w:val="none" w:sz="0" w:space="0" w:color="auto"/>
      </w:divBdr>
    </w:div>
    <w:div w:id="789978460">
      <w:marLeft w:val="0"/>
      <w:marRight w:val="0"/>
      <w:marTop w:val="0"/>
      <w:marBottom w:val="0"/>
      <w:divBdr>
        <w:top w:val="none" w:sz="0" w:space="0" w:color="auto"/>
        <w:left w:val="none" w:sz="0" w:space="0" w:color="auto"/>
        <w:bottom w:val="none" w:sz="0" w:space="0" w:color="auto"/>
        <w:right w:val="none" w:sz="0" w:space="0" w:color="auto"/>
      </w:divBdr>
    </w:div>
    <w:div w:id="789978461">
      <w:marLeft w:val="0"/>
      <w:marRight w:val="0"/>
      <w:marTop w:val="0"/>
      <w:marBottom w:val="0"/>
      <w:divBdr>
        <w:top w:val="none" w:sz="0" w:space="0" w:color="auto"/>
        <w:left w:val="none" w:sz="0" w:space="0" w:color="auto"/>
        <w:bottom w:val="none" w:sz="0" w:space="0" w:color="auto"/>
        <w:right w:val="none" w:sz="0" w:space="0" w:color="auto"/>
      </w:divBdr>
    </w:div>
    <w:div w:id="789978462">
      <w:marLeft w:val="0"/>
      <w:marRight w:val="0"/>
      <w:marTop w:val="0"/>
      <w:marBottom w:val="0"/>
      <w:divBdr>
        <w:top w:val="none" w:sz="0" w:space="0" w:color="auto"/>
        <w:left w:val="none" w:sz="0" w:space="0" w:color="auto"/>
        <w:bottom w:val="none" w:sz="0" w:space="0" w:color="auto"/>
        <w:right w:val="none" w:sz="0" w:space="0" w:color="auto"/>
      </w:divBdr>
    </w:div>
    <w:div w:id="789978463">
      <w:marLeft w:val="0"/>
      <w:marRight w:val="0"/>
      <w:marTop w:val="0"/>
      <w:marBottom w:val="0"/>
      <w:divBdr>
        <w:top w:val="none" w:sz="0" w:space="0" w:color="auto"/>
        <w:left w:val="none" w:sz="0" w:space="0" w:color="auto"/>
        <w:bottom w:val="none" w:sz="0" w:space="0" w:color="auto"/>
        <w:right w:val="none" w:sz="0" w:space="0" w:color="auto"/>
      </w:divBdr>
    </w:div>
    <w:div w:id="789978464">
      <w:marLeft w:val="0"/>
      <w:marRight w:val="0"/>
      <w:marTop w:val="0"/>
      <w:marBottom w:val="0"/>
      <w:divBdr>
        <w:top w:val="none" w:sz="0" w:space="0" w:color="auto"/>
        <w:left w:val="none" w:sz="0" w:space="0" w:color="auto"/>
        <w:bottom w:val="none" w:sz="0" w:space="0" w:color="auto"/>
        <w:right w:val="none" w:sz="0" w:space="0" w:color="auto"/>
      </w:divBdr>
    </w:div>
    <w:div w:id="789978465">
      <w:marLeft w:val="0"/>
      <w:marRight w:val="0"/>
      <w:marTop w:val="0"/>
      <w:marBottom w:val="0"/>
      <w:divBdr>
        <w:top w:val="none" w:sz="0" w:space="0" w:color="auto"/>
        <w:left w:val="none" w:sz="0" w:space="0" w:color="auto"/>
        <w:bottom w:val="none" w:sz="0" w:space="0" w:color="auto"/>
        <w:right w:val="none" w:sz="0" w:space="0" w:color="auto"/>
      </w:divBdr>
    </w:div>
    <w:div w:id="789978466">
      <w:marLeft w:val="0"/>
      <w:marRight w:val="0"/>
      <w:marTop w:val="0"/>
      <w:marBottom w:val="0"/>
      <w:divBdr>
        <w:top w:val="none" w:sz="0" w:space="0" w:color="auto"/>
        <w:left w:val="none" w:sz="0" w:space="0" w:color="auto"/>
        <w:bottom w:val="none" w:sz="0" w:space="0" w:color="auto"/>
        <w:right w:val="none" w:sz="0" w:space="0" w:color="auto"/>
      </w:divBdr>
    </w:div>
    <w:div w:id="789978467">
      <w:marLeft w:val="0"/>
      <w:marRight w:val="0"/>
      <w:marTop w:val="0"/>
      <w:marBottom w:val="0"/>
      <w:divBdr>
        <w:top w:val="none" w:sz="0" w:space="0" w:color="auto"/>
        <w:left w:val="none" w:sz="0" w:space="0" w:color="auto"/>
        <w:bottom w:val="none" w:sz="0" w:space="0" w:color="auto"/>
        <w:right w:val="none" w:sz="0" w:space="0" w:color="auto"/>
      </w:divBdr>
    </w:div>
    <w:div w:id="793906992">
      <w:bodyDiv w:val="1"/>
      <w:marLeft w:val="0"/>
      <w:marRight w:val="0"/>
      <w:marTop w:val="0"/>
      <w:marBottom w:val="0"/>
      <w:divBdr>
        <w:top w:val="none" w:sz="0" w:space="0" w:color="auto"/>
        <w:left w:val="none" w:sz="0" w:space="0" w:color="auto"/>
        <w:bottom w:val="none" w:sz="0" w:space="0" w:color="auto"/>
        <w:right w:val="none" w:sz="0" w:space="0" w:color="auto"/>
      </w:divBdr>
    </w:div>
    <w:div w:id="795757659">
      <w:bodyDiv w:val="1"/>
      <w:marLeft w:val="0"/>
      <w:marRight w:val="0"/>
      <w:marTop w:val="0"/>
      <w:marBottom w:val="0"/>
      <w:divBdr>
        <w:top w:val="none" w:sz="0" w:space="0" w:color="auto"/>
        <w:left w:val="none" w:sz="0" w:space="0" w:color="auto"/>
        <w:bottom w:val="none" w:sz="0" w:space="0" w:color="auto"/>
        <w:right w:val="none" w:sz="0" w:space="0" w:color="auto"/>
      </w:divBdr>
    </w:div>
    <w:div w:id="814880752">
      <w:bodyDiv w:val="1"/>
      <w:marLeft w:val="0"/>
      <w:marRight w:val="0"/>
      <w:marTop w:val="0"/>
      <w:marBottom w:val="0"/>
      <w:divBdr>
        <w:top w:val="none" w:sz="0" w:space="0" w:color="auto"/>
        <w:left w:val="none" w:sz="0" w:space="0" w:color="auto"/>
        <w:bottom w:val="none" w:sz="0" w:space="0" w:color="auto"/>
        <w:right w:val="none" w:sz="0" w:space="0" w:color="auto"/>
      </w:divBdr>
    </w:div>
    <w:div w:id="816804025">
      <w:bodyDiv w:val="1"/>
      <w:marLeft w:val="0"/>
      <w:marRight w:val="0"/>
      <w:marTop w:val="0"/>
      <w:marBottom w:val="0"/>
      <w:divBdr>
        <w:top w:val="none" w:sz="0" w:space="0" w:color="auto"/>
        <w:left w:val="none" w:sz="0" w:space="0" w:color="auto"/>
        <w:bottom w:val="none" w:sz="0" w:space="0" w:color="auto"/>
        <w:right w:val="none" w:sz="0" w:space="0" w:color="auto"/>
      </w:divBdr>
    </w:div>
    <w:div w:id="841511630">
      <w:bodyDiv w:val="1"/>
      <w:marLeft w:val="0"/>
      <w:marRight w:val="0"/>
      <w:marTop w:val="0"/>
      <w:marBottom w:val="0"/>
      <w:divBdr>
        <w:top w:val="none" w:sz="0" w:space="0" w:color="auto"/>
        <w:left w:val="none" w:sz="0" w:space="0" w:color="auto"/>
        <w:bottom w:val="none" w:sz="0" w:space="0" w:color="auto"/>
        <w:right w:val="none" w:sz="0" w:space="0" w:color="auto"/>
      </w:divBdr>
    </w:div>
    <w:div w:id="860320878">
      <w:bodyDiv w:val="1"/>
      <w:marLeft w:val="0"/>
      <w:marRight w:val="0"/>
      <w:marTop w:val="0"/>
      <w:marBottom w:val="0"/>
      <w:divBdr>
        <w:top w:val="none" w:sz="0" w:space="0" w:color="auto"/>
        <w:left w:val="none" w:sz="0" w:space="0" w:color="auto"/>
        <w:bottom w:val="none" w:sz="0" w:space="0" w:color="auto"/>
        <w:right w:val="none" w:sz="0" w:space="0" w:color="auto"/>
      </w:divBdr>
    </w:div>
    <w:div w:id="863788067">
      <w:bodyDiv w:val="1"/>
      <w:marLeft w:val="0"/>
      <w:marRight w:val="0"/>
      <w:marTop w:val="0"/>
      <w:marBottom w:val="0"/>
      <w:divBdr>
        <w:top w:val="none" w:sz="0" w:space="0" w:color="auto"/>
        <w:left w:val="none" w:sz="0" w:space="0" w:color="auto"/>
        <w:bottom w:val="none" w:sz="0" w:space="0" w:color="auto"/>
        <w:right w:val="none" w:sz="0" w:space="0" w:color="auto"/>
      </w:divBdr>
    </w:div>
    <w:div w:id="905456798">
      <w:bodyDiv w:val="1"/>
      <w:marLeft w:val="0"/>
      <w:marRight w:val="0"/>
      <w:marTop w:val="0"/>
      <w:marBottom w:val="0"/>
      <w:divBdr>
        <w:top w:val="none" w:sz="0" w:space="0" w:color="auto"/>
        <w:left w:val="none" w:sz="0" w:space="0" w:color="auto"/>
        <w:bottom w:val="none" w:sz="0" w:space="0" w:color="auto"/>
        <w:right w:val="none" w:sz="0" w:space="0" w:color="auto"/>
      </w:divBdr>
    </w:div>
    <w:div w:id="928737212">
      <w:bodyDiv w:val="1"/>
      <w:marLeft w:val="0"/>
      <w:marRight w:val="0"/>
      <w:marTop w:val="0"/>
      <w:marBottom w:val="0"/>
      <w:divBdr>
        <w:top w:val="none" w:sz="0" w:space="0" w:color="auto"/>
        <w:left w:val="none" w:sz="0" w:space="0" w:color="auto"/>
        <w:bottom w:val="none" w:sz="0" w:space="0" w:color="auto"/>
        <w:right w:val="none" w:sz="0" w:space="0" w:color="auto"/>
      </w:divBdr>
    </w:div>
    <w:div w:id="936712378">
      <w:bodyDiv w:val="1"/>
      <w:marLeft w:val="0"/>
      <w:marRight w:val="0"/>
      <w:marTop w:val="0"/>
      <w:marBottom w:val="0"/>
      <w:divBdr>
        <w:top w:val="none" w:sz="0" w:space="0" w:color="auto"/>
        <w:left w:val="none" w:sz="0" w:space="0" w:color="auto"/>
        <w:bottom w:val="none" w:sz="0" w:space="0" w:color="auto"/>
        <w:right w:val="none" w:sz="0" w:space="0" w:color="auto"/>
      </w:divBdr>
    </w:div>
    <w:div w:id="950010919">
      <w:bodyDiv w:val="1"/>
      <w:marLeft w:val="0"/>
      <w:marRight w:val="0"/>
      <w:marTop w:val="0"/>
      <w:marBottom w:val="0"/>
      <w:divBdr>
        <w:top w:val="none" w:sz="0" w:space="0" w:color="auto"/>
        <w:left w:val="none" w:sz="0" w:space="0" w:color="auto"/>
        <w:bottom w:val="none" w:sz="0" w:space="0" w:color="auto"/>
        <w:right w:val="none" w:sz="0" w:space="0" w:color="auto"/>
      </w:divBdr>
    </w:div>
    <w:div w:id="954796405">
      <w:bodyDiv w:val="1"/>
      <w:marLeft w:val="0"/>
      <w:marRight w:val="0"/>
      <w:marTop w:val="0"/>
      <w:marBottom w:val="0"/>
      <w:divBdr>
        <w:top w:val="none" w:sz="0" w:space="0" w:color="auto"/>
        <w:left w:val="none" w:sz="0" w:space="0" w:color="auto"/>
        <w:bottom w:val="none" w:sz="0" w:space="0" w:color="auto"/>
        <w:right w:val="none" w:sz="0" w:space="0" w:color="auto"/>
      </w:divBdr>
    </w:div>
    <w:div w:id="975910780">
      <w:bodyDiv w:val="1"/>
      <w:marLeft w:val="0"/>
      <w:marRight w:val="0"/>
      <w:marTop w:val="0"/>
      <w:marBottom w:val="0"/>
      <w:divBdr>
        <w:top w:val="none" w:sz="0" w:space="0" w:color="auto"/>
        <w:left w:val="none" w:sz="0" w:space="0" w:color="auto"/>
        <w:bottom w:val="none" w:sz="0" w:space="0" w:color="auto"/>
        <w:right w:val="none" w:sz="0" w:space="0" w:color="auto"/>
      </w:divBdr>
    </w:div>
    <w:div w:id="980883531">
      <w:bodyDiv w:val="1"/>
      <w:marLeft w:val="0"/>
      <w:marRight w:val="0"/>
      <w:marTop w:val="0"/>
      <w:marBottom w:val="0"/>
      <w:divBdr>
        <w:top w:val="none" w:sz="0" w:space="0" w:color="auto"/>
        <w:left w:val="none" w:sz="0" w:space="0" w:color="auto"/>
        <w:bottom w:val="none" w:sz="0" w:space="0" w:color="auto"/>
        <w:right w:val="none" w:sz="0" w:space="0" w:color="auto"/>
      </w:divBdr>
    </w:div>
    <w:div w:id="989481145">
      <w:bodyDiv w:val="1"/>
      <w:marLeft w:val="0"/>
      <w:marRight w:val="0"/>
      <w:marTop w:val="0"/>
      <w:marBottom w:val="0"/>
      <w:divBdr>
        <w:top w:val="none" w:sz="0" w:space="0" w:color="auto"/>
        <w:left w:val="none" w:sz="0" w:space="0" w:color="auto"/>
        <w:bottom w:val="none" w:sz="0" w:space="0" w:color="auto"/>
        <w:right w:val="none" w:sz="0" w:space="0" w:color="auto"/>
      </w:divBdr>
    </w:div>
    <w:div w:id="1056049388">
      <w:bodyDiv w:val="1"/>
      <w:marLeft w:val="0"/>
      <w:marRight w:val="0"/>
      <w:marTop w:val="0"/>
      <w:marBottom w:val="0"/>
      <w:divBdr>
        <w:top w:val="none" w:sz="0" w:space="0" w:color="auto"/>
        <w:left w:val="none" w:sz="0" w:space="0" w:color="auto"/>
        <w:bottom w:val="none" w:sz="0" w:space="0" w:color="auto"/>
        <w:right w:val="none" w:sz="0" w:space="0" w:color="auto"/>
      </w:divBdr>
    </w:div>
    <w:div w:id="1056078106">
      <w:bodyDiv w:val="1"/>
      <w:marLeft w:val="0"/>
      <w:marRight w:val="0"/>
      <w:marTop w:val="0"/>
      <w:marBottom w:val="0"/>
      <w:divBdr>
        <w:top w:val="none" w:sz="0" w:space="0" w:color="auto"/>
        <w:left w:val="none" w:sz="0" w:space="0" w:color="auto"/>
        <w:bottom w:val="none" w:sz="0" w:space="0" w:color="auto"/>
        <w:right w:val="none" w:sz="0" w:space="0" w:color="auto"/>
      </w:divBdr>
    </w:div>
    <w:div w:id="1062564905">
      <w:bodyDiv w:val="1"/>
      <w:marLeft w:val="0"/>
      <w:marRight w:val="0"/>
      <w:marTop w:val="0"/>
      <w:marBottom w:val="0"/>
      <w:divBdr>
        <w:top w:val="none" w:sz="0" w:space="0" w:color="auto"/>
        <w:left w:val="none" w:sz="0" w:space="0" w:color="auto"/>
        <w:bottom w:val="none" w:sz="0" w:space="0" w:color="auto"/>
        <w:right w:val="none" w:sz="0" w:space="0" w:color="auto"/>
      </w:divBdr>
    </w:div>
    <w:div w:id="1158225750">
      <w:bodyDiv w:val="1"/>
      <w:marLeft w:val="0"/>
      <w:marRight w:val="0"/>
      <w:marTop w:val="0"/>
      <w:marBottom w:val="0"/>
      <w:divBdr>
        <w:top w:val="none" w:sz="0" w:space="0" w:color="auto"/>
        <w:left w:val="none" w:sz="0" w:space="0" w:color="auto"/>
        <w:bottom w:val="none" w:sz="0" w:space="0" w:color="auto"/>
        <w:right w:val="none" w:sz="0" w:space="0" w:color="auto"/>
      </w:divBdr>
    </w:div>
    <w:div w:id="1183520987">
      <w:bodyDiv w:val="1"/>
      <w:marLeft w:val="0"/>
      <w:marRight w:val="0"/>
      <w:marTop w:val="0"/>
      <w:marBottom w:val="0"/>
      <w:divBdr>
        <w:top w:val="none" w:sz="0" w:space="0" w:color="auto"/>
        <w:left w:val="none" w:sz="0" w:space="0" w:color="auto"/>
        <w:bottom w:val="none" w:sz="0" w:space="0" w:color="auto"/>
        <w:right w:val="none" w:sz="0" w:space="0" w:color="auto"/>
      </w:divBdr>
    </w:div>
    <w:div w:id="1193766728">
      <w:bodyDiv w:val="1"/>
      <w:marLeft w:val="0"/>
      <w:marRight w:val="0"/>
      <w:marTop w:val="0"/>
      <w:marBottom w:val="0"/>
      <w:divBdr>
        <w:top w:val="none" w:sz="0" w:space="0" w:color="auto"/>
        <w:left w:val="none" w:sz="0" w:space="0" w:color="auto"/>
        <w:bottom w:val="none" w:sz="0" w:space="0" w:color="auto"/>
        <w:right w:val="none" w:sz="0" w:space="0" w:color="auto"/>
      </w:divBdr>
    </w:div>
    <w:div w:id="1213075025">
      <w:bodyDiv w:val="1"/>
      <w:marLeft w:val="0"/>
      <w:marRight w:val="0"/>
      <w:marTop w:val="0"/>
      <w:marBottom w:val="0"/>
      <w:divBdr>
        <w:top w:val="none" w:sz="0" w:space="0" w:color="auto"/>
        <w:left w:val="none" w:sz="0" w:space="0" w:color="auto"/>
        <w:bottom w:val="none" w:sz="0" w:space="0" w:color="auto"/>
        <w:right w:val="none" w:sz="0" w:space="0" w:color="auto"/>
      </w:divBdr>
    </w:div>
    <w:div w:id="1223516784">
      <w:bodyDiv w:val="1"/>
      <w:marLeft w:val="0"/>
      <w:marRight w:val="0"/>
      <w:marTop w:val="0"/>
      <w:marBottom w:val="0"/>
      <w:divBdr>
        <w:top w:val="none" w:sz="0" w:space="0" w:color="auto"/>
        <w:left w:val="none" w:sz="0" w:space="0" w:color="auto"/>
        <w:bottom w:val="none" w:sz="0" w:space="0" w:color="auto"/>
        <w:right w:val="none" w:sz="0" w:space="0" w:color="auto"/>
      </w:divBdr>
    </w:div>
    <w:div w:id="1230384266">
      <w:bodyDiv w:val="1"/>
      <w:marLeft w:val="0"/>
      <w:marRight w:val="0"/>
      <w:marTop w:val="0"/>
      <w:marBottom w:val="0"/>
      <w:divBdr>
        <w:top w:val="none" w:sz="0" w:space="0" w:color="auto"/>
        <w:left w:val="none" w:sz="0" w:space="0" w:color="auto"/>
        <w:bottom w:val="none" w:sz="0" w:space="0" w:color="auto"/>
        <w:right w:val="none" w:sz="0" w:space="0" w:color="auto"/>
      </w:divBdr>
    </w:div>
    <w:div w:id="1233662563">
      <w:bodyDiv w:val="1"/>
      <w:marLeft w:val="0"/>
      <w:marRight w:val="0"/>
      <w:marTop w:val="0"/>
      <w:marBottom w:val="0"/>
      <w:divBdr>
        <w:top w:val="none" w:sz="0" w:space="0" w:color="auto"/>
        <w:left w:val="none" w:sz="0" w:space="0" w:color="auto"/>
        <w:bottom w:val="none" w:sz="0" w:space="0" w:color="auto"/>
        <w:right w:val="none" w:sz="0" w:space="0" w:color="auto"/>
      </w:divBdr>
    </w:div>
    <w:div w:id="1255699842">
      <w:bodyDiv w:val="1"/>
      <w:marLeft w:val="0"/>
      <w:marRight w:val="0"/>
      <w:marTop w:val="0"/>
      <w:marBottom w:val="0"/>
      <w:divBdr>
        <w:top w:val="none" w:sz="0" w:space="0" w:color="auto"/>
        <w:left w:val="none" w:sz="0" w:space="0" w:color="auto"/>
        <w:bottom w:val="none" w:sz="0" w:space="0" w:color="auto"/>
        <w:right w:val="none" w:sz="0" w:space="0" w:color="auto"/>
      </w:divBdr>
    </w:div>
    <w:div w:id="1259294597">
      <w:bodyDiv w:val="1"/>
      <w:marLeft w:val="0"/>
      <w:marRight w:val="0"/>
      <w:marTop w:val="0"/>
      <w:marBottom w:val="0"/>
      <w:divBdr>
        <w:top w:val="none" w:sz="0" w:space="0" w:color="auto"/>
        <w:left w:val="none" w:sz="0" w:space="0" w:color="auto"/>
        <w:bottom w:val="none" w:sz="0" w:space="0" w:color="auto"/>
        <w:right w:val="none" w:sz="0" w:space="0" w:color="auto"/>
      </w:divBdr>
    </w:div>
    <w:div w:id="1264651650">
      <w:bodyDiv w:val="1"/>
      <w:marLeft w:val="0"/>
      <w:marRight w:val="0"/>
      <w:marTop w:val="0"/>
      <w:marBottom w:val="0"/>
      <w:divBdr>
        <w:top w:val="none" w:sz="0" w:space="0" w:color="auto"/>
        <w:left w:val="none" w:sz="0" w:space="0" w:color="auto"/>
        <w:bottom w:val="none" w:sz="0" w:space="0" w:color="auto"/>
        <w:right w:val="none" w:sz="0" w:space="0" w:color="auto"/>
      </w:divBdr>
    </w:div>
    <w:div w:id="1331058562">
      <w:bodyDiv w:val="1"/>
      <w:marLeft w:val="0"/>
      <w:marRight w:val="0"/>
      <w:marTop w:val="0"/>
      <w:marBottom w:val="0"/>
      <w:divBdr>
        <w:top w:val="none" w:sz="0" w:space="0" w:color="auto"/>
        <w:left w:val="none" w:sz="0" w:space="0" w:color="auto"/>
        <w:bottom w:val="none" w:sz="0" w:space="0" w:color="auto"/>
        <w:right w:val="none" w:sz="0" w:space="0" w:color="auto"/>
      </w:divBdr>
    </w:div>
    <w:div w:id="1344865989">
      <w:bodyDiv w:val="1"/>
      <w:marLeft w:val="0"/>
      <w:marRight w:val="0"/>
      <w:marTop w:val="0"/>
      <w:marBottom w:val="0"/>
      <w:divBdr>
        <w:top w:val="none" w:sz="0" w:space="0" w:color="auto"/>
        <w:left w:val="none" w:sz="0" w:space="0" w:color="auto"/>
        <w:bottom w:val="none" w:sz="0" w:space="0" w:color="auto"/>
        <w:right w:val="none" w:sz="0" w:space="0" w:color="auto"/>
      </w:divBdr>
    </w:div>
    <w:div w:id="1377895670">
      <w:bodyDiv w:val="1"/>
      <w:marLeft w:val="0"/>
      <w:marRight w:val="0"/>
      <w:marTop w:val="0"/>
      <w:marBottom w:val="0"/>
      <w:divBdr>
        <w:top w:val="none" w:sz="0" w:space="0" w:color="auto"/>
        <w:left w:val="none" w:sz="0" w:space="0" w:color="auto"/>
        <w:bottom w:val="none" w:sz="0" w:space="0" w:color="auto"/>
        <w:right w:val="none" w:sz="0" w:space="0" w:color="auto"/>
      </w:divBdr>
    </w:div>
    <w:div w:id="1383098536">
      <w:bodyDiv w:val="1"/>
      <w:marLeft w:val="0"/>
      <w:marRight w:val="0"/>
      <w:marTop w:val="0"/>
      <w:marBottom w:val="0"/>
      <w:divBdr>
        <w:top w:val="none" w:sz="0" w:space="0" w:color="auto"/>
        <w:left w:val="none" w:sz="0" w:space="0" w:color="auto"/>
        <w:bottom w:val="none" w:sz="0" w:space="0" w:color="auto"/>
        <w:right w:val="none" w:sz="0" w:space="0" w:color="auto"/>
      </w:divBdr>
    </w:div>
    <w:div w:id="1386833560">
      <w:bodyDiv w:val="1"/>
      <w:marLeft w:val="0"/>
      <w:marRight w:val="0"/>
      <w:marTop w:val="0"/>
      <w:marBottom w:val="0"/>
      <w:divBdr>
        <w:top w:val="none" w:sz="0" w:space="0" w:color="auto"/>
        <w:left w:val="none" w:sz="0" w:space="0" w:color="auto"/>
        <w:bottom w:val="none" w:sz="0" w:space="0" w:color="auto"/>
        <w:right w:val="none" w:sz="0" w:space="0" w:color="auto"/>
      </w:divBdr>
    </w:div>
    <w:div w:id="1394743330">
      <w:bodyDiv w:val="1"/>
      <w:marLeft w:val="0"/>
      <w:marRight w:val="0"/>
      <w:marTop w:val="0"/>
      <w:marBottom w:val="0"/>
      <w:divBdr>
        <w:top w:val="none" w:sz="0" w:space="0" w:color="auto"/>
        <w:left w:val="none" w:sz="0" w:space="0" w:color="auto"/>
        <w:bottom w:val="none" w:sz="0" w:space="0" w:color="auto"/>
        <w:right w:val="none" w:sz="0" w:space="0" w:color="auto"/>
      </w:divBdr>
    </w:div>
    <w:div w:id="1398749045">
      <w:bodyDiv w:val="1"/>
      <w:marLeft w:val="0"/>
      <w:marRight w:val="0"/>
      <w:marTop w:val="0"/>
      <w:marBottom w:val="0"/>
      <w:divBdr>
        <w:top w:val="none" w:sz="0" w:space="0" w:color="auto"/>
        <w:left w:val="none" w:sz="0" w:space="0" w:color="auto"/>
        <w:bottom w:val="none" w:sz="0" w:space="0" w:color="auto"/>
        <w:right w:val="none" w:sz="0" w:space="0" w:color="auto"/>
      </w:divBdr>
    </w:div>
    <w:div w:id="1441340290">
      <w:bodyDiv w:val="1"/>
      <w:marLeft w:val="0"/>
      <w:marRight w:val="0"/>
      <w:marTop w:val="0"/>
      <w:marBottom w:val="0"/>
      <w:divBdr>
        <w:top w:val="none" w:sz="0" w:space="0" w:color="auto"/>
        <w:left w:val="none" w:sz="0" w:space="0" w:color="auto"/>
        <w:bottom w:val="none" w:sz="0" w:space="0" w:color="auto"/>
        <w:right w:val="none" w:sz="0" w:space="0" w:color="auto"/>
      </w:divBdr>
    </w:div>
    <w:div w:id="1452359703">
      <w:bodyDiv w:val="1"/>
      <w:marLeft w:val="0"/>
      <w:marRight w:val="0"/>
      <w:marTop w:val="0"/>
      <w:marBottom w:val="0"/>
      <w:divBdr>
        <w:top w:val="none" w:sz="0" w:space="0" w:color="auto"/>
        <w:left w:val="none" w:sz="0" w:space="0" w:color="auto"/>
        <w:bottom w:val="none" w:sz="0" w:space="0" w:color="auto"/>
        <w:right w:val="none" w:sz="0" w:space="0" w:color="auto"/>
      </w:divBdr>
    </w:div>
    <w:div w:id="1461997288">
      <w:bodyDiv w:val="1"/>
      <w:marLeft w:val="0"/>
      <w:marRight w:val="0"/>
      <w:marTop w:val="0"/>
      <w:marBottom w:val="0"/>
      <w:divBdr>
        <w:top w:val="none" w:sz="0" w:space="0" w:color="auto"/>
        <w:left w:val="none" w:sz="0" w:space="0" w:color="auto"/>
        <w:bottom w:val="none" w:sz="0" w:space="0" w:color="auto"/>
        <w:right w:val="none" w:sz="0" w:space="0" w:color="auto"/>
      </w:divBdr>
    </w:div>
    <w:div w:id="1479565532">
      <w:bodyDiv w:val="1"/>
      <w:marLeft w:val="0"/>
      <w:marRight w:val="0"/>
      <w:marTop w:val="0"/>
      <w:marBottom w:val="0"/>
      <w:divBdr>
        <w:top w:val="none" w:sz="0" w:space="0" w:color="auto"/>
        <w:left w:val="none" w:sz="0" w:space="0" w:color="auto"/>
        <w:bottom w:val="none" w:sz="0" w:space="0" w:color="auto"/>
        <w:right w:val="none" w:sz="0" w:space="0" w:color="auto"/>
      </w:divBdr>
    </w:div>
    <w:div w:id="1495025756">
      <w:bodyDiv w:val="1"/>
      <w:marLeft w:val="0"/>
      <w:marRight w:val="0"/>
      <w:marTop w:val="0"/>
      <w:marBottom w:val="0"/>
      <w:divBdr>
        <w:top w:val="none" w:sz="0" w:space="0" w:color="auto"/>
        <w:left w:val="none" w:sz="0" w:space="0" w:color="auto"/>
        <w:bottom w:val="none" w:sz="0" w:space="0" w:color="auto"/>
        <w:right w:val="none" w:sz="0" w:space="0" w:color="auto"/>
      </w:divBdr>
    </w:div>
    <w:div w:id="1514107287">
      <w:bodyDiv w:val="1"/>
      <w:marLeft w:val="0"/>
      <w:marRight w:val="0"/>
      <w:marTop w:val="0"/>
      <w:marBottom w:val="0"/>
      <w:divBdr>
        <w:top w:val="none" w:sz="0" w:space="0" w:color="auto"/>
        <w:left w:val="none" w:sz="0" w:space="0" w:color="auto"/>
        <w:bottom w:val="none" w:sz="0" w:space="0" w:color="auto"/>
        <w:right w:val="none" w:sz="0" w:space="0" w:color="auto"/>
      </w:divBdr>
    </w:div>
    <w:div w:id="1520392994">
      <w:bodyDiv w:val="1"/>
      <w:marLeft w:val="0"/>
      <w:marRight w:val="0"/>
      <w:marTop w:val="0"/>
      <w:marBottom w:val="0"/>
      <w:divBdr>
        <w:top w:val="none" w:sz="0" w:space="0" w:color="auto"/>
        <w:left w:val="none" w:sz="0" w:space="0" w:color="auto"/>
        <w:bottom w:val="none" w:sz="0" w:space="0" w:color="auto"/>
        <w:right w:val="none" w:sz="0" w:space="0" w:color="auto"/>
      </w:divBdr>
    </w:div>
    <w:div w:id="1542859679">
      <w:bodyDiv w:val="1"/>
      <w:marLeft w:val="0"/>
      <w:marRight w:val="0"/>
      <w:marTop w:val="0"/>
      <w:marBottom w:val="0"/>
      <w:divBdr>
        <w:top w:val="none" w:sz="0" w:space="0" w:color="auto"/>
        <w:left w:val="none" w:sz="0" w:space="0" w:color="auto"/>
        <w:bottom w:val="none" w:sz="0" w:space="0" w:color="auto"/>
        <w:right w:val="none" w:sz="0" w:space="0" w:color="auto"/>
      </w:divBdr>
    </w:div>
    <w:div w:id="1556551405">
      <w:bodyDiv w:val="1"/>
      <w:marLeft w:val="0"/>
      <w:marRight w:val="0"/>
      <w:marTop w:val="0"/>
      <w:marBottom w:val="0"/>
      <w:divBdr>
        <w:top w:val="none" w:sz="0" w:space="0" w:color="auto"/>
        <w:left w:val="none" w:sz="0" w:space="0" w:color="auto"/>
        <w:bottom w:val="none" w:sz="0" w:space="0" w:color="auto"/>
        <w:right w:val="none" w:sz="0" w:space="0" w:color="auto"/>
      </w:divBdr>
    </w:div>
    <w:div w:id="1556771593">
      <w:bodyDiv w:val="1"/>
      <w:marLeft w:val="0"/>
      <w:marRight w:val="0"/>
      <w:marTop w:val="0"/>
      <w:marBottom w:val="0"/>
      <w:divBdr>
        <w:top w:val="none" w:sz="0" w:space="0" w:color="auto"/>
        <w:left w:val="none" w:sz="0" w:space="0" w:color="auto"/>
        <w:bottom w:val="none" w:sz="0" w:space="0" w:color="auto"/>
        <w:right w:val="none" w:sz="0" w:space="0" w:color="auto"/>
      </w:divBdr>
    </w:div>
    <w:div w:id="1557469869">
      <w:bodyDiv w:val="1"/>
      <w:marLeft w:val="0"/>
      <w:marRight w:val="0"/>
      <w:marTop w:val="0"/>
      <w:marBottom w:val="0"/>
      <w:divBdr>
        <w:top w:val="none" w:sz="0" w:space="0" w:color="auto"/>
        <w:left w:val="none" w:sz="0" w:space="0" w:color="auto"/>
        <w:bottom w:val="none" w:sz="0" w:space="0" w:color="auto"/>
        <w:right w:val="none" w:sz="0" w:space="0" w:color="auto"/>
      </w:divBdr>
    </w:div>
    <w:div w:id="1566377109">
      <w:bodyDiv w:val="1"/>
      <w:marLeft w:val="0"/>
      <w:marRight w:val="0"/>
      <w:marTop w:val="0"/>
      <w:marBottom w:val="0"/>
      <w:divBdr>
        <w:top w:val="none" w:sz="0" w:space="0" w:color="auto"/>
        <w:left w:val="none" w:sz="0" w:space="0" w:color="auto"/>
        <w:bottom w:val="none" w:sz="0" w:space="0" w:color="auto"/>
        <w:right w:val="none" w:sz="0" w:space="0" w:color="auto"/>
      </w:divBdr>
    </w:div>
    <w:div w:id="1581212622">
      <w:bodyDiv w:val="1"/>
      <w:marLeft w:val="0"/>
      <w:marRight w:val="0"/>
      <w:marTop w:val="0"/>
      <w:marBottom w:val="0"/>
      <w:divBdr>
        <w:top w:val="none" w:sz="0" w:space="0" w:color="auto"/>
        <w:left w:val="none" w:sz="0" w:space="0" w:color="auto"/>
        <w:bottom w:val="none" w:sz="0" w:space="0" w:color="auto"/>
        <w:right w:val="none" w:sz="0" w:space="0" w:color="auto"/>
      </w:divBdr>
    </w:div>
    <w:div w:id="1587692668">
      <w:bodyDiv w:val="1"/>
      <w:marLeft w:val="0"/>
      <w:marRight w:val="0"/>
      <w:marTop w:val="0"/>
      <w:marBottom w:val="0"/>
      <w:divBdr>
        <w:top w:val="none" w:sz="0" w:space="0" w:color="auto"/>
        <w:left w:val="none" w:sz="0" w:space="0" w:color="auto"/>
        <w:bottom w:val="none" w:sz="0" w:space="0" w:color="auto"/>
        <w:right w:val="none" w:sz="0" w:space="0" w:color="auto"/>
      </w:divBdr>
    </w:div>
    <w:div w:id="1592621503">
      <w:bodyDiv w:val="1"/>
      <w:marLeft w:val="0"/>
      <w:marRight w:val="0"/>
      <w:marTop w:val="0"/>
      <w:marBottom w:val="0"/>
      <w:divBdr>
        <w:top w:val="none" w:sz="0" w:space="0" w:color="auto"/>
        <w:left w:val="none" w:sz="0" w:space="0" w:color="auto"/>
        <w:bottom w:val="none" w:sz="0" w:space="0" w:color="auto"/>
        <w:right w:val="none" w:sz="0" w:space="0" w:color="auto"/>
      </w:divBdr>
    </w:div>
    <w:div w:id="1614052666">
      <w:bodyDiv w:val="1"/>
      <w:marLeft w:val="0"/>
      <w:marRight w:val="0"/>
      <w:marTop w:val="0"/>
      <w:marBottom w:val="0"/>
      <w:divBdr>
        <w:top w:val="none" w:sz="0" w:space="0" w:color="auto"/>
        <w:left w:val="none" w:sz="0" w:space="0" w:color="auto"/>
        <w:bottom w:val="none" w:sz="0" w:space="0" w:color="auto"/>
        <w:right w:val="none" w:sz="0" w:space="0" w:color="auto"/>
      </w:divBdr>
    </w:div>
    <w:div w:id="1622348086">
      <w:bodyDiv w:val="1"/>
      <w:marLeft w:val="0"/>
      <w:marRight w:val="0"/>
      <w:marTop w:val="0"/>
      <w:marBottom w:val="0"/>
      <w:divBdr>
        <w:top w:val="none" w:sz="0" w:space="0" w:color="auto"/>
        <w:left w:val="none" w:sz="0" w:space="0" w:color="auto"/>
        <w:bottom w:val="none" w:sz="0" w:space="0" w:color="auto"/>
        <w:right w:val="none" w:sz="0" w:space="0" w:color="auto"/>
      </w:divBdr>
    </w:div>
    <w:div w:id="1673333997">
      <w:bodyDiv w:val="1"/>
      <w:marLeft w:val="0"/>
      <w:marRight w:val="0"/>
      <w:marTop w:val="0"/>
      <w:marBottom w:val="0"/>
      <w:divBdr>
        <w:top w:val="none" w:sz="0" w:space="0" w:color="auto"/>
        <w:left w:val="none" w:sz="0" w:space="0" w:color="auto"/>
        <w:bottom w:val="none" w:sz="0" w:space="0" w:color="auto"/>
        <w:right w:val="none" w:sz="0" w:space="0" w:color="auto"/>
      </w:divBdr>
    </w:div>
    <w:div w:id="1686714692">
      <w:bodyDiv w:val="1"/>
      <w:marLeft w:val="0"/>
      <w:marRight w:val="0"/>
      <w:marTop w:val="0"/>
      <w:marBottom w:val="0"/>
      <w:divBdr>
        <w:top w:val="none" w:sz="0" w:space="0" w:color="auto"/>
        <w:left w:val="none" w:sz="0" w:space="0" w:color="auto"/>
        <w:bottom w:val="none" w:sz="0" w:space="0" w:color="auto"/>
        <w:right w:val="none" w:sz="0" w:space="0" w:color="auto"/>
      </w:divBdr>
    </w:div>
    <w:div w:id="1694845000">
      <w:bodyDiv w:val="1"/>
      <w:marLeft w:val="0"/>
      <w:marRight w:val="0"/>
      <w:marTop w:val="0"/>
      <w:marBottom w:val="0"/>
      <w:divBdr>
        <w:top w:val="none" w:sz="0" w:space="0" w:color="auto"/>
        <w:left w:val="none" w:sz="0" w:space="0" w:color="auto"/>
        <w:bottom w:val="none" w:sz="0" w:space="0" w:color="auto"/>
        <w:right w:val="none" w:sz="0" w:space="0" w:color="auto"/>
      </w:divBdr>
    </w:div>
    <w:div w:id="1724135975">
      <w:bodyDiv w:val="1"/>
      <w:marLeft w:val="0"/>
      <w:marRight w:val="0"/>
      <w:marTop w:val="0"/>
      <w:marBottom w:val="0"/>
      <w:divBdr>
        <w:top w:val="none" w:sz="0" w:space="0" w:color="auto"/>
        <w:left w:val="none" w:sz="0" w:space="0" w:color="auto"/>
        <w:bottom w:val="none" w:sz="0" w:space="0" w:color="auto"/>
        <w:right w:val="none" w:sz="0" w:space="0" w:color="auto"/>
      </w:divBdr>
    </w:div>
    <w:div w:id="1732993946">
      <w:bodyDiv w:val="1"/>
      <w:marLeft w:val="0"/>
      <w:marRight w:val="0"/>
      <w:marTop w:val="0"/>
      <w:marBottom w:val="0"/>
      <w:divBdr>
        <w:top w:val="none" w:sz="0" w:space="0" w:color="auto"/>
        <w:left w:val="none" w:sz="0" w:space="0" w:color="auto"/>
        <w:bottom w:val="none" w:sz="0" w:space="0" w:color="auto"/>
        <w:right w:val="none" w:sz="0" w:space="0" w:color="auto"/>
      </w:divBdr>
    </w:div>
    <w:div w:id="1763067765">
      <w:bodyDiv w:val="1"/>
      <w:marLeft w:val="0"/>
      <w:marRight w:val="0"/>
      <w:marTop w:val="0"/>
      <w:marBottom w:val="0"/>
      <w:divBdr>
        <w:top w:val="none" w:sz="0" w:space="0" w:color="auto"/>
        <w:left w:val="none" w:sz="0" w:space="0" w:color="auto"/>
        <w:bottom w:val="none" w:sz="0" w:space="0" w:color="auto"/>
        <w:right w:val="none" w:sz="0" w:space="0" w:color="auto"/>
      </w:divBdr>
    </w:div>
    <w:div w:id="1779442476">
      <w:bodyDiv w:val="1"/>
      <w:marLeft w:val="0"/>
      <w:marRight w:val="0"/>
      <w:marTop w:val="0"/>
      <w:marBottom w:val="0"/>
      <w:divBdr>
        <w:top w:val="none" w:sz="0" w:space="0" w:color="auto"/>
        <w:left w:val="none" w:sz="0" w:space="0" w:color="auto"/>
        <w:bottom w:val="none" w:sz="0" w:space="0" w:color="auto"/>
        <w:right w:val="none" w:sz="0" w:space="0" w:color="auto"/>
      </w:divBdr>
    </w:div>
    <w:div w:id="1781560111">
      <w:bodyDiv w:val="1"/>
      <w:marLeft w:val="0"/>
      <w:marRight w:val="0"/>
      <w:marTop w:val="0"/>
      <w:marBottom w:val="0"/>
      <w:divBdr>
        <w:top w:val="none" w:sz="0" w:space="0" w:color="auto"/>
        <w:left w:val="none" w:sz="0" w:space="0" w:color="auto"/>
        <w:bottom w:val="none" w:sz="0" w:space="0" w:color="auto"/>
        <w:right w:val="none" w:sz="0" w:space="0" w:color="auto"/>
      </w:divBdr>
    </w:div>
    <w:div w:id="1846632407">
      <w:bodyDiv w:val="1"/>
      <w:marLeft w:val="0"/>
      <w:marRight w:val="0"/>
      <w:marTop w:val="0"/>
      <w:marBottom w:val="0"/>
      <w:divBdr>
        <w:top w:val="none" w:sz="0" w:space="0" w:color="auto"/>
        <w:left w:val="none" w:sz="0" w:space="0" w:color="auto"/>
        <w:bottom w:val="none" w:sz="0" w:space="0" w:color="auto"/>
        <w:right w:val="none" w:sz="0" w:space="0" w:color="auto"/>
      </w:divBdr>
    </w:div>
    <w:div w:id="1886720462">
      <w:bodyDiv w:val="1"/>
      <w:marLeft w:val="0"/>
      <w:marRight w:val="0"/>
      <w:marTop w:val="0"/>
      <w:marBottom w:val="0"/>
      <w:divBdr>
        <w:top w:val="none" w:sz="0" w:space="0" w:color="auto"/>
        <w:left w:val="none" w:sz="0" w:space="0" w:color="auto"/>
        <w:bottom w:val="none" w:sz="0" w:space="0" w:color="auto"/>
        <w:right w:val="none" w:sz="0" w:space="0" w:color="auto"/>
      </w:divBdr>
    </w:div>
    <w:div w:id="1887524226">
      <w:bodyDiv w:val="1"/>
      <w:marLeft w:val="0"/>
      <w:marRight w:val="0"/>
      <w:marTop w:val="0"/>
      <w:marBottom w:val="0"/>
      <w:divBdr>
        <w:top w:val="none" w:sz="0" w:space="0" w:color="auto"/>
        <w:left w:val="none" w:sz="0" w:space="0" w:color="auto"/>
        <w:bottom w:val="none" w:sz="0" w:space="0" w:color="auto"/>
        <w:right w:val="none" w:sz="0" w:space="0" w:color="auto"/>
      </w:divBdr>
    </w:div>
    <w:div w:id="1893539418">
      <w:bodyDiv w:val="1"/>
      <w:marLeft w:val="0"/>
      <w:marRight w:val="0"/>
      <w:marTop w:val="0"/>
      <w:marBottom w:val="0"/>
      <w:divBdr>
        <w:top w:val="none" w:sz="0" w:space="0" w:color="auto"/>
        <w:left w:val="none" w:sz="0" w:space="0" w:color="auto"/>
        <w:bottom w:val="none" w:sz="0" w:space="0" w:color="auto"/>
        <w:right w:val="none" w:sz="0" w:space="0" w:color="auto"/>
      </w:divBdr>
    </w:div>
    <w:div w:id="1916237994">
      <w:bodyDiv w:val="1"/>
      <w:marLeft w:val="0"/>
      <w:marRight w:val="0"/>
      <w:marTop w:val="0"/>
      <w:marBottom w:val="0"/>
      <w:divBdr>
        <w:top w:val="none" w:sz="0" w:space="0" w:color="auto"/>
        <w:left w:val="none" w:sz="0" w:space="0" w:color="auto"/>
        <w:bottom w:val="none" w:sz="0" w:space="0" w:color="auto"/>
        <w:right w:val="none" w:sz="0" w:space="0" w:color="auto"/>
      </w:divBdr>
    </w:div>
    <w:div w:id="1918854835">
      <w:bodyDiv w:val="1"/>
      <w:marLeft w:val="0"/>
      <w:marRight w:val="0"/>
      <w:marTop w:val="0"/>
      <w:marBottom w:val="0"/>
      <w:divBdr>
        <w:top w:val="none" w:sz="0" w:space="0" w:color="auto"/>
        <w:left w:val="none" w:sz="0" w:space="0" w:color="auto"/>
        <w:bottom w:val="none" w:sz="0" w:space="0" w:color="auto"/>
        <w:right w:val="none" w:sz="0" w:space="0" w:color="auto"/>
      </w:divBdr>
    </w:div>
    <w:div w:id="1933514611">
      <w:bodyDiv w:val="1"/>
      <w:marLeft w:val="0"/>
      <w:marRight w:val="0"/>
      <w:marTop w:val="0"/>
      <w:marBottom w:val="0"/>
      <w:divBdr>
        <w:top w:val="none" w:sz="0" w:space="0" w:color="auto"/>
        <w:left w:val="none" w:sz="0" w:space="0" w:color="auto"/>
        <w:bottom w:val="none" w:sz="0" w:space="0" w:color="auto"/>
        <w:right w:val="none" w:sz="0" w:space="0" w:color="auto"/>
      </w:divBdr>
    </w:div>
    <w:div w:id="1957561391">
      <w:bodyDiv w:val="1"/>
      <w:marLeft w:val="0"/>
      <w:marRight w:val="0"/>
      <w:marTop w:val="0"/>
      <w:marBottom w:val="0"/>
      <w:divBdr>
        <w:top w:val="none" w:sz="0" w:space="0" w:color="auto"/>
        <w:left w:val="none" w:sz="0" w:space="0" w:color="auto"/>
        <w:bottom w:val="none" w:sz="0" w:space="0" w:color="auto"/>
        <w:right w:val="none" w:sz="0" w:space="0" w:color="auto"/>
      </w:divBdr>
    </w:div>
    <w:div w:id="1982880334">
      <w:bodyDiv w:val="1"/>
      <w:marLeft w:val="0"/>
      <w:marRight w:val="0"/>
      <w:marTop w:val="0"/>
      <w:marBottom w:val="0"/>
      <w:divBdr>
        <w:top w:val="none" w:sz="0" w:space="0" w:color="auto"/>
        <w:left w:val="none" w:sz="0" w:space="0" w:color="auto"/>
        <w:bottom w:val="none" w:sz="0" w:space="0" w:color="auto"/>
        <w:right w:val="none" w:sz="0" w:space="0" w:color="auto"/>
      </w:divBdr>
    </w:div>
    <w:div w:id="1984846649">
      <w:bodyDiv w:val="1"/>
      <w:marLeft w:val="0"/>
      <w:marRight w:val="0"/>
      <w:marTop w:val="0"/>
      <w:marBottom w:val="0"/>
      <w:divBdr>
        <w:top w:val="none" w:sz="0" w:space="0" w:color="auto"/>
        <w:left w:val="none" w:sz="0" w:space="0" w:color="auto"/>
        <w:bottom w:val="none" w:sz="0" w:space="0" w:color="auto"/>
        <w:right w:val="none" w:sz="0" w:space="0" w:color="auto"/>
      </w:divBdr>
    </w:div>
    <w:div w:id="2040888814">
      <w:bodyDiv w:val="1"/>
      <w:marLeft w:val="0"/>
      <w:marRight w:val="0"/>
      <w:marTop w:val="0"/>
      <w:marBottom w:val="0"/>
      <w:divBdr>
        <w:top w:val="none" w:sz="0" w:space="0" w:color="auto"/>
        <w:left w:val="none" w:sz="0" w:space="0" w:color="auto"/>
        <w:bottom w:val="none" w:sz="0" w:space="0" w:color="auto"/>
        <w:right w:val="none" w:sz="0" w:space="0" w:color="auto"/>
      </w:divBdr>
    </w:div>
    <w:div w:id="2063209383">
      <w:bodyDiv w:val="1"/>
      <w:marLeft w:val="0"/>
      <w:marRight w:val="0"/>
      <w:marTop w:val="0"/>
      <w:marBottom w:val="0"/>
      <w:divBdr>
        <w:top w:val="none" w:sz="0" w:space="0" w:color="auto"/>
        <w:left w:val="none" w:sz="0" w:space="0" w:color="auto"/>
        <w:bottom w:val="none" w:sz="0" w:space="0" w:color="auto"/>
        <w:right w:val="none" w:sz="0" w:space="0" w:color="auto"/>
      </w:divBdr>
    </w:div>
    <w:div w:id="2068020546">
      <w:bodyDiv w:val="1"/>
      <w:marLeft w:val="0"/>
      <w:marRight w:val="0"/>
      <w:marTop w:val="0"/>
      <w:marBottom w:val="0"/>
      <w:divBdr>
        <w:top w:val="none" w:sz="0" w:space="0" w:color="auto"/>
        <w:left w:val="none" w:sz="0" w:space="0" w:color="auto"/>
        <w:bottom w:val="none" w:sz="0" w:space="0" w:color="auto"/>
        <w:right w:val="none" w:sz="0" w:space="0" w:color="auto"/>
      </w:divBdr>
    </w:div>
    <w:div w:id="2068140086">
      <w:bodyDiv w:val="1"/>
      <w:marLeft w:val="0"/>
      <w:marRight w:val="0"/>
      <w:marTop w:val="0"/>
      <w:marBottom w:val="0"/>
      <w:divBdr>
        <w:top w:val="none" w:sz="0" w:space="0" w:color="auto"/>
        <w:left w:val="none" w:sz="0" w:space="0" w:color="auto"/>
        <w:bottom w:val="none" w:sz="0" w:space="0" w:color="auto"/>
        <w:right w:val="none" w:sz="0" w:space="0" w:color="auto"/>
      </w:divBdr>
    </w:div>
    <w:div w:id="2079593509">
      <w:bodyDiv w:val="1"/>
      <w:marLeft w:val="0"/>
      <w:marRight w:val="0"/>
      <w:marTop w:val="0"/>
      <w:marBottom w:val="0"/>
      <w:divBdr>
        <w:top w:val="none" w:sz="0" w:space="0" w:color="auto"/>
        <w:left w:val="none" w:sz="0" w:space="0" w:color="auto"/>
        <w:bottom w:val="none" w:sz="0" w:space="0" w:color="auto"/>
        <w:right w:val="none" w:sz="0" w:space="0" w:color="auto"/>
      </w:divBdr>
    </w:div>
    <w:div w:id="2121487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9" Type="http://schemas.openxmlformats.org/officeDocument/2006/relationships/hyperlink" Target="https://eur-lex.europa.eu/legal-content/IT/TXT/?uri=CELEX:32020R1148" TargetMode="External"/><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header" Target="header5.xml"/><Relationship Id="rId42" Type="http://schemas.openxmlformats.org/officeDocument/2006/relationships/image" Target="media/image22.png"/><Relationship Id="rId47" Type="http://schemas.openxmlformats.org/officeDocument/2006/relationships/hyperlink" Target="http://seriestoriche.istat.it/" TargetMode="External"/><Relationship Id="rId50" Type="http://schemas.openxmlformats.org/officeDocument/2006/relationships/hyperlink" Target="mailto:rosabel.ricci@istat.it" TargetMode="External"/><Relationship Id="rId7"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33" Type="http://schemas.openxmlformats.org/officeDocument/2006/relationships/image" Target="media/image20.png"/><Relationship Id="rId38" Type="http://schemas.openxmlformats.org/officeDocument/2006/relationships/hyperlink" Target="http://eur-lex.europa.eu/legal-content/IT/TXT/?uri=CELEX%3A32016R0792" TargetMode="External"/><Relationship Id="rId46" Type="http://schemas.openxmlformats.org/officeDocument/2006/relationships/hyperlink" Target="http://dati-congiuntura.istat.it/"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41" Type="http://schemas.openxmlformats.org/officeDocument/2006/relationships/hyperlink" Target="http://www.istat.it/it/congiuntura/revisio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stat.it/it/congiuntura"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yperlink" Target="https://www.istat.it/it/files/2011/04/dlgs322.pdf" TargetMode="External"/><Relationship Id="rId45" Type="http://schemas.openxmlformats.org/officeDocument/2006/relationships/hyperlink" Target="http://dati.istat.it"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6.png"/><Relationship Id="rId23" Type="http://schemas.openxmlformats.org/officeDocument/2006/relationships/hyperlink" Target="http://www.istat.it/it/congiuntura" TargetMode="External"/><Relationship Id="rId28" Type="http://schemas.openxmlformats.org/officeDocument/2006/relationships/image" Target="media/image16.png"/><Relationship Id="rId36" Type="http://schemas.openxmlformats.org/officeDocument/2006/relationships/hyperlink" Target="http://ec.europa.eu/eurostat/ramon/nomenclatures/index.cfm?TargetUrl=DSP_GEN_DESC_VIEW_NOHDR&amp;StrNom=COICOP_5&amp;StrLanguageCode=EN" TargetMode="External"/><Relationship Id="rId49"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image" Target="media/image10.png"/><Relationship Id="rId31" Type="http://schemas.openxmlformats.org/officeDocument/2006/relationships/footer" Target="footer1.xml"/><Relationship Id="rId44" Type="http://schemas.openxmlformats.org/officeDocument/2006/relationships/hyperlink" Target="https://www.istat.it/it/archivio/prezzi+al+consumo"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5.png"/><Relationship Id="rId22" Type="http://schemas.openxmlformats.org/officeDocument/2006/relationships/hyperlink" Target="http://dati.istat.it/" TargetMode="External"/><Relationship Id="rId27" Type="http://schemas.openxmlformats.org/officeDocument/2006/relationships/image" Target="media/image15.png"/><Relationship Id="rId30" Type="http://schemas.openxmlformats.org/officeDocument/2006/relationships/header" Target="header3.xml"/><Relationship Id="rId35" Type="http://schemas.openxmlformats.org/officeDocument/2006/relationships/footer" Target="footer2.xml"/><Relationship Id="rId43" Type="http://schemas.openxmlformats.org/officeDocument/2006/relationships/hyperlink" Target="https://www.istat.it/it/informazioni-e-servizi/per-i-giornalisti/appuntamenti/calendario-diffusioni-ed-eventi" TargetMode="External"/><Relationship Id="rId48" Type="http://schemas.openxmlformats.org/officeDocument/2006/relationships/hyperlink" Target="http://ec.europa.eu/eurostat/data/database%20" TargetMode="External"/><Relationship Id="rId8" Type="http://schemas.openxmlformats.org/officeDocument/2006/relationships/settings" Target="settings.xml"/><Relationship Id="rId51" Type="http://schemas.openxmlformats.org/officeDocument/2006/relationships/hyperlink" Target="mailto:muratore@istat.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8.jpeg"/></Relationships>
</file>

<file path=word/_rels/footer2.xml.rels><?xml version="1.0" encoding="UTF-8" standalone="yes"?>
<Relationships xmlns="http://schemas.openxmlformats.org/package/2006/relationships"><Relationship Id="rId1" Type="http://schemas.openxmlformats.org/officeDocument/2006/relationships/image" Target="media/image18.jpeg"/></Relationships>
</file>

<file path=word/_rels/footnotes.xml.rels><?xml version="1.0" encoding="UTF-8" standalone="yes"?>
<Relationships xmlns="http://schemas.openxmlformats.org/package/2006/relationships"><Relationship Id="rId3" Type="http://schemas.openxmlformats.org/officeDocument/2006/relationships/hyperlink" Target="http://dati.istat.it/" TargetMode="External"/><Relationship Id="rId2" Type="http://schemas.openxmlformats.org/officeDocument/2006/relationships/hyperlink" Target="http://ec.europa.eu/eurostat/documents/3859598/5926625/KS-RA-13-017-EN.PDF/59eb2c1c-da1f-472c-b191-3d0c76521f9b?version=1.0" TargetMode="External"/><Relationship Id="rId1" Type="http://schemas.openxmlformats.org/officeDocument/2006/relationships/hyperlink" Target="http://ec.europa.eu/eurostat/ramon/nomenclatures/index.cfm?TargetUrl=LST_NOM_DTL&amp;StrNom=HICP_2000&amp;StrLanguageCode=EN&amp;IntPcKey=&amp;StrLayou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_rels/header4.xml.rels><?xml version="1.0" encoding="UTF-8" standalone="yes"?>
<Relationships xmlns="http://schemas.openxmlformats.org/package/2006/relationships"><Relationship Id="rId1" Type="http://schemas.openxmlformats.org/officeDocument/2006/relationships/image" Target="media/image19.png"/></Relationships>
</file>

<file path=word/_rels/header5.xml.rels><?xml version="1.0" encoding="UTF-8" standalone="yes"?>
<Relationships xmlns="http://schemas.openxmlformats.org/package/2006/relationships"><Relationship Id="rId1" Type="http://schemas.openxmlformats.org/officeDocument/2006/relationships/image" Target="media/image14.png"/></Relationships>
</file>

<file path=word/_rels/header6.xml.rels><?xml version="1.0" encoding="UTF-8" standalone="yes"?>
<Relationships xmlns="http://schemas.openxmlformats.org/package/2006/relationships"><Relationship Id="rId1" Type="http://schemas.openxmlformats.org/officeDocument/2006/relationships/image" Target="media/image21.png"/></Relationships>
</file>

<file path=word/_rels/header7.xml.rels><?xml version="1.0" encoding="UTF-8" standalone="yes"?>
<Relationships xmlns="http://schemas.openxmlformats.org/package/2006/relationships"><Relationship Id="rId1" Type="http://schemas.openxmlformats.org/officeDocument/2006/relationships/image" Target="media/image2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ota o comunicato" ma:contentTypeID="0x010100B795A82E90F7744F8BBD5BCEA1E47B9D00412BB8B24175FB4599016A296A388103" ma:contentTypeVersion="2" ma:contentTypeDescription="" ma:contentTypeScope="" ma:versionID="fef993d87c238cc71779350178681a56">
  <xsd:schema xmlns:xsd="http://www.w3.org/2001/XMLSchema" xmlns:xs="http://www.w3.org/2001/XMLSchema" xmlns:p="http://schemas.microsoft.com/office/2006/metadata/properties" xmlns:ns2="2886d22a-1eb9-406b-961e-e52bb60f5915" targetNamespace="http://schemas.microsoft.com/office/2006/metadata/properties" ma:root="true" ma:fieldsID="6a986a9c8108b3d7a67e5da413ff238a" ns2:_="">
    <xsd:import namespace="2886d22a-1eb9-406b-961e-e52bb60f591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6d22a-1eb9-406b-961e-e52bb60f591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886d22a-1eb9-406b-961e-e52bb60f5915" xsi:nil="true"/>
    <_dlc_DocIdUrl xmlns="2886d22a-1eb9-406b-961e-e52bb60f5915">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3AF1E-A2A9-4EA0-8AB3-6C89D8C1FDC6}">
  <ds:schemaRefs>
    <ds:schemaRef ds:uri="http://schemas.microsoft.com/sharepoint/v3/contenttype/forms"/>
  </ds:schemaRefs>
</ds:datastoreItem>
</file>

<file path=customXml/itemProps2.xml><?xml version="1.0" encoding="utf-8"?>
<ds:datastoreItem xmlns:ds="http://schemas.openxmlformats.org/officeDocument/2006/customXml" ds:itemID="{86E03142-7A50-4C8E-AB71-7CC44E5E7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6d22a-1eb9-406b-961e-e52bb60f5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A818C-DDC1-42DD-B617-058F19D5343F}">
  <ds:schemaRefs>
    <ds:schemaRef ds:uri="http://schemas.microsoft.com/sharepoint/events"/>
  </ds:schemaRefs>
</ds:datastoreItem>
</file>

<file path=customXml/itemProps4.xml><?xml version="1.0" encoding="utf-8"?>
<ds:datastoreItem xmlns:ds="http://schemas.openxmlformats.org/officeDocument/2006/customXml" ds:itemID="{9ABA1FE9-F373-477D-AEF6-6C95730012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86d22a-1eb9-406b-961e-e52bb60f5915"/>
    <ds:schemaRef ds:uri="http://www.w3.org/XML/1998/namespace"/>
    <ds:schemaRef ds:uri="http://purl.org/dc/dcmitype/"/>
  </ds:schemaRefs>
</ds:datastoreItem>
</file>

<file path=customXml/itemProps5.xml><?xml version="1.0" encoding="utf-8"?>
<ds:datastoreItem xmlns:ds="http://schemas.openxmlformats.org/officeDocument/2006/customXml" ds:itemID="{114DAFB8-3716-4AAA-95A5-F13AE570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18</Pages>
  <Words>9344</Words>
  <Characters>54603</Characters>
  <Application>Microsoft Office Word</Application>
  <DocSecurity>0</DocSecurity>
  <Lines>455</Lines>
  <Paragraphs>127</Paragraphs>
  <ScaleCrop>false</ScaleCrop>
  <HeadingPairs>
    <vt:vector size="2" baseType="variant">
      <vt:variant>
        <vt:lpstr>Titolo</vt:lpstr>
      </vt:variant>
      <vt:variant>
        <vt:i4>1</vt:i4>
      </vt:variant>
    </vt:vector>
  </HeadingPairs>
  <TitlesOfParts>
    <vt:vector size="1" baseType="lpstr">
      <vt:lpstr>Prezzi al consumo</vt:lpstr>
    </vt:vector>
  </TitlesOfParts>
  <Company>HP</Company>
  <LinksUpToDate>false</LinksUpToDate>
  <CharactersWithSpaces>63820</CharactersWithSpaces>
  <SharedDoc>false</SharedDoc>
  <HLinks>
    <vt:vector size="96" baseType="variant">
      <vt:variant>
        <vt:i4>7340157</vt:i4>
      </vt:variant>
      <vt:variant>
        <vt:i4>42</vt:i4>
      </vt:variant>
      <vt:variant>
        <vt:i4>0</vt:i4>
      </vt:variant>
      <vt:variant>
        <vt:i4>5</vt:i4>
      </vt:variant>
      <vt:variant>
        <vt:lpwstr>http://ec.europa.eu/eurostat/data/database</vt:lpwstr>
      </vt:variant>
      <vt:variant>
        <vt:lpwstr/>
      </vt:variant>
      <vt:variant>
        <vt:i4>6291582</vt:i4>
      </vt:variant>
      <vt:variant>
        <vt:i4>39</vt:i4>
      </vt:variant>
      <vt:variant>
        <vt:i4>0</vt:i4>
      </vt:variant>
      <vt:variant>
        <vt:i4>5</vt:i4>
      </vt:variant>
      <vt:variant>
        <vt:lpwstr>http://seriestoriche.istat.it/</vt:lpwstr>
      </vt:variant>
      <vt:variant>
        <vt:lpwstr/>
      </vt:variant>
      <vt:variant>
        <vt:i4>720927</vt:i4>
      </vt:variant>
      <vt:variant>
        <vt:i4>36</vt:i4>
      </vt:variant>
      <vt:variant>
        <vt:i4>0</vt:i4>
      </vt:variant>
      <vt:variant>
        <vt:i4>5</vt:i4>
      </vt:variant>
      <vt:variant>
        <vt:lpwstr>http://dati-congiuntura.istat.it/</vt:lpwstr>
      </vt:variant>
      <vt:variant>
        <vt:lpwstr/>
      </vt:variant>
      <vt:variant>
        <vt:i4>6094849</vt:i4>
      </vt:variant>
      <vt:variant>
        <vt:i4>33</vt:i4>
      </vt:variant>
      <vt:variant>
        <vt:i4>0</vt:i4>
      </vt:variant>
      <vt:variant>
        <vt:i4>5</vt:i4>
      </vt:variant>
      <vt:variant>
        <vt:lpwstr>http://dati.istat.it/</vt:lpwstr>
      </vt:variant>
      <vt:variant>
        <vt:lpwstr/>
      </vt:variant>
      <vt:variant>
        <vt:i4>2031702</vt:i4>
      </vt:variant>
      <vt:variant>
        <vt:i4>30</vt:i4>
      </vt:variant>
      <vt:variant>
        <vt:i4>0</vt:i4>
      </vt:variant>
      <vt:variant>
        <vt:i4>5</vt:i4>
      </vt:variant>
      <vt:variant>
        <vt:lpwstr>http://www.istat.it/it/prezzi</vt:lpwstr>
      </vt:variant>
      <vt:variant>
        <vt:lpwstr/>
      </vt:variant>
      <vt:variant>
        <vt:i4>7471162</vt:i4>
      </vt:variant>
      <vt:variant>
        <vt:i4>27</vt:i4>
      </vt:variant>
      <vt:variant>
        <vt:i4>0</vt:i4>
      </vt:variant>
      <vt:variant>
        <vt:i4>5</vt:i4>
      </vt:variant>
      <vt:variant>
        <vt:lpwstr>http://www.istat.it/it/informazioni/per-i-giornalisti/appuntamenti</vt:lpwstr>
      </vt:variant>
      <vt:variant>
        <vt:lpwstr/>
      </vt:variant>
      <vt:variant>
        <vt:i4>7733354</vt:i4>
      </vt:variant>
      <vt:variant>
        <vt:i4>24</vt:i4>
      </vt:variant>
      <vt:variant>
        <vt:i4>0</vt:i4>
      </vt:variant>
      <vt:variant>
        <vt:i4>5</vt:i4>
      </vt:variant>
      <vt:variant>
        <vt:lpwstr>http://www.istat.it/it/files/2016/07/scheda-PrezziAlConsumo.pdf</vt:lpwstr>
      </vt:variant>
      <vt:variant>
        <vt:lpwstr/>
      </vt:variant>
      <vt:variant>
        <vt:i4>7012425</vt:i4>
      </vt:variant>
      <vt:variant>
        <vt:i4>21</vt:i4>
      </vt:variant>
      <vt:variant>
        <vt:i4>0</vt:i4>
      </vt:variant>
      <vt:variant>
        <vt:i4>5</vt:i4>
      </vt:variant>
      <vt:variant>
        <vt:lpwstr>http://siqual.istat.it/SIQual/files/impo_reg330_2009_it.pdf?cod=13472&amp;tipo=2</vt:lpwstr>
      </vt:variant>
      <vt:variant>
        <vt:lpwstr/>
      </vt:variant>
      <vt:variant>
        <vt:i4>1704030</vt:i4>
      </vt:variant>
      <vt:variant>
        <vt:i4>18</vt:i4>
      </vt:variant>
      <vt:variant>
        <vt:i4>0</vt:i4>
      </vt:variant>
      <vt:variant>
        <vt:i4>5</vt:i4>
      </vt:variant>
      <vt:variant>
        <vt:lpwstr>http://eur-lex.europa.eu/legal-content/IT/TXT/?uri=CELEX%3A32016R0792</vt:lpwstr>
      </vt:variant>
      <vt:variant>
        <vt:lpwstr/>
      </vt:variant>
      <vt:variant>
        <vt:i4>1704030</vt:i4>
      </vt:variant>
      <vt:variant>
        <vt:i4>15</vt:i4>
      </vt:variant>
      <vt:variant>
        <vt:i4>0</vt:i4>
      </vt:variant>
      <vt:variant>
        <vt:i4>5</vt:i4>
      </vt:variant>
      <vt:variant>
        <vt:lpwstr>http://eur-lex.europa.eu/legal-content/IT/TXT/?uri=CELEX%3A32016R0792</vt:lpwstr>
      </vt:variant>
      <vt:variant>
        <vt:lpwstr/>
      </vt:variant>
      <vt:variant>
        <vt:i4>1835016</vt:i4>
      </vt:variant>
      <vt:variant>
        <vt:i4>12</vt:i4>
      </vt:variant>
      <vt:variant>
        <vt:i4>0</vt:i4>
      </vt:variant>
      <vt:variant>
        <vt:i4>5</vt:i4>
      </vt:variant>
      <vt:variant>
        <vt:lpwstr>https://www.istat.it/it/files/2011/04/dlgs322.pdf</vt:lpwstr>
      </vt:variant>
      <vt:variant>
        <vt:lpwstr/>
      </vt:variant>
      <vt:variant>
        <vt:i4>1704030</vt:i4>
      </vt:variant>
      <vt:variant>
        <vt:i4>9</vt:i4>
      </vt:variant>
      <vt:variant>
        <vt:i4>0</vt:i4>
      </vt:variant>
      <vt:variant>
        <vt:i4>5</vt:i4>
      </vt:variant>
      <vt:variant>
        <vt:lpwstr>http://eur-lex.europa.eu/legal-content/IT/TXT/?uri=CELEX%3A32016R0792</vt:lpwstr>
      </vt:variant>
      <vt:variant>
        <vt:lpwstr/>
      </vt:variant>
      <vt:variant>
        <vt:i4>524290</vt:i4>
      </vt:variant>
      <vt:variant>
        <vt:i4>0</vt:i4>
      </vt:variant>
      <vt:variant>
        <vt:i4>0</vt:i4>
      </vt:variant>
      <vt:variant>
        <vt:i4>5</vt:i4>
      </vt:variant>
      <vt:variant>
        <vt:lpwstr>dati.istat.it</vt:lpwstr>
      </vt:variant>
      <vt:variant>
        <vt:lpwstr/>
      </vt:variant>
      <vt:variant>
        <vt:i4>6094849</vt:i4>
      </vt:variant>
      <vt:variant>
        <vt:i4>6</vt:i4>
      </vt:variant>
      <vt:variant>
        <vt:i4>0</vt:i4>
      </vt:variant>
      <vt:variant>
        <vt:i4>5</vt:i4>
      </vt:variant>
      <vt:variant>
        <vt:lpwstr>http://dati.istat.it/</vt:lpwstr>
      </vt:variant>
      <vt:variant>
        <vt:lpwstr/>
      </vt:variant>
      <vt:variant>
        <vt:i4>6422641</vt:i4>
      </vt:variant>
      <vt:variant>
        <vt:i4>3</vt:i4>
      </vt:variant>
      <vt:variant>
        <vt:i4>0</vt:i4>
      </vt:variant>
      <vt:variant>
        <vt:i4>5</vt:i4>
      </vt:variant>
      <vt:variant>
        <vt:lpwstr>http://ec.europa.eu/eurostat/documents/3859598/5926625/KS-RA-13-017-EN.PDF/59eb2c1c-da1f-472c-b191-3d0c76521f9b?version=1.0</vt:lpwstr>
      </vt:variant>
      <vt:variant>
        <vt:lpwstr/>
      </vt:variant>
      <vt:variant>
        <vt:i4>5570613</vt:i4>
      </vt:variant>
      <vt:variant>
        <vt:i4>0</vt:i4>
      </vt:variant>
      <vt:variant>
        <vt:i4>0</vt:i4>
      </vt:variant>
      <vt:variant>
        <vt:i4>5</vt:i4>
      </vt:variant>
      <vt:variant>
        <vt:lpwstr>http://ec.europa.eu/eurostat/ramon/nomenclatures/index.cfm?TargetUrl=LST_NOM_DTL&amp;StrNom=HICP_2000&amp;StrLanguageCode=EN&amp;IntPcKey=&amp;StrLayoutCode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Prezzi al consumo</dc:title>
  <dc:subject/>
  <dc:creator>ISTAT</dc:creator>
  <cp:keywords/>
  <dc:description/>
  <cp:lastModifiedBy>Rosabel RR. Ricci</cp:lastModifiedBy>
  <cp:revision>60</cp:revision>
  <cp:lastPrinted>2022-11-29T08:05:00Z</cp:lastPrinted>
  <dcterms:created xsi:type="dcterms:W3CDTF">2022-09-28T12:51:00Z</dcterms:created>
  <dcterms:modified xsi:type="dcterms:W3CDTF">2022-11-30T07:35:00Z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0x010100B795A82E90F7744F8BBD5BCEA1E47B9D00412BB8B24175FB4599016A296A388103</vt:lpwstr>
  </property>
  <property fmtid="{D5CDD505-2E9C-101B-9397-08002B2CF9AE}" pid="3" name="_dlc_DocIdItemGuid">
    <vt:lpwstr>6bb85586-540d-4d2b-9c4b-d21fc383fe5f</vt:lpwstr>
  </property>
</Properties>
</file>