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A10C8" w14:textId="7927198B" w:rsidR="00B43883" w:rsidRDefault="00B43883" w:rsidP="008D7D7F">
      <w:pPr>
        <w:ind w:left="1814" w:firstLine="58"/>
        <w:rPr>
          <w:rFonts w:ascii="Arial" w:hAnsi="Arial" w:cs="Arial"/>
          <w:noProof/>
          <w:color w:val="5F5F5F"/>
          <w:sz w:val="28"/>
          <w:szCs w:val="28"/>
        </w:rPr>
      </w:pPr>
      <w:r>
        <w:rPr>
          <w:rFonts w:ascii="Arial" w:hAnsi="Arial" w:cs="Arial"/>
          <w:noProof/>
          <w:color w:val="5F5F5F"/>
          <w:sz w:val="28"/>
          <w:szCs w:val="28"/>
        </w:rPr>
        <mc:AlternateContent>
          <mc:Choice Requires="wps">
            <w:drawing>
              <wp:anchor distT="0" distB="0" distL="114300" distR="114300" simplePos="0" relativeHeight="251656192" behindDoc="0" locked="0" layoutInCell="1" allowOverlap="1" wp14:anchorId="7F386679" wp14:editId="6D6CDF9E">
                <wp:simplePos x="0" y="0"/>
                <wp:positionH relativeFrom="column">
                  <wp:posOffset>3780790</wp:posOffset>
                </wp:positionH>
                <wp:positionV relativeFrom="paragraph">
                  <wp:posOffset>-593090</wp:posOffset>
                </wp:positionV>
                <wp:extent cx="1305560" cy="261620"/>
                <wp:effectExtent l="0" t="0" r="8890" b="508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61620"/>
                        </a:xfrm>
                        <a:prstGeom prst="rect">
                          <a:avLst/>
                        </a:prstGeom>
                        <a:solidFill>
                          <a:srgbClr val="FFFFFF"/>
                        </a:solidFill>
                        <a:ln w="9525">
                          <a:solidFill>
                            <a:srgbClr val="FFFFFF"/>
                          </a:solidFill>
                          <a:miter lim="800000"/>
                          <a:headEnd/>
                          <a:tailEnd/>
                        </a:ln>
                      </wps:spPr>
                      <wps:txbx>
                        <w:txbxContent>
                          <w:p w14:paraId="2C41FE31" w14:textId="1212EE4E" w:rsidR="002A0930" w:rsidRPr="00BC0AFE" w:rsidRDefault="002A0930" w:rsidP="00AE6AE5">
                            <w:pPr>
                              <w:jc w:val="right"/>
                              <w:rPr>
                                <w:rFonts w:ascii="Arial Narrow" w:hAnsi="Arial Narrow"/>
                                <w:b/>
                                <w:color w:val="5F5F5F"/>
                                <w:sz w:val="26"/>
                                <w:szCs w:val="26"/>
                              </w:rPr>
                            </w:pPr>
                            <w:r>
                              <w:rPr>
                                <w:rFonts w:ascii="Arial Narrow" w:hAnsi="Arial Narrow"/>
                                <w:b/>
                                <w:color w:val="5F5F5F"/>
                                <w:sz w:val="26"/>
                                <w:szCs w:val="26"/>
                              </w:rPr>
                              <w:t>16 Dicembre 2022</w:t>
                            </w:r>
                            <w:r w:rsidRPr="00BC0AFE">
                              <w:rPr>
                                <w:rFonts w:ascii="Arial Narrow" w:hAnsi="Arial Narrow"/>
                                <w:b/>
                                <w:color w:val="5F5F5F"/>
                                <w:sz w:val="26"/>
                                <w:szCs w:val="26"/>
                              </w:rPr>
                              <w:t xml:space="preserve"> </w:t>
                            </w:r>
                          </w:p>
                          <w:p w14:paraId="7AC159D1" w14:textId="77777777" w:rsidR="002A0930" w:rsidRPr="00884ED9" w:rsidRDefault="002A0930" w:rsidP="00AE6AE5">
                            <w:pPr>
                              <w:jc w:val="right"/>
                              <w:rPr>
                                <w:rFonts w:ascii="Arial Narrow" w:hAnsi="Arial Narrow"/>
                                <w:b/>
                                <w:color w:val="2298D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86679" id="_x0000_t202" coordsize="21600,21600" o:spt="202" path="m,l,21600r21600,l21600,xe">
                <v:stroke joinstyle="miter"/>
                <v:path gradientshapeok="t" o:connecttype="rect"/>
              </v:shapetype>
              <v:shape id="Casella di testo 2" o:spid="_x0000_s1026" type="#_x0000_t202" style="position:absolute;left:0;text-align:left;margin-left:297.7pt;margin-top:-46.7pt;width:102.8pt;height:2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2IIQIAAEkEAAAOAAAAZHJzL2Uyb0RvYy54bWysVFFv0zAQfkfiP1h+p0kDrUbUdBodRUhj&#10;IA1+wMVxEgvHZ2y3yfj1nJ22TONtwg/WOb77fPd9d9lcT4NmR+m8QlPx5SLnTBqBjTJdxX9837+5&#10;4swHMA1oNLLij9Lz6+3rV5vRlrLAHnUjHSMQ48vRVrwPwZZZ5kUvB/ALtNLQZYtugEBH12WNg5HQ&#10;B50Veb7ORnSNdSik9/T1dr7k24TftlKEr23rZWC64pRbSLtLex33bLuBsnNgeyVOacALshhAGXr0&#10;AnULAdjBqX+gBiUcemzDQuCQYdsqIVMNVM0yf1bNQw9WplqIHG8vNPn/Byvuj98cU03Fi3ecGRhI&#10;ox14qTWwRrEgfUBWRJpG60vyfrDkH6YPOJHcqWRv71D89MzgrgfTyRvncOwlNJTmMkZmT0JnHB9B&#10;6vELNvQcHAImoKl1Q+SQWGGETnI9XiSSU2AiPvk2X63WdCXorlgv10XSMIPyHG2dD58kDiwaFXfU&#10;Agkdjnc+xGygPLvExzxq1eyV1ungunqnHTsCtcs+rVTAMzdt2Fjx96tiNRPwAohBBep7rYaKX+Vx&#10;zZ0YaftomtSVAZSebUpZmxOPkbqZxDDV00mXGptHYtTh3N80j2T06H5zNlJvV9z/OoCTnOnPhlSJ&#10;g3A23NmozwYYQaEVD5zN5i7MA3OwTnU9Ic+6G7wh5VqVSI0Sz1mc8qR+TVyfZisOxNNz8vr7B9j+&#10;AQAA//8DAFBLAwQUAAYACAAAACEAbzSnGOEAAAALAQAADwAAAGRycy9kb3ducmV2LnhtbEyPzU7D&#10;MBCE70i8g7VI3Fq7oSltiFNVSFyoREWhEsdNvCQRsR3FbhPenuUEt/2Znf0m3062ExcaQuudhsVc&#10;gSBXedO6WsP729NsDSJEdAY770jDNwXYFtdXOWbGj+6VLsdYCzZxIUMNTYx9JmWoGrIY5r4nx7tP&#10;P1iM3A61NAOObG47mSi1khZbxx8a7OmxoerreLaMYXcjvlTlfnXolfp4Pu2X3ele69ubafcAItIU&#10;/8Twi883UDBT6c/OBNFpSDfpkqUaZps7LlixVgtOV/IkTRKQRS7/Zyh+AAAA//8DAFBLAQItABQA&#10;BgAIAAAAIQC2gziS/gAAAOEBAAATAAAAAAAAAAAAAAAAAAAAAABbQ29udGVudF9UeXBlc10ueG1s&#10;UEsBAi0AFAAGAAgAAAAhADj9If/WAAAAlAEAAAsAAAAAAAAAAAAAAAAALwEAAF9yZWxzLy5yZWxz&#10;UEsBAi0AFAAGAAgAAAAhAPrlnYghAgAASQQAAA4AAAAAAAAAAAAAAAAALgIAAGRycy9lMm9Eb2Mu&#10;eG1sUEsBAi0AFAAGAAgAAAAhAG80pxjhAAAACwEAAA8AAAAAAAAAAAAAAAAAewQAAGRycy9kb3du&#10;cmV2LnhtbFBLBQYAAAAABAAEAPMAAACJBQAAAAA=&#10;" strokecolor="white">
                <v:textbox inset="0,0,0,0">
                  <w:txbxContent>
                    <w:p w14:paraId="2C41FE31" w14:textId="1212EE4E" w:rsidR="002A0930" w:rsidRPr="00BC0AFE" w:rsidRDefault="002A0930" w:rsidP="00AE6AE5">
                      <w:pPr>
                        <w:jc w:val="right"/>
                        <w:rPr>
                          <w:rFonts w:ascii="Arial Narrow" w:hAnsi="Arial Narrow"/>
                          <w:b/>
                          <w:color w:val="5F5F5F"/>
                          <w:sz w:val="26"/>
                          <w:szCs w:val="26"/>
                        </w:rPr>
                      </w:pPr>
                      <w:r>
                        <w:rPr>
                          <w:rFonts w:ascii="Arial Narrow" w:hAnsi="Arial Narrow"/>
                          <w:b/>
                          <w:color w:val="5F5F5F"/>
                          <w:sz w:val="26"/>
                          <w:szCs w:val="26"/>
                        </w:rPr>
                        <w:t>16 Dicembre 2022</w:t>
                      </w:r>
                      <w:r w:rsidRPr="00BC0AFE">
                        <w:rPr>
                          <w:rFonts w:ascii="Arial Narrow" w:hAnsi="Arial Narrow"/>
                          <w:b/>
                          <w:color w:val="5F5F5F"/>
                          <w:sz w:val="26"/>
                          <w:szCs w:val="26"/>
                        </w:rPr>
                        <w:t xml:space="preserve"> </w:t>
                      </w:r>
                    </w:p>
                    <w:p w14:paraId="7AC159D1" w14:textId="77777777" w:rsidR="002A0930" w:rsidRPr="00884ED9" w:rsidRDefault="002A0930" w:rsidP="00AE6AE5">
                      <w:pPr>
                        <w:jc w:val="right"/>
                        <w:rPr>
                          <w:rFonts w:ascii="Arial Narrow" w:hAnsi="Arial Narrow"/>
                          <w:b/>
                          <w:color w:val="2298D1"/>
                          <w:sz w:val="26"/>
                          <w:szCs w:val="26"/>
                        </w:rPr>
                      </w:pPr>
                    </w:p>
                  </w:txbxContent>
                </v:textbox>
              </v:shape>
            </w:pict>
          </mc:Fallback>
        </mc:AlternateContent>
      </w:r>
    </w:p>
    <w:p w14:paraId="75303D0C" w14:textId="77777777" w:rsidR="004342C5" w:rsidRDefault="004342C5" w:rsidP="008D7D7F">
      <w:pPr>
        <w:ind w:left="1814" w:firstLine="58"/>
        <w:rPr>
          <w:rFonts w:ascii="Arial" w:hAnsi="Arial" w:cs="Arial"/>
          <w:noProof/>
          <w:color w:val="5F5F5F"/>
          <w:sz w:val="28"/>
          <w:szCs w:val="28"/>
        </w:rPr>
      </w:pPr>
    </w:p>
    <w:p w14:paraId="472D74AE" w14:textId="125AC180" w:rsidR="008D7D7F" w:rsidRPr="00D134E3" w:rsidRDefault="00557FAD" w:rsidP="008D7D7F">
      <w:pPr>
        <w:ind w:left="1814" w:firstLine="58"/>
        <w:rPr>
          <w:rFonts w:ascii="Arial" w:hAnsi="Arial" w:cs="Arial"/>
          <w:color w:val="5F5F5F"/>
          <w:sz w:val="28"/>
          <w:szCs w:val="28"/>
        </w:rPr>
      </w:pPr>
      <w:r>
        <w:rPr>
          <w:rFonts w:ascii="Arial" w:hAnsi="Arial" w:cs="Arial"/>
          <w:noProof/>
          <w:color w:val="5F5F5F"/>
          <w:sz w:val="28"/>
          <w:szCs w:val="28"/>
        </w:rPr>
        <w:t>Ottobre</w:t>
      </w:r>
      <w:r w:rsidR="00601954">
        <w:rPr>
          <w:rFonts w:ascii="Arial" w:hAnsi="Arial" w:cs="Arial"/>
          <w:color w:val="5F5F5F"/>
          <w:sz w:val="28"/>
          <w:szCs w:val="28"/>
        </w:rPr>
        <w:t xml:space="preserve"> 2022</w:t>
      </w:r>
    </w:p>
    <w:p w14:paraId="35E21BC4" w14:textId="50BD6B23" w:rsidR="00A8222C" w:rsidRPr="00191F98" w:rsidRDefault="00AE6AE5" w:rsidP="00D134E3">
      <w:pPr>
        <w:ind w:left="1814" w:firstLine="58"/>
        <w:rPr>
          <w:rFonts w:ascii="Calibri" w:hAnsi="Calibri" w:cs="Arial"/>
          <w:b/>
          <w:color w:val="5F5F5F"/>
          <w:sz w:val="44"/>
          <w:szCs w:val="28"/>
        </w:rPr>
      </w:pPr>
      <w:r w:rsidRPr="00191F98">
        <w:rPr>
          <w:rFonts w:ascii="Calibri" w:hAnsi="Calibri" w:cs="Arial"/>
          <w:b/>
          <w:color w:val="5F5F5F"/>
          <w:sz w:val="44"/>
          <w:szCs w:val="28"/>
        </w:rPr>
        <w:t>CO</w:t>
      </w:r>
      <w:r w:rsidR="00284F38" w:rsidRPr="00191F98">
        <w:rPr>
          <w:rFonts w:ascii="Calibri" w:hAnsi="Calibri" w:cs="Arial"/>
          <w:b/>
          <w:color w:val="5F5F5F"/>
          <w:sz w:val="44"/>
          <w:szCs w:val="28"/>
        </w:rPr>
        <w:t>M</w:t>
      </w:r>
      <w:r w:rsidR="00A8222C" w:rsidRPr="00191F98">
        <w:rPr>
          <w:rFonts w:ascii="Calibri" w:hAnsi="Calibri" w:cs="Arial"/>
          <w:b/>
          <w:color w:val="5F5F5F"/>
          <w:sz w:val="44"/>
          <w:szCs w:val="28"/>
        </w:rPr>
        <w:t>MER</w:t>
      </w:r>
      <w:r w:rsidR="00284F38" w:rsidRPr="00191F98">
        <w:rPr>
          <w:rFonts w:ascii="Calibri" w:hAnsi="Calibri" w:cs="Arial"/>
          <w:b/>
          <w:color w:val="5F5F5F"/>
          <w:sz w:val="44"/>
          <w:szCs w:val="28"/>
        </w:rPr>
        <w:t>CI</w:t>
      </w:r>
      <w:r w:rsidR="00A8222C" w:rsidRPr="00191F98">
        <w:rPr>
          <w:rFonts w:ascii="Calibri" w:hAnsi="Calibri" w:cs="Arial"/>
          <w:b/>
          <w:color w:val="5F5F5F"/>
          <w:sz w:val="44"/>
          <w:szCs w:val="28"/>
        </w:rPr>
        <w:t>O CON L’ESTERO</w:t>
      </w:r>
    </w:p>
    <w:p w14:paraId="3E4FFEE7" w14:textId="675337CA" w:rsidR="00A8222C" w:rsidRDefault="00793BF4" w:rsidP="004C3CD2">
      <w:pPr>
        <w:spacing w:after="120"/>
        <w:ind w:left="1814" w:firstLine="57"/>
        <w:rPr>
          <w:rFonts w:ascii="Calibri" w:hAnsi="Calibri" w:cs="Arial"/>
          <w:b/>
          <w:color w:val="5F5F5F"/>
          <w:sz w:val="44"/>
          <w:szCs w:val="28"/>
        </w:rPr>
      </w:pPr>
      <w:r>
        <w:rPr>
          <w:rFonts w:ascii="Calibri" w:hAnsi="Calibri" w:cs="Arial"/>
          <w:b/>
          <w:color w:val="5F5F5F"/>
          <w:sz w:val="44"/>
          <w:szCs w:val="28"/>
        </w:rPr>
        <w:t xml:space="preserve">E </w:t>
      </w:r>
      <w:r w:rsidR="00A8222C" w:rsidRPr="00191F98">
        <w:rPr>
          <w:rFonts w:ascii="Calibri" w:hAnsi="Calibri" w:cs="Arial"/>
          <w:b/>
          <w:color w:val="5F5F5F"/>
          <w:sz w:val="44"/>
          <w:szCs w:val="28"/>
        </w:rPr>
        <w:t>PREZZI ALL’IMPORT</w:t>
      </w:r>
    </w:p>
    <w:p w14:paraId="32215862" w14:textId="77777777" w:rsidR="004E4512" w:rsidRPr="00F14685" w:rsidRDefault="004E4512" w:rsidP="00D66C47">
      <w:pPr>
        <w:ind w:left="1814" w:firstLine="57"/>
        <w:rPr>
          <w:rFonts w:ascii="Calibri" w:hAnsi="Calibri" w:cs="Arial"/>
          <w:b/>
          <w:color w:val="5F5F5F"/>
          <w:sz w:val="2"/>
          <w:szCs w:val="2"/>
        </w:rPr>
      </w:pPr>
    </w:p>
    <w:p w14:paraId="1DF2AF73" w14:textId="77777777" w:rsidR="00A8222C" w:rsidRPr="000D42CA" w:rsidRDefault="00A8222C" w:rsidP="00E15738">
      <w:pPr>
        <w:tabs>
          <w:tab w:val="left" w:pos="1843"/>
        </w:tabs>
        <w:spacing w:line="216" w:lineRule="auto"/>
        <w:ind w:left="1814"/>
        <w:rPr>
          <w:rFonts w:ascii="Calibri" w:hAnsi="Calibri" w:cs="Arial"/>
          <w:b/>
          <w:bCs/>
          <w:color w:val="5F5F5F"/>
          <w:w w:val="95"/>
          <w:sz w:val="10"/>
          <w:szCs w:val="10"/>
        </w:rPr>
      </w:pPr>
    </w:p>
    <w:p w14:paraId="42D385F2" w14:textId="59DEBE72" w:rsidR="00FC2A8B" w:rsidRPr="0013505A" w:rsidRDefault="00BD0F94" w:rsidP="004C3CD2">
      <w:pPr>
        <w:numPr>
          <w:ilvl w:val="0"/>
          <w:numId w:val="22"/>
        </w:numPr>
        <w:tabs>
          <w:tab w:val="left" w:pos="426"/>
          <w:tab w:val="left" w:pos="1843"/>
        </w:tabs>
        <w:spacing w:after="120" w:line="230" w:lineRule="exact"/>
        <w:ind w:left="357" w:hanging="357"/>
        <w:jc w:val="both"/>
        <w:rPr>
          <w:rFonts w:ascii="Arial" w:hAnsi="Arial" w:cs="Arial"/>
          <w:bCs/>
          <w:sz w:val="21"/>
          <w:szCs w:val="21"/>
          <w:lang w:eastAsia="en-US"/>
        </w:rPr>
      </w:pPr>
      <w:bookmarkStart w:id="0" w:name="_GoBack"/>
      <w:bookmarkEnd w:id="0"/>
      <w:r w:rsidRPr="0013505A">
        <w:rPr>
          <w:rFonts w:ascii="Arial" w:hAnsi="Arial" w:cs="Arial"/>
          <w:bCs/>
          <w:sz w:val="21"/>
          <w:szCs w:val="21"/>
          <w:lang w:eastAsia="en-US"/>
        </w:rPr>
        <w:t xml:space="preserve">A </w:t>
      </w:r>
      <w:r w:rsidR="006C51BC" w:rsidRPr="0013505A">
        <w:rPr>
          <w:rFonts w:ascii="Arial" w:hAnsi="Arial" w:cs="Arial"/>
          <w:bCs/>
          <w:sz w:val="21"/>
          <w:szCs w:val="21"/>
          <w:lang w:eastAsia="en-US"/>
        </w:rPr>
        <w:t>ottobre</w:t>
      </w:r>
      <w:r w:rsidR="00A63E97" w:rsidRPr="0013505A">
        <w:rPr>
          <w:rFonts w:ascii="Arial" w:hAnsi="Arial" w:cs="Arial"/>
          <w:bCs/>
          <w:sz w:val="21"/>
          <w:szCs w:val="21"/>
          <w:lang w:eastAsia="en-US"/>
        </w:rPr>
        <w:t xml:space="preserve"> </w:t>
      </w:r>
      <w:r w:rsidR="00FC2A8B" w:rsidRPr="0013505A">
        <w:rPr>
          <w:rFonts w:ascii="Arial" w:hAnsi="Arial" w:cs="Arial"/>
          <w:bCs/>
          <w:sz w:val="21"/>
          <w:szCs w:val="21"/>
          <w:lang w:eastAsia="en-US"/>
        </w:rPr>
        <w:t xml:space="preserve">2022 </w:t>
      </w:r>
      <w:r w:rsidR="00C85F71" w:rsidRPr="0013505A">
        <w:rPr>
          <w:rFonts w:ascii="Arial" w:hAnsi="Arial" w:cs="Arial"/>
          <w:bCs/>
          <w:sz w:val="21"/>
          <w:szCs w:val="21"/>
          <w:lang w:eastAsia="en-US"/>
        </w:rPr>
        <w:t xml:space="preserve">si stima una </w:t>
      </w:r>
      <w:r w:rsidR="002F0E56" w:rsidRPr="0013505A">
        <w:rPr>
          <w:rFonts w:ascii="Arial" w:hAnsi="Arial" w:cs="Arial"/>
          <w:bCs/>
          <w:sz w:val="21"/>
          <w:szCs w:val="21"/>
          <w:lang w:eastAsia="en-US"/>
        </w:rPr>
        <w:t xml:space="preserve">flessione </w:t>
      </w:r>
      <w:r w:rsidR="004E3C60" w:rsidRPr="0013505A">
        <w:rPr>
          <w:rFonts w:ascii="Arial" w:hAnsi="Arial" w:cs="Arial"/>
          <w:bCs/>
          <w:sz w:val="21"/>
          <w:szCs w:val="21"/>
          <w:lang w:eastAsia="en-US"/>
        </w:rPr>
        <w:t xml:space="preserve">congiunturale </w:t>
      </w:r>
      <w:r w:rsidR="002F0E56" w:rsidRPr="0013505A">
        <w:rPr>
          <w:rFonts w:ascii="Arial" w:hAnsi="Arial" w:cs="Arial"/>
          <w:bCs/>
          <w:sz w:val="21"/>
          <w:szCs w:val="21"/>
          <w:lang w:eastAsia="en-US"/>
        </w:rPr>
        <w:t xml:space="preserve">per entrambi i flussi commerciali con l’estero, più intensa per le importazioni (-5,5%) che per le </w:t>
      </w:r>
      <w:r w:rsidR="004E3C60" w:rsidRPr="0013505A">
        <w:rPr>
          <w:rFonts w:ascii="Arial" w:hAnsi="Arial" w:cs="Arial"/>
          <w:bCs/>
          <w:sz w:val="21"/>
          <w:szCs w:val="21"/>
          <w:lang w:eastAsia="en-US"/>
        </w:rPr>
        <w:t>es</w:t>
      </w:r>
      <w:r w:rsidR="002F0E56" w:rsidRPr="0013505A">
        <w:rPr>
          <w:rFonts w:ascii="Arial" w:hAnsi="Arial" w:cs="Arial"/>
          <w:bCs/>
          <w:sz w:val="21"/>
          <w:szCs w:val="21"/>
          <w:lang w:eastAsia="en-US"/>
        </w:rPr>
        <w:t>portazioni (-1,1</w:t>
      </w:r>
      <w:r w:rsidR="00C85F71" w:rsidRPr="0013505A">
        <w:rPr>
          <w:rFonts w:ascii="Arial" w:hAnsi="Arial" w:cs="Arial"/>
          <w:bCs/>
          <w:sz w:val="21"/>
          <w:szCs w:val="21"/>
          <w:lang w:eastAsia="en-US"/>
        </w:rPr>
        <w:t>%)</w:t>
      </w:r>
      <w:r w:rsidR="00B05E2A" w:rsidRPr="0013505A">
        <w:rPr>
          <w:rFonts w:ascii="Arial" w:hAnsi="Arial" w:cs="Arial"/>
          <w:bCs/>
          <w:sz w:val="21"/>
          <w:szCs w:val="21"/>
          <w:lang w:eastAsia="en-US"/>
        </w:rPr>
        <w:t xml:space="preserve">. </w:t>
      </w:r>
      <w:r w:rsidR="002F0E56" w:rsidRPr="0013505A">
        <w:rPr>
          <w:rFonts w:ascii="Arial" w:hAnsi="Arial" w:cs="Arial"/>
          <w:bCs/>
          <w:sz w:val="21"/>
          <w:szCs w:val="21"/>
        </w:rPr>
        <w:t>La diminuzione</w:t>
      </w:r>
      <w:r w:rsidR="00B05E2A" w:rsidRPr="0013505A">
        <w:rPr>
          <w:rFonts w:ascii="Arial" w:hAnsi="Arial" w:cs="Arial"/>
          <w:bCs/>
          <w:sz w:val="21"/>
          <w:szCs w:val="21"/>
        </w:rPr>
        <w:t xml:space="preserve"> </w:t>
      </w:r>
      <w:r w:rsidR="00B05E2A" w:rsidRPr="0013505A">
        <w:rPr>
          <w:rFonts w:ascii="Arial" w:hAnsi="Arial" w:cs="Arial"/>
          <w:bCs/>
          <w:sz w:val="21"/>
          <w:szCs w:val="21"/>
          <w:lang w:eastAsia="en-US"/>
        </w:rPr>
        <w:t xml:space="preserve">su base mensile dell’export è dovuto </w:t>
      </w:r>
      <w:r w:rsidR="002F0E56" w:rsidRPr="0013505A">
        <w:rPr>
          <w:rFonts w:ascii="Arial" w:hAnsi="Arial" w:cs="Arial"/>
          <w:bCs/>
          <w:sz w:val="21"/>
          <w:szCs w:val="21"/>
          <w:lang w:eastAsia="en-US"/>
        </w:rPr>
        <w:t>al calo</w:t>
      </w:r>
      <w:r w:rsidR="00B05E2A" w:rsidRPr="0013505A">
        <w:rPr>
          <w:rFonts w:ascii="Arial" w:hAnsi="Arial" w:cs="Arial"/>
          <w:bCs/>
          <w:sz w:val="21"/>
          <w:szCs w:val="21"/>
          <w:lang w:eastAsia="en-US"/>
        </w:rPr>
        <w:t xml:space="preserve"> delle vendite verso</w:t>
      </w:r>
      <w:r w:rsidR="00B075FE" w:rsidRPr="0013505A">
        <w:rPr>
          <w:rFonts w:ascii="Arial" w:hAnsi="Arial" w:cs="Arial"/>
          <w:bCs/>
          <w:sz w:val="21"/>
          <w:szCs w:val="21"/>
          <w:lang w:eastAsia="en-US"/>
        </w:rPr>
        <w:t xml:space="preserve"> </w:t>
      </w:r>
      <w:r w:rsidR="002F0E56" w:rsidRPr="0013505A">
        <w:rPr>
          <w:rFonts w:ascii="Arial" w:hAnsi="Arial" w:cs="Arial"/>
          <w:bCs/>
          <w:sz w:val="21"/>
          <w:szCs w:val="21"/>
          <w:lang w:eastAsia="en-US"/>
        </w:rPr>
        <w:t>i mercati extra Ue (-4</w:t>
      </w:r>
      <w:r w:rsidR="00B05E2A" w:rsidRPr="0013505A">
        <w:rPr>
          <w:rFonts w:ascii="Arial" w:hAnsi="Arial" w:cs="Arial"/>
          <w:bCs/>
          <w:sz w:val="21"/>
          <w:szCs w:val="21"/>
          <w:lang w:eastAsia="en-US"/>
        </w:rPr>
        <w:t>,</w:t>
      </w:r>
      <w:r w:rsidR="002F0E56" w:rsidRPr="0013505A">
        <w:rPr>
          <w:rFonts w:ascii="Arial" w:hAnsi="Arial" w:cs="Arial"/>
          <w:bCs/>
          <w:sz w:val="21"/>
          <w:szCs w:val="21"/>
          <w:lang w:eastAsia="en-US"/>
        </w:rPr>
        <w:t>3</w:t>
      </w:r>
      <w:r w:rsidR="00B05E2A" w:rsidRPr="0013505A">
        <w:rPr>
          <w:rFonts w:ascii="Arial" w:hAnsi="Arial" w:cs="Arial"/>
          <w:bCs/>
          <w:sz w:val="21"/>
          <w:szCs w:val="21"/>
          <w:lang w:eastAsia="en-US"/>
        </w:rPr>
        <w:t xml:space="preserve">%), mentre </w:t>
      </w:r>
      <w:r w:rsidR="007E417B" w:rsidRPr="0013505A">
        <w:rPr>
          <w:rFonts w:ascii="Arial" w:hAnsi="Arial" w:cs="Arial"/>
          <w:bCs/>
          <w:sz w:val="21"/>
          <w:szCs w:val="21"/>
          <w:lang w:eastAsia="en-US"/>
        </w:rPr>
        <w:t>le esportazioni</w:t>
      </w:r>
      <w:r w:rsidR="00B05E2A" w:rsidRPr="0013505A">
        <w:rPr>
          <w:rFonts w:ascii="Arial" w:hAnsi="Arial" w:cs="Arial"/>
          <w:bCs/>
          <w:sz w:val="21"/>
          <w:szCs w:val="21"/>
          <w:lang w:eastAsia="en-US"/>
        </w:rPr>
        <w:t xml:space="preserve"> verso l’area Ue </w:t>
      </w:r>
      <w:r w:rsidR="007E417B" w:rsidRPr="0013505A">
        <w:rPr>
          <w:rFonts w:ascii="Arial" w:hAnsi="Arial" w:cs="Arial"/>
          <w:bCs/>
          <w:sz w:val="21"/>
          <w:szCs w:val="21"/>
          <w:lang w:eastAsia="en-US"/>
        </w:rPr>
        <w:t>sono</w:t>
      </w:r>
      <w:r w:rsidR="00B05E2A" w:rsidRPr="0013505A">
        <w:rPr>
          <w:rFonts w:ascii="Arial" w:hAnsi="Arial" w:cs="Arial"/>
          <w:bCs/>
          <w:sz w:val="21"/>
          <w:szCs w:val="21"/>
          <w:lang w:eastAsia="en-US"/>
        </w:rPr>
        <w:t xml:space="preserve"> in </w:t>
      </w:r>
      <w:r w:rsidR="002F0E56" w:rsidRPr="0013505A">
        <w:rPr>
          <w:rFonts w:ascii="Arial" w:hAnsi="Arial" w:cs="Arial"/>
          <w:bCs/>
          <w:sz w:val="21"/>
          <w:szCs w:val="21"/>
          <w:lang w:eastAsia="en-US"/>
        </w:rPr>
        <w:t>aumento (+1</w:t>
      </w:r>
      <w:r w:rsidR="00B05E2A" w:rsidRPr="0013505A">
        <w:rPr>
          <w:rFonts w:ascii="Arial" w:hAnsi="Arial" w:cs="Arial"/>
          <w:bCs/>
          <w:sz w:val="21"/>
          <w:szCs w:val="21"/>
          <w:lang w:eastAsia="en-US"/>
        </w:rPr>
        <w:t>,</w:t>
      </w:r>
      <w:r w:rsidR="002F0E56" w:rsidRPr="0013505A">
        <w:rPr>
          <w:rFonts w:ascii="Arial" w:hAnsi="Arial" w:cs="Arial"/>
          <w:bCs/>
          <w:sz w:val="21"/>
          <w:szCs w:val="21"/>
          <w:lang w:eastAsia="en-US"/>
        </w:rPr>
        <w:t>7</w:t>
      </w:r>
      <w:r w:rsidR="00B05E2A" w:rsidRPr="0013505A">
        <w:rPr>
          <w:rFonts w:ascii="Arial" w:hAnsi="Arial" w:cs="Arial"/>
          <w:bCs/>
          <w:sz w:val="21"/>
          <w:szCs w:val="21"/>
          <w:lang w:eastAsia="en-US"/>
        </w:rPr>
        <w:t>%).</w:t>
      </w:r>
    </w:p>
    <w:p w14:paraId="47C66769" w14:textId="4BDED1CC" w:rsidR="00FC2A8B" w:rsidRPr="0013505A" w:rsidRDefault="00FC2A8B" w:rsidP="004C3CD2">
      <w:pPr>
        <w:numPr>
          <w:ilvl w:val="0"/>
          <w:numId w:val="22"/>
        </w:numPr>
        <w:tabs>
          <w:tab w:val="left" w:pos="426"/>
          <w:tab w:val="left" w:pos="1843"/>
        </w:tabs>
        <w:spacing w:after="120" w:line="230" w:lineRule="exact"/>
        <w:ind w:left="357" w:hanging="357"/>
        <w:jc w:val="both"/>
        <w:rPr>
          <w:rFonts w:ascii="Arial" w:hAnsi="Arial" w:cs="Arial"/>
          <w:bCs/>
          <w:sz w:val="21"/>
          <w:szCs w:val="21"/>
          <w:lang w:eastAsia="en-US"/>
        </w:rPr>
      </w:pPr>
      <w:r w:rsidRPr="0013505A">
        <w:rPr>
          <w:rFonts w:ascii="Arial" w:hAnsi="Arial" w:cs="Arial"/>
          <w:bCs/>
          <w:sz w:val="21"/>
          <w:szCs w:val="21"/>
          <w:lang w:eastAsia="en-US"/>
        </w:rPr>
        <w:t xml:space="preserve">Nel trimestre </w:t>
      </w:r>
      <w:r w:rsidR="00BE205E" w:rsidRPr="0013505A">
        <w:rPr>
          <w:rFonts w:ascii="Arial" w:hAnsi="Arial" w:cs="Arial"/>
          <w:bCs/>
          <w:sz w:val="21"/>
          <w:szCs w:val="21"/>
          <w:lang w:eastAsia="en-US"/>
        </w:rPr>
        <w:t>agosto-ottobre 2022, rispetto al precedente</w:t>
      </w:r>
      <w:r w:rsidRPr="0013505A">
        <w:rPr>
          <w:rFonts w:ascii="Arial" w:hAnsi="Arial" w:cs="Arial"/>
          <w:bCs/>
          <w:sz w:val="21"/>
          <w:szCs w:val="21"/>
          <w:lang w:eastAsia="en-US"/>
        </w:rPr>
        <w:t xml:space="preserve">, l’export </w:t>
      </w:r>
      <w:r w:rsidR="004C1055" w:rsidRPr="0013505A">
        <w:rPr>
          <w:rFonts w:ascii="Arial" w:hAnsi="Arial" w:cs="Arial"/>
          <w:bCs/>
          <w:sz w:val="21"/>
          <w:szCs w:val="21"/>
          <w:lang w:eastAsia="en-US"/>
        </w:rPr>
        <w:t xml:space="preserve">cala </w:t>
      </w:r>
      <w:r w:rsidR="00BE205E" w:rsidRPr="0013505A">
        <w:rPr>
          <w:rFonts w:ascii="Arial" w:hAnsi="Arial" w:cs="Arial"/>
          <w:bCs/>
          <w:sz w:val="21"/>
          <w:szCs w:val="21"/>
          <w:lang w:eastAsia="en-US"/>
        </w:rPr>
        <w:t>dello 0,</w:t>
      </w:r>
      <w:r w:rsidR="004E3C60" w:rsidRPr="0013505A">
        <w:rPr>
          <w:rFonts w:ascii="Arial" w:hAnsi="Arial" w:cs="Arial"/>
          <w:bCs/>
          <w:sz w:val="21"/>
          <w:szCs w:val="21"/>
          <w:lang w:eastAsia="en-US"/>
        </w:rPr>
        <w:t>7</w:t>
      </w:r>
      <w:r w:rsidR="00C85F71" w:rsidRPr="0013505A">
        <w:rPr>
          <w:rFonts w:ascii="Arial" w:hAnsi="Arial" w:cs="Arial"/>
          <w:bCs/>
          <w:sz w:val="21"/>
          <w:szCs w:val="21"/>
          <w:lang w:eastAsia="en-US"/>
        </w:rPr>
        <w:t xml:space="preserve">%, l’import </w:t>
      </w:r>
      <w:r w:rsidR="00BE205E" w:rsidRPr="0013505A">
        <w:rPr>
          <w:rFonts w:ascii="Arial" w:hAnsi="Arial" w:cs="Arial"/>
          <w:bCs/>
          <w:sz w:val="21"/>
          <w:szCs w:val="21"/>
          <w:lang w:eastAsia="en-US"/>
        </w:rPr>
        <w:t xml:space="preserve">cresce </w:t>
      </w:r>
      <w:r w:rsidR="00C85F71" w:rsidRPr="0013505A">
        <w:rPr>
          <w:rFonts w:ascii="Arial" w:hAnsi="Arial" w:cs="Arial"/>
          <w:bCs/>
          <w:sz w:val="21"/>
          <w:szCs w:val="21"/>
          <w:lang w:eastAsia="en-US"/>
        </w:rPr>
        <w:t xml:space="preserve">del </w:t>
      </w:r>
      <w:r w:rsidR="00BE205E" w:rsidRPr="0013505A">
        <w:rPr>
          <w:rFonts w:ascii="Arial" w:hAnsi="Arial" w:cs="Arial"/>
          <w:bCs/>
          <w:sz w:val="21"/>
          <w:szCs w:val="21"/>
          <w:lang w:eastAsia="en-US"/>
        </w:rPr>
        <w:t>3</w:t>
      </w:r>
      <w:r w:rsidRPr="0013505A">
        <w:rPr>
          <w:rFonts w:ascii="Arial" w:hAnsi="Arial" w:cs="Arial"/>
          <w:bCs/>
          <w:sz w:val="21"/>
          <w:szCs w:val="21"/>
          <w:lang w:eastAsia="en-US"/>
        </w:rPr>
        <w:t>,</w:t>
      </w:r>
      <w:r w:rsidR="00BE205E" w:rsidRPr="0013505A">
        <w:rPr>
          <w:rFonts w:ascii="Arial" w:hAnsi="Arial" w:cs="Arial"/>
          <w:bCs/>
          <w:sz w:val="21"/>
          <w:szCs w:val="21"/>
          <w:lang w:eastAsia="en-US"/>
        </w:rPr>
        <w:t>9</w:t>
      </w:r>
      <w:r w:rsidRPr="0013505A">
        <w:rPr>
          <w:rFonts w:ascii="Arial" w:hAnsi="Arial" w:cs="Arial"/>
          <w:bCs/>
          <w:sz w:val="21"/>
          <w:szCs w:val="21"/>
          <w:lang w:eastAsia="en-US"/>
        </w:rPr>
        <w:t>%.</w:t>
      </w:r>
    </w:p>
    <w:p w14:paraId="217A0076" w14:textId="7194923B" w:rsidR="00FC2A8B" w:rsidRPr="0013505A" w:rsidRDefault="00596464" w:rsidP="004C3CD2">
      <w:pPr>
        <w:numPr>
          <w:ilvl w:val="0"/>
          <w:numId w:val="22"/>
        </w:numPr>
        <w:tabs>
          <w:tab w:val="left" w:pos="426"/>
          <w:tab w:val="left" w:pos="1843"/>
        </w:tabs>
        <w:spacing w:after="120" w:line="230" w:lineRule="exact"/>
        <w:ind w:left="357" w:hanging="357"/>
        <w:jc w:val="both"/>
        <w:rPr>
          <w:rFonts w:ascii="Arial" w:hAnsi="Arial" w:cs="Arial"/>
          <w:bCs/>
          <w:sz w:val="21"/>
          <w:szCs w:val="21"/>
          <w:lang w:eastAsia="en-US"/>
        </w:rPr>
      </w:pPr>
      <w:r w:rsidRPr="0013505A">
        <w:rPr>
          <w:rFonts w:ascii="Arial" w:hAnsi="Arial" w:cs="Arial"/>
          <w:bCs/>
          <w:sz w:val="21"/>
          <w:szCs w:val="21"/>
          <w:lang w:eastAsia="en-US"/>
        </w:rPr>
        <w:t xml:space="preserve">A </w:t>
      </w:r>
      <w:r w:rsidR="003B38CA" w:rsidRPr="0013505A">
        <w:rPr>
          <w:rFonts w:ascii="Arial" w:hAnsi="Arial" w:cs="Arial"/>
          <w:bCs/>
          <w:sz w:val="21"/>
          <w:szCs w:val="21"/>
          <w:lang w:eastAsia="en-US"/>
        </w:rPr>
        <w:t>ottobre</w:t>
      </w:r>
      <w:r w:rsidRPr="0013505A">
        <w:rPr>
          <w:rFonts w:ascii="Arial" w:hAnsi="Arial" w:cs="Arial"/>
          <w:bCs/>
          <w:sz w:val="21"/>
          <w:szCs w:val="21"/>
          <w:lang w:eastAsia="en-US"/>
        </w:rPr>
        <w:t xml:space="preserve"> </w:t>
      </w:r>
      <w:r w:rsidR="007A7DCF" w:rsidRPr="0013505A">
        <w:rPr>
          <w:rFonts w:ascii="Arial" w:hAnsi="Arial" w:cs="Arial"/>
          <w:bCs/>
          <w:sz w:val="21"/>
          <w:szCs w:val="21"/>
          <w:lang w:eastAsia="en-US"/>
        </w:rPr>
        <w:t xml:space="preserve">2022, l’export </w:t>
      </w:r>
      <w:r w:rsidR="0065696F" w:rsidRPr="0013505A">
        <w:rPr>
          <w:rFonts w:ascii="Arial" w:hAnsi="Arial" w:cs="Arial"/>
          <w:bCs/>
          <w:sz w:val="21"/>
          <w:szCs w:val="21"/>
          <w:lang w:eastAsia="en-US"/>
        </w:rPr>
        <w:t xml:space="preserve">cresce </w:t>
      </w:r>
      <w:r w:rsidR="007A7DCF" w:rsidRPr="0013505A">
        <w:rPr>
          <w:rFonts w:ascii="Arial" w:hAnsi="Arial" w:cs="Arial"/>
          <w:bCs/>
          <w:sz w:val="21"/>
          <w:szCs w:val="21"/>
          <w:lang w:eastAsia="en-US"/>
        </w:rPr>
        <w:t>su base annua</w:t>
      </w:r>
      <w:r w:rsidR="007A7DCF" w:rsidRPr="0013505A">
        <w:rPr>
          <w:rFonts w:ascii="Arial" w:hAnsi="Arial" w:cs="Arial"/>
          <w:bCs/>
          <w:sz w:val="21"/>
          <w:szCs w:val="21"/>
        </w:rPr>
        <w:t xml:space="preserve"> </w:t>
      </w:r>
      <w:r w:rsidR="0065696F" w:rsidRPr="0013505A">
        <w:rPr>
          <w:rFonts w:ascii="Arial" w:hAnsi="Arial" w:cs="Arial"/>
          <w:bCs/>
          <w:sz w:val="21"/>
          <w:szCs w:val="21"/>
        </w:rPr>
        <w:t xml:space="preserve">del </w:t>
      </w:r>
      <w:r w:rsidR="003B38CA" w:rsidRPr="0013505A">
        <w:rPr>
          <w:rFonts w:ascii="Arial" w:hAnsi="Arial" w:cs="Arial"/>
          <w:bCs/>
          <w:sz w:val="21"/>
          <w:szCs w:val="21"/>
          <w:lang w:eastAsia="en-US"/>
        </w:rPr>
        <w:t>17</w:t>
      </w:r>
      <w:r w:rsidR="00E17446" w:rsidRPr="0013505A">
        <w:rPr>
          <w:rFonts w:ascii="Arial" w:hAnsi="Arial" w:cs="Arial"/>
          <w:bCs/>
          <w:sz w:val="21"/>
          <w:szCs w:val="21"/>
          <w:lang w:eastAsia="en-US"/>
        </w:rPr>
        <w:t>,</w:t>
      </w:r>
      <w:r w:rsidR="003B38CA" w:rsidRPr="0013505A">
        <w:rPr>
          <w:rFonts w:ascii="Arial" w:hAnsi="Arial" w:cs="Arial"/>
          <w:bCs/>
          <w:sz w:val="21"/>
          <w:szCs w:val="21"/>
          <w:lang w:eastAsia="en-US"/>
        </w:rPr>
        <w:t>5</w:t>
      </w:r>
      <w:r w:rsidR="00E17446" w:rsidRPr="0013505A">
        <w:rPr>
          <w:rFonts w:ascii="Arial" w:hAnsi="Arial" w:cs="Arial"/>
          <w:bCs/>
          <w:sz w:val="21"/>
          <w:szCs w:val="21"/>
          <w:lang w:eastAsia="en-US"/>
        </w:rPr>
        <w:t xml:space="preserve">% </w:t>
      </w:r>
      <w:r w:rsidR="007A7DCF" w:rsidRPr="0013505A">
        <w:rPr>
          <w:rFonts w:ascii="Arial" w:hAnsi="Arial" w:cs="Arial"/>
          <w:bCs/>
          <w:sz w:val="21"/>
          <w:szCs w:val="21"/>
          <w:lang w:eastAsia="en-US"/>
        </w:rPr>
        <w:t>in termini monetari</w:t>
      </w:r>
      <w:r w:rsidR="003808B0">
        <w:rPr>
          <w:rFonts w:ascii="Arial" w:hAnsi="Arial" w:cs="Arial"/>
          <w:bCs/>
          <w:sz w:val="21"/>
          <w:szCs w:val="21"/>
          <w:lang w:eastAsia="en-US"/>
        </w:rPr>
        <w:t xml:space="preserve"> </w:t>
      </w:r>
      <w:r w:rsidR="007A7DCF" w:rsidRPr="0013505A">
        <w:rPr>
          <w:rFonts w:ascii="Arial" w:hAnsi="Arial" w:cs="Arial"/>
          <w:bCs/>
          <w:sz w:val="21"/>
          <w:szCs w:val="21"/>
          <w:lang w:eastAsia="en-US"/>
        </w:rPr>
        <w:t xml:space="preserve">e </w:t>
      </w:r>
      <w:r w:rsidR="00FB23AD">
        <w:rPr>
          <w:rFonts w:ascii="Arial" w:hAnsi="Arial" w:cs="Arial"/>
          <w:bCs/>
          <w:sz w:val="21"/>
          <w:szCs w:val="21"/>
          <w:lang w:eastAsia="en-US"/>
        </w:rPr>
        <w:t xml:space="preserve">si riduce </w:t>
      </w:r>
      <w:r w:rsidRPr="0013505A">
        <w:rPr>
          <w:rFonts w:ascii="Arial" w:hAnsi="Arial" w:cs="Arial"/>
          <w:bCs/>
          <w:sz w:val="21"/>
          <w:szCs w:val="21"/>
          <w:lang w:eastAsia="en-US"/>
        </w:rPr>
        <w:t>del 2</w:t>
      </w:r>
      <w:r w:rsidR="007A7DCF" w:rsidRPr="0013505A">
        <w:rPr>
          <w:rFonts w:ascii="Arial" w:hAnsi="Arial" w:cs="Arial"/>
          <w:bCs/>
          <w:sz w:val="21"/>
          <w:szCs w:val="21"/>
          <w:lang w:eastAsia="en-US"/>
        </w:rPr>
        <w:t>,</w:t>
      </w:r>
      <w:r w:rsidR="003B38CA" w:rsidRPr="0013505A">
        <w:rPr>
          <w:rFonts w:ascii="Arial" w:hAnsi="Arial" w:cs="Arial"/>
          <w:bCs/>
          <w:sz w:val="21"/>
          <w:szCs w:val="21"/>
          <w:lang w:eastAsia="en-US"/>
        </w:rPr>
        <w:t>7</w:t>
      </w:r>
      <w:r w:rsidR="007A7DCF" w:rsidRPr="0013505A">
        <w:rPr>
          <w:rFonts w:ascii="Arial" w:hAnsi="Arial" w:cs="Arial"/>
          <w:bCs/>
          <w:sz w:val="21"/>
          <w:szCs w:val="21"/>
          <w:lang w:eastAsia="en-US"/>
        </w:rPr>
        <w:t xml:space="preserve">% in volume. </w:t>
      </w:r>
      <w:r w:rsidR="008F224F" w:rsidRPr="0013505A">
        <w:rPr>
          <w:rFonts w:ascii="Arial" w:hAnsi="Arial" w:cs="Arial"/>
          <w:bCs/>
          <w:sz w:val="21"/>
          <w:szCs w:val="21"/>
        </w:rPr>
        <w:t>La crescita</w:t>
      </w:r>
      <w:r w:rsidR="007A7DCF" w:rsidRPr="0013505A">
        <w:rPr>
          <w:rFonts w:ascii="Arial" w:hAnsi="Arial" w:cs="Arial"/>
          <w:bCs/>
          <w:sz w:val="21"/>
          <w:szCs w:val="21"/>
          <w:lang w:eastAsia="en-US"/>
        </w:rPr>
        <w:t xml:space="preserve"> dell’export in valore </w:t>
      </w:r>
      <w:r w:rsidR="008F224F" w:rsidRPr="0013505A">
        <w:rPr>
          <w:rFonts w:ascii="Arial" w:hAnsi="Arial" w:cs="Arial"/>
          <w:bCs/>
          <w:sz w:val="21"/>
          <w:szCs w:val="21"/>
          <w:lang w:eastAsia="en-US"/>
        </w:rPr>
        <w:t>è più sostenuta verso</w:t>
      </w:r>
      <w:r w:rsidR="003B38CA" w:rsidRPr="0013505A">
        <w:rPr>
          <w:rFonts w:ascii="Arial" w:hAnsi="Arial" w:cs="Arial"/>
          <w:bCs/>
          <w:sz w:val="21"/>
          <w:szCs w:val="21"/>
          <w:lang w:eastAsia="en-US"/>
        </w:rPr>
        <w:t xml:space="preserve"> l’area Ue</w:t>
      </w:r>
      <w:r w:rsidR="008F224F" w:rsidRPr="0013505A">
        <w:rPr>
          <w:rFonts w:ascii="Arial" w:hAnsi="Arial" w:cs="Arial"/>
          <w:bCs/>
          <w:sz w:val="21"/>
          <w:szCs w:val="21"/>
          <w:lang w:eastAsia="en-US"/>
        </w:rPr>
        <w:t xml:space="preserve"> </w:t>
      </w:r>
      <w:r w:rsidR="003B38CA" w:rsidRPr="0013505A">
        <w:rPr>
          <w:rFonts w:ascii="Arial" w:hAnsi="Arial" w:cs="Arial"/>
          <w:bCs/>
          <w:sz w:val="21"/>
          <w:szCs w:val="21"/>
          <w:lang w:eastAsia="en-US"/>
        </w:rPr>
        <w:t>(+18</w:t>
      </w:r>
      <w:r w:rsidR="008F224F" w:rsidRPr="0013505A">
        <w:rPr>
          <w:rFonts w:ascii="Arial" w:hAnsi="Arial" w:cs="Arial"/>
          <w:bCs/>
          <w:sz w:val="21"/>
          <w:szCs w:val="21"/>
          <w:lang w:eastAsia="en-US"/>
        </w:rPr>
        <w:t>,2%) rispetto</w:t>
      </w:r>
      <w:r w:rsidR="003B38CA" w:rsidRPr="0013505A">
        <w:rPr>
          <w:rFonts w:ascii="Arial" w:hAnsi="Arial" w:cs="Arial"/>
          <w:bCs/>
          <w:sz w:val="21"/>
          <w:szCs w:val="21"/>
          <w:lang w:eastAsia="en-US"/>
        </w:rPr>
        <w:t xml:space="preserve"> ai mercati extra Ue</w:t>
      </w:r>
      <w:r w:rsidR="007A7DCF" w:rsidRPr="0013505A">
        <w:rPr>
          <w:rFonts w:ascii="Arial" w:hAnsi="Arial" w:cs="Arial"/>
          <w:bCs/>
          <w:sz w:val="21"/>
          <w:szCs w:val="21"/>
          <w:lang w:eastAsia="en-US"/>
        </w:rPr>
        <w:t xml:space="preserve"> (+</w:t>
      </w:r>
      <w:r w:rsidRPr="0013505A">
        <w:rPr>
          <w:rFonts w:ascii="Arial" w:hAnsi="Arial" w:cs="Arial"/>
          <w:bCs/>
          <w:sz w:val="21"/>
          <w:szCs w:val="21"/>
          <w:lang w:eastAsia="en-US"/>
        </w:rPr>
        <w:t>1</w:t>
      </w:r>
      <w:r w:rsidR="003B38CA" w:rsidRPr="0013505A">
        <w:rPr>
          <w:rFonts w:ascii="Arial" w:hAnsi="Arial" w:cs="Arial"/>
          <w:bCs/>
          <w:sz w:val="21"/>
          <w:szCs w:val="21"/>
          <w:lang w:eastAsia="en-US"/>
        </w:rPr>
        <w:t>6,8</w:t>
      </w:r>
      <w:r w:rsidR="007A7DCF" w:rsidRPr="0013505A">
        <w:rPr>
          <w:rFonts w:ascii="Arial" w:hAnsi="Arial" w:cs="Arial"/>
          <w:bCs/>
          <w:sz w:val="21"/>
          <w:szCs w:val="21"/>
          <w:lang w:eastAsia="en-US"/>
        </w:rPr>
        <w:t xml:space="preserve">%). L’import </w:t>
      </w:r>
      <w:r w:rsidR="00EC1D26" w:rsidRPr="0013505A">
        <w:rPr>
          <w:rFonts w:ascii="Arial" w:hAnsi="Arial" w:cs="Arial"/>
          <w:bCs/>
          <w:sz w:val="21"/>
          <w:szCs w:val="21"/>
          <w:lang w:eastAsia="en-US"/>
        </w:rPr>
        <w:t xml:space="preserve">in valore </w:t>
      </w:r>
      <w:r w:rsidR="007A7DCF" w:rsidRPr="0013505A">
        <w:rPr>
          <w:rFonts w:ascii="Arial" w:hAnsi="Arial" w:cs="Arial"/>
          <w:bCs/>
          <w:sz w:val="21"/>
          <w:szCs w:val="21"/>
          <w:lang w:eastAsia="en-US"/>
        </w:rPr>
        <w:t>registra</w:t>
      </w:r>
      <w:r w:rsidR="003B38CA" w:rsidRPr="0013505A">
        <w:rPr>
          <w:rFonts w:ascii="Arial" w:hAnsi="Arial" w:cs="Arial"/>
          <w:bCs/>
          <w:sz w:val="21"/>
          <w:szCs w:val="21"/>
          <w:lang w:eastAsia="en-US"/>
        </w:rPr>
        <w:t xml:space="preserve"> un incremento tendenziale del 28</w:t>
      </w:r>
      <w:r w:rsidR="007A7DCF" w:rsidRPr="0013505A">
        <w:rPr>
          <w:rFonts w:ascii="Arial" w:hAnsi="Arial" w:cs="Arial"/>
          <w:bCs/>
          <w:sz w:val="21"/>
          <w:szCs w:val="21"/>
          <w:lang w:eastAsia="en-US"/>
        </w:rPr>
        <w:t>,</w:t>
      </w:r>
      <w:r w:rsidR="003B38CA" w:rsidRPr="0013505A">
        <w:rPr>
          <w:rFonts w:ascii="Arial" w:hAnsi="Arial" w:cs="Arial"/>
          <w:bCs/>
          <w:sz w:val="21"/>
          <w:szCs w:val="21"/>
          <w:lang w:eastAsia="en-US"/>
        </w:rPr>
        <w:t>2</w:t>
      </w:r>
      <w:r w:rsidR="007A7DCF" w:rsidRPr="0013505A">
        <w:rPr>
          <w:rFonts w:ascii="Arial" w:hAnsi="Arial" w:cs="Arial"/>
          <w:bCs/>
          <w:sz w:val="21"/>
          <w:szCs w:val="21"/>
          <w:lang w:eastAsia="en-US"/>
        </w:rPr>
        <w:t>%</w:t>
      </w:r>
      <w:r w:rsidR="004003B9" w:rsidRPr="0013505A">
        <w:rPr>
          <w:rFonts w:ascii="Arial" w:hAnsi="Arial" w:cs="Arial"/>
          <w:bCs/>
          <w:sz w:val="21"/>
          <w:szCs w:val="21"/>
          <w:lang w:eastAsia="en-US"/>
        </w:rPr>
        <w:t xml:space="preserve"> </w:t>
      </w:r>
      <w:r w:rsidR="008B61C8" w:rsidRPr="0013505A">
        <w:rPr>
          <w:rFonts w:ascii="Arial" w:hAnsi="Arial" w:cs="Arial"/>
          <w:sz w:val="20"/>
          <w:szCs w:val="20"/>
        </w:rPr>
        <w:t>–</w:t>
      </w:r>
      <w:r w:rsidR="007A7DCF" w:rsidRPr="0013505A">
        <w:rPr>
          <w:rFonts w:ascii="Arial" w:hAnsi="Arial" w:cs="Arial"/>
          <w:bCs/>
          <w:sz w:val="21"/>
          <w:szCs w:val="21"/>
          <w:lang w:eastAsia="en-US"/>
        </w:rPr>
        <w:t xml:space="preserve"> </w:t>
      </w:r>
      <w:r w:rsidR="002946D7" w:rsidRPr="0013505A">
        <w:rPr>
          <w:rFonts w:ascii="Arial" w:hAnsi="Arial" w:cs="Arial"/>
          <w:bCs/>
          <w:sz w:val="21"/>
          <w:szCs w:val="21"/>
          <w:lang w:eastAsia="en-US"/>
        </w:rPr>
        <w:t>molto più intenso per</w:t>
      </w:r>
      <w:r w:rsidR="003B38CA" w:rsidRPr="0013505A">
        <w:rPr>
          <w:rFonts w:ascii="Arial" w:hAnsi="Arial" w:cs="Arial"/>
          <w:bCs/>
          <w:sz w:val="21"/>
          <w:szCs w:val="21"/>
          <w:lang w:eastAsia="en-US"/>
        </w:rPr>
        <w:t xml:space="preserve"> l’area extra Ue (+3</w:t>
      </w:r>
      <w:r w:rsidRPr="0013505A">
        <w:rPr>
          <w:rFonts w:ascii="Arial" w:hAnsi="Arial" w:cs="Arial"/>
          <w:bCs/>
          <w:sz w:val="21"/>
          <w:szCs w:val="21"/>
          <w:lang w:eastAsia="en-US"/>
        </w:rPr>
        <w:t>9,</w:t>
      </w:r>
      <w:r w:rsidR="003B38CA" w:rsidRPr="0013505A">
        <w:rPr>
          <w:rFonts w:ascii="Arial" w:hAnsi="Arial" w:cs="Arial"/>
          <w:bCs/>
          <w:sz w:val="21"/>
          <w:szCs w:val="21"/>
          <w:lang w:eastAsia="en-US"/>
        </w:rPr>
        <w:t>4</w:t>
      </w:r>
      <w:r w:rsidRPr="0013505A">
        <w:rPr>
          <w:rFonts w:ascii="Arial" w:hAnsi="Arial" w:cs="Arial"/>
          <w:bCs/>
          <w:sz w:val="21"/>
          <w:szCs w:val="21"/>
          <w:lang w:eastAsia="en-US"/>
        </w:rPr>
        <w:t>%) rispetto all’area Ue (+</w:t>
      </w:r>
      <w:r w:rsidR="003B38CA" w:rsidRPr="0013505A">
        <w:rPr>
          <w:rFonts w:ascii="Arial" w:hAnsi="Arial" w:cs="Arial"/>
          <w:bCs/>
          <w:sz w:val="21"/>
          <w:szCs w:val="21"/>
          <w:lang w:eastAsia="en-US"/>
        </w:rPr>
        <w:t>19</w:t>
      </w:r>
      <w:r w:rsidR="007A7DCF" w:rsidRPr="0013505A">
        <w:rPr>
          <w:rFonts w:ascii="Arial" w:hAnsi="Arial" w:cs="Arial"/>
          <w:bCs/>
          <w:sz w:val="21"/>
          <w:szCs w:val="21"/>
          <w:lang w:eastAsia="en-US"/>
        </w:rPr>
        <w:t>,</w:t>
      </w:r>
      <w:r w:rsidR="003B38CA" w:rsidRPr="0013505A">
        <w:rPr>
          <w:rFonts w:ascii="Arial" w:hAnsi="Arial" w:cs="Arial"/>
          <w:bCs/>
          <w:sz w:val="21"/>
          <w:szCs w:val="21"/>
          <w:lang w:eastAsia="en-US"/>
        </w:rPr>
        <w:t>0</w:t>
      </w:r>
      <w:r w:rsidR="007A7DCF" w:rsidRPr="0013505A">
        <w:rPr>
          <w:rFonts w:ascii="Arial" w:hAnsi="Arial" w:cs="Arial"/>
          <w:bCs/>
          <w:sz w:val="21"/>
          <w:szCs w:val="21"/>
          <w:lang w:eastAsia="en-US"/>
        </w:rPr>
        <w:t>%)</w:t>
      </w:r>
      <w:r w:rsidR="004003B9" w:rsidRPr="0013505A">
        <w:rPr>
          <w:rFonts w:ascii="Arial" w:hAnsi="Arial" w:cs="Arial"/>
          <w:bCs/>
          <w:sz w:val="21"/>
          <w:szCs w:val="21"/>
          <w:lang w:eastAsia="en-US"/>
        </w:rPr>
        <w:t xml:space="preserve"> </w:t>
      </w:r>
      <w:r w:rsidR="008B61C8" w:rsidRPr="0013505A">
        <w:rPr>
          <w:rFonts w:ascii="Arial" w:hAnsi="Arial" w:cs="Arial"/>
          <w:sz w:val="20"/>
          <w:szCs w:val="20"/>
        </w:rPr>
        <w:t>–</w:t>
      </w:r>
      <w:r w:rsidR="00EC1D26" w:rsidRPr="0013505A">
        <w:rPr>
          <w:rFonts w:ascii="Arial" w:hAnsi="Arial" w:cs="Arial"/>
          <w:bCs/>
          <w:sz w:val="21"/>
          <w:szCs w:val="21"/>
          <w:lang w:eastAsia="en-US"/>
        </w:rPr>
        <w:t xml:space="preserve"> </w:t>
      </w:r>
      <w:r w:rsidR="004003B9" w:rsidRPr="0013505A">
        <w:rPr>
          <w:rFonts w:ascii="Arial" w:hAnsi="Arial" w:cs="Arial"/>
          <w:bCs/>
          <w:sz w:val="21"/>
          <w:szCs w:val="21"/>
          <w:lang w:eastAsia="en-US"/>
        </w:rPr>
        <w:t>m</w:t>
      </w:r>
      <w:r w:rsidR="00EC1D26" w:rsidRPr="0013505A">
        <w:rPr>
          <w:rFonts w:ascii="Arial" w:hAnsi="Arial" w:cs="Arial"/>
          <w:bCs/>
          <w:sz w:val="21"/>
          <w:szCs w:val="21"/>
          <w:lang w:eastAsia="en-US"/>
        </w:rPr>
        <w:t xml:space="preserve">entre </w:t>
      </w:r>
      <w:r w:rsidR="00AC43CC" w:rsidRPr="0013505A">
        <w:rPr>
          <w:rFonts w:ascii="Arial" w:hAnsi="Arial" w:cs="Arial"/>
          <w:bCs/>
          <w:sz w:val="21"/>
          <w:szCs w:val="21"/>
          <w:lang w:eastAsia="en-US"/>
        </w:rPr>
        <w:t xml:space="preserve">in volume </w:t>
      </w:r>
      <w:r w:rsidR="003D74ED" w:rsidRPr="0013505A">
        <w:rPr>
          <w:rFonts w:ascii="Arial" w:hAnsi="Arial" w:cs="Arial"/>
          <w:bCs/>
          <w:sz w:val="21"/>
          <w:szCs w:val="21"/>
          <w:lang w:eastAsia="en-US"/>
        </w:rPr>
        <w:t>è</w:t>
      </w:r>
      <w:r w:rsidR="003B38CA" w:rsidRPr="0013505A">
        <w:rPr>
          <w:rFonts w:ascii="Arial" w:hAnsi="Arial" w:cs="Arial"/>
          <w:bCs/>
          <w:sz w:val="21"/>
          <w:szCs w:val="21"/>
          <w:lang w:eastAsia="en-US"/>
        </w:rPr>
        <w:t xml:space="preserve"> sostanzialmente invariato (+</w:t>
      </w:r>
      <w:r w:rsidR="00EC1D26" w:rsidRPr="0013505A">
        <w:rPr>
          <w:rFonts w:ascii="Arial" w:hAnsi="Arial" w:cs="Arial"/>
          <w:bCs/>
          <w:sz w:val="21"/>
          <w:szCs w:val="21"/>
          <w:lang w:eastAsia="en-US"/>
        </w:rPr>
        <w:t>0,</w:t>
      </w:r>
      <w:r w:rsidR="003B38CA" w:rsidRPr="0013505A">
        <w:rPr>
          <w:rFonts w:ascii="Arial" w:hAnsi="Arial" w:cs="Arial"/>
          <w:bCs/>
          <w:sz w:val="21"/>
          <w:szCs w:val="21"/>
          <w:lang w:eastAsia="en-US"/>
        </w:rPr>
        <w:t>6</w:t>
      </w:r>
      <w:r w:rsidR="00EC1D26" w:rsidRPr="0013505A">
        <w:rPr>
          <w:rFonts w:ascii="Arial" w:hAnsi="Arial" w:cs="Arial"/>
          <w:bCs/>
          <w:sz w:val="21"/>
          <w:szCs w:val="21"/>
          <w:lang w:eastAsia="en-US"/>
        </w:rPr>
        <w:t>%).</w:t>
      </w:r>
    </w:p>
    <w:p w14:paraId="6070761F" w14:textId="54750B07" w:rsidR="00FC2A8B" w:rsidRPr="0013505A" w:rsidRDefault="00FC2A8B" w:rsidP="004C3CD2">
      <w:pPr>
        <w:numPr>
          <w:ilvl w:val="0"/>
          <w:numId w:val="22"/>
        </w:numPr>
        <w:tabs>
          <w:tab w:val="left" w:pos="426"/>
          <w:tab w:val="left" w:pos="1843"/>
        </w:tabs>
        <w:spacing w:after="120" w:line="230" w:lineRule="exact"/>
        <w:ind w:left="357" w:hanging="357"/>
        <w:jc w:val="both"/>
        <w:rPr>
          <w:rFonts w:ascii="Arial" w:hAnsi="Arial" w:cs="Arial"/>
          <w:bCs/>
          <w:sz w:val="21"/>
          <w:szCs w:val="21"/>
          <w:lang w:eastAsia="en-US"/>
        </w:rPr>
      </w:pPr>
      <w:r w:rsidRPr="0013505A">
        <w:rPr>
          <w:rFonts w:ascii="Arial" w:hAnsi="Arial" w:cs="Arial"/>
          <w:bCs/>
          <w:sz w:val="21"/>
          <w:szCs w:val="21"/>
          <w:lang w:eastAsia="en-US"/>
        </w:rPr>
        <w:t>Tra i settori che contribuiscono maggiormente all’aumento tendenziale dell’export si segnalano: articoli farmaceutici, c</w:t>
      </w:r>
      <w:r w:rsidR="005816B9" w:rsidRPr="0013505A">
        <w:rPr>
          <w:rFonts w:ascii="Arial" w:hAnsi="Arial" w:cs="Arial"/>
          <w:bCs/>
          <w:sz w:val="21"/>
          <w:szCs w:val="21"/>
          <w:lang w:eastAsia="en-US"/>
        </w:rPr>
        <w:t>h</w:t>
      </w:r>
      <w:r w:rsidR="00547E9F" w:rsidRPr="0013505A">
        <w:rPr>
          <w:rFonts w:ascii="Arial" w:hAnsi="Arial" w:cs="Arial"/>
          <w:bCs/>
          <w:sz w:val="21"/>
          <w:szCs w:val="21"/>
          <w:lang w:eastAsia="en-US"/>
        </w:rPr>
        <w:t>imico-medicinali e botanici (+31</w:t>
      </w:r>
      <w:r w:rsidRPr="0013505A">
        <w:rPr>
          <w:rFonts w:ascii="Arial" w:hAnsi="Arial" w:cs="Arial"/>
          <w:bCs/>
          <w:sz w:val="21"/>
          <w:szCs w:val="21"/>
          <w:lang w:eastAsia="en-US"/>
        </w:rPr>
        <w:t>,</w:t>
      </w:r>
      <w:r w:rsidR="00547E9F" w:rsidRPr="0013505A">
        <w:rPr>
          <w:rFonts w:ascii="Arial" w:hAnsi="Arial" w:cs="Arial"/>
          <w:bCs/>
          <w:sz w:val="21"/>
          <w:szCs w:val="21"/>
          <w:lang w:eastAsia="en-US"/>
        </w:rPr>
        <w:t>7</w:t>
      </w:r>
      <w:r w:rsidRPr="0013505A">
        <w:rPr>
          <w:rFonts w:ascii="Arial" w:hAnsi="Arial" w:cs="Arial"/>
          <w:bCs/>
          <w:sz w:val="21"/>
          <w:szCs w:val="21"/>
          <w:lang w:eastAsia="en-US"/>
        </w:rPr>
        <w:t xml:space="preserve">%), </w:t>
      </w:r>
      <w:r w:rsidR="00547E9F" w:rsidRPr="0013505A">
        <w:rPr>
          <w:rFonts w:ascii="Arial" w:hAnsi="Arial" w:cs="Arial"/>
          <w:bCs/>
          <w:sz w:val="21"/>
          <w:szCs w:val="21"/>
          <w:lang w:eastAsia="en-US"/>
        </w:rPr>
        <w:t xml:space="preserve">macchinari e apparecchi </w:t>
      </w:r>
      <w:r w:rsidR="003E3688">
        <w:rPr>
          <w:rFonts w:ascii="Arial" w:hAnsi="Arial" w:cs="Arial"/>
          <w:bCs/>
          <w:sz w:val="21"/>
          <w:szCs w:val="21"/>
          <w:lang w:eastAsia="en-US"/>
        </w:rPr>
        <w:t xml:space="preserve">n.c.a. </w:t>
      </w:r>
      <w:r w:rsidR="00547E9F" w:rsidRPr="0013505A">
        <w:rPr>
          <w:rFonts w:ascii="Arial" w:hAnsi="Arial" w:cs="Arial"/>
          <w:bCs/>
          <w:sz w:val="21"/>
          <w:szCs w:val="21"/>
          <w:lang w:eastAsia="en-US"/>
        </w:rPr>
        <w:t>(+13,2</w:t>
      </w:r>
      <w:r w:rsidR="005816B9" w:rsidRPr="0013505A">
        <w:rPr>
          <w:rFonts w:ascii="Arial" w:hAnsi="Arial" w:cs="Arial"/>
          <w:bCs/>
          <w:sz w:val="21"/>
          <w:szCs w:val="21"/>
          <w:lang w:eastAsia="en-US"/>
        </w:rPr>
        <w:t xml:space="preserve">%), </w:t>
      </w:r>
      <w:r w:rsidR="00547E9F" w:rsidRPr="0013505A">
        <w:rPr>
          <w:rFonts w:ascii="Arial" w:hAnsi="Arial" w:cs="Arial"/>
          <w:bCs/>
          <w:sz w:val="21"/>
          <w:szCs w:val="21"/>
          <w:lang w:eastAsia="en-US"/>
        </w:rPr>
        <w:t xml:space="preserve">prodotti petroliferi raffinati (+65,3%), </w:t>
      </w:r>
      <w:r w:rsidR="005816B9" w:rsidRPr="0013505A">
        <w:rPr>
          <w:rFonts w:ascii="Arial" w:hAnsi="Arial" w:cs="Arial"/>
          <w:bCs/>
          <w:sz w:val="21"/>
          <w:szCs w:val="21"/>
          <w:lang w:eastAsia="en-US"/>
        </w:rPr>
        <w:t>metalli di base e prodotti in metallo, esclu</w:t>
      </w:r>
      <w:r w:rsidR="00547E9F" w:rsidRPr="0013505A">
        <w:rPr>
          <w:rFonts w:ascii="Arial" w:hAnsi="Arial" w:cs="Arial"/>
          <w:bCs/>
          <w:sz w:val="21"/>
          <w:szCs w:val="21"/>
          <w:lang w:eastAsia="en-US"/>
        </w:rPr>
        <w:t>si macchine e impianti (+15,2</w:t>
      </w:r>
      <w:r w:rsidR="00BE1B31" w:rsidRPr="0013505A">
        <w:rPr>
          <w:rFonts w:ascii="Arial" w:hAnsi="Arial" w:cs="Arial"/>
          <w:bCs/>
          <w:sz w:val="21"/>
          <w:szCs w:val="21"/>
          <w:lang w:eastAsia="en-US"/>
        </w:rPr>
        <w:t>%)</w:t>
      </w:r>
      <w:r w:rsidR="00547E9F" w:rsidRPr="0013505A">
        <w:rPr>
          <w:rFonts w:ascii="Arial" w:hAnsi="Arial" w:cs="Arial"/>
          <w:bCs/>
          <w:sz w:val="21"/>
          <w:szCs w:val="21"/>
          <w:lang w:eastAsia="en-US"/>
        </w:rPr>
        <w:t>, sostanze e prodotti chimici (+18,5%)</w:t>
      </w:r>
      <w:r w:rsidR="00BE1B31" w:rsidRPr="0013505A">
        <w:rPr>
          <w:rFonts w:ascii="Arial" w:hAnsi="Arial" w:cs="Arial"/>
          <w:bCs/>
          <w:sz w:val="21"/>
          <w:szCs w:val="21"/>
          <w:lang w:eastAsia="en-US"/>
        </w:rPr>
        <w:t xml:space="preserve"> e</w:t>
      </w:r>
      <w:r w:rsidR="005816B9" w:rsidRPr="0013505A">
        <w:rPr>
          <w:rFonts w:ascii="Arial" w:hAnsi="Arial" w:cs="Arial"/>
          <w:bCs/>
          <w:sz w:val="21"/>
          <w:szCs w:val="21"/>
          <w:lang w:eastAsia="en-US"/>
        </w:rPr>
        <w:t xml:space="preserve"> </w:t>
      </w:r>
      <w:r w:rsidR="001F4743" w:rsidRPr="0013505A">
        <w:rPr>
          <w:rFonts w:ascii="Arial" w:hAnsi="Arial" w:cs="Arial"/>
          <w:bCs/>
          <w:sz w:val="21"/>
          <w:szCs w:val="21"/>
          <w:lang w:eastAsia="en-US"/>
        </w:rPr>
        <w:t>prodotti a</w:t>
      </w:r>
      <w:r w:rsidR="005816B9" w:rsidRPr="0013505A">
        <w:rPr>
          <w:rFonts w:ascii="Arial" w:hAnsi="Arial" w:cs="Arial"/>
          <w:bCs/>
          <w:sz w:val="21"/>
          <w:szCs w:val="21"/>
          <w:lang w:eastAsia="en-US"/>
        </w:rPr>
        <w:t>l</w:t>
      </w:r>
      <w:r w:rsidR="00547E9F" w:rsidRPr="0013505A">
        <w:rPr>
          <w:rFonts w:ascii="Arial" w:hAnsi="Arial" w:cs="Arial"/>
          <w:bCs/>
          <w:sz w:val="21"/>
          <w:szCs w:val="21"/>
          <w:lang w:eastAsia="en-US"/>
        </w:rPr>
        <w:t>imentari, bevande e tabacco (+12</w:t>
      </w:r>
      <w:r w:rsidR="001F4743" w:rsidRPr="0013505A">
        <w:rPr>
          <w:rFonts w:ascii="Arial" w:hAnsi="Arial" w:cs="Arial"/>
          <w:bCs/>
          <w:sz w:val="21"/>
          <w:szCs w:val="21"/>
          <w:lang w:eastAsia="en-US"/>
        </w:rPr>
        <w:t>,</w:t>
      </w:r>
      <w:r w:rsidR="00547E9F" w:rsidRPr="0013505A">
        <w:rPr>
          <w:rFonts w:ascii="Arial" w:hAnsi="Arial" w:cs="Arial"/>
          <w:bCs/>
          <w:sz w:val="21"/>
          <w:szCs w:val="21"/>
          <w:lang w:eastAsia="en-US"/>
        </w:rPr>
        <w:t>1</w:t>
      </w:r>
      <w:r w:rsidR="00BE1B31" w:rsidRPr="0013505A">
        <w:rPr>
          <w:rFonts w:ascii="Arial" w:hAnsi="Arial" w:cs="Arial"/>
          <w:bCs/>
          <w:sz w:val="21"/>
          <w:szCs w:val="21"/>
          <w:lang w:eastAsia="en-US"/>
        </w:rPr>
        <w:t>%)</w:t>
      </w:r>
      <w:r w:rsidRPr="0013505A">
        <w:rPr>
          <w:rFonts w:ascii="Arial" w:hAnsi="Arial" w:cs="Arial"/>
          <w:bCs/>
          <w:sz w:val="21"/>
          <w:szCs w:val="21"/>
          <w:lang w:eastAsia="en-US"/>
        </w:rPr>
        <w:t>.</w:t>
      </w:r>
    </w:p>
    <w:p w14:paraId="5570797F" w14:textId="009A6894" w:rsidR="00FC2A8B" w:rsidRPr="00C53939" w:rsidRDefault="00FC2A8B" w:rsidP="004C3CD2">
      <w:pPr>
        <w:numPr>
          <w:ilvl w:val="0"/>
          <w:numId w:val="22"/>
        </w:numPr>
        <w:tabs>
          <w:tab w:val="left" w:pos="426"/>
          <w:tab w:val="left" w:pos="1843"/>
        </w:tabs>
        <w:spacing w:after="120" w:line="230" w:lineRule="exact"/>
        <w:ind w:left="357" w:hanging="357"/>
        <w:jc w:val="both"/>
        <w:rPr>
          <w:rFonts w:ascii="Arial" w:hAnsi="Arial" w:cs="Arial"/>
          <w:bCs/>
          <w:sz w:val="21"/>
          <w:szCs w:val="21"/>
          <w:lang w:eastAsia="en-US"/>
        </w:rPr>
      </w:pPr>
      <w:r w:rsidRPr="00C53939">
        <w:rPr>
          <w:rFonts w:ascii="Arial" w:hAnsi="Arial" w:cs="Arial"/>
          <w:bCs/>
          <w:sz w:val="21"/>
          <w:szCs w:val="21"/>
          <w:lang w:eastAsia="en-US"/>
        </w:rPr>
        <w:t>Su base annua, i paesi che forniscono i contributi maggiori all’incremento dell’export nazionale sono</w:t>
      </w:r>
      <w:r w:rsidR="00670338" w:rsidRPr="00C53939">
        <w:rPr>
          <w:rFonts w:ascii="Arial" w:hAnsi="Arial" w:cs="Arial"/>
          <w:bCs/>
          <w:sz w:val="21"/>
          <w:szCs w:val="21"/>
          <w:lang w:eastAsia="en-US"/>
        </w:rPr>
        <w:t>:</w:t>
      </w:r>
      <w:r w:rsidRPr="00C53939">
        <w:rPr>
          <w:rFonts w:ascii="Arial" w:hAnsi="Arial" w:cs="Arial"/>
          <w:bCs/>
          <w:sz w:val="21"/>
          <w:szCs w:val="21"/>
          <w:lang w:eastAsia="en-US"/>
        </w:rPr>
        <w:t xml:space="preserve"> </w:t>
      </w:r>
      <w:r w:rsidR="00570DD2" w:rsidRPr="00C53939">
        <w:rPr>
          <w:rFonts w:ascii="Arial" w:hAnsi="Arial" w:cs="Arial"/>
          <w:bCs/>
          <w:sz w:val="21"/>
          <w:szCs w:val="21"/>
          <w:lang w:eastAsia="en-US"/>
        </w:rPr>
        <w:t>Stati Uniti (+34</w:t>
      </w:r>
      <w:r w:rsidR="005816B9" w:rsidRPr="00C53939">
        <w:rPr>
          <w:rFonts w:ascii="Arial" w:hAnsi="Arial" w:cs="Arial"/>
          <w:bCs/>
          <w:sz w:val="21"/>
          <w:szCs w:val="21"/>
          <w:lang w:eastAsia="en-US"/>
        </w:rPr>
        <w:t>,</w:t>
      </w:r>
      <w:r w:rsidR="00570DD2" w:rsidRPr="00C53939">
        <w:rPr>
          <w:rFonts w:ascii="Arial" w:hAnsi="Arial" w:cs="Arial"/>
          <w:bCs/>
          <w:sz w:val="21"/>
          <w:szCs w:val="21"/>
          <w:lang w:eastAsia="en-US"/>
        </w:rPr>
        <w:t>2</w:t>
      </w:r>
      <w:r w:rsidR="005816B9" w:rsidRPr="00C53939">
        <w:rPr>
          <w:rFonts w:ascii="Arial" w:hAnsi="Arial" w:cs="Arial"/>
          <w:bCs/>
          <w:sz w:val="21"/>
          <w:szCs w:val="21"/>
          <w:lang w:eastAsia="en-US"/>
        </w:rPr>
        <w:t xml:space="preserve">%), </w:t>
      </w:r>
      <w:r w:rsidR="00570DD2" w:rsidRPr="00C53939">
        <w:rPr>
          <w:rFonts w:ascii="Arial" w:hAnsi="Arial" w:cs="Arial"/>
          <w:bCs/>
          <w:sz w:val="21"/>
          <w:szCs w:val="21"/>
          <w:lang w:eastAsia="en-US"/>
        </w:rPr>
        <w:t xml:space="preserve">Germania </w:t>
      </w:r>
      <w:r w:rsidR="00C64F49">
        <w:rPr>
          <w:rFonts w:ascii="Arial" w:hAnsi="Arial" w:cs="Arial"/>
          <w:bCs/>
          <w:sz w:val="21"/>
          <w:szCs w:val="21"/>
          <w:lang w:eastAsia="en-US"/>
        </w:rPr>
        <w:t xml:space="preserve">e </w:t>
      </w:r>
      <w:r w:rsidR="005816B9" w:rsidRPr="00C53939">
        <w:rPr>
          <w:rFonts w:ascii="Arial" w:hAnsi="Arial" w:cs="Arial"/>
          <w:bCs/>
          <w:sz w:val="21"/>
          <w:szCs w:val="21"/>
          <w:lang w:eastAsia="en-US"/>
        </w:rPr>
        <w:t>Francia (</w:t>
      </w:r>
      <w:r w:rsidR="00C64F49">
        <w:rPr>
          <w:rFonts w:ascii="Arial" w:hAnsi="Arial" w:cs="Arial"/>
          <w:bCs/>
          <w:sz w:val="21"/>
          <w:szCs w:val="21"/>
          <w:lang w:eastAsia="en-US"/>
        </w:rPr>
        <w:t xml:space="preserve">per entrambi </w:t>
      </w:r>
      <w:r w:rsidR="005816B9" w:rsidRPr="00C53939">
        <w:rPr>
          <w:rFonts w:ascii="Arial" w:hAnsi="Arial" w:cs="Arial"/>
          <w:bCs/>
          <w:sz w:val="21"/>
          <w:szCs w:val="21"/>
          <w:lang w:eastAsia="en-US"/>
        </w:rPr>
        <w:t>+1</w:t>
      </w:r>
      <w:r w:rsidR="00570DD2" w:rsidRPr="00C53939">
        <w:rPr>
          <w:rFonts w:ascii="Arial" w:hAnsi="Arial" w:cs="Arial"/>
          <w:bCs/>
          <w:sz w:val="21"/>
          <w:szCs w:val="21"/>
          <w:lang w:eastAsia="en-US"/>
        </w:rPr>
        <w:t>5</w:t>
      </w:r>
      <w:r w:rsidR="001F4743" w:rsidRPr="00C53939">
        <w:rPr>
          <w:rFonts w:ascii="Arial" w:hAnsi="Arial" w:cs="Arial"/>
          <w:bCs/>
          <w:sz w:val="21"/>
          <w:szCs w:val="21"/>
          <w:lang w:eastAsia="en-US"/>
        </w:rPr>
        <w:t>,</w:t>
      </w:r>
      <w:r w:rsidR="00570DD2" w:rsidRPr="00C53939">
        <w:rPr>
          <w:rFonts w:ascii="Arial" w:hAnsi="Arial" w:cs="Arial"/>
          <w:bCs/>
          <w:sz w:val="21"/>
          <w:szCs w:val="21"/>
          <w:lang w:eastAsia="en-US"/>
        </w:rPr>
        <w:t>0</w:t>
      </w:r>
      <w:r w:rsidR="001F4743" w:rsidRPr="00C53939">
        <w:rPr>
          <w:rFonts w:ascii="Arial" w:hAnsi="Arial" w:cs="Arial"/>
          <w:bCs/>
          <w:sz w:val="21"/>
          <w:szCs w:val="21"/>
          <w:lang w:eastAsia="en-US"/>
        </w:rPr>
        <w:t xml:space="preserve">%), </w:t>
      </w:r>
      <w:r w:rsidR="00570DD2" w:rsidRPr="00C53939">
        <w:rPr>
          <w:rFonts w:ascii="Arial" w:hAnsi="Arial" w:cs="Arial"/>
          <w:bCs/>
          <w:sz w:val="21"/>
          <w:szCs w:val="21"/>
          <w:lang w:eastAsia="en-US"/>
        </w:rPr>
        <w:t xml:space="preserve">Austria (+46,3%), Spagna (+18,7%) </w:t>
      </w:r>
      <w:r w:rsidR="009C4C39" w:rsidRPr="00C53939">
        <w:rPr>
          <w:rFonts w:ascii="Arial" w:hAnsi="Arial" w:cs="Arial"/>
          <w:bCs/>
          <w:sz w:val="21"/>
          <w:szCs w:val="21"/>
          <w:lang w:eastAsia="en-US"/>
        </w:rPr>
        <w:t>e</w:t>
      </w:r>
      <w:r w:rsidR="001F4743" w:rsidRPr="00C53939">
        <w:rPr>
          <w:rFonts w:ascii="Arial" w:hAnsi="Arial" w:cs="Arial"/>
          <w:bCs/>
          <w:sz w:val="21"/>
          <w:szCs w:val="21"/>
          <w:lang w:eastAsia="en-US"/>
        </w:rPr>
        <w:t xml:space="preserve"> </w:t>
      </w:r>
      <w:r w:rsidR="00570DD2" w:rsidRPr="00C53939">
        <w:rPr>
          <w:rFonts w:ascii="Arial" w:hAnsi="Arial" w:cs="Arial"/>
          <w:bCs/>
          <w:sz w:val="21"/>
          <w:szCs w:val="21"/>
          <w:lang w:eastAsia="en-US"/>
        </w:rPr>
        <w:t>paesi OPEC (+32</w:t>
      </w:r>
      <w:r w:rsidR="005816B9" w:rsidRPr="00C53939">
        <w:rPr>
          <w:rFonts w:ascii="Arial" w:hAnsi="Arial" w:cs="Arial"/>
          <w:bCs/>
          <w:sz w:val="21"/>
          <w:szCs w:val="21"/>
          <w:lang w:eastAsia="en-US"/>
        </w:rPr>
        <w:t>,</w:t>
      </w:r>
      <w:r w:rsidR="00570DD2" w:rsidRPr="00C53939">
        <w:rPr>
          <w:rFonts w:ascii="Arial" w:hAnsi="Arial" w:cs="Arial"/>
          <w:bCs/>
          <w:sz w:val="21"/>
          <w:szCs w:val="21"/>
          <w:lang w:eastAsia="en-US"/>
        </w:rPr>
        <w:t>0</w:t>
      </w:r>
      <w:r w:rsidR="005816B9" w:rsidRPr="00C53939">
        <w:rPr>
          <w:rFonts w:ascii="Arial" w:hAnsi="Arial" w:cs="Arial"/>
          <w:bCs/>
          <w:sz w:val="21"/>
          <w:szCs w:val="21"/>
          <w:lang w:eastAsia="en-US"/>
        </w:rPr>
        <w:t>%)</w:t>
      </w:r>
      <w:r w:rsidRPr="00C53939">
        <w:rPr>
          <w:rFonts w:ascii="Arial" w:hAnsi="Arial" w:cs="Arial"/>
          <w:bCs/>
          <w:sz w:val="21"/>
          <w:szCs w:val="21"/>
          <w:lang w:eastAsia="en-US"/>
        </w:rPr>
        <w:t xml:space="preserve">. </w:t>
      </w:r>
      <w:r w:rsidR="00570DD2" w:rsidRPr="00C53939">
        <w:rPr>
          <w:rFonts w:ascii="Arial" w:hAnsi="Arial" w:cs="Arial"/>
          <w:bCs/>
          <w:sz w:val="21"/>
          <w:szCs w:val="21"/>
          <w:lang w:eastAsia="en-US"/>
        </w:rPr>
        <w:t>L’export verso la Russia (-30,9%) si conferma in forte flessione;</w:t>
      </w:r>
      <w:r w:rsidR="005816B9" w:rsidRPr="00C53939">
        <w:rPr>
          <w:rFonts w:ascii="Arial" w:hAnsi="Arial" w:cs="Arial"/>
          <w:bCs/>
          <w:sz w:val="21"/>
          <w:szCs w:val="21"/>
          <w:lang w:eastAsia="en-US"/>
        </w:rPr>
        <w:t xml:space="preserve"> </w:t>
      </w:r>
      <w:r w:rsidR="009C4C39" w:rsidRPr="00C53939">
        <w:rPr>
          <w:rFonts w:ascii="Arial" w:hAnsi="Arial" w:cs="Arial"/>
          <w:bCs/>
          <w:sz w:val="21"/>
          <w:szCs w:val="21"/>
          <w:lang w:eastAsia="en-US"/>
        </w:rPr>
        <w:t>diminuiscono</w:t>
      </w:r>
      <w:r w:rsidR="005816B9" w:rsidRPr="00C53939">
        <w:rPr>
          <w:rFonts w:ascii="Arial" w:hAnsi="Arial" w:cs="Arial"/>
          <w:bCs/>
          <w:sz w:val="21"/>
          <w:szCs w:val="21"/>
          <w:lang w:eastAsia="en-US"/>
        </w:rPr>
        <w:t xml:space="preserve"> anche le vendite verso</w:t>
      </w:r>
      <w:r w:rsidR="00570DD2" w:rsidRPr="00C53939">
        <w:rPr>
          <w:rFonts w:ascii="Arial" w:hAnsi="Arial" w:cs="Arial"/>
          <w:bCs/>
          <w:sz w:val="21"/>
          <w:szCs w:val="21"/>
          <w:lang w:eastAsia="en-US"/>
        </w:rPr>
        <w:t xml:space="preserve"> Giappone (-11,2%) e, </w:t>
      </w:r>
      <w:r w:rsidR="001B22E2" w:rsidRPr="00C53939">
        <w:rPr>
          <w:rFonts w:ascii="Arial" w:hAnsi="Arial" w:cs="Arial"/>
          <w:bCs/>
          <w:sz w:val="21"/>
          <w:szCs w:val="21"/>
          <w:lang w:eastAsia="en-US"/>
        </w:rPr>
        <w:t>in lieve misura</w:t>
      </w:r>
      <w:r w:rsidR="00570DD2" w:rsidRPr="00C53939">
        <w:rPr>
          <w:rFonts w:ascii="Arial" w:hAnsi="Arial" w:cs="Arial"/>
          <w:bCs/>
          <w:sz w:val="21"/>
          <w:szCs w:val="21"/>
          <w:lang w:eastAsia="en-US"/>
        </w:rPr>
        <w:t>, Belgio (-0</w:t>
      </w:r>
      <w:r w:rsidR="005816B9" w:rsidRPr="00C53939">
        <w:rPr>
          <w:rFonts w:ascii="Arial" w:hAnsi="Arial" w:cs="Arial"/>
          <w:bCs/>
          <w:sz w:val="21"/>
          <w:szCs w:val="21"/>
          <w:lang w:eastAsia="en-US"/>
        </w:rPr>
        <w:t>,7%)</w:t>
      </w:r>
      <w:r w:rsidRPr="00C53939">
        <w:rPr>
          <w:rFonts w:ascii="Arial" w:hAnsi="Arial" w:cs="Arial"/>
          <w:bCs/>
          <w:sz w:val="21"/>
          <w:szCs w:val="21"/>
          <w:lang w:eastAsia="en-US"/>
        </w:rPr>
        <w:t xml:space="preserve">. </w:t>
      </w:r>
    </w:p>
    <w:p w14:paraId="56F1EF1A" w14:textId="45CB44CB" w:rsidR="00FC2A8B" w:rsidRPr="00421B69" w:rsidRDefault="00FC2A8B" w:rsidP="004C3CD2">
      <w:pPr>
        <w:numPr>
          <w:ilvl w:val="0"/>
          <w:numId w:val="22"/>
        </w:numPr>
        <w:tabs>
          <w:tab w:val="left" w:pos="426"/>
          <w:tab w:val="left" w:pos="1843"/>
        </w:tabs>
        <w:spacing w:after="120" w:line="230" w:lineRule="exact"/>
        <w:ind w:left="357" w:hanging="357"/>
        <w:jc w:val="both"/>
        <w:rPr>
          <w:rFonts w:ascii="Arial" w:hAnsi="Arial" w:cs="Arial"/>
          <w:bCs/>
          <w:sz w:val="21"/>
          <w:szCs w:val="21"/>
          <w:lang w:eastAsia="en-US"/>
        </w:rPr>
      </w:pPr>
      <w:r w:rsidRPr="00C53939">
        <w:rPr>
          <w:rFonts w:ascii="Arial" w:hAnsi="Arial" w:cs="Arial"/>
          <w:bCs/>
          <w:sz w:val="21"/>
          <w:szCs w:val="21"/>
          <w:lang w:eastAsia="en-US"/>
        </w:rPr>
        <w:t xml:space="preserve">Nei primi </w:t>
      </w:r>
      <w:r w:rsidR="00B15A52" w:rsidRPr="00C53939">
        <w:rPr>
          <w:rFonts w:ascii="Arial" w:hAnsi="Arial" w:cs="Arial"/>
          <w:bCs/>
          <w:sz w:val="21"/>
          <w:szCs w:val="21"/>
          <w:lang w:eastAsia="en-US"/>
        </w:rPr>
        <w:t>dieci</w:t>
      </w:r>
      <w:r w:rsidRPr="00C53939">
        <w:rPr>
          <w:rFonts w:ascii="Arial" w:hAnsi="Arial" w:cs="Arial"/>
          <w:bCs/>
          <w:sz w:val="21"/>
          <w:szCs w:val="21"/>
          <w:lang w:eastAsia="en-US"/>
        </w:rPr>
        <w:t xml:space="preserve"> mesi del 2022, la crescita te</w:t>
      </w:r>
      <w:r w:rsidR="001F4743" w:rsidRPr="00C53939">
        <w:rPr>
          <w:rFonts w:ascii="Arial" w:hAnsi="Arial" w:cs="Arial"/>
          <w:bCs/>
          <w:sz w:val="21"/>
          <w:szCs w:val="21"/>
          <w:lang w:eastAsia="en-US"/>
        </w:rPr>
        <w:t>n</w:t>
      </w:r>
      <w:r w:rsidR="00B15A52" w:rsidRPr="00C53939">
        <w:rPr>
          <w:rFonts w:ascii="Arial" w:hAnsi="Arial" w:cs="Arial"/>
          <w:bCs/>
          <w:sz w:val="21"/>
          <w:szCs w:val="21"/>
          <w:lang w:eastAsia="en-US"/>
        </w:rPr>
        <w:t>denziale dell</w:t>
      </w:r>
      <w:r w:rsidR="004C3CD2">
        <w:rPr>
          <w:rFonts w:ascii="Arial" w:hAnsi="Arial" w:cs="Arial"/>
          <w:bCs/>
          <w:sz w:val="21"/>
          <w:szCs w:val="21"/>
          <w:lang w:eastAsia="en-US"/>
        </w:rPr>
        <w:t>’export</w:t>
      </w:r>
      <w:r w:rsidR="00B15A52" w:rsidRPr="00C53939">
        <w:rPr>
          <w:rFonts w:ascii="Arial" w:hAnsi="Arial" w:cs="Arial"/>
          <w:bCs/>
          <w:sz w:val="21"/>
          <w:szCs w:val="21"/>
          <w:lang w:eastAsia="en-US"/>
        </w:rPr>
        <w:t xml:space="preserve"> (+20</w:t>
      </w:r>
      <w:r w:rsidRPr="00C53939">
        <w:rPr>
          <w:rFonts w:ascii="Arial" w:hAnsi="Arial" w:cs="Arial"/>
          <w:bCs/>
          <w:sz w:val="21"/>
          <w:szCs w:val="21"/>
          <w:lang w:eastAsia="en-US"/>
        </w:rPr>
        <w:t>,</w:t>
      </w:r>
      <w:r w:rsidR="00B15A52" w:rsidRPr="00C53939">
        <w:rPr>
          <w:rFonts w:ascii="Arial" w:hAnsi="Arial" w:cs="Arial"/>
          <w:bCs/>
          <w:sz w:val="21"/>
          <w:szCs w:val="21"/>
          <w:lang w:eastAsia="en-US"/>
        </w:rPr>
        <w:t>8</w:t>
      </w:r>
      <w:r w:rsidRPr="00C53939">
        <w:rPr>
          <w:rFonts w:ascii="Arial" w:hAnsi="Arial" w:cs="Arial"/>
          <w:bCs/>
          <w:sz w:val="21"/>
          <w:szCs w:val="21"/>
          <w:lang w:eastAsia="en-US"/>
        </w:rPr>
        <w:t xml:space="preserve">%) è dovuta in particolare all’aumento delle vendite di </w:t>
      </w:r>
      <w:r w:rsidR="001F4743" w:rsidRPr="00C53939">
        <w:rPr>
          <w:rFonts w:ascii="Arial" w:hAnsi="Arial" w:cs="Arial"/>
          <w:bCs/>
          <w:sz w:val="21"/>
          <w:szCs w:val="21"/>
          <w:lang w:eastAsia="en-US"/>
        </w:rPr>
        <w:t>articoli farmaceutici, chimico-medicinali e botanici (+4</w:t>
      </w:r>
      <w:r w:rsidR="00B15A52" w:rsidRPr="00C53939">
        <w:rPr>
          <w:rFonts w:ascii="Arial" w:hAnsi="Arial" w:cs="Arial"/>
          <w:bCs/>
          <w:sz w:val="21"/>
          <w:szCs w:val="21"/>
          <w:lang w:eastAsia="en-US"/>
        </w:rPr>
        <w:t>4</w:t>
      </w:r>
      <w:r w:rsidR="001F4743" w:rsidRPr="00C53939">
        <w:rPr>
          <w:rFonts w:ascii="Arial" w:hAnsi="Arial" w:cs="Arial"/>
          <w:bCs/>
          <w:sz w:val="21"/>
          <w:szCs w:val="21"/>
          <w:lang w:eastAsia="en-US"/>
        </w:rPr>
        <w:t>,</w:t>
      </w:r>
      <w:r w:rsidR="00B15A52" w:rsidRPr="00C53939">
        <w:rPr>
          <w:rFonts w:ascii="Arial" w:hAnsi="Arial" w:cs="Arial"/>
          <w:bCs/>
          <w:sz w:val="21"/>
          <w:szCs w:val="21"/>
          <w:lang w:eastAsia="en-US"/>
        </w:rPr>
        <w:t>1</w:t>
      </w:r>
      <w:r w:rsidR="001F4743" w:rsidRPr="00C53939">
        <w:rPr>
          <w:rFonts w:ascii="Arial" w:hAnsi="Arial" w:cs="Arial"/>
          <w:bCs/>
          <w:sz w:val="21"/>
          <w:szCs w:val="21"/>
          <w:lang w:eastAsia="en-US"/>
        </w:rPr>
        <w:t xml:space="preserve">%), </w:t>
      </w:r>
      <w:r w:rsidR="00B15A52" w:rsidRPr="00C53939">
        <w:rPr>
          <w:rFonts w:ascii="Arial" w:hAnsi="Arial" w:cs="Arial"/>
          <w:bCs/>
          <w:sz w:val="21"/>
          <w:szCs w:val="21"/>
          <w:lang w:eastAsia="en-US"/>
        </w:rPr>
        <w:t>prodotti</w:t>
      </w:r>
      <w:r w:rsidR="004C3CD2">
        <w:rPr>
          <w:rFonts w:ascii="Arial" w:hAnsi="Arial" w:cs="Arial"/>
          <w:bCs/>
          <w:sz w:val="21"/>
          <w:szCs w:val="21"/>
          <w:lang w:eastAsia="en-US"/>
        </w:rPr>
        <w:t xml:space="preserve"> petroliferi </w:t>
      </w:r>
      <w:r w:rsidR="004C3CD2" w:rsidRPr="00421B69">
        <w:rPr>
          <w:rFonts w:ascii="Arial" w:hAnsi="Arial" w:cs="Arial"/>
          <w:bCs/>
          <w:sz w:val="21"/>
          <w:szCs w:val="21"/>
          <w:lang w:eastAsia="en-US"/>
        </w:rPr>
        <w:t>raffinati (+96,7%) e</w:t>
      </w:r>
      <w:r w:rsidR="00B15A52" w:rsidRPr="00421B69">
        <w:rPr>
          <w:rFonts w:ascii="Arial" w:hAnsi="Arial" w:cs="Arial"/>
          <w:bCs/>
          <w:sz w:val="21"/>
          <w:szCs w:val="21"/>
          <w:lang w:eastAsia="en-US"/>
        </w:rPr>
        <w:t xml:space="preserve"> </w:t>
      </w:r>
      <w:r w:rsidRPr="00421B69">
        <w:rPr>
          <w:rFonts w:ascii="Arial" w:hAnsi="Arial" w:cs="Arial"/>
          <w:bCs/>
          <w:sz w:val="21"/>
          <w:szCs w:val="21"/>
          <w:lang w:eastAsia="en-US"/>
        </w:rPr>
        <w:t>metalli di base e prodotti in metallo,</w:t>
      </w:r>
      <w:r w:rsidR="00B15A52" w:rsidRPr="00421B69">
        <w:rPr>
          <w:rFonts w:ascii="Arial" w:hAnsi="Arial" w:cs="Arial"/>
          <w:bCs/>
          <w:sz w:val="21"/>
          <w:szCs w:val="21"/>
          <w:lang w:eastAsia="en-US"/>
        </w:rPr>
        <w:t xml:space="preserve"> esclusi macchine e impianti (+19</w:t>
      </w:r>
      <w:r w:rsidR="001F4743" w:rsidRPr="00421B69">
        <w:rPr>
          <w:rFonts w:ascii="Arial" w:hAnsi="Arial" w:cs="Arial"/>
          <w:bCs/>
          <w:sz w:val="21"/>
          <w:szCs w:val="21"/>
          <w:lang w:eastAsia="en-US"/>
        </w:rPr>
        <w:t>,</w:t>
      </w:r>
      <w:r w:rsidR="004C3CD2" w:rsidRPr="00421B69">
        <w:rPr>
          <w:rFonts w:ascii="Arial" w:hAnsi="Arial" w:cs="Arial"/>
          <w:bCs/>
          <w:sz w:val="21"/>
          <w:szCs w:val="21"/>
          <w:lang w:eastAsia="en-US"/>
        </w:rPr>
        <w:t>7%).</w:t>
      </w:r>
    </w:p>
    <w:p w14:paraId="2B21023B" w14:textId="1E3DAEF5" w:rsidR="00705188" w:rsidRPr="00421B69" w:rsidRDefault="00C67E50" w:rsidP="004C3CD2">
      <w:pPr>
        <w:numPr>
          <w:ilvl w:val="0"/>
          <w:numId w:val="22"/>
        </w:numPr>
        <w:tabs>
          <w:tab w:val="left" w:pos="426"/>
          <w:tab w:val="left" w:pos="1843"/>
        </w:tabs>
        <w:spacing w:after="120" w:line="230" w:lineRule="exact"/>
        <w:ind w:left="357" w:hanging="357"/>
        <w:jc w:val="both"/>
        <w:rPr>
          <w:rFonts w:ascii="Arial" w:hAnsi="Arial" w:cs="Arial"/>
          <w:bCs/>
          <w:sz w:val="21"/>
          <w:szCs w:val="21"/>
          <w:lang w:eastAsia="en-US"/>
        </w:rPr>
      </w:pPr>
      <w:r w:rsidRPr="00421B69">
        <w:rPr>
          <w:rFonts w:ascii="Arial" w:hAnsi="Arial" w:cs="Arial"/>
          <w:bCs/>
          <w:sz w:val="21"/>
          <w:szCs w:val="21"/>
          <w:lang w:eastAsia="en-US"/>
        </w:rPr>
        <w:t xml:space="preserve">A </w:t>
      </w:r>
      <w:r w:rsidR="004442BA" w:rsidRPr="00421B69">
        <w:rPr>
          <w:rFonts w:ascii="Arial" w:hAnsi="Arial" w:cs="Arial"/>
          <w:bCs/>
          <w:sz w:val="21"/>
          <w:szCs w:val="21"/>
          <w:lang w:eastAsia="en-US"/>
        </w:rPr>
        <w:t>ottobre</w:t>
      </w:r>
      <w:r w:rsidRPr="00421B69">
        <w:rPr>
          <w:rFonts w:ascii="Arial" w:hAnsi="Arial" w:cs="Arial"/>
          <w:bCs/>
          <w:sz w:val="21"/>
          <w:szCs w:val="21"/>
          <w:lang w:eastAsia="en-US"/>
        </w:rPr>
        <w:t xml:space="preserve"> </w:t>
      </w:r>
      <w:r w:rsidR="00F066F2" w:rsidRPr="00421B69">
        <w:rPr>
          <w:rFonts w:ascii="Arial" w:hAnsi="Arial" w:cs="Arial"/>
          <w:bCs/>
          <w:sz w:val="21"/>
          <w:szCs w:val="21"/>
          <w:lang w:eastAsia="en-US"/>
        </w:rPr>
        <w:t>2022 il disavanzo commerciale è pari a -</w:t>
      </w:r>
      <w:r w:rsidR="004442BA" w:rsidRPr="00421B69">
        <w:rPr>
          <w:rFonts w:ascii="Arial" w:hAnsi="Arial" w:cs="Arial"/>
          <w:bCs/>
          <w:sz w:val="21"/>
          <w:szCs w:val="21"/>
          <w:lang w:eastAsia="en-US"/>
        </w:rPr>
        <w:t>2</w:t>
      </w:r>
      <w:r w:rsidRPr="00421B69">
        <w:rPr>
          <w:rFonts w:ascii="Arial" w:hAnsi="Arial" w:cs="Arial"/>
          <w:bCs/>
          <w:sz w:val="21"/>
          <w:szCs w:val="21"/>
          <w:lang w:eastAsia="en-US"/>
        </w:rPr>
        <w:t>.</w:t>
      </w:r>
      <w:r w:rsidR="004442BA" w:rsidRPr="00421B69">
        <w:rPr>
          <w:rFonts w:ascii="Arial" w:hAnsi="Arial" w:cs="Arial"/>
          <w:bCs/>
          <w:sz w:val="21"/>
          <w:szCs w:val="21"/>
          <w:lang w:eastAsia="en-US"/>
        </w:rPr>
        <w:t>123</w:t>
      </w:r>
      <w:r w:rsidR="00F066F2" w:rsidRPr="00421B69">
        <w:rPr>
          <w:rFonts w:ascii="Arial" w:hAnsi="Arial" w:cs="Arial"/>
          <w:bCs/>
          <w:sz w:val="21"/>
          <w:szCs w:val="21"/>
          <w:lang w:eastAsia="en-US"/>
        </w:rPr>
        <w:t xml:space="preserve"> milioni di euro, a fronte di un avanzo di </w:t>
      </w:r>
      <w:r w:rsidR="004442BA" w:rsidRPr="00421B69">
        <w:rPr>
          <w:rFonts w:ascii="Arial" w:hAnsi="Arial" w:cs="Arial"/>
          <w:bCs/>
          <w:sz w:val="21"/>
          <w:szCs w:val="21"/>
          <w:lang w:eastAsia="en-US"/>
        </w:rPr>
        <w:t>2.216</w:t>
      </w:r>
      <w:r w:rsidRPr="00421B69">
        <w:rPr>
          <w:rFonts w:ascii="Arial" w:hAnsi="Arial" w:cs="Arial"/>
          <w:bCs/>
          <w:sz w:val="21"/>
          <w:szCs w:val="21"/>
          <w:lang w:eastAsia="en-US"/>
        </w:rPr>
        <w:t xml:space="preserve"> </w:t>
      </w:r>
      <w:r w:rsidR="00F066F2" w:rsidRPr="00421B69">
        <w:rPr>
          <w:rFonts w:ascii="Arial" w:hAnsi="Arial" w:cs="Arial"/>
          <w:bCs/>
          <w:sz w:val="21"/>
          <w:szCs w:val="21"/>
          <w:lang w:eastAsia="en-US"/>
        </w:rPr>
        <w:t xml:space="preserve">milioni </w:t>
      </w:r>
      <w:r w:rsidR="00F066F2" w:rsidRPr="00421B69">
        <w:rPr>
          <w:rFonts w:ascii="Arial" w:hAnsi="Arial" w:cs="Arial"/>
          <w:bCs/>
          <w:sz w:val="21"/>
          <w:szCs w:val="21"/>
        </w:rPr>
        <w:t xml:space="preserve">dello stesso mese del </w:t>
      </w:r>
      <w:r w:rsidR="00F066F2" w:rsidRPr="00421B69">
        <w:rPr>
          <w:rFonts w:ascii="Arial" w:hAnsi="Arial" w:cs="Arial"/>
          <w:bCs/>
          <w:sz w:val="21"/>
          <w:szCs w:val="21"/>
          <w:lang w:eastAsia="en-US"/>
        </w:rPr>
        <w:t xml:space="preserve">2021. Il deficit energetico </w:t>
      </w:r>
      <w:r w:rsidR="002A0930">
        <w:rPr>
          <w:rFonts w:ascii="Arial" w:hAnsi="Arial" w:cs="Arial"/>
          <w:bCs/>
          <w:sz w:val="21"/>
          <w:szCs w:val="21"/>
          <w:lang w:eastAsia="en-US"/>
        </w:rPr>
        <w:t>(-</w:t>
      </w:r>
      <w:r w:rsidR="002A0930" w:rsidRPr="00421B69">
        <w:rPr>
          <w:rFonts w:ascii="Arial" w:hAnsi="Arial" w:cs="Arial"/>
          <w:bCs/>
          <w:sz w:val="21"/>
          <w:szCs w:val="21"/>
          <w:lang w:eastAsia="en-US"/>
        </w:rPr>
        <w:t xml:space="preserve">8.762 </w:t>
      </w:r>
      <w:r w:rsidR="002A0930">
        <w:rPr>
          <w:rFonts w:ascii="Arial" w:hAnsi="Arial" w:cs="Arial"/>
          <w:bCs/>
          <w:sz w:val="21"/>
          <w:szCs w:val="21"/>
          <w:lang w:eastAsia="en-US"/>
        </w:rPr>
        <w:t>milioni) è più ampio rispetto a un anno prima</w:t>
      </w:r>
      <w:r w:rsidR="004442BA" w:rsidRPr="00421B69">
        <w:rPr>
          <w:rFonts w:ascii="Arial" w:hAnsi="Arial" w:cs="Arial"/>
          <w:bCs/>
          <w:sz w:val="21"/>
          <w:szCs w:val="21"/>
          <w:lang w:eastAsia="en-US"/>
        </w:rPr>
        <w:t xml:space="preserve"> </w:t>
      </w:r>
      <w:r w:rsidR="002A0930">
        <w:rPr>
          <w:rFonts w:ascii="Arial" w:hAnsi="Arial" w:cs="Arial"/>
          <w:bCs/>
          <w:sz w:val="21"/>
          <w:szCs w:val="21"/>
          <w:lang w:eastAsia="en-US"/>
        </w:rPr>
        <w:t>(</w:t>
      </w:r>
      <w:r w:rsidR="00266C19" w:rsidRPr="00421B69">
        <w:rPr>
          <w:rFonts w:ascii="Arial" w:hAnsi="Arial" w:cs="Arial"/>
          <w:bCs/>
          <w:sz w:val="21"/>
          <w:szCs w:val="21"/>
          <w:lang w:eastAsia="en-US"/>
        </w:rPr>
        <w:t>-</w:t>
      </w:r>
      <w:r w:rsidR="004442BA" w:rsidRPr="00421B69">
        <w:rPr>
          <w:rFonts w:ascii="Arial" w:hAnsi="Arial" w:cs="Arial"/>
          <w:bCs/>
          <w:sz w:val="21"/>
          <w:szCs w:val="21"/>
          <w:lang w:eastAsia="en-US"/>
        </w:rPr>
        <w:t>5</w:t>
      </w:r>
      <w:r w:rsidR="00F066F2" w:rsidRPr="00421B69">
        <w:rPr>
          <w:rFonts w:ascii="Arial" w:hAnsi="Arial" w:cs="Arial"/>
          <w:bCs/>
          <w:sz w:val="21"/>
          <w:szCs w:val="21"/>
          <w:lang w:eastAsia="en-US"/>
        </w:rPr>
        <w:t>.</w:t>
      </w:r>
      <w:r w:rsidR="004442BA" w:rsidRPr="00421B69">
        <w:rPr>
          <w:rFonts w:ascii="Arial" w:hAnsi="Arial" w:cs="Arial"/>
          <w:bCs/>
          <w:sz w:val="21"/>
          <w:szCs w:val="21"/>
          <w:lang w:eastAsia="en-US"/>
        </w:rPr>
        <w:t>83</w:t>
      </w:r>
      <w:r w:rsidRPr="00421B69">
        <w:rPr>
          <w:rFonts w:ascii="Arial" w:hAnsi="Arial" w:cs="Arial"/>
          <w:bCs/>
          <w:sz w:val="21"/>
          <w:szCs w:val="21"/>
          <w:lang w:eastAsia="en-US"/>
        </w:rPr>
        <w:t>9</w:t>
      </w:r>
      <w:r w:rsidR="00F066F2" w:rsidRPr="00421B69">
        <w:rPr>
          <w:rFonts w:ascii="Arial" w:hAnsi="Arial" w:cs="Arial"/>
          <w:bCs/>
          <w:sz w:val="21"/>
          <w:szCs w:val="21"/>
          <w:lang w:eastAsia="en-US"/>
        </w:rPr>
        <w:t xml:space="preserve"> milioni)</w:t>
      </w:r>
      <w:r w:rsidR="0015479F" w:rsidRPr="00421B69">
        <w:rPr>
          <w:rFonts w:ascii="Arial" w:hAnsi="Arial" w:cs="Arial"/>
          <w:bCs/>
          <w:sz w:val="21"/>
          <w:szCs w:val="21"/>
          <w:lang w:eastAsia="en-US"/>
        </w:rPr>
        <w:t xml:space="preserve">. L’avanzo nell’interscambio di prodotti non energetici si riduce a </w:t>
      </w:r>
      <w:r w:rsidR="004442BA" w:rsidRPr="00421B69">
        <w:rPr>
          <w:rFonts w:ascii="Arial" w:hAnsi="Arial" w:cs="Arial"/>
          <w:bCs/>
          <w:sz w:val="21"/>
          <w:szCs w:val="21"/>
          <w:lang w:eastAsia="en-US"/>
        </w:rPr>
        <w:t>6</w:t>
      </w:r>
      <w:r w:rsidR="00576910" w:rsidRPr="00421B69">
        <w:rPr>
          <w:rFonts w:ascii="Arial" w:hAnsi="Arial" w:cs="Arial"/>
          <w:bCs/>
          <w:sz w:val="21"/>
          <w:szCs w:val="21"/>
          <w:lang w:eastAsia="en-US"/>
        </w:rPr>
        <w:t>.</w:t>
      </w:r>
      <w:r w:rsidR="004442BA" w:rsidRPr="00421B69">
        <w:rPr>
          <w:rFonts w:ascii="Arial" w:hAnsi="Arial" w:cs="Arial"/>
          <w:bCs/>
          <w:sz w:val="21"/>
          <w:szCs w:val="21"/>
          <w:lang w:eastAsia="en-US"/>
        </w:rPr>
        <w:t>639</w:t>
      </w:r>
      <w:r w:rsidR="00576910" w:rsidRPr="00421B69">
        <w:rPr>
          <w:rFonts w:ascii="Arial" w:hAnsi="Arial" w:cs="Arial"/>
          <w:bCs/>
          <w:sz w:val="21"/>
          <w:szCs w:val="21"/>
          <w:lang w:eastAsia="en-US"/>
        </w:rPr>
        <w:t xml:space="preserve"> milioni, </w:t>
      </w:r>
      <w:r w:rsidR="0015479F" w:rsidRPr="00421B69">
        <w:rPr>
          <w:rFonts w:ascii="Arial" w:hAnsi="Arial" w:cs="Arial"/>
          <w:bCs/>
          <w:sz w:val="21"/>
          <w:szCs w:val="21"/>
          <w:lang w:eastAsia="en-US"/>
        </w:rPr>
        <w:t>da 8.055 milioni</w:t>
      </w:r>
      <w:r w:rsidR="00576910" w:rsidRPr="00421B69">
        <w:rPr>
          <w:rFonts w:ascii="Arial" w:hAnsi="Arial" w:cs="Arial"/>
          <w:bCs/>
          <w:sz w:val="21"/>
          <w:szCs w:val="21"/>
          <w:lang w:eastAsia="en-US"/>
        </w:rPr>
        <w:t xml:space="preserve"> di </w:t>
      </w:r>
      <w:r w:rsidR="0015479F" w:rsidRPr="00421B69">
        <w:rPr>
          <w:rFonts w:ascii="Arial" w:hAnsi="Arial" w:cs="Arial"/>
          <w:bCs/>
          <w:sz w:val="21"/>
          <w:szCs w:val="21"/>
          <w:lang w:eastAsia="en-US"/>
        </w:rPr>
        <w:t>ottobre 2021</w:t>
      </w:r>
      <w:r w:rsidR="00576910" w:rsidRPr="00421B69">
        <w:rPr>
          <w:rFonts w:ascii="Arial" w:hAnsi="Arial" w:cs="Arial"/>
          <w:bCs/>
          <w:sz w:val="21"/>
          <w:szCs w:val="21"/>
          <w:lang w:eastAsia="en-US"/>
        </w:rPr>
        <w:t>.</w:t>
      </w:r>
      <w:r w:rsidR="00F066F2" w:rsidRPr="00421B69">
        <w:rPr>
          <w:rFonts w:ascii="Arial" w:hAnsi="Arial" w:cs="Arial"/>
          <w:bCs/>
          <w:sz w:val="21"/>
          <w:szCs w:val="21"/>
        </w:rPr>
        <w:t xml:space="preserve"> </w:t>
      </w:r>
    </w:p>
    <w:p w14:paraId="764983B0" w14:textId="78681CB8" w:rsidR="006C2F67" w:rsidRPr="00421B69" w:rsidRDefault="00C00B5A" w:rsidP="00B35896">
      <w:pPr>
        <w:pStyle w:val="Paragrafoelenco"/>
        <w:numPr>
          <w:ilvl w:val="0"/>
          <w:numId w:val="22"/>
        </w:numPr>
        <w:rPr>
          <w:rFonts w:ascii="Arial" w:hAnsi="Arial" w:cs="Arial"/>
          <w:bCs/>
          <w:color w:val="auto"/>
          <w:sz w:val="21"/>
          <w:szCs w:val="21"/>
          <w:lang w:eastAsia="en-US"/>
        </w:rPr>
      </w:pPr>
      <w:r w:rsidRPr="00421B69">
        <w:rPr>
          <w:rFonts w:ascii="Arial" w:hAnsi="Arial" w:cs="Arial"/>
          <w:bCs/>
          <w:sz w:val="21"/>
          <w:szCs w:val="21"/>
          <w:lang w:eastAsia="en-US"/>
        </w:rPr>
        <w:t>Nel mese di ottobre</w:t>
      </w:r>
      <w:r w:rsidRPr="00421B69">
        <w:rPr>
          <w:rFonts w:ascii="Arial" w:hAnsi="Arial" w:cs="Arial"/>
          <w:bCs/>
          <w:color w:val="auto"/>
          <w:sz w:val="21"/>
          <w:szCs w:val="21"/>
          <w:lang w:eastAsia="en-US"/>
        </w:rPr>
        <w:t xml:space="preserve"> 2022 i prezzi all’importazione diminuiscono dello 0,9% su base mensile e </w:t>
      </w:r>
      <w:r w:rsidR="008B3EE7" w:rsidRPr="00421B69">
        <w:rPr>
          <w:rFonts w:ascii="Arial" w:hAnsi="Arial" w:cs="Arial"/>
          <w:bCs/>
          <w:color w:val="auto"/>
          <w:sz w:val="21"/>
          <w:szCs w:val="21"/>
          <w:lang w:eastAsia="en-US"/>
        </w:rPr>
        <w:t>crescono</w:t>
      </w:r>
      <w:r w:rsidRPr="00421B69">
        <w:rPr>
          <w:rFonts w:ascii="Arial" w:hAnsi="Arial" w:cs="Arial"/>
          <w:bCs/>
          <w:color w:val="auto"/>
          <w:sz w:val="21"/>
          <w:szCs w:val="21"/>
          <w:lang w:eastAsia="en-US"/>
        </w:rPr>
        <w:t xml:space="preserve"> del 15,9% su base annua</w:t>
      </w:r>
      <w:r w:rsidR="008B3EE7" w:rsidRPr="00421B69">
        <w:rPr>
          <w:rFonts w:ascii="Arial" w:hAnsi="Arial" w:cs="Arial"/>
          <w:bCs/>
          <w:color w:val="auto"/>
          <w:sz w:val="21"/>
          <w:szCs w:val="21"/>
          <w:lang w:eastAsia="en-US"/>
        </w:rPr>
        <w:t xml:space="preserve"> (era +20,3% a settembre)</w:t>
      </w:r>
      <w:r w:rsidRPr="00421B69">
        <w:rPr>
          <w:rFonts w:ascii="Arial" w:hAnsi="Arial" w:cs="Arial"/>
          <w:bCs/>
          <w:color w:val="auto"/>
          <w:sz w:val="21"/>
          <w:szCs w:val="21"/>
          <w:lang w:eastAsia="en-US"/>
        </w:rPr>
        <w:t>.</w:t>
      </w:r>
    </w:p>
    <w:p w14:paraId="4493813C" w14:textId="77777777" w:rsidR="006C2F67" w:rsidRPr="00421B69" w:rsidRDefault="006C2F67" w:rsidP="00710291">
      <w:pPr>
        <w:pStyle w:val="Paragrafoelenco"/>
        <w:ind w:left="360"/>
        <w:rPr>
          <w:rFonts w:ascii="Arial" w:hAnsi="Arial" w:cs="Arial"/>
          <w:bCs/>
          <w:color w:val="auto"/>
          <w:sz w:val="21"/>
          <w:szCs w:val="21"/>
          <w:lang w:eastAsia="en-US"/>
        </w:rPr>
      </w:pPr>
    </w:p>
    <w:p w14:paraId="353C6678" w14:textId="15FDCC4E" w:rsidR="00710291" w:rsidRPr="00710291" w:rsidRDefault="007E417B" w:rsidP="00710291">
      <w:pPr>
        <w:pStyle w:val="Paragrafoelenco"/>
        <w:ind w:left="360"/>
        <w:rPr>
          <w:rFonts w:ascii="Arial" w:hAnsi="Arial" w:cs="Arial"/>
          <w:bCs/>
          <w:color w:val="auto"/>
          <w:sz w:val="8"/>
          <w:szCs w:val="21"/>
          <w:lang w:eastAsia="en-US"/>
        </w:rPr>
      </w:pPr>
      <w:r w:rsidRPr="004F13FA">
        <w:rPr>
          <w:noProof/>
          <w:highlight w:val="yellow"/>
          <w:lang w:eastAsia="it-IT"/>
        </w:rPr>
        <w:drawing>
          <wp:anchor distT="0" distB="0" distL="114300" distR="114300" simplePos="0" relativeHeight="251658240" behindDoc="0" locked="0" layoutInCell="1" allowOverlap="1" wp14:anchorId="325B255E" wp14:editId="53C3A28F">
            <wp:simplePos x="0" y="0"/>
            <wp:positionH relativeFrom="column">
              <wp:posOffset>12065</wp:posOffset>
            </wp:positionH>
            <wp:positionV relativeFrom="paragraph">
              <wp:posOffset>5715</wp:posOffset>
            </wp:positionV>
            <wp:extent cx="647700" cy="647700"/>
            <wp:effectExtent l="0" t="0" r="0" b="0"/>
            <wp:wrapNone/>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6"/>
        <w:gridCol w:w="3290"/>
      </w:tblGrid>
      <w:tr w:rsidR="00F527AD" w:rsidRPr="002578CE" w14:paraId="78C8AE30" w14:textId="77777777" w:rsidTr="00053850">
        <w:trPr>
          <w:trHeight w:val="115"/>
        </w:trPr>
        <w:tc>
          <w:tcPr>
            <w:tcW w:w="6916" w:type="dxa"/>
            <w:vMerge w:val="restart"/>
            <w:tcBorders>
              <w:top w:val="nil"/>
              <w:left w:val="single" w:sz="4" w:space="0" w:color="FFFFFF"/>
              <w:right w:val="single" w:sz="48" w:space="0" w:color="FFFFFF"/>
            </w:tcBorders>
            <w:shd w:val="clear" w:color="auto" w:fill="D9D9D9"/>
          </w:tcPr>
          <w:p w14:paraId="232A7A30" w14:textId="16A7DF70" w:rsidR="00016974" w:rsidRDefault="005301CF" w:rsidP="00711FD1">
            <w:pPr>
              <w:pStyle w:val="Paragrafobase"/>
              <w:spacing w:before="120" w:line="140" w:lineRule="atLeast"/>
              <w:rPr>
                <w:rFonts w:ascii="Arial" w:hAnsi="Arial" w:cs="Arial"/>
                <w:sz w:val="21"/>
                <w:szCs w:val="21"/>
              </w:rPr>
            </w:pPr>
            <w:r>
              <w:rPr>
                <w:noProof/>
              </w:rPr>
              <w:drawing>
                <wp:anchor distT="0" distB="0" distL="114300" distR="114300" simplePos="0" relativeHeight="251659264" behindDoc="0" locked="0" layoutInCell="1" allowOverlap="1" wp14:anchorId="613FC820" wp14:editId="66ED5D32">
                  <wp:simplePos x="0" y="0"/>
                  <wp:positionH relativeFrom="column">
                    <wp:posOffset>5989320</wp:posOffset>
                  </wp:positionH>
                  <wp:positionV relativeFrom="paragraph">
                    <wp:posOffset>44450</wp:posOffset>
                  </wp:positionV>
                  <wp:extent cx="657225" cy="638175"/>
                  <wp:effectExtent l="0" t="0" r="0" b="0"/>
                  <wp:wrapNone/>
                  <wp:docPr id="259"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anchor>
              </w:drawing>
            </w:r>
            <w:r w:rsidR="00F527AD" w:rsidRPr="002578CE">
              <w:rPr>
                <w:rFonts w:ascii="Arial" w:hAnsi="Arial" w:cs="Arial"/>
                <w:sz w:val="22"/>
                <w:szCs w:val="22"/>
              </w:rPr>
              <w:t xml:space="preserve">                 </w:t>
            </w:r>
            <w:r w:rsidR="00F527AD">
              <w:rPr>
                <w:rFonts w:ascii="Arial" w:hAnsi="Arial" w:cs="Arial"/>
                <w:sz w:val="22"/>
                <w:szCs w:val="22"/>
              </w:rPr>
              <w:t xml:space="preserve"> </w:t>
            </w:r>
            <w:r w:rsidR="00F527AD" w:rsidRPr="00AF6380">
              <w:rPr>
                <w:rFonts w:ascii="Calibri" w:hAnsi="Calibri" w:cs="Arial"/>
                <w:color w:val="E41C18"/>
                <w:sz w:val="56"/>
                <w:szCs w:val="56"/>
              </w:rPr>
              <w:t>Il commento</w:t>
            </w:r>
          </w:p>
          <w:p w14:paraId="1756416F" w14:textId="77777777" w:rsidR="00166759" w:rsidRPr="000077FA" w:rsidRDefault="00166759" w:rsidP="00166759">
            <w:pPr>
              <w:jc w:val="both"/>
              <w:rPr>
                <w:rFonts w:ascii="Arial" w:hAnsi="Arial" w:cs="Arial"/>
                <w:sz w:val="6"/>
                <w:szCs w:val="6"/>
              </w:rPr>
            </w:pPr>
          </w:p>
          <w:p w14:paraId="6225F573" w14:textId="4258A1FF" w:rsidR="007F56BC" w:rsidRDefault="007F56BC" w:rsidP="001D44A2">
            <w:pPr>
              <w:tabs>
                <w:tab w:val="left" w:pos="426"/>
                <w:tab w:val="left" w:pos="1843"/>
              </w:tabs>
              <w:spacing w:before="60" w:after="80" w:line="230" w:lineRule="exact"/>
              <w:jc w:val="both"/>
              <w:rPr>
                <w:rFonts w:ascii="Arial" w:hAnsi="Arial" w:cs="Arial"/>
                <w:bCs/>
                <w:sz w:val="21"/>
                <w:szCs w:val="21"/>
              </w:rPr>
            </w:pPr>
            <w:r w:rsidRPr="00A75E10">
              <w:rPr>
                <w:rFonts w:ascii="Arial" w:hAnsi="Arial" w:cs="Arial"/>
                <w:sz w:val="21"/>
                <w:szCs w:val="21"/>
              </w:rPr>
              <w:t xml:space="preserve">A ottobre, </w:t>
            </w:r>
            <w:r w:rsidR="00E076F1">
              <w:rPr>
                <w:rFonts w:ascii="Arial" w:hAnsi="Arial" w:cs="Arial"/>
                <w:sz w:val="21"/>
                <w:szCs w:val="21"/>
              </w:rPr>
              <w:t xml:space="preserve">la flessione </w:t>
            </w:r>
            <w:r>
              <w:rPr>
                <w:rFonts w:ascii="Arial" w:hAnsi="Arial" w:cs="Arial"/>
                <w:sz w:val="21"/>
                <w:szCs w:val="21"/>
              </w:rPr>
              <w:t xml:space="preserve">su base mensile </w:t>
            </w:r>
            <w:r w:rsidR="00E076F1">
              <w:rPr>
                <w:rFonts w:ascii="Arial" w:hAnsi="Arial" w:cs="Arial"/>
                <w:sz w:val="21"/>
                <w:szCs w:val="21"/>
              </w:rPr>
              <w:t xml:space="preserve">dell’export è </w:t>
            </w:r>
            <w:r>
              <w:rPr>
                <w:rFonts w:ascii="Arial" w:hAnsi="Arial" w:cs="Arial"/>
                <w:sz w:val="21"/>
                <w:szCs w:val="21"/>
              </w:rPr>
              <w:t>dovuta al calo delle</w:t>
            </w:r>
            <w:r w:rsidRPr="00A82F41">
              <w:rPr>
                <w:rFonts w:ascii="Arial" w:hAnsi="Arial" w:cs="Arial"/>
                <w:sz w:val="21"/>
                <w:szCs w:val="21"/>
              </w:rPr>
              <w:t xml:space="preserve"> vendite verso i paesi extra Ue</w:t>
            </w:r>
            <w:r>
              <w:rPr>
                <w:rFonts w:ascii="Arial" w:hAnsi="Arial" w:cs="Arial"/>
                <w:sz w:val="21"/>
                <w:szCs w:val="21"/>
              </w:rPr>
              <w:t>, in particolare di beni strumentali</w:t>
            </w:r>
            <w:r w:rsidR="00EE1912">
              <w:rPr>
                <w:rFonts w:ascii="Arial" w:hAnsi="Arial" w:cs="Arial"/>
                <w:sz w:val="21"/>
                <w:szCs w:val="21"/>
              </w:rPr>
              <w:t xml:space="preserve">; quella più marcata dell’import è quasi totalmente spiegata dal calo degli acquisti di </w:t>
            </w:r>
            <w:r w:rsidR="005F45F2">
              <w:rPr>
                <w:rFonts w:ascii="Arial" w:hAnsi="Arial" w:cs="Arial"/>
                <w:sz w:val="21"/>
                <w:szCs w:val="21"/>
              </w:rPr>
              <w:t>energia</w:t>
            </w:r>
            <w:r w:rsidR="00EE1912">
              <w:rPr>
                <w:rFonts w:ascii="Arial" w:hAnsi="Arial" w:cs="Arial"/>
                <w:sz w:val="21"/>
                <w:szCs w:val="21"/>
              </w:rPr>
              <w:t xml:space="preserve">, </w:t>
            </w:r>
            <w:r w:rsidR="00C66339">
              <w:rPr>
                <w:rFonts w:ascii="Arial" w:hAnsi="Arial" w:cs="Arial"/>
                <w:sz w:val="21"/>
                <w:szCs w:val="21"/>
              </w:rPr>
              <w:t>che riflette sia una riduzione dei volumi</w:t>
            </w:r>
            <w:r w:rsidR="005F45F2">
              <w:rPr>
                <w:rFonts w:ascii="Arial" w:hAnsi="Arial" w:cs="Arial"/>
                <w:sz w:val="21"/>
                <w:szCs w:val="21"/>
              </w:rPr>
              <w:t xml:space="preserve"> importati</w:t>
            </w:r>
            <w:r w:rsidR="006949F6">
              <w:rPr>
                <w:rFonts w:ascii="Arial" w:hAnsi="Arial" w:cs="Arial"/>
                <w:sz w:val="21"/>
                <w:szCs w:val="21"/>
              </w:rPr>
              <w:t xml:space="preserve"> – i</w:t>
            </w:r>
            <w:r w:rsidR="00C66339">
              <w:rPr>
                <w:rFonts w:ascii="Arial" w:hAnsi="Arial" w:cs="Arial"/>
                <w:sz w:val="21"/>
                <w:szCs w:val="21"/>
              </w:rPr>
              <w:t>n particolare per il gas naturale allo stato gassoso</w:t>
            </w:r>
            <w:r w:rsidR="006949F6">
              <w:rPr>
                <w:rFonts w:ascii="Arial" w:hAnsi="Arial" w:cs="Arial"/>
                <w:sz w:val="21"/>
                <w:szCs w:val="21"/>
              </w:rPr>
              <w:t xml:space="preserve"> –</w:t>
            </w:r>
            <w:r w:rsidR="00C66339">
              <w:rPr>
                <w:rFonts w:ascii="Arial" w:hAnsi="Arial" w:cs="Arial"/>
                <w:sz w:val="21"/>
                <w:szCs w:val="21"/>
              </w:rPr>
              <w:t xml:space="preserve"> sia </w:t>
            </w:r>
            <w:r w:rsidR="005F45F2">
              <w:rPr>
                <w:rFonts w:ascii="Arial" w:hAnsi="Arial" w:cs="Arial"/>
                <w:sz w:val="21"/>
                <w:szCs w:val="21"/>
              </w:rPr>
              <w:t xml:space="preserve">una diminuzione </w:t>
            </w:r>
            <w:r w:rsidR="00EE1912">
              <w:rPr>
                <w:rFonts w:ascii="Arial" w:hAnsi="Arial" w:cs="Arial"/>
                <w:sz w:val="21"/>
                <w:szCs w:val="21"/>
              </w:rPr>
              <w:t xml:space="preserve">dei </w:t>
            </w:r>
            <w:r w:rsidR="005F45F2">
              <w:rPr>
                <w:rFonts w:ascii="Arial" w:hAnsi="Arial" w:cs="Arial"/>
                <w:sz w:val="21"/>
                <w:szCs w:val="21"/>
              </w:rPr>
              <w:t>prezzi</w:t>
            </w:r>
            <w:r>
              <w:rPr>
                <w:rFonts w:ascii="Arial" w:hAnsi="Arial" w:cs="Arial"/>
                <w:sz w:val="21"/>
                <w:szCs w:val="21"/>
              </w:rPr>
              <w:t xml:space="preserve">. </w:t>
            </w:r>
          </w:p>
          <w:p w14:paraId="2758DA6F" w14:textId="25569190" w:rsidR="006D73CC" w:rsidRDefault="006D73CC" w:rsidP="001D44A2">
            <w:pPr>
              <w:tabs>
                <w:tab w:val="left" w:pos="426"/>
                <w:tab w:val="left" w:pos="1843"/>
              </w:tabs>
              <w:spacing w:before="60" w:after="80" w:line="230" w:lineRule="exact"/>
              <w:jc w:val="both"/>
              <w:rPr>
                <w:rFonts w:ascii="Arial" w:hAnsi="Arial" w:cs="Arial"/>
                <w:sz w:val="21"/>
                <w:szCs w:val="21"/>
              </w:rPr>
            </w:pPr>
            <w:r w:rsidRPr="0068283A">
              <w:rPr>
                <w:rFonts w:ascii="Arial" w:hAnsi="Arial" w:cs="Arial"/>
                <w:sz w:val="21"/>
                <w:szCs w:val="21"/>
              </w:rPr>
              <w:t>Su base annu</w:t>
            </w:r>
            <w:r w:rsidR="005963B4">
              <w:rPr>
                <w:rFonts w:ascii="Arial" w:hAnsi="Arial" w:cs="Arial"/>
                <w:sz w:val="21"/>
                <w:szCs w:val="21"/>
              </w:rPr>
              <w:t xml:space="preserve">a, </w:t>
            </w:r>
            <w:r w:rsidRPr="0068283A">
              <w:rPr>
                <w:rFonts w:ascii="Arial" w:hAnsi="Arial" w:cs="Arial"/>
                <w:sz w:val="21"/>
                <w:szCs w:val="21"/>
              </w:rPr>
              <w:t xml:space="preserve">la crescita </w:t>
            </w:r>
            <w:r w:rsidR="00FB23AD">
              <w:rPr>
                <w:rFonts w:ascii="Arial" w:hAnsi="Arial" w:cs="Arial"/>
                <w:sz w:val="21"/>
                <w:szCs w:val="21"/>
              </w:rPr>
              <w:t xml:space="preserve">in valore </w:t>
            </w:r>
            <w:r w:rsidRPr="0068283A">
              <w:rPr>
                <w:rFonts w:ascii="Arial" w:hAnsi="Arial" w:cs="Arial"/>
                <w:sz w:val="21"/>
                <w:szCs w:val="21"/>
              </w:rPr>
              <w:t>sia dell’export</w:t>
            </w:r>
            <w:r>
              <w:rPr>
                <w:rFonts w:ascii="Arial" w:hAnsi="Arial" w:cs="Arial"/>
                <w:sz w:val="21"/>
                <w:szCs w:val="21"/>
              </w:rPr>
              <w:t xml:space="preserve"> </w:t>
            </w:r>
            <w:r w:rsidRPr="0068283A">
              <w:rPr>
                <w:rFonts w:ascii="Arial" w:hAnsi="Arial" w:cs="Arial"/>
                <w:sz w:val="21"/>
                <w:szCs w:val="21"/>
              </w:rPr>
              <w:t>sia</w:t>
            </w:r>
            <w:r w:rsidR="005F45F2">
              <w:rPr>
                <w:rFonts w:ascii="Arial" w:hAnsi="Arial" w:cs="Arial"/>
                <w:sz w:val="21"/>
                <w:szCs w:val="21"/>
              </w:rPr>
              <w:t xml:space="preserve"> </w:t>
            </w:r>
            <w:r w:rsidRPr="0068283A">
              <w:rPr>
                <w:rFonts w:ascii="Arial" w:hAnsi="Arial" w:cs="Arial"/>
                <w:sz w:val="21"/>
                <w:szCs w:val="21"/>
              </w:rPr>
              <w:t>dell’import</w:t>
            </w:r>
            <w:r w:rsidR="005963B4">
              <w:rPr>
                <w:rFonts w:ascii="Arial" w:hAnsi="Arial" w:cs="Arial"/>
                <w:sz w:val="21"/>
                <w:szCs w:val="21"/>
              </w:rPr>
              <w:t xml:space="preserve"> rallenta</w:t>
            </w:r>
            <w:r w:rsidR="001A2C55">
              <w:rPr>
                <w:rFonts w:ascii="Arial" w:hAnsi="Arial" w:cs="Arial"/>
                <w:sz w:val="21"/>
                <w:szCs w:val="21"/>
              </w:rPr>
              <w:t>.</w:t>
            </w:r>
          </w:p>
          <w:p w14:paraId="4FAA3CDE" w14:textId="20052701" w:rsidR="007F56BC" w:rsidRDefault="007F56BC" w:rsidP="001D44A2">
            <w:pPr>
              <w:tabs>
                <w:tab w:val="left" w:pos="426"/>
                <w:tab w:val="left" w:pos="1843"/>
              </w:tabs>
              <w:spacing w:after="80" w:line="230" w:lineRule="exact"/>
              <w:jc w:val="both"/>
              <w:rPr>
                <w:rFonts w:ascii="Arial" w:hAnsi="Arial" w:cs="Arial"/>
                <w:sz w:val="21"/>
                <w:szCs w:val="21"/>
              </w:rPr>
            </w:pPr>
            <w:r w:rsidRPr="00C16071">
              <w:rPr>
                <w:rFonts w:ascii="Arial" w:hAnsi="Arial" w:cs="Arial"/>
                <w:sz w:val="21"/>
                <w:szCs w:val="21"/>
              </w:rPr>
              <w:t xml:space="preserve">Il deficit energetico resta ampio </w:t>
            </w:r>
            <w:r w:rsidR="00FB23AD">
              <w:rPr>
                <w:rFonts w:ascii="Arial" w:hAnsi="Arial" w:cs="Arial"/>
                <w:sz w:val="21"/>
                <w:szCs w:val="21"/>
              </w:rPr>
              <w:t xml:space="preserve">(-8,8 miliardi) </w:t>
            </w:r>
            <w:r w:rsidRPr="00C16071">
              <w:rPr>
                <w:rFonts w:ascii="Arial" w:hAnsi="Arial" w:cs="Arial"/>
                <w:sz w:val="21"/>
                <w:szCs w:val="21"/>
              </w:rPr>
              <w:t>ma si riduce</w:t>
            </w:r>
            <w:r w:rsidR="001A2C55">
              <w:rPr>
                <w:rFonts w:ascii="Arial" w:hAnsi="Arial" w:cs="Arial"/>
                <w:sz w:val="21"/>
                <w:szCs w:val="21"/>
              </w:rPr>
              <w:t xml:space="preserve"> nel confronto con</w:t>
            </w:r>
            <w:r w:rsidR="005F45F2">
              <w:rPr>
                <w:rFonts w:ascii="Arial" w:hAnsi="Arial" w:cs="Arial"/>
                <w:sz w:val="21"/>
                <w:szCs w:val="21"/>
              </w:rPr>
              <w:t xml:space="preserve"> s</w:t>
            </w:r>
            <w:r>
              <w:rPr>
                <w:rFonts w:ascii="Arial" w:hAnsi="Arial" w:cs="Arial"/>
                <w:sz w:val="21"/>
                <w:szCs w:val="21"/>
              </w:rPr>
              <w:t>ettembre (</w:t>
            </w:r>
            <w:r w:rsidR="00136252">
              <w:rPr>
                <w:rFonts w:ascii="Arial" w:hAnsi="Arial" w:cs="Arial"/>
                <w:sz w:val="21"/>
                <w:szCs w:val="21"/>
              </w:rPr>
              <w:t>quando</w:t>
            </w:r>
            <w:r>
              <w:rPr>
                <w:rFonts w:ascii="Arial" w:hAnsi="Arial" w:cs="Arial"/>
                <w:sz w:val="21"/>
                <w:szCs w:val="21"/>
              </w:rPr>
              <w:t xml:space="preserve"> era </w:t>
            </w:r>
            <w:r w:rsidR="005F45F2">
              <w:rPr>
                <w:rFonts w:ascii="Arial" w:hAnsi="Arial" w:cs="Arial"/>
                <w:sz w:val="21"/>
                <w:szCs w:val="21"/>
              </w:rPr>
              <w:t>-</w:t>
            </w:r>
            <w:r w:rsidR="00136252">
              <w:rPr>
                <w:rFonts w:ascii="Arial" w:hAnsi="Arial" w:cs="Arial"/>
                <w:sz w:val="21"/>
                <w:szCs w:val="21"/>
              </w:rPr>
              <w:t>12 miliardi</w:t>
            </w:r>
            <w:r>
              <w:rPr>
                <w:rFonts w:ascii="Arial" w:hAnsi="Arial" w:cs="Arial"/>
                <w:sz w:val="21"/>
                <w:szCs w:val="21"/>
              </w:rPr>
              <w:t>)</w:t>
            </w:r>
            <w:r w:rsidR="006949F6">
              <w:rPr>
                <w:rFonts w:ascii="Arial" w:hAnsi="Arial" w:cs="Arial"/>
                <w:sz w:val="21"/>
                <w:szCs w:val="21"/>
              </w:rPr>
              <w:t>, con un conseguente</w:t>
            </w:r>
            <w:r w:rsidR="003808B0">
              <w:rPr>
                <w:rFonts w:ascii="Arial" w:hAnsi="Arial" w:cs="Arial"/>
                <w:sz w:val="21"/>
                <w:szCs w:val="21"/>
              </w:rPr>
              <w:t xml:space="preserve"> </w:t>
            </w:r>
            <w:r w:rsidR="005F45F2">
              <w:rPr>
                <w:rFonts w:ascii="Arial" w:hAnsi="Arial" w:cs="Arial"/>
                <w:sz w:val="21"/>
                <w:szCs w:val="21"/>
              </w:rPr>
              <w:t xml:space="preserve">ridimensionamento </w:t>
            </w:r>
            <w:r w:rsidRPr="007A66BD">
              <w:rPr>
                <w:rFonts w:ascii="Arial" w:hAnsi="Arial" w:cs="Arial"/>
                <w:sz w:val="21"/>
                <w:szCs w:val="21"/>
              </w:rPr>
              <w:t xml:space="preserve">del deficit commerciale </w:t>
            </w:r>
            <w:r w:rsidR="001A2C55">
              <w:rPr>
                <w:rFonts w:ascii="Arial" w:hAnsi="Arial" w:cs="Arial"/>
                <w:sz w:val="21"/>
                <w:szCs w:val="21"/>
              </w:rPr>
              <w:t>(</w:t>
            </w:r>
            <w:r w:rsidR="00FB23AD">
              <w:rPr>
                <w:rFonts w:ascii="Arial" w:hAnsi="Arial" w:cs="Arial"/>
                <w:sz w:val="21"/>
                <w:szCs w:val="21"/>
              </w:rPr>
              <w:t xml:space="preserve">-2 miliardi; </w:t>
            </w:r>
            <w:r w:rsidR="001A2C55">
              <w:rPr>
                <w:rFonts w:ascii="Arial" w:hAnsi="Arial" w:cs="Arial"/>
                <w:sz w:val="21"/>
                <w:szCs w:val="21"/>
              </w:rPr>
              <w:t xml:space="preserve">era </w:t>
            </w:r>
            <w:r w:rsidR="001D44A2">
              <w:rPr>
                <w:rFonts w:ascii="Arial" w:hAnsi="Arial" w:cs="Arial"/>
                <w:sz w:val="21"/>
                <w:szCs w:val="21"/>
              </w:rPr>
              <w:t>-</w:t>
            </w:r>
            <w:r>
              <w:rPr>
                <w:rFonts w:ascii="Arial" w:hAnsi="Arial" w:cs="Arial"/>
                <w:sz w:val="21"/>
                <w:szCs w:val="21"/>
              </w:rPr>
              <w:t>6,</w:t>
            </w:r>
            <w:r w:rsidRPr="007A66BD">
              <w:rPr>
                <w:rFonts w:ascii="Arial" w:hAnsi="Arial" w:cs="Arial"/>
                <w:sz w:val="21"/>
                <w:szCs w:val="21"/>
              </w:rPr>
              <w:t xml:space="preserve">5 </w:t>
            </w:r>
            <w:r w:rsidR="001D44A2">
              <w:rPr>
                <w:rFonts w:ascii="Arial" w:hAnsi="Arial" w:cs="Arial"/>
                <w:sz w:val="21"/>
                <w:szCs w:val="21"/>
              </w:rPr>
              <w:t xml:space="preserve">miliardi </w:t>
            </w:r>
            <w:r w:rsidR="005F45F2">
              <w:rPr>
                <w:rFonts w:ascii="Arial" w:hAnsi="Arial" w:cs="Arial"/>
                <w:sz w:val="21"/>
                <w:szCs w:val="21"/>
              </w:rPr>
              <w:t>a</w:t>
            </w:r>
            <w:r w:rsidRPr="007A66BD">
              <w:rPr>
                <w:rFonts w:ascii="Arial" w:hAnsi="Arial" w:cs="Arial"/>
                <w:sz w:val="21"/>
                <w:szCs w:val="21"/>
              </w:rPr>
              <w:t xml:space="preserve"> settembre</w:t>
            </w:r>
            <w:r w:rsidR="005F45F2">
              <w:rPr>
                <w:rFonts w:ascii="Arial" w:hAnsi="Arial" w:cs="Arial"/>
                <w:sz w:val="21"/>
                <w:szCs w:val="21"/>
              </w:rPr>
              <w:t>)</w:t>
            </w:r>
            <w:r w:rsidRPr="007A66BD">
              <w:rPr>
                <w:rFonts w:ascii="Arial" w:hAnsi="Arial" w:cs="Arial"/>
                <w:sz w:val="21"/>
                <w:szCs w:val="21"/>
              </w:rPr>
              <w:t>.</w:t>
            </w:r>
          </w:p>
          <w:p w14:paraId="082F83DB" w14:textId="4C90713F" w:rsidR="004E7A1D" w:rsidRPr="00136252" w:rsidRDefault="00136252" w:rsidP="001A2C55">
            <w:pPr>
              <w:tabs>
                <w:tab w:val="left" w:pos="426"/>
                <w:tab w:val="left" w:pos="1843"/>
              </w:tabs>
              <w:spacing w:after="120" w:line="230" w:lineRule="exact"/>
              <w:jc w:val="both"/>
              <w:rPr>
                <w:rFonts w:ascii="Arial" w:hAnsi="Arial" w:cstheme="minorBidi"/>
                <w:kern w:val="28"/>
                <w:sz w:val="21"/>
                <w:szCs w:val="21"/>
              </w:rPr>
            </w:pPr>
            <w:r>
              <w:rPr>
                <w:rFonts w:ascii="Arial" w:hAnsi="Arial" w:cs="Arial"/>
                <w:sz w:val="21"/>
                <w:szCs w:val="21"/>
              </w:rPr>
              <w:t>Per i</w:t>
            </w:r>
            <w:r w:rsidR="002A0930" w:rsidRPr="00136252">
              <w:rPr>
                <w:rFonts w:ascii="Arial" w:hAnsi="Arial" w:cs="Arial"/>
                <w:sz w:val="21"/>
                <w:szCs w:val="21"/>
              </w:rPr>
              <w:t xml:space="preserve"> prezzi all’import</w:t>
            </w:r>
            <w:r w:rsidR="006949F6">
              <w:rPr>
                <w:rFonts w:ascii="Arial" w:hAnsi="Arial" w:cs="Arial"/>
                <w:sz w:val="21"/>
                <w:szCs w:val="21"/>
              </w:rPr>
              <w:t xml:space="preserve">, </w:t>
            </w:r>
            <w:r w:rsidR="002A0930" w:rsidRPr="00136252">
              <w:rPr>
                <w:rFonts w:ascii="Arial" w:hAnsi="Arial" w:cs="Arial"/>
                <w:sz w:val="21"/>
                <w:szCs w:val="21"/>
              </w:rPr>
              <w:t>si interromp</w:t>
            </w:r>
            <w:r>
              <w:rPr>
                <w:rFonts w:ascii="Arial" w:hAnsi="Arial" w:cs="Arial"/>
                <w:sz w:val="21"/>
                <w:szCs w:val="21"/>
              </w:rPr>
              <w:t>e</w:t>
            </w:r>
            <w:r w:rsidR="002A0930" w:rsidRPr="00136252">
              <w:rPr>
                <w:rFonts w:ascii="Arial" w:hAnsi="Arial" w:cs="Arial"/>
                <w:sz w:val="21"/>
                <w:szCs w:val="21"/>
              </w:rPr>
              <w:t xml:space="preserve"> la fase di crescita congiunturale in corso da </w:t>
            </w:r>
            <w:r w:rsidR="006949F6">
              <w:rPr>
                <w:rFonts w:ascii="Arial" w:hAnsi="Arial" w:cs="Arial"/>
                <w:sz w:val="21"/>
                <w:szCs w:val="21"/>
              </w:rPr>
              <w:t xml:space="preserve">oltre </w:t>
            </w:r>
            <w:r w:rsidR="00E076F1">
              <w:rPr>
                <w:rFonts w:ascii="Arial" w:hAnsi="Arial" w:cs="Arial"/>
                <w:sz w:val="21"/>
                <w:szCs w:val="21"/>
              </w:rPr>
              <w:t>due</w:t>
            </w:r>
            <w:r w:rsidR="00B17869">
              <w:rPr>
                <w:rFonts w:ascii="Arial" w:hAnsi="Arial" w:cs="Arial"/>
                <w:sz w:val="21"/>
                <w:szCs w:val="21"/>
              </w:rPr>
              <w:t xml:space="preserve"> anni e si registra una netta decelerazione</w:t>
            </w:r>
            <w:r w:rsidR="002A0930" w:rsidRPr="00136252">
              <w:rPr>
                <w:rFonts w:ascii="Arial" w:hAnsi="Arial" w:cs="Arial"/>
                <w:sz w:val="21"/>
                <w:szCs w:val="21"/>
              </w:rPr>
              <w:t xml:space="preserve"> su base tendenziale, </w:t>
            </w:r>
            <w:r w:rsidR="006949F6">
              <w:rPr>
                <w:rFonts w:ascii="Arial" w:hAnsi="Arial" w:cs="Arial"/>
                <w:sz w:val="21"/>
                <w:szCs w:val="21"/>
              </w:rPr>
              <w:t>cui contribuiscono</w:t>
            </w:r>
            <w:r w:rsidR="00B17869">
              <w:rPr>
                <w:rFonts w:ascii="Arial" w:hAnsi="Arial" w:cs="Arial"/>
                <w:sz w:val="21"/>
                <w:szCs w:val="21"/>
              </w:rPr>
              <w:t xml:space="preserve"> </w:t>
            </w:r>
            <w:r w:rsidR="006949F6">
              <w:rPr>
                <w:rFonts w:ascii="Arial" w:hAnsi="Arial" w:cs="Arial"/>
                <w:sz w:val="21"/>
                <w:szCs w:val="21"/>
              </w:rPr>
              <w:t>soprattutto</w:t>
            </w:r>
            <w:r w:rsidR="002A0930" w:rsidRPr="00136252">
              <w:rPr>
                <w:rFonts w:ascii="Arial" w:hAnsi="Arial" w:cs="Arial"/>
                <w:sz w:val="21"/>
                <w:szCs w:val="21"/>
              </w:rPr>
              <w:t xml:space="preserve"> </w:t>
            </w:r>
            <w:r w:rsidR="005F45F2">
              <w:rPr>
                <w:rFonts w:ascii="Arial" w:hAnsi="Arial" w:cs="Arial"/>
                <w:sz w:val="21"/>
                <w:szCs w:val="21"/>
              </w:rPr>
              <w:t xml:space="preserve">i ribassi dei </w:t>
            </w:r>
            <w:r w:rsidR="002A0930" w:rsidRPr="00136252">
              <w:rPr>
                <w:rFonts w:ascii="Arial" w:hAnsi="Arial" w:cs="Arial"/>
                <w:sz w:val="21"/>
                <w:szCs w:val="21"/>
              </w:rPr>
              <w:t>prezzi d</w:t>
            </w:r>
            <w:r w:rsidR="00C66339">
              <w:rPr>
                <w:rFonts w:ascii="Arial" w:hAnsi="Arial" w:cs="Arial"/>
                <w:sz w:val="21"/>
                <w:szCs w:val="21"/>
              </w:rPr>
              <w:t xml:space="preserve">ei </w:t>
            </w:r>
            <w:r w:rsidR="002A0930" w:rsidRPr="00136252">
              <w:rPr>
                <w:rFonts w:ascii="Arial" w:hAnsi="Arial" w:cs="Arial"/>
                <w:sz w:val="21"/>
                <w:szCs w:val="21"/>
              </w:rPr>
              <w:t>prodotti energetici</w:t>
            </w:r>
            <w:r w:rsidR="003808B0">
              <w:rPr>
                <w:rFonts w:ascii="Arial" w:hAnsi="Arial" w:cs="Arial"/>
                <w:sz w:val="21"/>
                <w:szCs w:val="21"/>
              </w:rPr>
              <w:t xml:space="preserve"> e, in </w:t>
            </w:r>
            <w:r w:rsidR="006949F6">
              <w:rPr>
                <w:rFonts w:ascii="Arial" w:hAnsi="Arial" w:cs="Arial"/>
                <w:sz w:val="21"/>
                <w:szCs w:val="21"/>
              </w:rPr>
              <w:t>primo luogo</w:t>
            </w:r>
            <w:r w:rsidR="003808B0">
              <w:rPr>
                <w:rFonts w:ascii="Arial" w:hAnsi="Arial" w:cs="Arial"/>
                <w:sz w:val="21"/>
                <w:szCs w:val="21"/>
              </w:rPr>
              <w:t>, dell’energia elettrica.</w:t>
            </w:r>
          </w:p>
        </w:tc>
        <w:tc>
          <w:tcPr>
            <w:tcW w:w="3290" w:type="dxa"/>
            <w:tcBorders>
              <w:top w:val="nil"/>
              <w:left w:val="single" w:sz="48" w:space="0" w:color="FFFFFF"/>
              <w:bottom w:val="single" w:sz="36" w:space="0" w:color="FFFFFF"/>
              <w:right w:val="single" w:sz="36" w:space="0" w:color="FFFFFF"/>
            </w:tcBorders>
            <w:shd w:val="clear" w:color="auto" w:fill="E31C18"/>
          </w:tcPr>
          <w:p w14:paraId="21E22E65" w14:textId="77777777" w:rsidR="00F527AD" w:rsidRPr="00AC2483" w:rsidRDefault="00F527AD" w:rsidP="00FB50EB">
            <w:pPr>
              <w:pStyle w:val="Paragrafobase"/>
              <w:spacing w:before="200" w:line="320" w:lineRule="exact"/>
              <w:ind w:left="176"/>
              <w:rPr>
                <w:rFonts w:ascii="Calibri" w:hAnsi="Calibri" w:cs="Arial"/>
                <w:b/>
                <w:color w:val="FFFFFF"/>
                <w:sz w:val="28"/>
                <w:szCs w:val="28"/>
              </w:rPr>
            </w:pPr>
            <w:r w:rsidRPr="00AC2483">
              <w:rPr>
                <w:rFonts w:ascii="Calibri" w:hAnsi="Calibri" w:cs="Arial"/>
                <w:b/>
                <w:color w:val="FFFFFF"/>
                <w:sz w:val="28"/>
                <w:szCs w:val="28"/>
              </w:rPr>
              <w:t>PROSSIMA</w:t>
            </w:r>
          </w:p>
          <w:p w14:paraId="7D1A9741" w14:textId="77777777" w:rsidR="00F527AD" w:rsidRDefault="00F527AD" w:rsidP="00FB50EB">
            <w:pPr>
              <w:pStyle w:val="Paragrafobase"/>
              <w:spacing w:line="320" w:lineRule="exact"/>
              <w:ind w:left="175"/>
              <w:rPr>
                <w:rFonts w:ascii="Calibri" w:hAnsi="Calibri" w:cs="Arial"/>
                <w:b/>
                <w:color w:val="FFFFFF"/>
                <w:sz w:val="28"/>
                <w:szCs w:val="28"/>
              </w:rPr>
            </w:pPr>
            <w:r w:rsidRPr="00AC2483">
              <w:rPr>
                <w:rFonts w:ascii="Calibri" w:hAnsi="Calibri" w:cs="Arial"/>
                <w:b/>
                <w:color w:val="FFFFFF"/>
                <w:sz w:val="28"/>
                <w:szCs w:val="28"/>
              </w:rPr>
              <w:t>DIFFUSIONE</w:t>
            </w:r>
          </w:p>
          <w:p w14:paraId="00298C28" w14:textId="77777777" w:rsidR="00F527AD" w:rsidRPr="00C32401" w:rsidRDefault="00F527AD" w:rsidP="00FB50EB">
            <w:pPr>
              <w:pStyle w:val="Paragrafobase"/>
              <w:spacing w:line="320" w:lineRule="exact"/>
              <w:ind w:left="175"/>
              <w:rPr>
                <w:rStyle w:val="Collegamentoipertestuale"/>
                <w:rFonts w:ascii="Arial" w:hAnsi="Arial" w:cs="Arial"/>
                <w:color w:val="FFFFFF"/>
                <w:sz w:val="20"/>
                <w:szCs w:val="20"/>
              </w:rPr>
            </w:pPr>
          </w:p>
          <w:p w14:paraId="54F2919A" w14:textId="59696FC3" w:rsidR="00F527AD" w:rsidRPr="002578CE" w:rsidRDefault="00236734" w:rsidP="003356BD">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1</w:t>
            </w:r>
            <w:r w:rsidR="003356BD">
              <w:rPr>
                <w:rFonts w:ascii="Arial Narrow" w:hAnsi="Arial Narrow" w:cs="Arial"/>
                <w:color w:val="FFFFFF"/>
                <w:sz w:val="22"/>
                <w:szCs w:val="22"/>
              </w:rPr>
              <w:t>8</w:t>
            </w:r>
            <w:r w:rsidR="006C7BC0">
              <w:rPr>
                <w:rFonts w:ascii="Arial Narrow" w:hAnsi="Arial Narrow" w:cs="Arial"/>
                <w:color w:val="FFFFFF"/>
                <w:sz w:val="22"/>
                <w:szCs w:val="22"/>
              </w:rPr>
              <w:t xml:space="preserve"> </w:t>
            </w:r>
            <w:r w:rsidR="003356BD">
              <w:rPr>
                <w:rFonts w:ascii="Arial Narrow" w:hAnsi="Arial Narrow" w:cs="Arial"/>
                <w:color w:val="FFFFFF"/>
                <w:sz w:val="22"/>
                <w:szCs w:val="22"/>
              </w:rPr>
              <w:t>Gennaio</w:t>
            </w:r>
            <w:r w:rsidR="00A45FC3">
              <w:rPr>
                <w:rFonts w:ascii="Arial Narrow" w:hAnsi="Arial Narrow" w:cs="Arial"/>
                <w:color w:val="FFFFFF"/>
                <w:sz w:val="22"/>
                <w:szCs w:val="22"/>
              </w:rPr>
              <w:t xml:space="preserve"> </w:t>
            </w:r>
            <w:r w:rsidR="009C7615">
              <w:rPr>
                <w:rFonts w:ascii="Arial Narrow" w:hAnsi="Arial Narrow" w:cs="Arial"/>
                <w:color w:val="FFFFFF"/>
                <w:sz w:val="22"/>
                <w:szCs w:val="22"/>
              </w:rPr>
              <w:t>202</w:t>
            </w:r>
            <w:r w:rsidR="003356BD">
              <w:rPr>
                <w:rFonts w:ascii="Arial Narrow" w:hAnsi="Arial Narrow" w:cs="Arial"/>
                <w:color w:val="FFFFFF"/>
                <w:sz w:val="22"/>
                <w:szCs w:val="22"/>
              </w:rPr>
              <w:t>3</w:t>
            </w:r>
          </w:p>
        </w:tc>
      </w:tr>
      <w:tr w:rsidR="00F527AD" w:rsidRPr="002578CE" w14:paraId="75B7B8EB" w14:textId="77777777" w:rsidTr="00053850">
        <w:trPr>
          <w:trHeight w:val="115"/>
        </w:trPr>
        <w:tc>
          <w:tcPr>
            <w:tcW w:w="6916" w:type="dxa"/>
            <w:vMerge/>
            <w:tcBorders>
              <w:left w:val="single" w:sz="4" w:space="0" w:color="FFFFFF"/>
              <w:right w:val="single" w:sz="48" w:space="0" w:color="FFFFFF"/>
            </w:tcBorders>
            <w:shd w:val="clear" w:color="auto" w:fill="D9D9D9"/>
          </w:tcPr>
          <w:p w14:paraId="45CF6F95"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auto"/>
          </w:tcPr>
          <w:p w14:paraId="41F8829E" w14:textId="77777777" w:rsidR="00F527AD" w:rsidRPr="002578CE" w:rsidRDefault="005301CF" w:rsidP="0056309F">
            <w:pPr>
              <w:pStyle w:val="Paragrafobase"/>
              <w:spacing w:before="120" w:line="240" w:lineRule="exact"/>
              <w:rPr>
                <w:rFonts w:ascii="Arial" w:hAnsi="Arial" w:cs="Arial"/>
                <w:sz w:val="21"/>
                <w:szCs w:val="21"/>
              </w:rPr>
            </w:pPr>
            <w:r>
              <w:rPr>
                <w:rFonts w:ascii="Arial" w:hAnsi="Arial" w:cs="Arial"/>
                <w:noProof/>
                <w:sz w:val="21"/>
                <w:szCs w:val="21"/>
              </w:rPr>
              <w:drawing>
                <wp:anchor distT="0" distB="0" distL="114300" distR="114300" simplePos="0" relativeHeight="251657216" behindDoc="0" locked="0" layoutInCell="1" allowOverlap="1" wp14:anchorId="3B1D44BF" wp14:editId="6CE31758">
                  <wp:simplePos x="0" y="0"/>
                  <wp:positionH relativeFrom="column">
                    <wp:posOffset>1497330</wp:posOffset>
                  </wp:positionH>
                  <wp:positionV relativeFrom="paragraph">
                    <wp:posOffset>49530</wp:posOffset>
                  </wp:positionV>
                  <wp:extent cx="647700" cy="628650"/>
                  <wp:effectExtent l="0" t="0" r="0" b="0"/>
                  <wp:wrapNone/>
                  <wp:docPr id="258"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c>
      </w:tr>
      <w:tr w:rsidR="00F527AD" w:rsidRPr="00064F58" w14:paraId="7DA5D134" w14:textId="77777777" w:rsidTr="00053850">
        <w:trPr>
          <w:trHeight w:val="115"/>
        </w:trPr>
        <w:tc>
          <w:tcPr>
            <w:tcW w:w="6916" w:type="dxa"/>
            <w:vMerge/>
            <w:tcBorders>
              <w:left w:val="single" w:sz="4" w:space="0" w:color="FFFFFF"/>
              <w:bottom w:val="nil"/>
              <w:right w:val="single" w:sz="48" w:space="0" w:color="FFFFFF"/>
            </w:tcBorders>
            <w:shd w:val="clear" w:color="auto" w:fill="D9D9D9"/>
          </w:tcPr>
          <w:p w14:paraId="243E0130"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14:paraId="79C064FA" w14:textId="50AF6CF6" w:rsidR="00F527AD" w:rsidRPr="00A37CCC" w:rsidRDefault="00F527AD" w:rsidP="00FB50EB">
            <w:pPr>
              <w:pStyle w:val="Paragrafobase"/>
              <w:spacing w:before="160" w:line="320" w:lineRule="exact"/>
              <w:ind w:left="175"/>
              <w:rPr>
                <w:rFonts w:ascii="Calibri" w:hAnsi="Calibri" w:cs="Arial"/>
                <w:b/>
                <w:color w:val="FFFFFF"/>
                <w:sz w:val="28"/>
                <w:szCs w:val="28"/>
                <w:lang w:val="en-GB"/>
              </w:rPr>
            </w:pPr>
            <w:r w:rsidRPr="00A37CCC">
              <w:rPr>
                <w:rFonts w:ascii="Calibri" w:hAnsi="Calibri" w:cs="Arial"/>
                <w:b/>
                <w:color w:val="FFFFFF"/>
                <w:sz w:val="28"/>
                <w:szCs w:val="28"/>
                <w:lang w:val="en-GB"/>
              </w:rPr>
              <w:t>Link utili</w:t>
            </w:r>
          </w:p>
          <w:p w14:paraId="74F3F47A" w14:textId="77777777" w:rsidR="004E7A1D" w:rsidRPr="00A37CCC" w:rsidRDefault="004E7A1D" w:rsidP="004E7A1D">
            <w:pPr>
              <w:pStyle w:val="Paragrafobase"/>
              <w:spacing w:line="320" w:lineRule="exact"/>
              <w:ind w:left="176"/>
              <w:rPr>
                <w:rFonts w:ascii="Calibri" w:hAnsi="Calibri" w:cs="Arial"/>
                <w:b/>
                <w:color w:val="FFFFFF"/>
                <w:sz w:val="10"/>
                <w:szCs w:val="10"/>
                <w:lang w:val="en-GB"/>
              </w:rPr>
            </w:pPr>
          </w:p>
          <w:p w14:paraId="36DE46D0" w14:textId="77777777" w:rsidR="000876D8" w:rsidRPr="00793BF4" w:rsidRDefault="00423673" w:rsidP="000876D8">
            <w:pPr>
              <w:pStyle w:val="Paragrafobase"/>
              <w:spacing w:before="120" w:line="240" w:lineRule="exact"/>
              <w:ind w:left="176"/>
              <w:rPr>
                <w:rStyle w:val="Collegamentoipertestuale"/>
                <w:rFonts w:ascii="Arial Narrow" w:hAnsi="Arial Narrow" w:cs="Arial"/>
                <w:color w:val="FFFFFF"/>
                <w:sz w:val="22"/>
                <w:szCs w:val="22"/>
                <w:lang w:val="en-GB"/>
              </w:rPr>
            </w:pPr>
            <w:hyperlink r:id="rId16" w:history="1">
              <w:r w:rsidR="000876D8" w:rsidRPr="00A37CCC">
                <w:rPr>
                  <w:rStyle w:val="Collegamentoipertestuale"/>
                  <w:rFonts w:ascii="Arial Narrow" w:hAnsi="Arial Narrow" w:cs="Arial"/>
                  <w:color w:val="FFFFFF"/>
                  <w:sz w:val="22"/>
                  <w:szCs w:val="22"/>
                  <w:lang w:val="en-GB"/>
                </w:rPr>
                <w:t>http://dati.istat.</w:t>
              </w:r>
              <w:r w:rsidR="000876D8" w:rsidRPr="00793BF4">
                <w:rPr>
                  <w:rStyle w:val="Collegamentoipertestuale"/>
                  <w:rFonts w:ascii="Arial Narrow" w:hAnsi="Arial Narrow" w:cs="Arial"/>
                  <w:color w:val="FFFFFF"/>
                  <w:sz w:val="22"/>
                  <w:szCs w:val="22"/>
                  <w:lang w:val="en-GB"/>
                </w:rPr>
                <w:t>it/</w:t>
              </w:r>
            </w:hyperlink>
          </w:p>
          <w:p w14:paraId="084F61B9" w14:textId="77777777" w:rsidR="000876D8" w:rsidRPr="00AF6380" w:rsidRDefault="00423673" w:rsidP="000876D8">
            <w:pPr>
              <w:pStyle w:val="Paragrafobase"/>
              <w:spacing w:before="120" w:line="240" w:lineRule="exact"/>
              <w:ind w:left="175"/>
              <w:rPr>
                <w:rStyle w:val="Collegamentoipertestuale"/>
                <w:rFonts w:ascii="Arial Narrow" w:hAnsi="Arial Narrow" w:cs="Arial"/>
                <w:color w:val="FFFFFF"/>
                <w:sz w:val="22"/>
                <w:szCs w:val="22"/>
                <w:lang w:val="en-US"/>
              </w:rPr>
            </w:pPr>
            <w:hyperlink r:id="rId17" w:history="1">
              <w:r w:rsidR="000876D8" w:rsidRPr="00AF6380">
                <w:rPr>
                  <w:rStyle w:val="Collegamentoipertestuale"/>
                  <w:rFonts w:ascii="Arial Narrow" w:hAnsi="Arial Narrow" w:cs="Arial"/>
                  <w:color w:val="FFFFFF"/>
                  <w:sz w:val="22"/>
                  <w:szCs w:val="22"/>
                  <w:lang w:val="en-US"/>
                </w:rPr>
                <w:t>http://www.istat.it/it/congiuntura</w:t>
              </w:r>
            </w:hyperlink>
          </w:p>
          <w:p w14:paraId="3DD3B3CF" w14:textId="1FD42BFE" w:rsidR="004E7A1D" w:rsidRPr="000077FA" w:rsidRDefault="00423673" w:rsidP="000077FA">
            <w:pPr>
              <w:pStyle w:val="Paragrafobase"/>
              <w:spacing w:before="120" w:line="240" w:lineRule="exact"/>
              <w:ind w:left="176"/>
              <w:rPr>
                <w:rFonts w:ascii="Arial Narrow" w:hAnsi="Arial Narrow" w:cs="Arial"/>
                <w:color w:val="FFFFFF"/>
                <w:sz w:val="22"/>
                <w:szCs w:val="22"/>
                <w:u w:val="single"/>
                <w:lang w:val="en-US"/>
              </w:rPr>
            </w:pPr>
            <w:hyperlink r:id="rId18" w:history="1">
              <w:r w:rsidR="000876D8" w:rsidRPr="00AF6380">
                <w:rPr>
                  <w:rStyle w:val="Collegamentoipertestuale"/>
                  <w:rFonts w:ascii="Arial Narrow" w:hAnsi="Arial Narrow" w:cs="Arial"/>
                  <w:color w:val="FFFFFF"/>
                  <w:sz w:val="22"/>
                  <w:szCs w:val="22"/>
                  <w:lang w:val="en-US"/>
                </w:rPr>
                <w:t>https://www.coeweb.istat.it</w:t>
              </w:r>
            </w:hyperlink>
          </w:p>
        </w:tc>
      </w:tr>
    </w:tbl>
    <w:p w14:paraId="7509D712" w14:textId="5A06921A" w:rsidR="006D73CC" w:rsidRDefault="006D73CC" w:rsidP="00DC76B3">
      <w:pPr>
        <w:tabs>
          <w:tab w:val="left" w:pos="284"/>
        </w:tabs>
        <w:rPr>
          <w:rFonts w:ascii="Arial Narrow" w:hAnsi="Arial Narrow" w:cs="Arial"/>
          <w:b/>
          <w:color w:val="E42618"/>
          <w:sz w:val="22"/>
          <w:szCs w:val="22"/>
          <w:lang w:val="en-US"/>
        </w:rPr>
      </w:pPr>
    </w:p>
    <w:p w14:paraId="6381716D" w14:textId="56A27ADC" w:rsidR="00787294" w:rsidRDefault="00833A77" w:rsidP="00DC76B3">
      <w:pPr>
        <w:tabs>
          <w:tab w:val="left" w:pos="284"/>
        </w:tabs>
        <w:rPr>
          <w:sz w:val="22"/>
          <w:szCs w:val="22"/>
        </w:rPr>
      </w:pPr>
      <w:r w:rsidRPr="007939D9">
        <w:rPr>
          <w:rFonts w:ascii="Arial Narrow" w:hAnsi="Arial Narrow" w:cs="Arial"/>
          <w:b/>
          <w:color w:val="E42618"/>
          <w:sz w:val="22"/>
          <w:szCs w:val="22"/>
        </w:rPr>
        <w:lastRenderedPageBreak/>
        <w:t xml:space="preserve">FIGURA </w:t>
      </w:r>
      <w:r w:rsidR="00BE55AA">
        <w:rPr>
          <w:rFonts w:ascii="Arial Narrow" w:hAnsi="Arial Narrow" w:cs="Arial"/>
          <w:b/>
          <w:color w:val="E42618"/>
          <w:sz w:val="22"/>
          <w:szCs w:val="22"/>
        </w:rPr>
        <w:t>1</w:t>
      </w:r>
      <w:r w:rsidRPr="007939D9">
        <w:rPr>
          <w:rFonts w:ascii="Arial Narrow" w:hAnsi="Arial Narrow" w:cs="Arial"/>
          <w:b/>
          <w:color w:val="E42618"/>
          <w:sz w:val="22"/>
          <w:szCs w:val="22"/>
        </w:rPr>
        <w:t>.</w:t>
      </w:r>
      <w:r w:rsidRPr="007939D9">
        <w:rPr>
          <w:sz w:val="22"/>
          <w:szCs w:val="22"/>
        </w:rPr>
        <w:t xml:space="preserve"> </w:t>
      </w:r>
      <w:r w:rsidR="00787294" w:rsidRPr="00787294">
        <w:rPr>
          <w:rFonts w:ascii="Arial Narrow" w:hAnsi="Arial Narrow" w:cs="Arial"/>
          <w:b/>
          <w:caps/>
          <w:color w:val="5F5F5F"/>
          <w:sz w:val="22"/>
          <w:szCs w:val="22"/>
        </w:rPr>
        <w:t>FLUSSI COMMERCIALI CON L’ESTERO</w:t>
      </w:r>
      <w:r w:rsidR="00787294">
        <w:rPr>
          <w:sz w:val="22"/>
          <w:szCs w:val="22"/>
        </w:rPr>
        <w:t xml:space="preserve"> </w:t>
      </w:r>
    </w:p>
    <w:p w14:paraId="77E94247" w14:textId="31198562" w:rsidR="00833A77" w:rsidRPr="0071152F" w:rsidRDefault="00787294" w:rsidP="007939D9">
      <w:pPr>
        <w:tabs>
          <w:tab w:val="left" w:pos="284"/>
        </w:tabs>
        <w:spacing w:after="12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004D5E96" w:rsidRPr="0071152F">
        <w:rPr>
          <w:rFonts w:ascii="Arial Narrow" w:hAnsi="Arial Narrow" w:cs="Arial"/>
          <w:color w:val="5F5F5F"/>
          <w:sz w:val="20"/>
        </w:rPr>
        <w:t xml:space="preserve"> </w:t>
      </w:r>
      <w:r w:rsidR="00644975">
        <w:rPr>
          <w:rFonts w:ascii="Arial Narrow" w:hAnsi="Arial Narrow" w:cs="Arial"/>
          <w:color w:val="5F5F5F"/>
          <w:sz w:val="20"/>
        </w:rPr>
        <w:t>–</w:t>
      </w:r>
      <w:r w:rsidRPr="0071152F">
        <w:rPr>
          <w:rFonts w:ascii="Arial Narrow" w:hAnsi="Arial Narrow" w:cs="Arial"/>
          <w:color w:val="5F5F5F"/>
          <w:sz w:val="20"/>
        </w:rPr>
        <w:t xml:space="preserve"> </w:t>
      </w:r>
      <w:r w:rsidR="00644975">
        <w:rPr>
          <w:rFonts w:ascii="Arial Narrow" w:hAnsi="Arial Narrow" w:cs="Arial"/>
          <w:color w:val="5F5F5F"/>
          <w:sz w:val="20"/>
        </w:rPr>
        <w:t>ottobre</w:t>
      </w:r>
      <w:r w:rsidR="00C60507"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Pr="0071152F">
        <w:rPr>
          <w:rFonts w:ascii="Arial Narrow" w:hAnsi="Arial Narrow" w:cs="Arial"/>
          <w:color w:val="5F5F5F"/>
          <w:sz w:val="20"/>
        </w:rPr>
        <w:t xml:space="preserve">, </w:t>
      </w:r>
      <w:r w:rsidR="000B7E0D" w:rsidRPr="0071152F">
        <w:rPr>
          <w:rFonts w:ascii="Arial Narrow" w:hAnsi="Arial Narrow" w:cs="Arial"/>
          <w:color w:val="5F5F5F"/>
          <w:sz w:val="20"/>
        </w:rPr>
        <w:t xml:space="preserve">dati mensili e medie mobili a tre mesi, </w:t>
      </w:r>
      <w:r w:rsidR="00D36CA1" w:rsidRPr="0071152F">
        <w:rPr>
          <w:rFonts w:ascii="Arial Narrow" w:hAnsi="Arial Narrow" w:cs="Arial"/>
          <w:color w:val="5F5F5F"/>
          <w:sz w:val="20"/>
        </w:rPr>
        <w:t>dati destagionalizzati e saldi in</w:t>
      </w:r>
      <w:r w:rsidR="00516EEC" w:rsidRPr="0071152F">
        <w:rPr>
          <w:rFonts w:ascii="Arial Narrow" w:hAnsi="Arial Narrow" w:cs="Arial"/>
          <w:color w:val="5F5F5F"/>
          <w:sz w:val="20"/>
        </w:rPr>
        <w:t xml:space="preserve"> miliardi</w:t>
      </w:r>
      <w:r w:rsidRPr="0071152F">
        <w:rPr>
          <w:rFonts w:ascii="Arial Narrow" w:hAnsi="Arial Narrow" w:cs="Arial"/>
          <w:color w:val="5F5F5F"/>
          <w:sz w:val="20"/>
        </w:rPr>
        <w:t xml:space="preserve"> di eur</w:t>
      </w:r>
      <w:r w:rsidR="00D36CA1" w:rsidRPr="0071152F">
        <w:rPr>
          <w:rFonts w:ascii="Arial Narrow" w:hAnsi="Arial Narrow" w:cs="Arial"/>
          <w:color w:val="5F5F5F"/>
          <w:sz w:val="20"/>
        </w:rPr>
        <w:t>o</w:t>
      </w:r>
    </w:p>
    <w:p w14:paraId="4AA09C46" w14:textId="3F8EBAF8" w:rsidR="003D65F6" w:rsidRDefault="00643C20" w:rsidP="007939D9">
      <w:pPr>
        <w:tabs>
          <w:tab w:val="left" w:pos="284"/>
        </w:tabs>
        <w:spacing w:after="120"/>
        <w:rPr>
          <w:rFonts w:ascii="Arial Narrow" w:hAnsi="Arial Narrow" w:cs="Arial"/>
          <w:color w:val="5F5F5F"/>
        </w:rPr>
      </w:pPr>
      <w:r>
        <w:rPr>
          <w:noProof/>
        </w:rPr>
        <w:drawing>
          <wp:inline distT="0" distB="0" distL="0" distR="0" wp14:anchorId="61A7A36B" wp14:editId="6E1B2415">
            <wp:extent cx="6480000" cy="3240000"/>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97F449" w14:textId="77777777" w:rsidR="00104132" w:rsidRPr="006448AE" w:rsidRDefault="00104132" w:rsidP="00D36CA1">
      <w:pPr>
        <w:rPr>
          <w:rFonts w:ascii="Arial Narrow" w:hAnsi="Arial Narrow" w:cs="Arial"/>
          <w:b/>
          <w:color w:val="E42618"/>
          <w:sz w:val="14"/>
          <w:szCs w:val="14"/>
        </w:rPr>
      </w:pPr>
    </w:p>
    <w:p w14:paraId="7683599A" w14:textId="77777777" w:rsidR="00833A77" w:rsidRDefault="00F00744" w:rsidP="00D36CA1">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Pr>
          <w:rFonts w:ascii="Arial Narrow" w:hAnsi="Arial Narrow" w:cs="Arial"/>
          <w:b/>
          <w:color w:val="E42618"/>
          <w:sz w:val="22"/>
          <w:szCs w:val="22"/>
        </w:rPr>
        <w:t>2</w:t>
      </w:r>
      <w:r w:rsidRPr="007939D9">
        <w:rPr>
          <w:rFonts w:ascii="Arial Narrow" w:hAnsi="Arial Narrow" w:cs="Arial"/>
          <w:b/>
          <w:color w:val="E42618"/>
          <w:sz w:val="22"/>
          <w:szCs w:val="22"/>
        </w:rPr>
        <w:t>.</w:t>
      </w:r>
      <w:r w:rsidR="00D36CA1">
        <w:rPr>
          <w:rFonts w:ascii="Arial Narrow" w:hAnsi="Arial Narrow" w:cs="Arial"/>
          <w:b/>
          <w:color w:val="E42618"/>
          <w:sz w:val="22"/>
          <w:szCs w:val="22"/>
        </w:rPr>
        <w:t xml:space="preserve"> </w:t>
      </w:r>
      <w:r w:rsidR="00605103" w:rsidRPr="00D36CA1">
        <w:rPr>
          <w:rFonts w:ascii="Arial Narrow" w:hAnsi="Arial Narrow" w:cs="Arial"/>
          <w:b/>
          <w:caps/>
          <w:color w:val="5F5F5F"/>
          <w:sz w:val="22"/>
          <w:szCs w:val="22"/>
        </w:rPr>
        <w:t>ESPORTAZIO</w:t>
      </w:r>
      <w:r w:rsidR="00605103">
        <w:rPr>
          <w:rFonts w:ascii="Arial Narrow" w:hAnsi="Arial Narrow" w:cs="Arial"/>
          <w:b/>
          <w:caps/>
          <w:color w:val="5F5F5F"/>
          <w:sz w:val="22"/>
          <w:szCs w:val="22"/>
        </w:rPr>
        <w:t xml:space="preserve">NI E IMPORTAZIONI </w:t>
      </w:r>
      <w:r w:rsidR="008014ED" w:rsidRPr="007C052D">
        <w:rPr>
          <w:rFonts w:ascii="Arial Narrow" w:hAnsi="Arial Narrow" w:cs="Arial"/>
          <w:b/>
          <w:caps/>
          <w:color w:val="5F5F5F"/>
          <w:sz w:val="22"/>
          <w:szCs w:val="22"/>
        </w:rPr>
        <w:t>CON L’</w:t>
      </w:r>
      <w:r w:rsidR="00D36CA1" w:rsidRPr="007C052D">
        <w:rPr>
          <w:rFonts w:ascii="Arial Narrow" w:hAnsi="Arial Narrow" w:cs="Arial"/>
          <w:b/>
          <w:caps/>
          <w:color w:val="5F5F5F"/>
          <w:sz w:val="22"/>
          <w:szCs w:val="22"/>
        </w:rPr>
        <w:t>AREA Ue</w:t>
      </w:r>
      <w:r w:rsidR="00E56E72" w:rsidRPr="007C052D">
        <w:rPr>
          <w:rFonts w:ascii="Arial Narrow" w:hAnsi="Arial Narrow" w:cs="Arial"/>
          <w:b/>
          <w:caps/>
          <w:color w:val="5F5F5F"/>
          <w:sz w:val="22"/>
          <w:szCs w:val="22"/>
        </w:rPr>
        <w:t>27</w:t>
      </w:r>
      <w:r w:rsidR="00D36CA1" w:rsidRPr="00D36CA1">
        <w:rPr>
          <w:rFonts w:ascii="Arial Narrow" w:hAnsi="Arial Narrow" w:cs="Arial"/>
          <w:b/>
          <w:caps/>
          <w:color w:val="5F5F5F"/>
          <w:sz w:val="22"/>
          <w:szCs w:val="22"/>
        </w:rPr>
        <w:t xml:space="preserve"> </w:t>
      </w:r>
    </w:p>
    <w:p w14:paraId="281154EB" w14:textId="56224C6C" w:rsidR="00516EEC" w:rsidRPr="0071152F" w:rsidRDefault="008D7D7F" w:rsidP="006448AE">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w:t>
      </w:r>
      <w:r w:rsidR="00644975">
        <w:rPr>
          <w:rFonts w:ascii="Arial Narrow" w:hAnsi="Arial Narrow" w:cs="Arial"/>
          <w:color w:val="5F5F5F"/>
          <w:sz w:val="20"/>
        </w:rPr>
        <w:t>–</w:t>
      </w:r>
      <w:r w:rsidRPr="0071152F">
        <w:rPr>
          <w:rFonts w:ascii="Arial Narrow" w:hAnsi="Arial Narrow" w:cs="Arial"/>
          <w:color w:val="5F5F5F"/>
          <w:sz w:val="20"/>
        </w:rPr>
        <w:t xml:space="preserve"> </w:t>
      </w:r>
      <w:r w:rsidR="00644975">
        <w:rPr>
          <w:rFonts w:ascii="Arial Narrow" w:hAnsi="Arial Narrow" w:cs="Arial"/>
          <w:color w:val="5F5F5F"/>
          <w:sz w:val="20"/>
        </w:rPr>
        <w:t>ottobre</w:t>
      </w:r>
      <w:r w:rsidR="005F4885"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516EEC" w:rsidRPr="0071152F">
        <w:rPr>
          <w:rFonts w:ascii="Arial Narrow" w:hAnsi="Arial Narrow" w:cs="Arial"/>
          <w:color w:val="5F5F5F"/>
          <w:sz w:val="20"/>
        </w:rPr>
        <w:t xml:space="preserve">, </w:t>
      </w:r>
      <w:r w:rsidR="0063317A" w:rsidRPr="0071152F">
        <w:rPr>
          <w:rFonts w:ascii="Arial Narrow" w:hAnsi="Arial Narrow" w:cs="Arial"/>
          <w:color w:val="5F5F5F"/>
          <w:sz w:val="20"/>
        </w:rPr>
        <w:t xml:space="preserve">dati mensili e medie mobili a tre mesi, </w:t>
      </w:r>
      <w:r w:rsidR="00516EEC" w:rsidRPr="0071152F">
        <w:rPr>
          <w:rFonts w:ascii="Arial Narrow" w:hAnsi="Arial Narrow" w:cs="Arial"/>
          <w:color w:val="5F5F5F"/>
          <w:sz w:val="20"/>
        </w:rPr>
        <w:t>dati destagionalizzati in miliardi di euro</w:t>
      </w:r>
    </w:p>
    <w:p w14:paraId="3BF38B78" w14:textId="23E14946" w:rsidR="002F6355" w:rsidRPr="007939D9" w:rsidRDefault="00643C20" w:rsidP="00D36CA1">
      <w:pPr>
        <w:rPr>
          <w:rFonts w:ascii="Arial Narrow" w:hAnsi="Arial Narrow" w:cs="Arial"/>
          <w:b/>
          <w:caps/>
          <w:color w:val="5F5F5F"/>
          <w:spacing w:val="-2"/>
          <w:sz w:val="22"/>
          <w:szCs w:val="22"/>
        </w:rPr>
      </w:pPr>
      <w:r>
        <w:rPr>
          <w:noProof/>
        </w:rPr>
        <w:drawing>
          <wp:inline distT="0" distB="0" distL="0" distR="0" wp14:anchorId="14C4B994" wp14:editId="6E534FBE">
            <wp:extent cx="6660000" cy="2160000"/>
            <wp:effectExtent l="0" t="0" r="762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DAEE92" w14:textId="77777777" w:rsidR="0003608C" w:rsidRPr="0003608C" w:rsidRDefault="0003608C" w:rsidP="000B7E0D">
      <w:pPr>
        <w:rPr>
          <w:rFonts w:ascii="Arial Narrow" w:hAnsi="Arial Narrow" w:cs="Arial"/>
          <w:b/>
          <w:color w:val="E42618"/>
          <w:sz w:val="14"/>
          <w:szCs w:val="14"/>
        </w:rPr>
      </w:pPr>
    </w:p>
    <w:p w14:paraId="1EC5CC7D" w14:textId="00628026" w:rsidR="000B7E0D" w:rsidRDefault="000B7E0D" w:rsidP="000B7E0D">
      <w:pPr>
        <w:rPr>
          <w:rFonts w:ascii="Arial Narrow" w:hAnsi="Arial Narrow" w:cs="Arial"/>
          <w:b/>
          <w:caps/>
          <w:color w:val="5F5F5F"/>
          <w:sz w:val="22"/>
          <w:szCs w:val="22"/>
        </w:rPr>
      </w:pPr>
      <w:r w:rsidRPr="007939D9">
        <w:rPr>
          <w:rFonts w:ascii="Arial Narrow" w:hAnsi="Arial Narrow" w:cs="Arial"/>
          <w:b/>
          <w:color w:val="E42618"/>
          <w:sz w:val="22"/>
          <w:szCs w:val="22"/>
        </w:rPr>
        <w:t xml:space="preserve">FIGURA </w:t>
      </w:r>
      <w:r w:rsidR="00CF30A4">
        <w:rPr>
          <w:rFonts w:ascii="Arial Narrow" w:hAnsi="Arial Narrow" w:cs="Arial"/>
          <w:b/>
          <w:color w:val="E42618"/>
          <w:sz w:val="22"/>
          <w:szCs w:val="22"/>
        </w:rPr>
        <w:t>3</w:t>
      </w:r>
      <w:r w:rsidRPr="007939D9">
        <w:rPr>
          <w:rFonts w:ascii="Arial Narrow" w:hAnsi="Arial Narrow" w:cs="Arial"/>
          <w:b/>
          <w:color w:val="E42618"/>
          <w:sz w:val="22"/>
          <w:szCs w:val="22"/>
        </w:rPr>
        <w:t>.</w:t>
      </w:r>
      <w:r>
        <w:rPr>
          <w:rFonts w:ascii="Arial Narrow" w:hAnsi="Arial Narrow" w:cs="Arial"/>
          <w:b/>
          <w:color w:val="E42618"/>
          <w:sz w:val="22"/>
          <w:szCs w:val="22"/>
        </w:rPr>
        <w:t xml:space="preserve"> </w:t>
      </w:r>
      <w:r w:rsidRPr="00D36CA1">
        <w:rPr>
          <w:rFonts w:ascii="Arial Narrow" w:hAnsi="Arial Narrow" w:cs="Arial"/>
          <w:b/>
          <w:caps/>
          <w:color w:val="5F5F5F"/>
          <w:sz w:val="22"/>
          <w:szCs w:val="22"/>
        </w:rPr>
        <w:t>ESPORTAZIO</w:t>
      </w:r>
      <w:r w:rsidR="00CF30A4">
        <w:rPr>
          <w:rFonts w:ascii="Arial Narrow" w:hAnsi="Arial Narrow" w:cs="Arial"/>
          <w:b/>
          <w:caps/>
          <w:color w:val="5F5F5F"/>
          <w:sz w:val="22"/>
          <w:szCs w:val="22"/>
        </w:rPr>
        <w:t xml:space="preserve">NI E IMPORTAZIONI </w:t>
      </w:r>
      <w:r w:rsidR="008014ED">
        <w:rPr>
          <w:rFonts w:ascii="Arial Narrow" w:hAnsi="Arial Narrow" w:cs="Arial"/>
          <w:b/>
          <w:caps/>
          <w:color w:val="5F5F5F"/>
          <w:sz w:val="22"/>
          <w:szCs w:val="22"/>
        </w:rPr>
        <w:t xml:space="preserve">CON </w:t>
      </w:r>
      <w:r w:rsidR="008014ED" w:rsidRPr="007C052D">
        <w:rPr>
          <w:rFonts w:ascii="Arial Narrow" w:hAnsi="Arial Narrow" w:cs="Arial"/>
          <w:b/>
          <w:caps/>
          <w:color w:val="5F5F5F"/>
          <w:sz w:val="22"/>
          <w:szCs w:val="22"/>
        </w:rPr>
        <w:t>L’</w:t>
      </w:r>
      <w:r w:rsidR="00CF30A4" w:rsidRPr="007C052D">
        <w:rPr>
          <w:rFonts w:ascii="Arial Narrow" w:hAnsi="Arial Narrow" w:cs="Arial"/>
          <w:b/>
          <w:caps/>
          <w:color w:val="5F5F5F"/>
          <w:sz w:val="22"/>
          <w:szCs w:val="22"/>
        </w:rPr>
        <w:t>AREA</w:t>
      </w:r>
      <w:r w:rsidRPr="007C052D">
        <w:rPr>
          <w:rFonts w:ascii="Arial Narrow" w:hAnsi="Arial Narrow" w:cs="Arial"/>
          <w:b/>
          <w:caps/>
          <w:color w:val="5F5F5F"/>
          <w:sz w:val="22"/>
          <w:szCs w:val="22"/>
        </w:rPr>
        <w:t xml:space="preserve"> extra Ue</w:t>
      </w:r>
      <w:r w:rsidR="00E56E72" w:rsidRPr="007C052D">
        <w:rPr>
          <w:rFonts w:ascii="Arial Narrow" w:hAnsi="Arial Narrow" w:cs="Arial"/>
          <w:b/>
          <w:caps/>
          <w:color w:val="5F5F5F"/>
          <w:sz w:val="22"/>
          <w:szCs w:val="22"/>
        </w:rPr>
        <w:t>27</w:t>
      </w:r>
    </w:p>
    <w:p w14:paraId="25429B4C" w14:textId="536BD7B4" w:rsidR="00CF30A4" w:rsidRPr="005B110A" w:rsidRDefault="008D7D7F" w:rsidP="0003608C">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w:t>
      </w:r>
      <w:r w:rsidR="00644975">
        <w:rPr>
          <w:rFonts w:ascii="Arial Narrow" w:hAnsi="Arial Narrow" w:cs="Arial"/>
          <w:color w:val="5F5F5F"/>
          <w:sz w:val="20"/>
        </w:rPr>
        <w:t>–</w:t>
      </w:r>
      <w:r w:rsidRPr="0071152F">
        <w:rPr>
          <w:rFonts w:ascii="Arial Narrow" w:hAnsi="Arial Narrow" w:cs="Arial"/>
          <w:color w:val="5F5F5F"/>
          <w:sz w:val="20"/>
        </w:rPr>
        <w:t xml:space="preserve"> </w:t>
      </w:r>
      <w:r w:rsidR="00644975">
        <w:rPr>
          <w:rFonts w:ascii="Arial Narrow" w:hAnsi="Arial Narrow" w:cs="Arial"/>
          <w:color w:val="5F5F5F"/>
          <w:sz w:val="20"/>
        </w:rPr>
        <w:t>ottobre</w:t>
      </w:r>
      <w:r w:rsidR="005F4885"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CF30A4" w:rsidRPr="005B110A">
        <w:rPr>
          <w:rFonts w:ascii="Arial Narrow" w:hAnsi="Arial Narrow" w:cs="Arial"/>
          <w:color w:val="5F5F5F"/>
          <w:sz w:val="20"/>
        </w:rPr>
        <w:t xml:space="preserve">, </w:t>
      </w:r>
      <w:r w:rsidR="0063317A" w:rsidRPr="005B110A">
        <w:rPr>
          <w:rFonts w:ascii="Arial Narrow" w:hAnsi="Arial Narrow" w:cs="Arial"/>
          <w:color w:val="5F5F5F"/>
          <w:sz w:val="20"/>
        </w:rPr>
        <w:t xml:space="preserve">dati mensili e medie mobili a tre mesi, </w:t>
      </w:r>
      <w:r w:rsidR="00CF30A4" w:rsidRPr="005B110A">
        <w:rPr>
          <w:rFonts w:ascii="Arial Narrow" w:hAnsi="Arial Narrow" w:cs="Arial"/>
          <w:color w:val="5F5F5F"/>
          <w:sz w:val="20"/>
        </w:rPr>
        <w:t>dati destagionalizzati in miliardi di euro</w:t>
      </w:r>
    </w:p>
    <w:p w14:paraId="074C7BD1" w14:textId="035DE71D" w:rsidR="00F31459" w:rsidRDefault="00643C20" w:rsidP="00A43169">
      <w:pPr>
        <w:tabs>
          <w:tab w:val="left" w:pos="284"/>
        </w:tabs>
        <w:spacing w:after="120"/>
        <w:rPr>
          <w:rFonts w:ascii="Arial" w:hAnsi="Arial" w:cs="Arial"/>
          <w:b/>
          <w:color w:val="000000"/>
        </w:rPr>
      </w:pPr>
      <w:r>
        <w:rPr>
          <w:noProof/>
        </w:rPr>
        <w:lastRenderedPageBreak/>
        <w:drawing>
          <wp:inline distT="0" distB="0" distL="0" distR="0" wp14:anchorId="4477F729" wp14:editId="13C13F18">
            <wp:extent cx="6660000" cy="2160000"/>
            <wp:effectExtent l="0" t="0" r="7620" b="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5CE670" w14:textId="77777777" w:rsidR="00516EEC" w:rsidRDefault="00516EEC" w:rsidP="00516EEC">
      <w:pPr>
        <w:tabs>
          <w:tab w:val="left" w:pos="284"/>
        </w:tabs>
        <w:rPr>
          <w:sz w:val="22"/>
          <w:szCs w:val="22"/>
        </w:rPr>
      </w:pPr>
      <w:r w:rsidRPr="007939D9">
        <w:rPr>
          <w:rFonts w:ascii="Arial Narrow" w:hAnsi="Arial Narrow" w:cs="Arial"/>
          <w:b/>
          <w:color w:val="E42618"/>
          <w:sz w:val="22"/>
          <w:szCs w:val="22"/>
        </w:rPr>
        <w:t xml:space="preserve">FIGURA </w:t>
      </w:r>
      <w:r w:rsidR="006D02F3">
        <w:rPr>
          <w:rFonts w:ascii="Arial Narrow" w:hAnsi="Arial Narrow" w:cs="Arial"/>
          <w:b/>
          <w:color w:val="E42618"/>
          <w:sz w:val="22"/>
          <w:szCs w:val="22"/>
        </w:rPr>
        <w:t>4</w:t>
      </w:r>
      <w:r w:rsidRPr="007939D9">
        <w:rPr>
          <w:rFonts w:ascii="Arial Narrow" w:hAnsi="Arial Narrow" w:cs="Arial"/>
          <w:b/>
          <w:color w:val="E42618"/>
          <w:sz w:val="22"/>
          <w:szCs w:val="22"/>
        </w:rPr>
        <w:t>.</w:t>
      </w:r>
      <w:r w:rsidRPr="007939D9">
        <w:rPr>
          <w:sz w:val="22"/>
          <w:szCs w:val="22"/>
        </w:rPr>
        <w:t xml:space="preserve"> </w:t>
      </w:r>
      <w:r w:rsidRPr="00787294">
        <w:rPr>
          <w:rFonts w:ascii="Arial Narrow" w:hAnsi="Arial Narrow" w:cs="Arial"/>
          <w:b/>
          <w:caps/>
          <w:color w:val="5F5F5F"/>
          <w:sz w:val="22"/>
          <w:szCs w:val="22"/>
        </w:rPr>
        <w:t>FLUSSI COMMERCIALI CON L’ESTERO</w:t>
      </w:r>
      <w:r w:rsidR="00B827C7">
        <w:rPr>
          <w:sz w:val="22"/>
          <w:szCs w:val="22"/>
        </w:rPr>
        <w:t>,</w:t>
      </w:r>
      <w:r w:rsidR="008014ED">
        <w:rPr>
          <w:sz w:val="22"/>
          <w:szCs w:val="22"/>
        </w:rPr>
        <w:t xml:space="preserve"> </w:t>
      </w:r>
      <w:r>
        <w:rPr>
          <w:rFonts w:ascii="Arial Narrow" w:hAnsi="Arial Narrow" w:cs="Arial"/>
          <w:b/>
          <w:caps/>
          <w:color w:val="5F5F5F"/>
          <w:sz w:val="22"/>
          <w:szCs w:val="22"/>
        </w:rPr>
        <w:t xml:space="preserve">VARIAZIONI </w:t>
      </w:r>
      <w:r w:rsidR="00146099">
        <w:rPr>
          <w:rFonts w:ascii="Arial Narrow" w:hAnsi="Arial Narrow" w:cs="Arial"/>
          <w:b/>
          <w:caps/>
          <w:color w:val="5F5F5F"/>
          <w:sz w:val="22"/>
          <w:szCs w:val="22"/>
        </w:rPr>
        <w:t xml:space="preserve">PERCENTUALI </w:t>
      </w:r>
      <w:r w:rsidRPr="00516EEC">
        <w:rPr>
          <w:rFonts w:ascii="Arial Narrow" w:hAnsi="Arial Narrow" w:cs="Arial"/>
          <w:b/>
          <w:caps/>
          <w:color w:val="5F5F5F"/>
          <w:sz w:val="22"/>
          <w:szCs w:val="22"/>
        </w:rPr>
        <w:t>TENDENZIALI</w:t>
      </w:r>
    </w:p>
    <w:p w14:paraId="130144D6" w14:textId="513315E6" w:rsidR="00516EEC" w:rsidRPr="00787294" w:rsidRDefault="008D7D7F" w:rsidP="00516EEC">
      <w:pPr>
        <w:tabs>
          <w:tab w:val="left" w:pos="284"/>
        </w:tabs>
        <w:spacing w:after="120"/>
        <w:rPr>
          <w:rFonts w:ascii="Arial Narrow" w:hAnsi="Arial Narrow" w:cs="Arial"/>
          <w:color w:val="5F5F5F"/>
        </w:rPr>
      </w:pPr>
      <w:r w:rsidRPr="0071152F">
        <w:rPr>
          <w:rFonts w:ascii="Arial Narrow" w:hAnsi="Arial Narrow" w:cs="Arial"/>
          <w:color w:val="5F5F5F"/>
          <w:sz w:val="20"/>
        </w:rPr>
        <w:t>Gennaio 201</w:t>
      </w:r>
      <w:r w:rsidR="00CF288F">
        <w:rPr>
          <w:rFonts w:ascii="Arial Narrow" w:hAnsi="Arial Narrow" w:cs="Arial"/>
          <w:color w:val="5F5F5F"/>
          <w:sz w:val="20"/>
        </w:rPr>
        <w:t>8</w:t>
      </w:r>
      <w:r w:rsidRPr="0071152F">
        <w:rPr>
          <w:rFonts w:ascii="Arial Narrow" w:hAnsi="Arial Narrow" w:cs="Arial"/>
          <w:color w:val="5F5F5F"/>
          <w:sz w:val="20"/>
        </w:rPr>
        <w:t xml:space="preserve"> </w:t>
      </w:r>
      <w:r w:rsidR="00644975">
        <w:rPr>
          <w:rFonts w:ascii="Arial Narrow" w:hAnsi="Arial Narrow" w:cs="Arial"/>
          <w:color w:val="5F5F5F"/>
          <w:sz w:val="20"/>
        </w:rPr>
        <w:t>–</w:t>
      </w:r>
      <w:r w:rsidRPr="0071152F">
        <w:rPr>
          <w:rFonts w:ascii="Arial Narrow" w:hAnsi="Arial Narrow" w:cs="Arial"/>
          <w:color w:val="5F5F5F"/>
          <w:sz w:val="20"/>
        </w:rPr>
        <w:t xml:space="preserve"> </w:t>
      </w:r>
      <w:r w:rsidR="00644975">
        <w:rPr>
          <w:rFonts w:ascii="Arial Narrow" w:hAnsi="Arial Narrow" w:cs="Arial"/>
          <w:color w:val="5F5F5F"/>
          <w:sz w:val="20"/>
        </w:rPr>
        <w:t>ottobre</w:t>
      </w:r>
      <w:r w:rsidR="005F4885" w:rsidRPr="0071152F">
        <w:rPr>
          <w:rFonts w:ascii="Arial Narrow" w:hAnsi="Arial Narrow" w:cs="Arial"/>
          <w:color w:val="5F5F5F"/>
          <w:sz w:val="20"/>
        </w:rPr>
        <w:t xml:space="preserve"> </w:t>
      </w:r>
      <w:r w:rsidRPr="0071152F">
        <w:rPr>
          <w:rFonts w:ascii="Arial Narrow" w:hAnsi="Arial Narrow" w:cs="Arial"/>
          <w:color w:val="5F5F5F"/>
          <w:sz w:val="20"/>
        </w:rPr>
        <w:t>20</w:t>
      </w:r>
      <w:r w:rsidR="00CF288F">
        <w:rPr>
          <w:rFonts w:ascii="Arial Narrow" w:hAnsi="Arial Narrow" w:cs="Arial"/>
          <w:color w:val="5F5F5F"/>
          <w:sz w:val="20"/>
        </w:rPr>
        <w:t>22</w:t>
      </w:r>
      <w:r w:rsidR="0063317A" w:rsidRPr="00EE5993">
        <w:rPr>
          <w:rFonts w:ascii="Arial Narrow" w:hAnsi="Arial Narrow" w:cs="Arial"/>
          <w:color w:val="5F5F5F"/>
          <w:sz w:val="20"/>
        </w:rPr>
        <w:t>,</w:t>
      </w:r>
      <w:r w:rsidR="00516EEC" w:rsidRPr="00EE5993">
        <w:rPr>
          <w:rFonts w:ascii="Arial Narrow" w:hAnsi="Arial Narrow" w:cs="Arial"/>
          <w:color w:val="5F5F5F"/>
          <w:sz w:val="20"/>
        </w:rPr>
        <w:t xml:space="preserve"> dati grezzi</w:t>
      </w:r>
      <w:r w:rsidR="00516EEC" w:rsidRPr="00EE5993">
        <w:rPr>
          <w:noProof/>
          <w:sz w:val="20"/>
        </w:rPr>
        <w:t xml:space="preserve"> </w:t>
      </w:r>
      <w:r w:rsidR="00145ED6" w:rsidRPr="00145ED6">
        <w:rPr>
          <w:noProof/>
        </w:rPr>
        <w:drawing>
          <wp:inline distT="0" distB="0" distL="0" distR="0" wp14:anchorId="6B2F0AD8" wp14:editId="14260E95">
            <wp:extent cx="6480175" cy="209827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2098272"/>
                    </a:xfrm>
                    <a:prstGeom prst="rect">
                      <a:avLst/>
                    </a:prstGeom>
                    <a:noFill/>
                    <a:ln>
                      <a:noFill/>
                    </a:ln>
                  </pic:spPr>
                </pic:pic>
              </a:graphicData>
            </a:graphic>
          </wp:inline>
        </w:drawing>
      </w:r>
    </w:p>
    <w:p w14:paraId="32BA79D2" w14:textId="77777777" w:rsidR="00F31459" w:rsidRDefault="00F31459" w:rsidP="00833A77">
      <w:pPr>
        <w:spacing w:line="240" w:lineRule="exact"/>
        <w:rPr>
          <w:rFonts w:ascii="Arial" w:hAnsi="Arial" w:cs="Arial"/>
          <w:b/>
          <w:color w:val="000000"/>
        </w:rPr>
      </w:pPr>
    </w:p>
    <w:p w14:paraId="36E029FB" w14:textId="77777777" w:rsidR="00FE069A" w:rsidRDefault="00FE069A" w:rsidP="00516EEC">
      <w:pPr>
        <w:tabs>
          <w:tab w:val="left" w:pos="284"/>
        </w:tabs>
        <w:rPr>
          <w:rFonts w:ascii="Arial Narrow" w:hAnsi="Arial Narrow" w:cs="Arial"/>
          <w:b/>
          <w:color w:val="E42618"/>
          <w:sz w:val="22"/>
          <w:szCs w:val="22"/>
        </w:rPr>
      </w:pPr>
    </w:p>
    <w:p w14:paraId="50B760F8" w14:textId="374EA42D" w:rsidR="00516EEC" w:rsidRPr="007801C1" w:rsidRDefault="00516EEC" w:rsidP="00516EEC">
      <w:pPr>
        <w:tabs>
          <w:tab w:val="left" w:pos="284"/>
        </w:tabs>
        <w:rPr>
          <w:sz w:val="22"/>
          <w:szCs w:val="22"/>
        </w:rPr>
      </w:pPr>
      <w:r w:rsidRPr="007801C1">
        <w:rPr>
          <w:rFonts w:ascii="Arial Narrow" w:hAnsi="Arial Narrow" w:cs="Arial"/>
          <w:b/>
          <w:color w:val="E42618"/>
          <w:sz w:val="22"/>
          <w:szCs w:val="22"/>
        </w:rPr>
        <w:t xml:space="preserve">FIGURA </w:t>
      </w:r>
      <w:r w:rsidR="006D02F3" w:rsidRPr="007801C1">
        <w:rPr>
          <w:rFonts w:ascii="Arial Narrow" w:hAnsi="Arial Narrow" w:cs="Arial"/>
          <w:b/>
          <w:color w:val="E42618"/>
          <w:sz w:val="22"/>
          <w:szCs w:val="22"/>
        </w:rPr>
        <w:t>5</w:t>
      </w:r>
      <w:r w:rsidRPr="007801C1">
        <w:rPr>
          <w:rFonts w:ascii="Arial Narrow" w:hAnsi="Arial Narrow" w:cs="Arial"/>
          <w:b/>
          <w:color w:val="E42618"/>
          <w:sz w:val="22"/>
          <w:szCs w:val="22"/>
        </w:rPr>
        <w:t>.</w:t>
      </w:r>
      <w:r w:rsidRPr="007801C1">
        <w:rPr>
          <w:sz w:val="22"/>
          <w:szCs w:val="22"/>
        </w:rPr>
        <w:t xml:space="preserve"> </w:t>
      </w:r>
      <w:r w:rsidRPr="007801C1">
        <w:rPr>
          <w:rFonts w:ascii="Arial Narrow" w:hAnsi="Arial Narrow" w:cs="Arial"/>
          <w:b/>
          <w:caps/>
          <w:color w:val="5F5F5F"/>
          <w:sz w:val="22"/>
          <w:szCs w:val="22"/>
        </w:rPr>
        <w:t>PREZZI ALL’IMPORTAZIONE</w:t>
      </w:r>
      <w:r w:rsidR="00806BEC" w:rsidRPr="007801C1">
        <w:rPr>
          <w:rFonts w:ascii="Arial Narrow" w:hAnsi="Arial Narrow" w:cs="Arial"/>
          <w:b/>
          <w:caps/>
          <w:color w:val="5F5F5F"/>
          <w:sz w:val="22"/>
          <w:szCs w:val="22"/>
        </w:rPr>
        <w:t>, VARIAZIONI PERCENTUALI TENDENZIALI</w:t>
      </w:r>
    </w:p>
    <w:p w14:paraId="260FDB51" w14:textId="2C3AC440" w:rsidR="00F00744" w:rsidRDefault="008D7D7F" w:rsidP="00EB3E42">
      <w:pPr>
        <w:spacing w:after="120"/>
        <w:rPr>
          <w:noProof/>
          <w:sz w:val="20"/>
        </w:rPr>
      </w:pPr>
      <w:r w:rsidRPr="007801C1">
        <w:rPr>
          <w:rFonts w:ascii="Arial Narrow" w:hAnsi="Arial Narrow" w:cs="Arial"/>
          <w:color w:val="5F5F5F"/>
          <w:sz w:val="20"/>
        </w:rPr>
        <w:t>Gennaio 201</w:t>
      </w:r>
      <w:r w:rsidR="00CF288F" w:rsidRPr="007801C1">
        <w:rPr>
          <w:rFonts w:ascii="Arial Narrow" w:hAnsi="Arial Narrow" w:cs="Arial"/>
          <w:color w:val="5F5F5F"/>
          <w:sz w:val="20"/>
        </w:rPr>
        <w:t>8</w:t>
      </w:r>
      <w:r w:rsidRPr="007801C1">
        <w:rPr>
          <w:rFonts w:ascii="Arial Narrow" w:hAnsi="Arial Narrow" w:cs="Arial"/>
          <w:color w:val="5F5F5F"/>
          <w:sz w:val="20"/>
        </w:rPr>
        <w:t xml:space="preserve"> </w:t>
      </w:r>
      <w:r w:rsidR="009446F0" w:rsidRPr="007801C1">
        <w:rPr>
          <w:rFonts w:ascii="Arial Narrow" w:hAnsi="Arial Narrow" w:cs="Arial"/>
          <w:color w:val="5F5F5F"/>
          <w:sz w:val="20"/>
        </w:rPr>
        <w:t>–</w:t>
      </w:r>
      <w:r w:rsidRPr="007801C1">
        <w:rPr>
          <w:rFonts w:ascii="Arial Narrow" w:hAnsi="Arial Narrow" w:cs="Arial"/>
          <w:color w:val="5F5F5F"/>
          <w:sz w:val="20"/>
        </w:rPr>
        <w:t xml:space="preserve"> </w:t>
      </w:r>
      <w:r w:rsidR="00644975">
        <w:rPr>
          <w:rFonts w:ascii="Arial Narrow" w:hAnsi="Arial Narrow" w:cs="Arial"/>
          <w:color w:val="5F5F5F"/>
          <w:sz w:val="20"/>
        </w:rPr>
        <w:t>ottobre</w:t>
      </w:r>
      <w:r w:rsidR="005F4885" w:rsidRPr="0071152F">
        <w:rPr>
          <w:rFonts w:ascii="Arial Narrow" w:hAnsi="Arial Narrow" w:cs="Arial"/>
          <w:color w:val="5F5F5F"/>
          <w:sz w:val="20"/>
        </w:rPr>
        <w:t xml:space="preserve"> </w:t>
      </w:r>
      <w:r w:rsidR="00CF288F" w:rsidRPr="007801C1">
        <w:rPr>
          <w:rFonts w:ascii="Arial Narrow" w:hAnsi="Arial Narrow" w:cs="Arial"/>
          <w:color w:val="5F5F5F"/>
          <w:sz w:val="20"/>
        </w:rPr>
        <w:t>2022</w:t>
      </w:r>
      <w:r w:rsidR="00B827C7" w:rsidRPr="007801C1">
        <w:rPr>
          <w:rFonts w:ascii="Arial Narrow" w:hAnsi="Arial Narrow" w:cs="Arial"/>
          <w:color w:val="5F5F5F"/>
          <w:sz w:val="20"/>
        </w:rPr>
        <w:t>,</w:t>
      </w:r>
      <w:r w:rsidR="00516EEC" w:rsidRPr="007801C1">
        <w:rPr>
          <w:rFonts w:ascii="Arial Narrow" w:hAnsi="Arial Narrow" w:cs="Arial"/>
          <w:color w:val="5F5F5F"/>
          <w:sz w:val="20"/>
        </w:rPr>
        <w:t xml:space="preserve"> (base 2015=100)</w:t>
      </w:r>
      <w:r w:rsidR="00B23E66" w:rsidRPr="00EE5993">
        <w:rPr>
          <w:noProof/>
          <w:sz w:val="20"/>
        </w:rPr>
        <w:t xml:space="preserve"> </w:t>
      </w:r>
    </w:p>
    <w:p w14:paraId="12F1F350" w14:textId="4CD26363" w:rsidR="00EB3E42" w:rsidRDefault="00C00B5A" w:rsidP="00516EEC">
      <w:pPr>
        <w:rPr>
          <w:noProof/>
          <w:sz w:val="20"/>
        </w:rPr>
      </w:pPr>
      <w:r>
        <w:rPr>
          <w:noProof/>
        </w:rPr>
        <w:drawing>
          <wp:inline distT="0" distB="0" distL="0" distR="0" wp14:anchorId="3E3B9B57" wp14:editId="0DC99ADE">
            <wp:extent cx="6660000" cy="2160000"/>
            <wp:effectExtent l="0" t="0" r="7620"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5B5B91" w14:textId="2BADAFDC" w:rsidR="00EB3E42" w:rsidRDefault="00EB3E42" w:rsidP="00516EEC">
      <w:pPr>
        <w:rPr>
          <w:noProof/>
          <w:sz w:val="20"/>
        </w:rPr>
      </w:pPr>
    </w:p>
    <w:p w14:paraId="50EF3077" w14:textId="158E13DD" w:rsidR="00A84F05" w:rsidRDefault="00A84F05" w:rsidP="00516EEC">
      <w:pPr>
        <w:rPr>
          <w:noProof/>
          <w:sz w:val="20"/>
        </w:rPr>
      </w:pPr>
    </w:p>
    <w:p w14:paraId="2455A9E6" w14:textId="25769B8B" w:rsidR="00A84F05" w:rsidRDefault="00A84F05" w:rsidP="00516EEC">
      <w:pPr>
        <w:rPr>
          <w:noProof/>
          <w:sz w:val="20"/>
        </w:rPr>
      </w:pPr>
    </w:p>
    <w:p w14:paraId="5CFDFFFA" w14:textId="564938B2" w:rsidR="00A84F05" w:rsidRDefault="00A84F05" w:rsidP="00516EEC">
      <w:pPr>
        <w:rPr>
          <w:noProof/>
          <w:sz w:val="20"/>
        </w:rPr>
      </w:pPr>
    </w:p>
    <w:p w14:paraId="5210F727" w14:textId="77372A75" w:rsidR="00A84F05" w:rsidRPr="00EE5993" w:rsidRDefault="00A84F05" w:rsidP="00516EEC">
      <w:pPr>
        <w:rPr>
          <w:noProof/>
          <w:sz w:val="20"/>
        </w:rPr>
      </w:pPr>
    </w:p>
    <w:p w14:paraId="495D885E" w14:textId="56D248E3" w:rsidR="009176F5" w:rsidRDefault="009176F5" w:rsidP="00516EEC">
      <w:pPr>
        <w:rPr>
          <w:rFonts w:ascii="Arial" w:hAnsi="Arial" w:cs="Arial"/>
          <w:b/>
          <w:color w:val="000000"/>
        </w:rPr>
      </w:pPr>
    </w:p>
    <w:p w14:paraId="15445FF4" w14:textId="77777777" w:rsidR="00F31459" w:rsidRDefault="00F31459" w:rsidP="00833A77">
      <w:pPr>
        <w:spacing w:line="240" w:lineRule="exact"/>
        <w:rPr>
          <w:rFonts w:ascii="Arial" w:hAnsi="Arial" w:cs="Arial"/>
          <w:b/>
          <w:color w:val="000000"/>
        </w:rPr>
      </w:pPr>
    </w:p>
    <w:p w14:paraId="7B21CE62" w14:textId="77777777" w:rsidR="00787294" w:rsidRPr="005E4472" w:rsidRDefault="00787294" w:rsidP="00AF23DD">
      <w:pPr>
        <w:pStyle w:val="Corpodeltesto1"/>
        <w:spacing w:after="120"/>
        <w:rPr>
          <w:rFonts w:ascii="Arial" w:hAnsi="Arial" w:cs="Arial"/>
          <w:sz w:val="22"/>
          <w:szCs w:val="22"/>
        </w:rPr>
      </w:pPr>
    </w:p>
    <w:p w14:paraId="5AF76F06" w14:textId="77777777" w:rsidR="00833A77" w:rsidRPr="006768B9" w:rsidRDefault="00833A77" w:rsidP="00833A77">
      <w:pPr>
        <w:tabs>
          <w:tab w:val="left" w:pos="7485"/>
        </w:tabs>
        <w:sectPr w:rsidR="00833A77" w:rsidRPr="006768B9" w:rsidSect="004B7EA2">
          <w:headerReference w:type="default" r:id="rId24"/>
          <w:footerReference w:type="default" r:id="rId25"/>
          <w:headerReference w:type="first" r:id="rId26"/>
          <w:pgSz w:w="11907" w:h="16840" w:code="9"/>
          <w:pgMar w:top="1701" w:right="851" w:bottom="284" w:left="851" w:header="567" w:footer="567" w:gutter="0"/>
          <w:cols w:space="720"/>
          <w:noEndnote/>
          <w:titlePg/>
          <w:docGrid w:linePitch="326"/>
        </w:sectPr>
      </w:pPr>
    </w:p>
    <w:p w14:paraId="670CD2B9" w14:textId="73E515F4" w:rsidR="008D10C8" w:rsidRPr="005F1ADE" w:rsidRDefault="008D10C8" w:rsidP="004B5FCF">
      <w:pPr>
        <w:pStyle w:val="001TitoloBolocco"/>
        <w:spacing w:after="120" w:line="240" w:lineRule="auto"/>
        <w:rPr>
          <w:rFonts w:cs="Calibri"/>
          <w:b w:val="0"/>
          <w:bCs w:val="0"/>
          <w:caps w:val="0"/>
          <w:color w:val="E42618"/>
          <w:sz w:val="36"/>
          <w:szCs w:val="36"/>
        </w:rPr>
      </w:pPr>
      <w:r w:rsidRPr="005F1ADE">
        <w:rPr>
          <w:rFonts w:cs="Calibri"/>
          <w:b w:val="0"/>
          <w:bCs w:val="0"/>
          <w:caps w:val="0"/>
          <w:color w:val="E42618"/>
          <w:sz w:val="36"/>
          <w:szCs w:val="36"/>
        </w:rPr>
        <w:lastRenderedPageBreak/>
        <w:t>Commercio con l’estero</w:t>
      </w:r>
    </w:p>
    <w:p w14:paraId="71FCF4DF" w14:textId="77777777" w:rsidR="00833A77" w:rsidRDefault="00BF702B" w:rsidP="004B5FCF">
      <w:pPr>
        <w:pStyle w:val="001TitoloBolocco"/>
        <w:spacing w:after="120" w:line="240" w:lineRule="auto"/>
      </w:pPr>
      <w:r>
        <w:rPr>
          <w:bCs w:val="0"/>
          <w:caps w:val="0"/>
        </w:rPr>
        <w:t>P</w:t>
      </w:r>
      <w:r w:rsidR="003C7722">
        <w:rPr>
          <w:bCs w:val="0"/>
          <w:caps w:val="0"/>
        </w:rPr>
        <w:t>RODOTTI ESPORTATI E IMPORTATI</w:t>
      </w:r>
    </w:p>
    <w:p w14:paraId="104AFDE9" w14:textId="03E98215" w:rsidR="00516EEC" w:rsidRPr="00EE5993" w:rsidRDefault="00516EEC" w:rsidP="00516EEC">
      <w:pPr>
        <w:spacing w:after="120"/>
        <w:rPr>
          <w:rFonts w:ascii="Arial Narrow" w:hAnsi="Arial Narrow" w:cs="Arial"/>
          <w:b/>
          <w:bCs/>
          <w:i/>
          <w:sz w:val="16"/>
          <w:szCs w:val="19"/>
        </w:rPr>
      </w:pPr>
      <w:r w:rsidRPr="007939D9">
        <w:rPr>
          <w:rFonts w:ascii="Arial Narrow" w:hAnsi="Arial Narrow" w:cs="Arial"/>
          <w:b/>
          <w:bCs/>
          <w:color w:val="E42618"/>
          <w:sz w:val="22"/>
          <w:szCs w:val="22"/>
        </w:rPr>
        <w:t>PROSPETTO 1</w:t>
      </w:r>
      <w:r w:rsidRPr="00AF23DD">
        <w:rPr>
          <w:rFonts w:ascii="Arial Narrow" w:hAnsi="Arial Narrow" w:cs="Arial"/>
          <w:b/>
          <w:bCs/>
          <w:color w:val="E42618"/>
          <w:sz w:val="22"/>
          <w:szCs w:val="22"/>
        </w:rPr>
        <w:t xml:space="preserve">. </w:t>
      </w:r>
      <w:r w:rsidRPr="003C7722">
        <w:rPr>
          <w:rFonts w:ascii="Arial Narrow" w:hAnsi="Arial Narrow" w:cs="Arial"/>
          <w:b/>
          <w:bCs/>
          <w:color w:val="5F5F5F"/>
          <w:sz w:val="22"/>
          <w:szCs w:val="22"/>
        </w:rPr>
        <w:t>ESPORTAZIONI, IMPORTAZIONI E SALDI DELLA BILANCIA COMMERCIALE</w:t>
      </w:r>
      <w:r w:rsidRPr="005F1ADE">
        <w:rPr>
          <w:rFonts w:ascii="Arial Narrow" w:hAnsi="Arial Narrow" w:cs="Arial"/>
          <w:b/>
          <w:bCs/>
          <w:color w:val="7F7F7F"/>
          <w:sz w:val="22"/>
          <w:szCs w:val="22"/>
        </w:rPr>
        <w:br/>
      </w:r>
      <w:r w:rsidR="00644975">
        <w:rPr>
          <w:rFonts w:ascii="Arial Narrow" w:hAnsi="Arial Narrow" w:cs="Arial"/>
          <w:color w:val="5F5F5F"/>
          <w:sz w:val="20"/>
        </w:rPr>
        <w:t>Ottobre</w:t>
      </w:r>
      <w:r w:rsidR="00470B67">
        <w:rPr>
          <w:rFonts w:ascii="Arial Narrow" w:hAnsi="Arial Narrow" w:cs="Arial"/>
          <w:color w:val="5F5F5F"/>
          <w:sz w:val="20"/>
        </w:rPr>
        <w:t xml:space="preserve"> 2022</w:t>
      </w:r>
      <w:r w:rsidRPr="00EE5993">
        <w:rPr>
          <w:rFonts w:ascii="Arial Narrow" w:hAnsi="Arial Narrow" w:cs="Arial"/>
          <w:color w:val="5F5F5F"/>
          <w:sz w:val="20"/>
        </w:rPr>
        <w:t xml:space="preserve">, variazioni percentuali congiunturali e tendenziali e </w:t>
      </w:r>
      <w:r w:rsidR="00AF23DD" w:rsidRPr="00EE5993">
        <w:rPr>
          <w:rFonts w:ascii="Arial Narrow" w:hAnsi="Arial Narrow" w:cs="Arial"/>
          <w:color w:val="5F5F5F"/>
          <w:sz w:val="20"/>
        </w:rPr>
        <w:t xml:space="preserve">saldi in milioni di </w:t>
      </w:r>
      <w:r w:rsidR="00AF23DD" w:rsidRPr="00243B6A">
        <w:rPr>
          <w:rFonts w:ascii="Arial Narrow" w:hAnsi="Arial Narrow" w:cs="Arial"/>
          <w:color w:val="5F5F5F"/>
          <w:sz w:val="20"/>
        </w:rPr>
        <w:t>e</w:t>
      </w:r>
      <w:r w:rsidR="00CE1ED0" w:rsidRPr="00243B6A">
        <w:rPr>
          <w:rFonts w:ascii="Arial Narrow" w:hAnsi="Arial Narrow" w:cs="Arial"/>
          <w:color w:val="5F5F5F"/>
          <w:sz w:val="20"/>
        </w:rPr>
        <w:t>u</w:t>
      </w:r>
      <w:r w:rsidR="00AF23DD" w:rsidRPr="00243B6A">
        <w:rPr>
          <w:rFonts w:ascii="Arial Narrow" w:hAnsi="Arial Narrow" w:cs="Arial"/>
          <w:color w:val="5F5F5F"/>
          <w:sz w:val="20"/>
        </w:rPr>
        <w:t>ro</w:t>
      </w:r>
    </w:p>
    <w:tbl>
      <w:tblPr>
        <w:tblW w:w="10300" w:type="dxa"/>
        <w:tblInd w:w="70" w:type="dxa"/>
        <w:tblBorders>
          <w:top w:val="single" w:sz="4" w:space="0" w:color="333333"/>
          <w:bottom w:val="single" w:sz="4" w:space="0" w:color="333333"/>
          <w:insideH w:val="single" w:sz="4" w:space="0" w:color="333333"/>
        </w:tblBorders>
        <w:tblLayout w:type="fixed"/>
        <w:tblCellMar>
          <w:left w:w="70" w:type="dxa"/>
          <w:right w:w="70" w:type="dxa"/>
        </w:tblCellMar>
        <w:tblLook w:val="0000" w:firstRow="0" w:lastRow="0" w:firstColumn="0" w:lastColumn="0" w:noHBand="0" w:noVBand="0"/>
      </w:tblPr>
      <w:tblGrid>
        <w:gridCol w:w="1348"/>
        <w:gridCol w:w="709"/>
        <w:gridCol w:w="1123"/>
        <w:gridCol w:w="7"/>
        <w:gridCol w:w="629"/>
        <w:gridCol w:w="36"/>
        <w:gridCol w:w="1060"/>
        <w:gridCol w:w="7"/>
        <w:gridCol w:w="665"/>
        <w:gridCol w:w="1219"/>
        <w:gridCol w:w="7"/>
        <w:gridCol w:w="160"/>
        <w:gridCol w:w="672"/>
        <w:gridCol w:w="989"/>
        <w:gridCol w:w="7"/>
        <w:gridCol w:w="665"/>
        <w:gridCol w:w="990"/>
        <w:gridCol w:w="7"/>
      </w:tblGrid>
      <w:tr w:rsidR="00236734" w:rsidRPr="003C7722" w14:paraId="0720503B" w14:textId="77777777" w:rsidTr="0075218A">
        <w:trPr>
          <w:gridAfter w:val="1"/>
          <w:wAfter w:w="7" w:type="dxa"/>
          <w:trHeight w:val="255"/>
        </w:trPr>
        <w:tc>
          <w:tcPr>
            <w:tcW w:w="1348" w:type="dxa"/>
            <w:vMerge w:val="restart"/>
            <w:shd w:val="clear" w:color="auto" w:fill="auto"/>
            <w:noWrap/>
            <w:vAlign w:val="center"/>
          </w:tcPr>
          <w:p w14:paraId="434B9A6E" w14:textId="77777777" w:rsidR="00236734" w:rsidRPr="003C7722" w:rsidRDefault="00236734" w:rsidP="0075218A">
            <w:pPr>
              <w:spacing w:before="40" w:after="20"/>
              <w:ind w:left="-57"/>
              <w:rPr>
                <w:rFonts w:ascii="Arial Narrow" w:hAnsi="Arial Narrow"/>
                <w:sz w:val="18"/>
                <w:szCs w:val="18"/>
              </w:rPr>
            </w:pPr>
          </w:p>
        </w:tc>
        <w:tc>
          <w:tcPr>
            <w:tcW w:w="3564" w:type="dxa"/>
            <w:gridSpan w:val="6"/>
            <w:tcBorders>
              <w:bottom w:val="single" w:sz="4" w:space="0" w:color="333333"/>
            </w:tcBorders>
            <w:shd w:val="clear" w:color="auto" w:fill="D9D9D9"/>
            <w:vAlign w:val="center"/>
          </w:tcPr>
          <w:p w14:paraId="46703824" w14:textId="77777777" w:rsidR="00236734" w:rsidRPr="003C7722" w:rsidRDefault="00236734" w:rsidP="0075218A">
            <w:pPr>
              <w:tabs>
                <w:tab w:val="left" w:pos="1316"/>
              </w:tabs>
              <w:spacing w:before="40" w:after="20"/>
              <w:ind w:right="-70"/>
              <w:jc w:val="center"/>
              <w:rPr>
                <w:rFonts w:ascii="Arial Narrow" w:hAnsi="Arial Narrow"/>
                <w:sz w:val="18"/>
                <w:szCs w:val="18"/>
              </w:rPr>
            </w:pPr>
            <w:r w:rsidRPr="003C7722">
              <w:rPr>
                <w:rFonts w:ascii="Arial Narrow" w:hAnsi="Arial Narrow" w:cs="Arial"/>
                <w:b/>
                <w:sz w:val="18"/>
                <w:szCs w:val="18"/>
              </w:rPr>
              <w:t>ESPORTAZIONI</w:t>
            </w:r>
          </w:p>
        </w:tc>
        <w:tc>
          <w:tcPr>
            <w:tcW w:w="3719" w:type="dxa"/>
            <w:gridSpan w:val="7"/>
            <w:tcBorders>
              <w:bottom w:val="single" w:sz="4" w:space="0" w:color="333333"/>
            </w:tcBorders>
            <w:shd w:val="clear" w:color="auto" w:fill="auto"/>
            <w:vAlign w:val="center"/>
          </w:tcPr>
          <w:p w14:paraId="5A26902C" w14:textId="77777777" w:rsidR="00236734" w:rsidRPr="003C7722" w:rsidRDefault="00236734" w:rsidP="0075218A">
            <w:pPr>
              <w:spacing w:before="40" w:after="20"/>
              <w:jc w:val="center"/>
              <w:rPr>
                <w:rFonts w:ascii="Arial Narrow" w:hAnsi="Arial Narrow"/>
                <w:sz w:val="18"/>
                <w:szCs w:val="18"/>
              </w:rPr>
            </w:pPr>
            <w:r w:rsidRPr="003C7722">
              <w:rPr>
                <w:rFonts w:ascii="Arial Narrow" w:hAnsi="Arial Narrow" w:cs="Arial"/>
                <w:b/>
                <w:sz w:val="18"/>
                <w:szCs w:val="18"/>
              </w:rPr>
              <w:t>IMPORTAZIONI</w:t>
            </w:r>
          </w:p>
        </w:tc>
        <w:tc>
          <w:tcPr>
            <w:tcW w:w="1662" w:type="dxa"/>
            <w:gridSpan w:val="3"/>
            <w:vMerge w:val="restart"/>
            <w:shd w:val="clear" w:color="auto" w:fill="auto"/>
            <w:vAlign w:val="center"/>
          </w:tcPr>
          <w:p w14:paraId="1475D2AF" w14:textId="77777777" w:rsidR="00236734" w:rsidRPr="003C7722" w:rsidRDefault="00236734" w:rsidP="0075218A">
            <w:pPr>
              <w:spacing w:before="40" w:after="20"/>
              <w:jc w:val="center"/>
              <w:rPr>
                <w:rFonts w:ascii="Arial Narrow" w:hAnsi="Arial Narrow"/>
                <w:b/>
                <w:bCs/>
                <w:sz w:val="18"/>
                <w:szCs w:val="18"/>
              </w:rPr>
            </w:pPr>
            <w:r w:rsidRPr="003C7722">
              <w:rPr>
                <w:rFonts w:ascii="Arial Narrow" w:hAnsi="Arial Narrow"/>
                <w:b/>
                <w:bCs/>
                <w:sz w:val="18"/>
                <w:szCs w:val="18"/>
              </w:rPr>
              <w:t>SALDI</w:t>
            </w:r>
          </w:p>
        </w:tc>
      </w:tr>
      <w:tr w:rsidR="00236734" w:rsidRPr="003C7722" w14:paraId="57FD8FA1" w14:textId="77777777" w:rsidTr="0075218A">
        <w:trPr>
          <w:gridAfter w:val="1"/>
          <w:wAfter w:w="7" w:type="dxa"/>
          <w:trHeight w:val="255"/>
        </w:trPr>
        <w:tc>
          <w:tcPr>
            <w:tcW w:w="1348" w:type="dxa"/>
            <w:vMerge/>
            <w:shd w:val="clear" w:color="auto" w:fill="auto"/>
            <w:noWrap/>
            <w:vAlign w:val="center"/>
          </w:tcPr>
          <w:p w14:paraId="7DB293F0" w14:textId="77777777" w:rsidR="00236734" w:rsidRPr="003C7722" w:rsidRDefault="00236734" w:rsidP="0075218A">
            <w:pPr>
              <w:spacing w:before="40" w:after="20"/>
              <w:ind w:left="-57"/>
              <w:rPr>
                <w:rFonts w:ascii="Arial Narrow" w:hAnsi="Arial Narrow"/>
                <w:sz w:val="18"/>
                <w:szCs w:val="18"/>
              </w:rPr>
            </w:pPr>
          </w:p>
        </w:tc>
        <w:tc>
          <w:tcPr>
            <w:tcW w:w="1832" w:type="dxa"/>
            <w:gridSpan w:val="2"/>
            <w:tcBorders>
              <w:bottom w:val="single" w:sz="4" w:space="0" w:color="333333"/>
            </w:tcBorders>
            <w:shd w:val="clear" w:color="auto" w:fill="auto"/>
            <w:vAlign w:val="center"/>
          </w:tcPr>
          <w:p w14:paraId="46E25A58" w14:textId="77777777" w:rsidR="00236734"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74B0BB0E" w14:textId="77777777" w:rsidR="00236734" w:rsidRPr="00AF23DD"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732" w:type="dxa"/>
            <w:gridSpan w:val="4"/>
            <w:tcBorders>
              <w:bottom w:val="single" w:sz="4" w:space="0" w:color="333333"/>
            </w:tcBorders>
            <w:shd w:val="clear" w:color="auto" w:fill="auto"/>
            <w:vAlign w:val="center"/>
          </w:tcPr>
          <w:p w14:paraId="3B05072A" w14:textId="77777777" w:rsidR="00236734" w:rsidRDefault="00236734"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4AF0B27F"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2058" w:type="dxa"/>
            <w:gridSpan w:val="5"/>
            <w:tcBorders>
              <w:bottom w:val="single" w:sz="4" w:space="0" w:color="333333"/>
            </w:tcBorders>
            <w:shd w:val="clear" w:color="auto" w:fill="auto"/>
            <w:vAlign w:val="center"/>
          </w:tcPr>
          <w:p w14:paraId="0EFC7C9E" w14:textId="77777777" w:rsidR="00236734"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07458202"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661" w:type="dxa"/>
            <w:gridSpan w:val="2"/>
            <w:tcBorders>
              <w:bottom w:val="single" w:sz="4" w:space="0" w:color="333333"/>
            </w:tcBorders>
            <w:shd w:val="clear" w:color="auto" w:fill="auto"/>
            <w:vAlign w:val="center"/>
          </w:tcPr>
          <w:p w14:paraId="10993A95" w14:textId="77777777" w:rsidR="00236734" w:rsidRDefault="00236734"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61690DEA" w14:textId="77777777" w:rsidR="00236734" w:rsidRPr="003C7722" w:rsidRDefault="00236734" w:rsidP="0075218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1662" w:type="dxa"/>
            <w:gridSpan w:val="3"/>
            <w:vMerge/>
            <w:shd w:val="clear" w:color="auto" w:fill="auto"/>
            <w:vAlign w:val="center"/>
          </w:tcPr>
          <w:p w14:paraId="1647B528" w14:textId="77777777" w:rsidR="00236734" w:rsidRPr="003C7722" w:rsidRDefault="00236734" w:rsidP="0075218A">
            <w:pPr>
              <w:spacing w:before="40" w:after="20"/>
              <w:jc w:val="center"/>
              <w:rPr>
                <w:rFonts w:ascii="Arial Narrow" w:hAnsi="Arial Narrow"/>
                <w:b/>
                <w:bCs/>
                <w:sz w:val="18"/>
                <w:szCs w:val="18"/>
              </w:rPr>
            </w:pPr>
          </w:p>
        </w:tc>
      </w:tr>
      <w:tr w:rsidR="00236734" w:rsidRPr="003C7722" w14:paraId="3F0C5E31" w14:textId="77777777" w:rsidTr="0075218A">
        <w:trPr>
          <w:gridAfter w:val="1"/>
          <w:wAfter w:w="7" w:type="dxa"/>
          <w:trHeight w:val="255"/>
        </w:trPr>
        <w:tc>
          <w:tcPr>
            <w:tcW w:w="1348" w:type="dxa"/>
            <w:vMerge/>
            <w:shd w:val="clear" w:color="auto" w:fill="auto"/>
            <w:noWrap/>
            <w:vAlign w:val="center"/>
          </w:tcPr>
          <w:p w14:paraId="357BF3FF" w14:textId="77777777" w:rsidR="00236734" w:rsidRPr="003C7722" w:rsidRDefault="00236734" w:rsidP="0075218A">
            <w:pPr>
              <w:spacing w:before="40" w:after="20"/>
              <w:ind w:left="-57"/>
              <w:rPr>
                <w:rFonts w:ascii="Arial Narrow" w:hAnsi="Arial Narrow"/>
                <w:sz w:val="18"/>
                <w:szCs w:val="18"/>
              </w:rPr>
            </w:pPr>
          </w:p>
        </w:tc>
        <w:tc>
          <w:tcPr>
            <w:tcW w:w="1832" w:type="dxa"/>
            <w:gridSpan w:val="2"/>
            <w:shd w:val="clear" w:color="auto" w:fill="D9D9D9"/>
            <w:vAlign w:val="center"/>
          </w:tcPr>
          <w:p w14:paraId="6F4C55AD" w14:textId="77777777" w:rsidR="00236734" w:rsidRPr="004C7973" w:rsidRDefault="00236734" w:rsidP="0075218A">
            <w:pPr>
              <w:spacing w:before="40" w:after="20"/>
              <w:ind w:right="-70"/>
              <w:jc w:val="center"/>
              <w:rPr>
                <w:rFonts w:ascii="Arial Narrow" w:hAnsi="Arial Narrow"/>
                <w:sz w:val="18"/>
                <w:szCs w:val="18"/>
              </w:rPr>
            </w:pPr>
            <w:r w:rsidRPr="004C7973">
              <w:rPr>
                <w:rFonts w:ascii="Arial Narrow" w:hAnsi="Arial Narrow"/>
                <w:sz w:val="18"/>
                <w:szCs w:val="18"/>
              </w:rPr>
              <w:t>Dati destagionalizzati</w:t>
            </w:r>
          </w:p>
        </w:tc>
        <w:tc>
          <w:tcPr>
            <w:tcW w:w="1732" w:type="dxa"/>
            <w:gridSpan w:val="4"/>
            <w:shd w:val="clear" w:color="auto" w:fill="auto"/>
            <w:vAlign w:val="center"/>
          </w:tcPr>
          <w:p w14:paraId="5E7FB818" w14:textId="77777777" w:rsidR="00236734" w:rsidRPr="004C7973" w:rsidRDefault="00236734" w:rsidP="0075218A">
            <w:pPr>
              <w:spacing w:before="40" w:after="20"/>
              <w:ind w:right="-70"/>
              <w:jc w:val="center"/>
              <w:rPr>
                <w:rFonts w:ascii="Arial Narrow" w:hAnsi="Arial Narrow"/>
                <w:sz w:val="18"/>
                <w:szCs w:val="18"/>
              </w:rPr>
            </w:pPr>
            <w:r w:rsidRPr="004C7973">
              <w:rPr>
                <w:rFonts w:ascii="Arial Narrow" w:hAnsi="Arial Narrow"/>
                <w:sz w:val="18"/>
                <w:szCs w:val="18"/>
              </w:rPr>
              <w:t>Dati grezzi</w:t>
            </w:r>
          </w:p>
        </w:tc>
        <w:tc>
          <w:tcPr>
            <w:tcW w:w="1891" w:type="dxa"/>
            <w:gridSpan w:val="3"/>
            <w:tcBorders>
              <w:bottom w:val="single" w:sz="4" w:space="0" w:color="333333"/>
            </w:tcBorders>
            <w:shd w:val="clear" w:color="auto" w:fill="D9D9D9"/>
            <w:vAlign w:val="center"/>
          </w:tcPr>
          <w:p w14:paraId="64C6606F"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destagionalizzati</w:t>
            </w:r>
          </w:p>
        </w:tc>
        <w:tc>
          <w:tcPr>
            <w:tcW w:w="1828" w:type="dxa"/>
            <w:gridSpan w:val="4"/>
            <w:tcBorders>
              <w:bottom w:val="single" w:sz="4" w:space="0" w:color="333333"/>
            </w:tcBorders>
            <w:shd w:val="clear" w:color="auto" w:fill="auto"/>
            <w:noWrap/>
            <w:vAlign w:val="center"/>
          </w:tcPr>
          <w:p w14:paraId="296E7BDC"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grezzi</w:t>
            </w:r>
          </w:p>
        </w:tc>
        <w:tc>
          <w:tcPr>
            <w:tcW w:w="1662" w:type="dxa"/>
            <w:gridSpan w:val="3"/>
            <w:tcBorders>
              <w:bottom w:val="single" w:sz="4" w:space="0" w:color="333333"/>
            </w:tcBorders>
            <w:shd w:val="clear" w:color="auto" w:fill="D9D9D9"/>
            <w:noWrap/>
            <w:vAlign w:val="center"/>
          </w:tcPr>
          <w:p w14:paraId="0E92723A"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Dati grezzi</w:t>
            </w:r>
          </w:p>
          <w:p w14:paraId="2334E39A" w14:textId="77777777" w:rsidR="00236734" w:rsidRPr="004C7973" w:rsidRDefault="00236734" w:rsidP="0075218A">
            <w:pPr>
              <w:spacing w:before="40" w:after="20"/>
              <w:jc w:val="center"/>
              <w:rPr>
                <w:rFonts w:ascii="Arial Narrow" w:hAnsi="Arial Narrow"/>
                <w:sz w:val="18"/>
                <w:szCs w:val="18"/>
              </w:rPr>
            </w:pPr>
            <w:r w:rsidRPr="004C7973">
              <w:rPr>
                <w:rFonts w:ascii="Arial Narrow" w:hAnsi="Arial Narrow"/>
                <w:sz w:val="18"/>
                <w:szCs w:val="18"/>
              </w:rPr>
              <w:t>Milioni di euro</w:t>
            </w:r>
          </w:p>
        </w:tc>
      </w:tr>
      <w:tr w:rsidR="00644975" w:rsidRPr="003C7722" w14:paraId="6C2E91BF" w14:textId="77777777" w:rsidTr="0075218A">
        <w:trPr>
          <w:trHeight w:val="255"/>
        </w:trPr>
        <w:tc>
          <w:tcPr>
            <w:tcW w:w="1348" w:type="dxa"/>
            <w:vMerge/>
            <w:shd w:val="clear" w:color="auto" w:fill="auto"/>
            <w:noWrap/>
            <w:vAlign w:val="center"/>
          </w:tcPr>
          <w:p w14:paraId="58865012" w14:textId="77777777" w:rsidR="00644975" w:rsidRPr="003C7722" w:rsidRDefault="00644975" w:rsidP="00644975">
            <w:pPr>
              <w:spacing w:before="40" w:after="20"/>
              <w:ind w:left="-57"/>
              <w:rPr>
                <w:rFonts w:ascii="Arial Narrow" w:hAnsi="Arial Narrow"/>
                <w:sz w:val="18"/>
                <w:szCs w:val="18"/>
              </w:rPr>
            </w:pPr>
          </w:p>
        </w:tc>
        <w:tc>
          <w:tcPr>
            <w:tcW w:w="709" w:type="dxa"/>
            <w:shd w:val="clear" w:color="auto" w:fill="auto"/>
            <w:vAlign w:val="center"/>
          </w:tcPr>
          <w:p w14:paraId="33BAAD50" w14:textId="279B7009"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1B97A9AF" w14:textId="09B1BC05"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set 22</w:t>
            </w:r>
          </w:p>
        </w:tc>
        <w:tc>
          <w:tcPr>
            <w:tcW w:w="1130" w:type="dxa"/>
            <w:gridSpan w:val="2"/>
            <w:shd w:val="clear" w:color="auto" w:fill="auto"/>
            <w:noWrap/>
            <w:vAlign w:val="center"/>
          </w:tcPr>
          <w:p w14:paraId="24556D53" w14:textId="00FAD95F"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ago-ott 22</w:t>
            </w:r>
          </w:p>
          <w:p w14:paraId="7C4FDF51" w14:textId="25DD00A0"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mag-lug 22</w:t>
            </w:r>
          </w:p>
        </w:tc>
        <w:tc>
          <w:tcPr>
            <w:tcW w:w="665" w:type="dxa"/>
            <w:gridSpan w:val="2"/>
            <w:shd w:val="clear" w:color="auto" w:fill="auto"/>
            <w:vAlign w:val="center"/>
          </w:tcPr>
          <w:p w14:paraId="1F372249" w14:textId="6285D49A"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212B07BD" w14:textId="15CAB66D"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067" w:type="dxa"/>
            <w:gridSpan w:val="2"/>
            <w:shd w:val="clear" w:color="auto" w:fill="auto"/>
            <w:noWrap/>
            <w:vAlign w:val="center"/>
          </w:tcPr>
          <w:p w14:paraId="0AD4A080" w14:textId="3D712CD5"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1A1E02E1" w14:textId="6BF136FE"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665" w:type="dxa"/>
            <w:shd w:val="clear" w:color="auto" w:fill="auto"/>
            <w:noWrap/>
            <w:vAlign w:val="center"/>
          </w:tcPr>
          <w:p w14:paraId="6AEE2FF7"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05ACA2DB" w14:textId="4EB30925"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set 22</w:t>
            </w:r>
          </w:p>
        </w:tc>
        <w:tc>
          <w:tcPr>
            <w:tcW w:w="1226" w:type="dxa"/>
            <w:gridSpan w:val="2"/>
            <w:shd w:val="clear" w:color="auto" w:fill="auto"/>
            <w:vAlign w:val="center"/>
          </w:tcPr>
          <w:p w14:paraId="5D17C583"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ago-ott 22</w:t>
            </w:r>
          </w:p>
          <w:p w14:paraId="01699A3B" w14:textId="74012AD9"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mag-lug 22</w:t>
            </w:r>
          </w:p>
        </w:tc>
        <w:tc>
          <w:tcPr>
            <w:tcW w:w="832" w:type="dxa"/>
            <w:gridSpan w:val="2"/>
            <w:shd w:val="clear" w:color="auto" w:fill="auto"/>
            <w:noWrap/>
            <w:vAlign w:val="center"/>
          </w:tcPr>
          <w:p w14:paraId="009274DB"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1E375B84" w14:textId="0D999C26"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996" w:type="dxa"/>
            <w:gridSpan w:val="2"/>
            <w:shd w:val="clear" w:color="auto" w:fill="auto"/>
            <w:noWrap/>
            <w:vAlign w:val="center"/>
          </w:tcPr>
          <w:p w14:paraId="28ADD040"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48918470" w14:textId="2F1AEA16"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665" w:type="dxa"/>
            <w:tcBorders>
              <w:bottom w:val="nil"/>
            </w:tcBorders>
            <w:shd w:val="clear" w:color="auto" w:fill="auto"/>
            <w:noWrap/>
            <w:vAlign w:val="center"/>
          </w:tcPr>
          <w:p w14:paraId="11929ABA" w14:textId="1B4E1703"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997" w:type="dxa"/>
            <w:gridSpan w:val="2"/>
            <w:shd w:val="clear" w:color="auto" w:fill="auto"/>
            <w:vAlign w:val="center"/>
          </w:tcPr>
          <w:p w14:paraId="40468379" w14:textId="45DF4012"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gen-ott 22</w:t>
            </w:r>
          </w:p>
        </w:tc>
      </w:tr>
      <w:tr w:rsidR="00643C20" w:rsidRPr="008C0651" w14:paraId="21B8FC65" w14:textId="77777777" w:rsidTr="0075218A">
        <w:trPr>
          <w:trHeight w:val="255"/>
        </w:trPr>
        <w:tc>
          <w:tcPr>
            <w:tcW w:w="1348" w:type="dxa"/>
            <w:shd w:val="clear" w:color="auto" w:fill="auto"/>
            <w:noWrap/>
            <w:vAlign w:val="center"/>
          </w:tcPr>
          <w:p w14:paraId="519A2F97" w14:textId="77777777" w:rsidR="00643C20" w:rsidRPr="007C052D" w:rsidRDefault="00643C20" w:rsidP="00643C20">
            <w:pPr>
              <w:spacing w:before="40" w:after="20"/>
              <w:rPr>
                <w:rFonts w:ascii="Arial Narrow" w:hAnsi="Arial Narrow"/>
                <w:sz w:val="18"/>
                <w:szCs w:val="18"/>
              </w:rPr>
            </w:pPr>
            <w:r w:rsidRPr="007C052D">
              <w:rPr>
                <w:rFonts w:ascii="Arial Narrow" w:hAnsi="Arial Narrow"/>
                <w:sz w:val="18"/>
                <w:szCs w:val="18"/>
              </w:rPr>
              <w:t>Paesi Ue27</w:t>
            </w:r>
          </w:p>
        </w:tc>
        <w:tc>
          <w:tcPr>
            <w:tcW w:w="709" w:type="dxa"/>
            <w:shd w:val="clear" w:color="auto" w:fill="D9D9D9"/>
            <w:vAlign w:val="bottom"/>
          </w:tcPr>
          <w:p w14:paraId="2320A094" w14:textId="7A24EE55" w:rsidR="00643C20" w:rsidRDefault="00643C20" w:rsidP="00643C20">
            <w:pPr>
              <w:jc w:val="center"/>
              <w:rPr>
                <w:rFonts w:ascii="Arial Narrow" w:hAnsi="Arial Narrow"/>
                <w:sz w:val="18"/>
                <w:szCs w:val="18"/>
              </w:rPr>
            </w:pPr>
            <w:r>
              <w:rPr>
                <w:rFonts w:ascii="Arial Narrow" w:hAnsi="Arial Narrow"/>
                <w:sz w:val="18"/>
                <w:szCs w:val="18"/>
              </w:rPr>
              <w:t>+1,7</w:t>
            </w:r>
          </w:p>
        </w:tc>
        <w:tc>
          <w:tcPr>
            <w:tcW w:w="1130" w:type="dxa"/>
            <w:gridSpan w:val="2"/>
            <w:shd w:val="clear" w:color="auto" w:fill="D9D9D9"/>
            <w:noWrap/>
            <w:vAlign w:val="bottom"/>
          </w:tcPr>
          <w:p w14:paraId="35BD16BF" w14:textId="7F919C60" w:rsidR="00643C20" w:rsidRDefault="00643C20" w:rsidP="00643C20">
            <w:pPr>
              <w:jc w:val="center"/>
              <w:rPr>
                <w:rFonts w:ascii="Arial Narrow" w:hAnsi="Arial Narrow"/>
                <w:sz w:val="18"/>
                <w:szCs w:val="18"/>
              </w:rPr>
            </w:pPr>
            <w:r>
              <w:rPr>
                <w:rFonts w:ascii="Arial Narrow" w:hAnsi="Arial Narrow"/>
                <w:sz w:val="18"/>
                <w:szCs w:val="18"/>
              </w:rPr>
              <w:t>+0,3</w:t>
            </w:r>
          </w:p>
        </w:tc>
        <w:tc>
          <w:tcPr>
            <w:tcW w:w="629" w:type="dxa"/>
            <w:vAlign w:val="bottom"/>
          </w:tcPr>
          <w:p w14:paraId="321E7414" w14:textId="12BE3DCF" w:rsidR="00643C20" w:rsidRDefault="00643C20" w:rsidP="00643C20">
            <w:pPr>
              <w:jc w:val="center"/>
              <w:rPr>
                <w:rFonts w:ascii="Arial Narrow" w:hAnsi="Arial Narrow"/>
                <w:sz w:val="18"/>
                <w:szCs w:val="18"/>
              </w:rPr>
            </w:pPr>
            <w:r>
              <w:rPr>
                <w:rFonts w:ascii="Arial Narrow" w:hAnsi="Arial Narrow"/>
                <w:sz w:val="18"/>
                <w:szCs w:val="18"/>
              </w:rPr>
              <w:t>+18,2</w:t>
            </w:r>
          </w:p>
        </w:tc>
        <w:tc>
          <w:tcPr>
            <w:tcW w:w="1103" w:type="dxa"/>
            <w:gridSpan w:val="3"/>
            <w:shd w:val="clear" w:color="auto" w:fill="auto"/>
            <w:noWrap/>
            <w:vAlign w:val="bottom"/>
          </w:tcPr>
          <w:p w14:paraId="5558032C" w14:textId="24D39A9E" w:rsidR="00643C20" w:rsidRDefault="00643C20" w:rsidP="00643C20">
            <w:pPr>
              <w:jc w:val="center"/>
              <w:rPr>
                <w:rFonts w:ascii="Arial Narrow" w:hAnsi="Arial Narrow"/>
                <w:sz w:val="18"/>
                <w:szCs w:val="18"/>
              </w:rPr>
            </w:pPr>
            <w:r>
              <w:rPr>
                <w:rFonts w:ascii="Arial Narrow" w:hAnsi="Arial Narrow"/>
                <w:sz w:val="18"/>
                <w:szCs w:val="18"/>
              </w:rPr>
              <w:t>+21,4</w:t>
            </w:r>
          </w:p>
        </w:tc>
        <w:tc>
          <w:tcPr>
            <w:tcW w:w="665" w:type="dxa"/>
            <w:shd w:val="clear" w:color="auto" w:fill="D9D9D9"/>
            <w:noWrap/>
            <w:vAlign w:val="bottom"/>
          </w:tcPr>
          <w:p w14:paraId="2C7E9C02" w14:textId="67D6FD65" w:rsidR="00643C20" w:rsidRDefault="00643C20" w:rsidP="00643C20">
            <w:pPr>
              <w:jc w:val="center"/>
              <w:rPr>
                <w:rFonts w:ascii="Arial Narrow" w:hAnsi="Arial Narrow"/>
                <w:sz w:val="18"/>
                <w:szCs w:val="18"/>
              </w:rPr>
            </w:pPr>
            <w:r>
              <w:rPr>
                <w:rFonts w:ascii="Arial Narrow" w:hAnsi="Arial Narrow"/>
                <w:sz w:val="18"/>
                <w:szCs w:val="18"/>
              </w:rPr>
              <w:t>-2,8</w:t>
            </w:r>
          </w:p>
        </w:tc>
        <w:tc>
          <w:tcPr>
            <w:tcW w:w="1226" w:type="dxa"/>
            <w:gridSpan w:val="2"/>
            <w:shd w:val="clear" w:color="auto" w:fill="D9D9D9"/>
            <w:vAlign w:val="bottom"/>
          </w:tcPr>
          <w:p w14:paraId="1033B738" w14:textId="24FAC283" w:rsidR="00643C20" w:rsidRDefault="00643C20" w:rsidP="00643C20">
            <w:pPr>
              <w:jc w:val="center"/>
              <w:rPr>
                <w:rFonts w:ascii="Arial Narrow" w:hAnsi="Arial Narrow"/>
                <w:sz w:val="18"/>
                <w:szCs w:val="18"/>
              </w:rPr>
            </w:pPr>
            <w:r>
              <w:rPr>
                <w:rFonts w:ascii="Arial Narrow" w:hAnsi="Arial Narrow"/>
                <w:sz w:val="18"/>
                <w:szCs w:val="18"/>
              </w:rPr>
              <w:t>+2,8</w:t>
            </w:r>
          </w:p>
        </w:tc>
        <w:tc>
          <w:tcPr>
            <w:tcW w:w="832" w:type="dxa"/>
            <w:gridSpan w:val="2"/>
            <w:shd w:val="clear" w:color="auto" w:fill="auto"/>
            <w:noWrap/>
            <w:vAlign w:val="bottom"/>
          </w:tcPr>
          <w:p w14:paraId="2B08A58E" w14:textId="2D8DCE0F" w:rsidR="00643C20" w:rsidRDefault="00643C20" w:rsidP="00643C20">
            <w:pPr>
              <w:jc w:val="center"/>
              <w:rPr>
                <w:rFonts w:ascii="Arial Narrow" w:hAnsi="Arial Narrow"/>
                <w:sz w:val="18"/>
                <w:szCs w:val="18"/>
              </w:rPr>
            </w:pPr>
            <w:r>
              <w:rPr>
                <w:rFonts w:ascii="Arial Narrow" w:hAnsi="Arial Narrow"/>
                <w:sz w:val="18"/>
                <w:szCs w:val="18"/>
              </w:rPr>
              <w:t>+19,0</w:t>
            </w:r>
          </w:p>
        </w:tc>
        <w:tc>
          <w:tcPr>
            <w:tcW w:w="996" w:type="dxa"/>
            <w:gridSpan w:val="2"/>
            <w:shd w:val="clear" w:color="auto" w:fill="auto"/>
            <w:noWrap/>
            <w:vAlign w:val="bottom"/>
          </w:tcPr>
          <w:p w14:paraId="05C3F3A2" w14:textId="553DD57A" w:rsidR="00643C20" w:rsidRDefault="00643C20" w:rsidP="00643C20">
            <w:pPr>
              <w:jc w:val="center"/>
              <w:rPr>
                <w:rFonts w:ascii="Arial Narrow" w:hAnsi="Arial Narrow"/>
                <w:sz w:val="18"/>
                <w:szCs w:val="18"/>
              </w:rPr>
            </w:pPr>
            <w:r>
              <w:rPr>
                <w:rFonts w:ascii="Arial Narrow" w:hAnsi="Arial Narrow"/>
                <w:sz w:val="18"/>
                <w:szCs w:val="18"/>
              </w:rPr>
              <w:t>+25,8</w:t>
            </w:r>
          </w:p>
        </w:tc>
        <w:tc>
          <w:tcPr>
            <w:tcW w:w="665" w:type="dxa"/>
            <w:shd w:val="clear" w:color="auto" w:fill="D9D9D9"/>
            <w:noWrap/>
            <w:vAlign w:val="bottom"/>
          </w:tcPr>
          <w:p w14:paraId="4966466C" w14:textId="12E27194" w:rsidR="00643C20" w:rsidRDefault="00643C20" w:rsidP="00643C20">
            <w:pPr>
              <w:jc w:val="center"/>
              <w:rPr>
                <w:rFonts w:ascii="Arial Narrow" w:hAnsi="Arial Narrow"/>
                <w:sz w:val="18"/>
                <w:szCs w:val="18"/>
              </w:rPr>
            </w:pPr>
            <w:r>
              <w:rPr>
                <w:rFonts w:ascii="Arial Narrow" w:hAnsi="Arial Narrow"/>
                <w:sz w:val="18"/>
                <w:szCs w:val="18"/>
              </w:rPr>
              <w:t>+104</w:t>
            </w:r>
          </w:p>
        </w:tc>
        <w:tc>
          <w:tcPr>
            <w:tcW w:w="997" w:type="dxa"/>
            <w:gridSpan w:val="2"/>
            <w:shd w:val="clear" w:color="auto" w:fill="D9D9D9"/>
            <w:vAlign w:val="bottom"/>
          </w:tcPr>
          <w:p w14:paraId="73A87C64" w14:textId="76341D1D" w:rsidR="00643C20" w:rsidRDefault="00643C20" w:rsidP="00643C20">
            <w:pPr>
              <w:jc w:val="center"/>
              <w:rPr>
                <w:rFonts w:ascii="Arial Narrow" w:hAnsi="Arial Narrow"/>
                <w:sz w:val="18"/>
                <w:szCs w:val="18"/>
              </w:rPr>
            </w:pPr>
            <w:r>
              <w:rPr>
                <w:rFonts w:ascii="Arial Narrow" w:hAnsi="Arial Narrow"/>
                <w:sz w:val="18"/>
                <w:szCs w:val="18"/>
              </w:rPr>
              <w:t>-2.104</w:t>
            </w:r>
          </w:p>
        </w:tc>
      </w:tr>
      <w:tr w:rsidR="00643C20" w:rsidRPr="008C0651" w14:paraId="33DD8268" w14:textId="77777777" w:rsidTr="0075218A">
        <w:trPr>
          <w:trHeight w:val="255"/>
        </w:trPr>
        <w:tc>
          <w:tcPr>
            <w:tcW w:w="1348" w:type="dxa"/>
            <w:shd w:val="clear" w:color="auto" w:fill="auto"/>
            <w:noWrap/>
            <w:vAlign w:val="center"/>
          </w:tcPr>
          <w:p w14:paraId="50B7701A" w14:textId="77777777" w:rsidR="00643C20" w:rsidRPr="007C052D" w:rsidRDefault="00643C20" w:rsidP="00643C20">
            <w:pPr>
              <w:spacing w:before="40" w:after="20"/>
              <w:rPr>
                <w:rFonts w:ascii="Arial Narrow" w:hAnsi="Arial Narrow"/>
                <w:sz w:val="18"/>
                <w:szCs w:val="18"/>
              </w:rPr>
            </w:pPr>
            <w:r w:rsidRPr="007C052D">
              <w:rPr>
                <w:rFonts w:ascii="Arial Narrow" w:hAnsi="Arial Narrow"/>
                <w:sz w:val="18"/>
                <w:szCs w:val="18"/>
              </w:rPr>
              <w:t>Paesi extra Ue27</w:t>
            </w:r>
          </w:p>
        </w:tc>
        <w:tc>
          <w:tcPr>
            <w:tcW w:w="709" w:type="dxa"/>
            <w:shd w:val="clear" w:color="auto" w:fill="D9D9D9"/>
            <w:vAlign w:val="bottom"/>
          </w:tcPr>
          <w:p w14:paraId="2854853D" w14:textId="6BDA63DC" w:rsidR="00643C20" w:rsidRDefault="00643C20" w:rsidP="00643C20">
            <w:pPr>
              <w:jc w:val="center"/>
              <w:rPr>
                <w:rFonts w:ascii="Arial Narrow" w:hAnsi="Arial Narrow"/>
                <w:sz w:val="18"/>
                <w:szCs w:val="18"/>
              </w:rPr>
            </w:pPr>
            <w:r>
              <w:rPr>
                <w:rFonts w:ascii="Arial Narrow" w:hAnsi="Arial Narrow"/>
                <w:sz w:val="18"/>
                <w:szCs w:val="18"/>
              </w:rPr>
              <w:t>-4,3</w:t>
            </w:r>
          </w:p>
        </w:tc>
        <w:tc>
          <w:tcPr>
            <w:tcW w:w="1130" w:type="dxa"/>
            <w:gridSpan w:val="2"/>
            <w:shd w:val="clear" w:color="auto" w:fill="D9D9D9"/>
            <w:noWrap/>
            <w:vAlign w:val="bottom"/>
          </w:tcPr>
          <w:p w14:paraId="4D884F4C" w14:textId="123DA64E" w:rsidR="00643C20" w:rsidRDefault="00643C20" w:rsidP="00643C20">
            <w:pPr>
              <w:jc w:val="center"/>
              <w:rPr>
                <w:rFonts w:ascii="Arial Narrow" w:hAnsi="Arial Narrow"/>
                <w:sz w:val="18"/>
                <w:szCs w:val="18"/>
              </w:rPr>
            </w:pPr>
            <w:r>
              <w:rPr>
                <w:rFonts w:ascii="Arial Narrow" w:hAnsi="Arial Narrow"/>
                <w:sz w:val="18"/>
                <w:szCs w:val="18"/>
              </w:rPr>
              <w:t>-1,8</w:t>
            </w:r>
          </w:p>
        </w:tc>
        <w:tc>
          <w:tcPr>
            <w:tcW w:w="629" w:type="dxa"/>
            <w:vAlign w:val="bottom"/>
          </w:tcPr>
          <w:p w14:paraId="01570429" w14:textId="4497C8BD" w:rsidR="00643C20" w:rsidRDefault="00643C20" w:rsidP="00643C20">
            <w:pPr>
              <w:jc w:val="center"/>
              <w:rPr>
                <w:rFonts w:ascii="Arial Narrow" w:hAnsi="Arial Narrow"/>
                <w:sz w:val="18"/>
                <w:szCs w:val="18"/>
              </w:rPr>
            </w:pPr>
            <w:r>
              <w:rPr>
                <w:rFonts w:ascii="Arial Narrow" w:hAnsi="Arial Narrow"/>
                <w:sz w:val="18"/>
                <w:szCs w:val="18"/>
              </w:rPr>
              <w:t>+16,8</w:t>
            </w:r>
          </w:p>
        </w:tc>
        <w:tc>
          <w:tcPr>
            <w:tcW w:w="1103" w:type="dxa"/>
            <w:gridSpan w:val="3"/>
            <w:shd w:val="clear" w:color="auto" w:fill="auto"/>
            <w:noWrap/>
            <w:vAlign w:val="bottom"/>
          </w:tcPr>
          <w:p w14:paraId="02473B71" w14:textId="3865592E" w:rsidR="00643C20" w:rsidRDefault="00643C20" w:rsidP="00643C20">
            <w:pPr>
              <w:jc w:val="center"/>
              <w:rPr>
                <w:rFonts w:ascii="Arial Narrow" w:hAnsi="Arial Narrow"/>
                <w:sz w:val="18"/>
                <w:szCs w:val="18"/>
              </w:rPr>
            </w:pPr>
            <w:r>
              <w:rPr>
                <w:rFonts w:ascii="Arial Narrow" w:hAnsi="Arial Narrow"/>
                <w:sz w:val="18"/>
                <w:szCs w:val="18"/>
              </w:rPr>
              <w:t>+20,1</w:t>
            </w:r>
          </w:p>
        </w:tc>
        <w:tc>
          <w:tcPr>
            <w:tcW w:w="665" w:type="dxa"/>
            <w:shd w:val="clear" w:color="auto" w:fill="D9D9D9"/>
            <w:noWrap/>
            <w:vAlign w:val="bottom"/>
          </w:tcPr>
          <w:p w14:paraId="01C0076B" w14:textId="5FF80355" w:rsidR="00643C20" w:rsidRDefault="00643C20" w:rsidP="00643C20">
            <w:pPr>
              <w:jc w:val="center"/>
              <w:rPr>
                <w:rFonts w:ascii="Arial Narrow" w:hAnsi="Arial Narrow"/>
                <w:sz w:val="18"/>
                <w:szCs w:val="18"/>
              </w:rPr>
            </w:pPr>
            <w:r>
              <w:rPr>
                <w:rFonts w:ascii="Arial Narrow" w:hAnsi="Arial Narrow"/>
                <w:sz w:val="18"/>
                <w:szCs w:val="18"/>
              </w:rPr>
              <w:t>-8,1</w:t>
            </w:r>
          </w:p>
        </w:tc>
        <w:tc>
          <w:tcPr>
            <w:tcW w:w="1226" w:type="dxa"/>
            <w:gridSpan w:val="2"/>
            <w:shd w:val="clear" w:color="auto" w:fill="D9D9D9"/>
            <w:vAlign w:val="bottom"/>
          </w:tcPr>
          <w:p w14:paraId="3EE936AC" w14:textId="756EE68D" w:rsidR="00643C20" w:rsidRDefault="00643C20" w:rsidP="00643C20">
            <w:pPr>
              <w:jc w:val="center"/>
              <w:rPr>
                <w:rFonts w:ascii="Arial Narrow" w:hAnsi="Arial Narrow"/>
                <w:sz w:val="18"/>
                <w:szCs w:val="18"/>
              </w:rPr>
            </w:pPr>
            <w:r>
              <w:rPr>
                <w:rFonts w:ascii="Arial Narrow" w:hAnsi="Arial Narrow"/>
                <w:sz w:val="18"/>
                <w:szCs w:val="18"/>
              </w:rPr>
              <w:t>+4,9</w:t>
            </w:r>
          </w:p>
        </w:tc>
        <w:tc>
          <w:tcPr>
            <w:tcW w:w="832" w:type="dxa"/>
            <w:gridSpan w:val="2"/>
            <w:shd w:val="clear" w:color="auto" w:fill="auto"/>
            <w:noWrap/>
            <w:vAlign w:val="bottom"/>
          </w:tcPr>
          <w:p w14:paraId="13E348CA" w14:textId="31758685" w:rsidR="00643C20" w:rsidRDefault="00643C20" w:rsidP="00643C20">
            <w:pPr>
              <w:jc w:val="center"/>
              <w:rPr>
                <w:rFonts w:ascii="Arial Narrow" w:hAnsi="Arial Narrow"/>
                <w:sz w:val="18"/>
                <w:szCs w:val="18"/>
              </w:rPr>
            </w:pPr>
            <w:r>
              <w:rPr>
                <w:rFonts w:ascii="Arial Narrow" w:hAnsi="Arial Narrow"/>
                <w:sz w:val="18"/>
                <w:szCs w:val="18"/>
              </w:rPr>
              <w:t>+39,4</w:t>
            </w:r>
          </w:p>
        </w:tc>
        <w:tc>
          <w:tcPr>
            <w:tcW w:w="996" w:type="dxa"/>
            <w:gridSpan w:val="2"/>
            <w:shd w:val="clear" w:color="auto" w:fill="auto"/>
            <w:noWrap/>
            <w:vAlign w:val="bottom"/>
          </w:tcPr>
          <w:p w14:paraId="116C21C3" w14:textId="66C5CF5D" w:rsidR="00643C20" w:rsidRDefault="00643C20" w:rsidP="00643C20">
            <w:pPr>
              <w:jc w:val="center"/>
              <w:rPr>
                <w:rFonts w:ascii="Arial Narrow" w:hAnsi="Arial Narrow"/>
                <w:sz w:val="18"/>
                <w:szCs w:val="18"/>
              </w:rPr>
            </w:pPr>
            <w:r>
              <w:rPr>
                <w:rFonts w:ascii="Arial Narrow" w:hAnsi="Arial Narrow"/>
                <w:sz w:val="18"/>
                <w:szCs w:val="18"/>
              </w:rPr>
              <w:t>+63,0</w:t>
            </w:r>
          </w:p>
        </w:tc>
        <w:tc>
          <w:tcPr>
            <w:tcW w:w="665" w:type="dxa"/>
            <w:shd w:val="clear" w:color="auto" w:fill="D9D9D9"/>
            <w:noWrap/>
            <w:vAlign w:val="bottom"/>
          </w:tcPr>
          <w:p w14:paraId="7C57E80A" w14:textId="1F55F88F" w:rsidR="00643C20" w:rsidRDefault="00643C20" w:rsidP="00643C20">
            <w:pPr>
              <w:jc w:val="center"/>
              <w:rPr>
                <w:rFonts w:ascii="Arial Narrow" w:hAnsi="Arial Narrow"/>
                <w:sz w:val="18"/>
                <w:szCs w:val="18"/>
              </w:rPr>
            </w:pPr>
            <w:r>
              <w:rPr>
                <w:rFonts w:ascii="Arial Narrow" w:hAnsi="Arial Narrow"/>
                <w:sz w:val="18"/>
                <w:szCs w:val="18"/>
              </w:rPr>
              <w:t>-2.227</w:t>
            </w:r>
          </w:p>
        </w:tc>
        <w:tc>
          <w:tcPr>
            <w:tcW w:w="997" w:type="dxa"/>
            <w:gridSpan w:val="2"/>
            <w:shd w:val="clear" w:color="auto" w:fill="D9D9D9"/>
            <w:vAlign w:val="bottom"/>
          </w:tcPr>
          <w:p w14:paraId="536DBC4C" w14:textId="24A45DE1" w:rsidR="00643C20" w:rsidRDefault="00643C20" w:rsidP="00643C20">
            <w:pPr>
              <w:jc w:val="center"/>
              <w:rPr>
                <w:rFonts w:ascii="Arial Narrow" w:hAnsi="Arial Narrow"/>
                <w:sz w:val="18"/>
                <w:szCs w:val="18"/>
              </w:rPr>
            </w:pPr>
            <w:r>
              <w:rPr>
                <w:rFonts w:ascii="Arial Narrow" w:hAnsi="Arial Narrow"/>
                <w:sz w:val="18"/>
                <w:szCs w:val="18"/>
              </w:rPr>
              <w:t>-31.464</w:t>
            </w:r>
          </w:p>
        </w:tc>
      </w:tr>
      <w:tr w:rsidR="00643C20" w:rsidRPr="008C0651" w14:paraId="68FD8E49" w14:textId="77777777" w:rsidTr="0075218A">
        <w:trPr>
          <w:trHeight w:val="255"/>
        </w:trPr>
        <w:tc>
          <w:tcPr>
            <w:tcW w:w="1348" w:type="dxa"/>
            <w:shd w:val="clear" w:color="auto" w:fill="auto"/>
            <w:noWrap/>
            <w:vAlign w:val="center"/>
          </w:tcPr>
          <w:p w14:paraId="53E09E9B" w14:textId="77777777" w:rsidR="00643C20" w:rsidRPr="003C7722" w:rsidRDefault="00643C20" w:rsidP="00643C20">
            <w:pPr>
              <w:spacing w:before="40" w:after="20"/>
              <w:rPr>
                <w:rFonts w:ascii="Arial Narrow" w:hAnsi="Arial Narrow"/>
                <w:sz w:val="18"/>
                <w:szCs w:val="18"/>
              </w:rPr>
            </w:pPr>
            <w:r w:rsidRPr="003C7722">
              <w:rPr>
                <w:rFonts w:ascii="Arial Narrow" w:hAnsi="Arial Narrow"/>
                <w:sz w:val="18"/>
                <w:szCs w:val="18"/>
              </w:rPr>
              <w:t>Mondo</w:t>
            </w:r>
          </w:p>
        </w:tc>
        <w:tc>
          <w:tcPr>
            <w:tcW w:w="709" w:type="dxa"/>
            <w:shd w:val="clear" w:color="auto" w:fill="D9D9D9"/>
            <w:vAlign w:val="bottom"/>
          </w:tcPr>
          <w:p w14:paraId="6B317D71" w14:textId="63D12261" w:rsidR="00643C20" w:rsidRDefault="00643C20" w:rsidP="00643C20">
            <w:pPr>
              <w:jc w:val="center"/>
              <w:rPr>
                <w:rFonts w:ascii="Arial Narrow" w:hAnsi="Arial Narrow"/>
                <w:sz w:val="18"/>
                <w:szCs w:val="18"/>
              </w:rPr>
            </w:pPr>
            <w:r>
              <w:rPr>
                <w:rFonts w:ascii="Arial Narrow" w:hAnsi="Arial Narrow"/>
                <w:sz w:val="18"/>
                <w:szCs w:val="18"/>
              </w:rPr>
              <w:t>-1,1</w:t>
            </w:r>
          </w:p>
        </w:tc>
        <w:tc>
          <w:tcPr>
            <w:tcW w:w="1130" w:type="dxa"/>
            <w:gridSpan w:val="2"/>
            <w:shd w:val="clear" w:color="auto" w:fill="D9D9D9"/>
            <w:noWrap/>
            <w:vAlign w:val="bottom"/>
          </w:tcPr>
          <w:p w14:paraId="64A64FC9" w14:textId="285B95EE" w:rsidR="00643C20" w:rsidRDefault="00643C20" w:rsidP="00643C20">
            <w:pPr>
              <w:jc w:val="center"/>
              <w:rPr>
                <w:rFonts w:ascii="Arial Narrow" w:hAnsi="Arial Narrow"/>
                <w:sz w:val="18"/>
                <w:szCs w:val="18"/>
              </w:rPr>
            </w:pPr>
            <w:r>
              <w:rPr>
                <w:rFonts w:ascii="Arial Narrow" w:hAnsi="Arial Narrow"/>
                <w:sz w:val="18"/>
                <w:szCs w:val="18"/>
              </w:rPr>
              <w:t>-0,7</w:t>
            </w:r>
          </w:p>
        </w:tc>
        <w:tc>
          <w:tcPr>
            <w:tcW w:w="629" w:type="dxa"/>
            <w:vAlign w:val="bottom"/>
          </w:tcPr>
          <w:p w14:paraId="5B4FB60C" w14:textId="25424347" w:rsidR="00643C20" w:rsidRDefault="00643C20" w:rsidP="00643C20">
            <w:pPr>
              <w:jc w:val="center"/>
              <w:rPr>
                <w:rFonts w:ascii="Arial Narrow" w:hAnsi="Arial Narrow"/>
                <w:sz w:val="18"/>
                <w:szCs w:val="18"/>
              </w:rPr>
            </w:pPr>
            <w:r>
              <w:rPr>
                <w:rFonts w:ascii="Arial Narrow" w:hAnsi="Arial Narrow"/>
                <w:sz w:val="18"/>
                <w:szCs w:val="18"/>
              </w:rPr>
              <w:t>+17,5</w:t>
            </w:r>
          </w:p>
        </w:tc>
        <w:tc>
          <w:tcPr>
            <w:tcW w:w="1103" w:type="dxa"/>
            <w:gridSpan w:val="3"/>
            <w:shd w:val="clear" w:color="auto" w:fill="auto"/>
            <w:noWrap/>
            <w:vAlign w:val="bottom"/>
          </w:tcPr>
          <w:p w14:paraId="1C07D702" w14:textId="177FCA9F" w:rsidR="00643C20" w:rsidRDefault="00643C20" w:rsidP="00643C20">
            <w:pPr>
              <w:jc w:val="center"/>
              <w:rPr>
                <w:rFonts w:ascii="Arial Narrow" w:hAnsi="Arial Narrow"/>
                <w:sz w:val="18"/>
                <w:szCs w:val="18"/>
              </w:rPr>
            </w:pPr>
            <w:r>
              <w:rPr>
                <w:rFonts w:ascii="Arial Narrow" w:hAnsi="Arial Narrow"/>
                <w:sz w:val="18"/>
                <w:szCs w:val="18"/>
              </w:rPr>
              <w:t>+20,8</w:t>
            </w:r>
          </w:p>
        </w:tc>
        <w:tc>
          <w:tcPr>
            <w:tcW w:w="665" w:type="dxa"/>
            <w:shd w:val="clear" w:color="auto" w:fill="D9D9D9"/>
            <w:noWrap/>
            <w:vAlign w:val="bottom"/>
          </w:tcPr>
          <w:p w14:paraId="73D029BC" w14:textId="68E1AC88" w:rsidR="00643C20" w:rsidRDefault="00643C20" w:rsidP="00643C20">
            <w:pPr>
              <w:jc w:val="center"/>
              <w:rPr>
                <w:rFonts w:ascii="Arial Narrow" w:hAnsi="Arial Narrow"/>
                <w:sz w:val="18"/>
                <w:szCs w:val="18"/>
              </w:rPr>
            </w:pPr>
            <w:r>
              <w:rPr>
                <w:rFonts w:ascii="Arial Narrow" w:hAnsi="Arial Narrow"/>
                <w:sz w:val="18"/>
                <w:szCs w:val="18"/>
              </w:rPr>
              <w:t>-5,5</w:t>
            </w:r>
          </w:p>
        </w:tc>
        <w:tc>
          <w:tcPr>
            <w:tcW w:w="1226" w:type="dxa"/>
            <w:gridSpan w:val="2"/>
            <w:shd w:val="clear" w:color="auto" w:fill="D9D9D9"/>
            <w:vAlign w:val="bottom"/>
          </w:tcPr>
          <w:p w14:paraId="13DE127A" w14:textId="31249A62" w:rsidR="00643C20" w:rsidRDefault="00643C20" w:rsidP="00643C20">
            <w:pPr>
              <w:jc w:val="center"/>
              <w:rPr>
                <w:rFonts w:ascii="Arial Narrow" w:hAnsi="Arial Narrow"/>
                <w:sz w:val="18"/>
                <w:szCs w:val="18"/>
              </w:rPr>
            </w:pPr>
            <w:r>
              <w:rPr>
                <w:rFonts w:ascii="Arial Narrow" w:hAnsi="Arial Narrow"/>
                <w:sz w:val="18"/>
                <w:szCs w:val="18"/>
              </w:rPr>
              <w:t>+3,9</w:t>
            </w:r>
          </w:p>
        </w:tc>
        <w:tc>
          <w:tcPr>
            <w:tcW w:w="832" w:type="dxa"/>
            <w:gridSpan w:val="2"/>
            <w:shd w:val="clear" w:color="auto" w:fill="auto"/>
            <w:noWrap/>
            <w:vAlign w:val="bottom"/>
          </w:tcPr>
          <w:p w14:paraId="49778B7E" w14:textId="0A903EFD" w:rsidR="00643C20" w:rsidRDefault="00643C20" w:rsidP="00643C20">
            <w:pPr>
              <w:jc w:val="center"/>
              <w:rPr>
                <w:rFonts w:ascii="Arial Narrow" w:hAnsi="Arial Narrow"/>
                <w:sz w:val="18"/>
                <w:szCs w:val="18"/>
              </w:rPr>
            </w:pPr>
            <w:r>
              <w:rPr>
                <w:rFonts w:ascii="Arial Narrow" w:hAnsi="Arial Narrow"/>
                <w:sz w:val="18"/>
                <w:szCs w:val="18"/>
              </w:rPr>
              <w:t>+28,2</w:t>
            </w:r>
          </w:p>
        </w:tc>
        <w:tc>
          <w:tcPr>
            <w:tcW w:w="996" w:type="dxa"/>
            <w:gridSpan w:val="2"/>
            <w:shd w:val="clear" w:color="auto" w:fill="auto"/>
            <w:noWrap/>
            <w:vAlign w:val="bottom"/>
          </w:tcPr>
          <w:p w14:paraId="0A2F2AF5" w14:textId="08E4F4E2" w:rsidR="00643C20" w:rsidRDefault="00643C20" w:rsidP="00643C20">
            <w:pPr>
              <w:jc w:val="center"/>
              <w:rPr>
                <w:rFonts w:ascii="Arial Narrow" w:hAnsi="Arial Narrow"/>
                <w:sz w:val="18"/>
                <w:szCs w:val="18"/>
              </w:rPr>
            </w:pPr>
            <w:r>
              <w:rPr>
                <w:rFonts w:ascii="Arial Narrow" w:hAnsi="Arial Narrow"/>
                <w:sz w:val="18"/>
                <w:szCs w:val="18"/>
              </w:rPr>
              <w:t>+41,8</w:t>
            </w:r>
          </w:p>
        </w:tc>
        <w:tc>
          <w:tcPr>
            <w:tcW w:w="665" w:type="dxa"/>
            <w:shd w:val="clear" w:color="auto" w:fill="D9D9D9"/>
            <w:noWrap/>
            <w:vAlign w:val="bottom"/>
          </w:tcPr>
          <w:p w14:paraId="4E8FA5BC" w14:textId="772761A8" w:rsidR="00643C20" w:rsidRDefault="00643C20" w:rsidP="00643C20">
            <w:pPr>
              <w:jc w:val="center"/>
              <w:rPr>
                <w:rFonts w:ascii="Arial Narrow" w:hAnsi="Arial Narrow"/>
                <w:sz w:val="18"/>
                <w:szCs w:val="18"/>
              </w:rPr>
            </w:pPr>
            <w:r>
              <w:rPr>
                <w:rFonts w:ascii="Arial Narrow" w:hAnsi="Arial Narrow"/>
                <w:sz w:val="18"/>
                <w:szCs w:val="18"/>
              </w:rPr>
              <w:t>-2.123</w:t>
            </w:r>
          </w:p>
        </w:tc>
        <w:tc>
          <w:tcPr>
            <w:tcW w:w="997" w:type="dxa"/>
            <w:gridSpan w:val="2"/>
            <w:shd w:val="clear" w:color="auto" w:fill="D9D9D9"/>
            <w:vAlign w:val="bottom"/>
          </w:tcPr>
          <w:p w14:paraId="77D607FE" w14:textId="1ED777D4" w:rsidR="00643C20" w:rsidRDefault="00643C20" w:rsidP="00643C20">
            <w:pPr>
              <w:jc w:val="center"/>
              <w:rPr>
                <w:rFonts w:ascii="Arial Narrow" w:hAnsi="Arial Narrow"/>
                <w:sz w:val="18"/>
                <w:szCs w:val="18"/>
              </w:rPr>
            </w:pPr>
            <w:r>
              <w:rPr>
                <w:rFonts w:ascii="Arial Narrow" w:hAnsi="Arial Narrow"/>
                <w:sz w:val="18"/>
                <w:szCs w:val="18"/>
              </w:rPr>
              <w:t>-33.568</w:t>
            </w:r>
          </w:p>
        </w:tc>
      </w:tr>
      <w:tr w:rsidR="00643C20" w:rsidRPr="00826161" w14:paraId="0BA3DDEE" w14:textId="77777777" w:rsidTr="0075218A">
        <w:trPr>
          <w:trHeight w:val="255"/>
        </w:trPr>
        <w:tc>
          <w:tcPr>
            <w:tcW w:w="1348" w:type="dxa"/>
            <w:shd w:val="clear" w:color="auto" w:fill="auto"/>
            <w:noWrap/>
            <w:vAlign w:val="center"/>
          </w:tcPr>
          <w:p w14:paraId="62487FD4" w14:textId="77777777" w:rsidR="00643C20" w:rsidRPr="00826161" w:rsidRDefault="00643C20" w:rsidP="00643C20">
            <w:pPr>
              <w:spacing w:before="40" w:after="20"/>
              <w:rPr>
                <w:rFonts w:ascii="Arial Narrow" w:hAnsi="Arial Narrow"/>
                <w:sz w:val="18"/>
                <w:szCs w:val="18"/>
              </w:rPr>
            </w:pPr>
            <w:r w:rsidRPr="00826161">
              <w:rPr>
                <w:rFonts w:ascii="Arial Narrow" w:hAnsi="Arial Narrow"/>
                <w:sz w:val="18"/>
                <w:szCs w:val="18"/>
              </w:rPr>
              <w:t>Valori medi unitari</w:t>
            </w:r>
          </w:p>
        </w:tc>
        <w:tc>
          <w:tcPr>
            <w:tcW w:w="709" w:type="dxa"/>
            <w:shd w:val="clear" w:color="auto" w:fill="D9D9D9"/>
            <w:vAlign w:val="bottom"/>
          </w:tcPr>
          <w:p w14:paraId="125CC4C8" w14:textId="77777777" w:rsidR="00643C20" w:rsidRPr="00826161" w:rsidRDefault="00643C20" w:rsidP="00643C20">
            <w:pPr>
              <w:jc w:val="center"/>
              <w:rPr>
                <w:rFonts w:ascii="Arial Narrow" w:hAnsi="Arial Narrow"/>
                <w:sz w:val="18"/>
                <w:szCs w:val="18"/>
              </w:rPr>
            </w:pPr>
          </w:p>
        </w:tc>
        <w:tc>
          <w:tcPr>
            <w:tcW w:w="1130" w:type="dxa"/>
            <w:gridSpan w:val="2"/>
            <w:shd w:val="clear" w:color="auto" w:fill="D9D9D9"/>
            <w:noWrap/>
            <w:vAlign w:val="bottom"/>
          </w:tcPr>
          <w:p w14:paraId="0BF5DB31" w14:textId="77777777" w:rsidR="00643C20" w:rsidRPr="00826161" w:rsidRDefault="00643C20" w:rsidP="00643C20">
            <w:pPr>
              <w:jc w:val="center"/>
              <w:rPr>
                <w:sz w:val="20"/>
                <w:szCs w:val="20"/>
              </w:rPr>
            </w:pPr>
          </w:p>
        </w:tc>
        <w:tc>
          <w:tcPr>
            <w:tcW w:w="629" w:type="dxa"/>
            <w:vAlign w:val="bottom"/>
          </w:tcPr>
          <w:p w14:paraId="71E6928E" w14:textId="26EDDCA5" w:rsidR="00643C20" w:rsidRPr="00826161" w:rsidRDefault="00643C20" w:rsidP="00643C20">
            <w:pPr>
              <w:jc w:val="center"/>
              <w:rPr>
                <w:rFonts w:ascii="Arial Narrow" w:hAnsi="Arial Narrow"/>
                <w:i/>
                <w:iCs/>
                <w:sz w:val="18"/>
                <w:szCs w:val="18"/>
              </w:rPr>
            </w:pPr>
            <w:r>
              <w:rPr>
                <w:rFonts w:ascii="Arial Narrow" w:hAnsi="Arial Narrow"/>
                <w:i/>
                <w:iCs/>
                <w:sz w:val="18"/>
                <w:szCs w:val="18"/>
              </w:rPr>
              <w:t>+20,8</w:t>
            </w:r>
          </w:p>
        </w:tc>
        <w:tc>
          <w:tcPr>
            <w:tcW w:w="1103" w:type="dxa"/>
            <w:gridSpan w:val="3"/>
            <w:shd w:val="clear" w:color="auto" w:fill="auto"/>
            <w:noWrap/>
            <w:vAlign w:val="bottom"/>
          </w:tcPr>
          <w:p w14:paraId="359154C9" w14:textId="5ABFD99D" w:rsidR="00643C20" w:rsidRPr="00826161" w:rsidRDefault="00643C20" w:rsidP="00643C20">
            <w:pPr>
              <w:jc w:val="center"/>
              <w:rPr>
                <w:rFonts w:ascii="Arial Narrow" w:hAnsi="Arial Narrow"/>
                <w:i/>
                <w:iCs/>
                <w:sz w:val="18"/>
                <w:szCs w:val="18"/>
              </w:rPr>
            </w:pPr>
            <w:r>
              <w:rPr>
                <w:rFonts w:ascii="Arial Narrow" w:hAnsi="Arial Narrow"/>
                <w:i/>
                <w:iCs/>
                <w:sz w:val="18"/>
                <w:szCs w:val="18"/>
              </w:rPr>
              <w:t>+20,4</w:t>
            </w:r>
          </w:p>
        </w:tc>
        <w:tc>
          <w:tcPr>
            <w:tcW w:w="665" w:type="dxa"/>
            <w:shd w:val="clear" w:color="auto" w:fill="D9D9D9"/>
            <w:noWrap/>
            <w:vAlign w:val="bottom"/>
          </w:tcPr>
          <w:p w14:paraId="236E7EF5" w14:textId="77777777" w:rsidR="00643C20" w:rsidRPr="00826161" w:rsidRDefault="00643C20" w:rsidP="00643C20">
            <w:pPr>
              <w:jc w:val="center"/>
              <w:rPr>
                <w:rFonts w:ascii="Arial Narrow" w:hAnsi="Arial Narrow"/>
                <w:i/>
                <w:iCs/>
                <w:sz w:val="18"/>
                <w:szCs w:val="18"/>
              </w:rPr>
            </w:pPr>
          </w:p>
        </w:tc>
        <w:tc>
          <w:tcPr>
            <w:tcW w:w="1226" w:type="dxa"/>
            <w:gridSpan w:val="2"/>
            <w:shd w:val="clear" w:color="auto" w:fill="D9D9D9"/>
            <w:vAlign w:val="bottom"/>
          </w:tcPr>
          <w:p w14:paraId="610951F9" w14:textId="77777777" w:rsidR="00643C20" w:rsidRPr="00826161" w:rsidRDefault="00643C20" w:rsidP="00643C20">
            <w:pPr>
              <w:jc w:val="center"/>
              <w:rPr>
                <w:sz w:val="20"/>
                <w:szCs w:val="20"/>
              </w:rPr>
            </w:pPr>
          </w:p>
        </w:tc>
        <w:tc>
          <w:tcPr>
            <w:tcW w:w="832" w:type="dxa"/>
            <w:gridSpan w:val="2"/>
            <w:shd w:val="clear" w:color="auto" w:fill="auto"/>
            <w:noWrap/>
            <w:vAlign w:val="bottom"/>
          </w:tcPr>
          <w:p w14:paraId="3D9A968C" w14:textId="2998373F" w:rsidR="00643C20" w:rsidRPr="00826161" w:rsidRDefault="00643C20" w:rsidP="00643C20">
            <w:pPr>
              <w:jc w:val="center"/>
              <w:rPr>
                <w:rFonts w:ascii="Arial Narrow" w:hAnsi="Arial Narrow"/>
                <w:i/>
                <w:iCs/>
                <w:sz w:val="18"/>
                <w:szCs w:val="18"/>
              </w:rPr>
            </w:pPr>
            <w:r>
              <w:rPr>
                <w:rFonts w:ascii="Arial Narrow" w:hAnsi="Arial Narrow"/>
                <w:i/>
                <w:iCs/>
                <w:sz w:val="18"/>
                <w:szCs w:val="18"/>
              </w:rPr>
              <w:t>+27,5</w:t>
            </w:r>
          </w:p>
        </w:tc>
        <w:tc>
          <w:tcPr>
            <w:tcW w:w="996" w:type="dxa"/>
            <w:gridSpan w:val="2"/>
            <w:shd w:val="clear" w:color="auto" w:fill="auto"/>
            <w:noWrap/>
            <w:vAlign w:val="bottom"/>
          </w:tcPr>
          <w:p w14:paraId="6E8E5192" w14:textId="4FA44D0C" w:rsidR="00643C20" w:rsidRPr="00826161" w:rsidRDefault="00643C20" w:rsidP="00643C20">
            <w:pPr>
              <w:jc w:val="center"/>
              <w:rPr>
                <w:rFonts w:ascii="Arial Narrow" w:hAnsi="Arial Narrow"/>
                <w:i/>
                <w:iCs/>
                <w:sz w:val="18"/>
                <w:szCs w:val="18"/>
              </w:rPr>
            </w:pPr>
            <w:r>
              <w:rPr>
                <w:rFonts w:ascii="Arial Narrow" w:hAnsi="Arial Narrow"/>
                <w:i/>
                <w:iCs/>
                <w:sz w:val="18"/>
                <w:szCs w:val="18"/>
              </w:rPr>
              <w:t>+40,1</w:t>
            </w:r>
          </w:p>
        </w:tc>
        <w:tc>
          <w:tcPr>
            <w:tcW w:w="665" w:type="dxa"/>
            <w:shd w:val="clear" w:color="auto" w:fill="D9D9D9"/>
            <w:noWrap/>
            <w:vAlign w:val="bottom"/>
          </w:tcPr>
          <w:p w14:paraId="64DC50A3" w14:textId="77777777" w:rsidR="00643C20" w:rsidRPr="00826161" w:rsidRDefault="00643C20" w:rsidP="00643C20">
            <w:pPr>
              <w:jc w:val="center"/>
              <w:rPr>
                <w:rFonts w:ascii="Arial Narrow" w:hAnsi="Arial Narrow"/>
                <w:i/>
                <w:iCs/>
                <w:sz w:val="18"/>
                <w:szCs w:val="18"/>
              </w:rPr>
            </w:pPr>
          </w:p>
        </w:tc>
        <w:tc>
          <w:tcPr>
            <w:tcW w:w="997" w:type="dxa"/>
            <w:gridSpan w:val="2"/>
            <w:shd w:val="clear" w:color="auto" w:fill="D9D9D9"/>
            <w:vAlign w:val="bottom"/>
          </w:tcPr>
          <w:p w14:paraId="730E6E21" w14:textId="77777777" w:rsidR="00643C20" w:rsidRPr="00826161" w:rsidRDefault="00643C20" w:rsidP="00643C20">
            <w:pPr>
              <w:jc w:val="center"/>
              <w:rPr>
                <w:sz w:val="20"/>
                <w:szCs w:val="20"/>
              </w:rPr>
            </w:pPr>
          </w:p>
        </w:tc>
      </w:tr>
      <w:tr w:rsidR="00643C20" w:rsidRPr="008C0651" w14:paraId="351584CF" w14:textId="77777777" w:rsidTr="0075218A">
        <w:trPr>
          <w:trHeight w:val="255"/>
        </w:trPr>
        <w:tc>
          <w:tcPr>
            <w:tcW w:w="1348" w:type="dxa"/>
            <w:shd w:val="clear" w:color="auto" w:fill="auto"/>
            <w:noWrap/>
            <w:vAlign w:val="center"/>
          </w:tcPr>
          <w:p w14:paraId="2885A358" w14:textId="77777777" w:rsidR="00643C20" w:rsidRPr="00674C87" w:rsidRDefault="00643C20" w:rsidP="00643C20">
            <w:pPr>
              <w:spacing w:before="40" w:after="20"/>
              <w:rPr>
                <w:rFonts w:ascii="Arial Narrow" w:hAnsi="Arial Narrow"/>
                <w:sz w:val="18"/>
                <w:szCs w:val="18"/>
              </w:rPr>
            </w:pPr>
            <w:r w:rsidRPr="00674C87">
              <w:rPr>
                <w:rFonts w:ascii="Arial Narrow" w:hAnsi="Arial Narrow"/>
                <w:sz w:val="18"/>
                <w:szCs w:val="18"/>
              </w:rPr>
              <w:t>Volumi</w:t>
            </w:r>
          </w:p>
        </w:tc>
        <w:tc>
          <w:tcPr>
            <w:tcW w:w="709" w:type="dxa"/>
            <w:shd w:val="clear" w:color="auto" w:fill="D9D9D9"/>
            <w:vAlign w:val="bottom"/>
          </w:tcPr>
          <w:p w14:paraId="29D81D12" w14:textId="6706351D" w:rsidR="00643C20" w:rsidRDefault="00643C20" w:rsidP="00643C20">
            <w:pPr>
              <w:jc w:val="center"/>
              <w:rPr>
                <w:rFonts w:ascii="Arial Narrow" w:hAnsi="Arial Narrow"/>
                <w:i/>
                <w:iCs/>
                <w:sz w:val="18"/>
                <w:szCs w:val="18"/>
              </w:rPr>
            </w:pPr>
            <w:r>
              <w:rPr>
                <w:rFonts w:ascii="Arial Narrow" w:hAnsi="Arial Narrow"/>
                <w:i/>
                <w:iCs/>
                <w:sz w:val="18"/>
                <w:szCs w:val="18"/>
              </w:rPr>
              <w:t> </w:t>
            </w:r>
          </w:p>
        </w:tc>
        <w:tc>
          <w:tcPr>
            <w:tcW w:w="1130" w:type="dxa"/>
            <w:gridSpan w:val="2"/>
            <w:shd w:val="clear" w:color="auto" w:fill="D9D9D9"/>
            <w:noWrap/>
            <w:vAlign w:val="bottom"/>
          </w:tcPr>
          <w:p w14:paraId="62DFF48F" w14:textId="07A3780B" w:rsidR="00643C20" w:rsidRDefault="00643C20" w:rsidP="00643C20">
            <w:pPr>
              <w:jc w:val="center"/>
              <w:rPr>
                <w:rFonts w:ascii="Arial Narrow" w:hAnsi="Arial Narrow"/>
                <w:i/>
                <w:iCs/>
                <w:sz w:val="18"/>
                <w:szCs w:val="18"/>
              </w:rPr>
            </w:pPr>
            <w:r>
              <w:rPr>
                <w:rFonts w:ascii="Arial Narrow" w:hAnsi="Arial Narrow"/>
                <w:i/>
                <w:iCs/>
                <w:sz w:val="18"/>
                <w:szCs w:val="18"/>
              </w:rPr>
              <w:t> </w:t>
            </w:r>
          </w:p>
        </w:tc>
        <w:tc>
          <w:tcPr>
            <w:tcW w:w="629" w:type="dxa"/>
            <w:vAlign w:val="bottom"/>
          </w:tcPr>
          <w:p w14:paraId="44B5F48E" w14:textId="46FE0652" w:rsidR="00643C20" w:rsidRDefault="00643C20" w:rsidP="00643C20">
            <w:pPr>
              <w:jc w:val="center"/>
              <w:rPr>
                <w:rFonts w:ascii="Arial Narrow" w:hAnsi="Arial Narrow"/>
                <w:i/>
                <w:iCs/>
                <w:sz w:val="18"/>
                <w:szCs w:val="18"/>
              </w:rPr>
            </w:pPr>
            <w:r>
              <w:rPr>
                <w:rFonts w:ascii="Arial Narrow" w:hAnsi="Arial Narrow"/>
                <w:i/>
                <w:iCs/>
                <w:sz w:val="18"/>
                <w:szCs w:val="18"/>
              </w:rPr>
              <w:t>-2,7</w:t>
            </w:r>
          </w:p>
        </w:tc>
        <w:tc>
          <w:tcPr>
            <w:tcW w:w="1103" w:type="dxa"/>
            <w:gridSpan w:val="3"/>
            <w:shd w:val="clear" w:color="auto" w:fill="auto"/>
            <w:noWrap/>
            <w:vAlign w:val="bottom"/>
          </w:tcPr>
          <w:p w14:paraId="1373C6ED" w14:textId="6EB5B20A" w:rsidR="00643C20" w:rsidRDefault="00643C20" w:rsidP="00643C20">
            <w:pPr>
              <w:jc w:val="center"/>
              <w:rPr>
                <w:rFonts w:ascii="Arial Narrow" w:hAnsi="Arial Narrow"/>
                <w:i/>
                <w:iCs/>
                <w:sz w:val="18"/>
                <w:szCs w:val="18"/>
              </w:rPr>
            </w:pPr>
            <w:r>
              <w:rPr>
                <w:rFonts w:ascii="Arial Narrow" w:hAnsi="Arial Narrow"/>
                <w:i/>
                <w:iCs/>
                <w:sz w:val="18"/>
                <w:szCs w:val="18"/>
              </w:rPr>
              <w:t>+0,3</w:t>
            </w:r>
          </w:p>
        </w:tc>
        <w:tc>
          <w:tcPr>
            <w:tcW w:w="665" w:type="dxa"/>
            <w:shd w:val="clear" w:color="auto" w:fill="D9D9D9"/>
            <w:noWrap/>
            <w:vAlign w:val="bottom"/>
          </w:tcPr>
          <w:p w14:paraId="5BA335AE" w14:textId="737ADE36" w:rsidR="00643C20" w:rsidRDefault="00643C20" w:rsidP="00643C20">
            <w:pPr>
              <w:jc w:val="center"/>
              <w:rPr>
                <w:rFonts w:ascii="Arial Narrow" w:hAnsi="Arial Narrow"/>
                <w:sz w:val="18"/>
                <w:szCs w:val="18"/>
              </w:rPr>
            </w:pPr>
            <w:r>
              <w:rPr>
                <w:rFonts w:ascii="Arial Narrow" w:hAnsi="Arial Narrow"/>
                <w:sz w:val="18"/>
                <w:szCs w:val="18"/>
              </w:rPr>
              <w:t> </w:t>
            </w:r>
          </w:p>
        </w:tc>
        <w:tc>
          <w:tcPr>
            <w:tcW w:w="1226" w:type="dxa"/>
            <w:gridSpan w:val="2"/>
            <w:shd w:val="clear" w:color="auto" w:fill="D9D9D9"/>
            <w:vAlign w:val="bottom"/>
          </w:tcPr>
          <w:p w14:paraId="1F4F4E45" w14:textId="17DD04C2" w:rsidR="00643C20" w:rsidRDefault="00643C20" w:rsidP="00643C20">
            <w:pPr>
              <w:jc w:val="center"/>
              <w:rPr>
                <w:rFonts w:ascii="Arial Narrow" w:hAnsi="Arial Narrow"/>
                <w:sz w:val="18"/>
                <w:szCs w:val="18"/>
              </w:rPr>
            </w:pPr>
            <w:r>
              <w:rPr>
                <w:rFonts w:ascii="Arial Narrow" w:hAnsi="Arial Narrow"/>
                <w:sz w:val="18"/>
                <w:szCs w:val="18"/>
              </w:rPr>
              <w:t> </w:t>
            </w:r>
          </w:p>
        </w:tc>
        <w:tc>
          <w:tcPr>
            <w:tcW w:w="832" w:type="dxa"/>
            <w:gridSpan w:val="2"/>
            <w:shd w:val="clear" w:color="auto" w:fill="auto"/>
            <w:noWrap/>
            <w:vAlign w:val="bottom"/>
          </w:tcPr>
          <w:p w14:paraId="407A82C9" w14:textId="138D9AFE" w:rsidR="00643C20" w:rsidRDefault="00643C20" w:rsidP="00643C20">
            <w:pPr>
              <w:jc w:val="center"/>
              <w:rPr>
                <w:rFonts w:ascii="Arial Narrow" w:hAnsi="Arial Narrow"/>
                <w:i/>
                <w:iCs/>
                <w:sz w:val="18"/>
                <w:szCs w:val="18"/>
              </w:rPr>
            </w:pPr>
            <w:r>
              <w:rPr>
                <w:rFonts w:ascii="Arial Narrow" w:hAnsi="Arial Narrow"/>
                <w:i/>
                <w:iCs/>
                <w:sz w:val="18"/>
                <w:szCs w:val="18"/>
              </w:rPr>
              <w:t>+0,6</w:t>
            </w:r>
          </w:p>
        </w:tc>
        <w:tc>
          <w:tcPr>
            <w:tcW w:w="996" w:type="dxa"/>
            <w:gridSpan w:val="2"/>
            <w:shd w:val="clear" w:color="auto" w:fill="auto"/>
            <w:noWrap/>
            <w:vAlign w:val="bottom"/>
          </w:tcPr>
          <w:p w14:paraId="36F82B11" w14:textId="531599C5" w:rsidR="00643C20" w:rsidRDefault="00643C20" w:rsidP="00643C20">
            <w:pPr>
              <w:jc w:val="center"/>
              <w:rPr>
                <w:rFonts w:ascii="Arial Narrow" w:hAnsi="Arial Narrow"/>
                <w:i/>
                <w:iCs/>
                <w:sz w:val="18"/>
                <w:szCs w:val="18"/>
              </w:rPr>
            </w:pPr>
            <w:r>
              <w:rPr>
                <w:rFonts w:ascii="Arial Narrow" w:hAnsi="Arial Narrow"/>
                <w:i/>
                <w:iCs/>
                <w:sz w:val="18"/>
                <w:szCs w:val="18"/>
              </w:rPr>
              <w:t>+1,2</w:t>
            </w:r>
          </w:p>
        </w:tc>
        <w:tc>
          <w:tcPr>
            <w:tcW w:w="665" w:type="dxa"/>
            <w:shd w:val="clear" w:color="auto" w:fill="D9D9D9"/>
            <w:noWrap/>
            <w:vAlign w:val="bottom"/>
          </w:tcPr>
          <w:p w14:paraId="6999010B" w14:textId="1B900869" w:rsidR="00643C20" w:rsidRDefault="00643C20" w:rsidP="00643C20">
            <w:pPr>
              <w:jc w:val="center"/>
              <w:rPr>
                <w:rFonts w:ascii="Arial Narrow" w:hAnsi="Arial Narrow"/>
                <w:sz w:val="18"/>
                <w:szCs w:val="18"/>
              </w:rPr>
            </w:pPr>
            <w:r>
              <w:rPr>
                <w:rFonts w:ascii="Arial Narrow" w:hAnsi="Arial Narrow"/>
                <w:sz w:val="18"/>
                <w:szCs w:val="18"/>
              </w:rPr>
              <w:t> </w:t>
            </w:r>
          </w:p>
        </w:tc>
        <w:tc>
          <w:tcPr>
            <w:tcW w:w="997" w:type="dxa"/>
            <w:gridSpan w:val="2"/>
            <w:shd w:val="clear" w:color="auto" w:fill="D9D9D9"/>
            <w:vAlign w:val="bottom"/>
          </w:tcPr>
          <w:p w14:paraId="2DC9E2FB" w14:textId="1E3F0874" w:rsidR="00643C20" w:rsidRDefault="00643C20" w:rsidP="00643C20">
            <w:pPr>
              <w:jc w:val="center"/>
              <w:rPr>
                <w:rFonts w:ascii="Arial Narrow" w:hAnsi="Arial Narrow"/>
                <w:sz w:val="18"/>
                <w:szCs w:val="18"/>
              </w:rPr>
            </w:pPr>
            <w:r>
              <w:rPr>
                <w:rFonts w:ascii="Arial Narrow" w:hAnsi="Arial Narrow"/>
                <w:sz w:val="18"/>
                <w:szCs w:val="18"/>
              </w:rPr>
              <w:t> </w:t>
            </w:r>
          </w:p>
        </w:tc>
      </w:tr>
    </w:tbl>
    <w:p w14:paraId="6DC34355" w14:textId="2321C5EE" w:rsidR="00B77B33" w:rsidRDefault="00B77B33" w:rsidP="00AF23DD">
      <w:pPr>
        <w:pStyle w:val="Corpodeltesto1"/>
        <w:rPr>
          <w:rFonts w:ascii="Arial Narrow" w:hAnsi="Arial Narrow" w:cs="Arial"/>
          <w:bCs/>
          <w:color w:val="E42618"/>
          <w:kern w:val="28"/>
          <w:sz w:val="22"/>
          <w:szCs w:val="22"/>
        </w:rPr>
      </w:pPr>
    </w:p>
    <w:p w14:paraId="61B2F9A6" w14:textId="77777777" w:rsidR="0067206D" w:rsidRDefault="0067206D" w:rsidP="00AF23DD">
      <w:pPr>
        <w:pStyle w:val="Corpodeltesto1"/>
        <w:rPr>
          <w:rFonts w:ascii="Arial Narrow" w:hAnsi="Arial Narrow" w:cs="Arial"/>
          <w:bCs/>
          <w:color w:val="E42618"/>
          <w:kern w:val="28"/>
          <w:sz w:val="22"/>
          <w:szCs w:val="22"/>
        </w:rPr>
      </w:pPr>
    </w:p>
    <w:p w14:paraId="4BDFB4B0" w14:textId="0618500A" w:rsidR="00AF23DD" w:rsidRDefault="003C7722" w:rsidP="00AF23DD">
      <w:pPr>
        <w:pStyle w:val="Corpodeltesto1"/>
        <w:rPr>
          <w:rFonts w:ascii="Arial" w:hAnsi="Arial" w:cs="Arial"/>
          <w:sz w:val="17"/>
          <w:szCs w:val="17"/>
        </w:rPr>
      </w:pPr>
      <w:r w:rsidRPr="00831F78">
        <w:rPr>
          <w:rFonts w:ascii="Arial Narrow" w:hAnsi="Arial Narrow" w:cs="Arial"/>
          <w:bCs/>
          <w:color w:val="E42618"/>
          <w:kern w:val="28"/>
          <w:sz w:val="22"/>
          <w:szCs w:val="22"/>
        </w:rPr>
        <w:t xml:space="preserve">PROSPETTO </w:t>
      </w:r>
      <w:r w:rsidR="00831F78">
        <w:rPr>
          <w:rFonts w:ascii="Arial Narrow" w:hAnsi="Arial Narrow" w:cs="Arial"/>
          <w:bCs/>
          <w:color w:val="E42618"/>
          <w:kern w:val="28"/>
          <w:sz w:val="22"/>
          <w:szCs w:val="22"/>
        </w:rPr>
        <w:t>2</w:t>
      </w:r>
      <w:r w:rsidRPr="00831F78">
        <w:rPr>
          <w:rFonts w:ascii="Arial Narrow" w:hAnsi="Arial Narrow" w:cs="Arial"/>
          <w:bCs/>
          <w:color w:val="E42618"/>
          <w:kern w:val="28"/>
          <w:sz w:val="22"/>
          <w:szCs w:val="22"/>
        </w:rPr>
        <w:t xml:space="preserve">. </w:t>
      </w:r>
      <w:r w:rsidRPr="00831F78">
        <w:rPr>
          <w:rFonts w:ascii="Arial Narrow" w:hAnsi="Arial Narrow" w:cs="Arial"/>
          <w:bCs/>
          <w:color w:val="5F5F5F"/>
          <w:kern w:val="28"/>
          <w:sz w:val="22"/>
          <w:szCs w:val="22"/>
        </w:rPr>
        <w:t>ESPORTAZIONI, IMPORTAZIONI E SALDI DELLA BILANCIA COMMERCIALE SECONDO I RAGGRUPPAMENTI PRINCIPALI DI INDUSTRIE</w:t>
      </w:r>
      <w:r w:rsidRPr="00B37F7D">
        <w:rPr>
          <w:rFonts w:ascii="Arial" w:hAnsi="Arial" w:cs="Arial"/>
          <w:sz w:val="17"/>
          <w:szCs w:val="17"/>
        </w:rPr>
        <w:t xml:space="preserve"> </w:t>
      </w:r>
    </w:p>
    <w:p w14:paraId="6023A485" w14:textId="46BFC086" w:rsidR="00AF23DD" w:rsidRPr="00EE5993" w:rsidRDefault="00644975" w:rsidP="00AF23DD">
      <w:pPr>
        <w:spacing w:after="120"/>
        <w:rPr>
          <w:rFonts w:ascii="Arial Narrow" w:hAnsi="Arial Narrow" w:cs="Arial"/>
          <w:b/>
          <w:bCs/>
          <w:i/>
          <w:sz w:val="16"/>
          <w:szCs w:val="19"/>
        </w:rPr>
      </w:pPr>
      <w:r>
        <w:rPr>
          <w:rFonts w:ascii="Arial Narrow" w:hAnsi="Arial Narrow" w:cs="Arial"/>
          <w:color w:val="5F5F5F"/>
          <w:sz w:val="20"/>
        </w:rPr>
        <w:t>Ottobre</w:t>
      </w:r>
      <w:r w:rsidR="005F4885">
        <w:rPr>
          <w:rFonts w:ascii="Arial Narrow" w:hAnsi="Arial Narrow" w:cs="Arial"/>
          <w:color w:val="5F5F5F"/>
          <w:sz w:val="20"/>
        </w:rPr>
        <w:t xml:space="preserve"> </w:t>
      </w:r>
      <w:r w:rsidR="00470B67">
        <w:rPr>
          <w:rFonts w:ascii="Arial Narrow" w:hAnsi="Arial Narrow" w:cs="Arial"/>
          <w:color w:val="5F5F5F"/>
          <w:sz w:val="20"/>
        </w:rPr>
        <w:t>2022</w:t>
      </w:r>
      <w:r w:rsidR="003C7722" w:rsidRPr="00EE5993">
        <w:rPr>
          <w:rFonts w:ascii="Arial Narrow" w:hAnsi="Arial Narrow" w:cs="Arial"/>
          <w:color w:val="5F5F5F"/>
          <w:sz w:val="20"/>
        </w:rPr>
        <w:t xml:space="preserve">, variazioni percentuali </w:t>
      </w:r>
      <w:r w:rsidR="00516EEC" w:rsidRPr="00EE5993">
        <w:rPr>
          <w:rFonts w:ascii="Arial Narrow" w:hAnsi="Arial Narrow" w:cs="Arial"/>
          <w:color w:val="5F5F5F"/>
          <w:sz w:val="20"/>
        </w:rPr>
        <w:t xml:space="preserve">congiunturali e tendenziali </w:t>
      </w:r>
      <w:r w:rsidR="003C7722" w:rsidRPr="00EE5993">
        <w:rPr>
          <w:rFonts w:ascii="Arial Narrow" w:hAnsi="Arial Narrow" w:cs="Arial"/>
          <w:color w:val="5F5F5F"/>
          <w:sz w:val="20"/>
        </w:rPr>
        <w:t>e</w:t>
      </w:r>
      <w:r w:rsidR="003C7722" w:rsidRPr="00EE5993">
        <w:rPr>
          <w:rFonts w:ascii="Arial Narrow" w:hAnsi="Arial Narrow" w:cs="Arial"/>
          <w:b/>
          <w:color w:val="5F5F5F"/>
          <w:sz w:val="20"/>
        </w:rPr>
        <w:t xml:space="preserve"> </w:t>
      </w:r>
      <w:r w:rsidR="00AF23DD" w:rsidRPr="00EE5993">
        <w:rPr>
          <w:rFonts w:ascii="Arial Narrow" w:hAnsi="Arial Narrow" w:cs="Arial"/>
          <w:color w:val="5F5F5F"/>
          <w:sz w:val="20"/>
        </w:rPr>
        <w:t>saldi in milioni di euro</w:t>
      </w:r>
    </w:p>
    <w:tbl>
      <w:tblPr>
        <w:tblW w:w="10235" w:type="dxa"/>
        <w:tblInd w:w="70" w:type="dxa"/>
        <w:tblLayout w:type="fixed"/>
        <w:tblCellMar>
          <w:left w:w="70" w:type="dxa"/>
          <w:right w:w="70" w:type="dxa"/>
        </w:tblCellMar>
        <w:tblLook w:val="04A0" w:firstRow="1" w:lastRow="0" w:firstColumn="1" w:lastColumn="0" w:noHBand="0" w:noVBand="1"/>
      </w:tblPr>
      <w:tblGrid>
        <w:gridCol w:w="1587"/>
        <w:gridCol w:w="665"/>
        <w:gridCol w:w="1108"/>
        <w:gridCol w:w="685"/>
        <w:gridCol w:w="1017"/>
        <w:gridCol w:w="708"/>
        <w:gridCol w:w="1134"/>
        <w:gridCol w:w="654"/>
        <w:gridCol w:w="984"/>
        <w:gridCol w:w="709"/>
        <w:gridCol w:w="984"/>
      </w:tblGrid>
      <w:tr w:rsidR="0075218A" w:rsidRPr="00831F78" w14:paraId="26CF1AA9" w14:textId="77777777" w:rsidTr="0075218A">
        <w:trPr>
          <w:trHeight w:val="255"/>
        </w:trPr>
        <w:tc>
          <w:tcPr>
            <w:tcW w:w="1587" w:type="dxa"/>
            <w:vMerge w:val="restart"/>
            <w:tcBorders>
              <w:top w:val="single" w:sz="4" w:space="0" w:color="auto"/>
              <w:left w:val="nil"/>
              <w:bottom w:val="single" w:sz="4" w:space="0" w:color="000000"/>
              <w:right w:val="nil"/>
            </w:tcBorders>
            <w:shd w:val="clear" w:color="auto" w:fill="auto"/>
            <w:vAlign w:val="center"/>
          </w:tcPr>
          <w:p w14:paraId="04D4E2BB" w14:textId="77777777" w:rsidR="0075218A" w:rsidRPr="00831F78" w:rsidRDefault="0075218A" w:rsidP="0075218A">
            <w:pPr>
              <w:spacing w:before="40" w:after="20"/>
              <w:rPr>
                <w:rFonts w:ascii="Arial Narrow" w:hAnsi="Arial Narrow"/>
                <w:b/>
                <w:sz w:val="18"/>
                <w:szCs w:val="18"/>
              </w:rPr>
            </w:pPr>
            <w:r w:rsidRPr="000A4139">
              <w:rPr>
                <w:rFonts w:ascii="Arial Narrow" w:hAnsi="Arial Narrow"/>
                <w:b/>
                <w:sz w:val="18"/>
                <w:szCs w:val="18"/>
              </w:rPr>
              <w:t xml:space="preserve">RAGGRUPPAMENTI PRINCIPALI </w:t>
            </w:r>
            <w:r w:rsidRPr="000A4139">
              <w:rPr>
                <w:rFonts w:ascii="Arial Narrow" w:hAnsi="Arial Narrow"/>
                <w:b/>
                <w:sz w:val="18"/>
                <w:szCs w:val="18"/>
              </w:rPr>
              <w:br/>
              <w:t>DI INDUSTRIE</w:t>
            </w:r>
          </w:p>
        </w:tc>
        <w:tc>
          <w:tcPr>
            <w:tcW w:w="3475" w:type="dxa"/>
            <w:gridSpan w:val="4"/>
            <w:tcBorders>
              <w:top w:val="single" w:sz="4" w:space="0" w:color="auto"/>
              <w:left w:val="nil"/>
              <w:bottom w:val="single" w:sz="4" w:space="0" w:color="auto"/>
              <w:right w:val="nil"/>
            </w:tcBorders>
            <w:shd w:val="clear" w:color="auto" w:fill="D9D9D9"/>
            <w:vAlign w:val="center"/>
          </w:tcPr>
          <w:p w14:paraId="760ACFCF" w14:textId="77777777" w:rsidR="0075218A" w:rsidRPr="00831F78" w:rsidRDefault="0075218A" w:rsidP="0075218A">
            <w:pPr>
              <w:spacing w:before="40" w:after="20"/>
              <w:jc w:val="center"/>
              <w:rPr>
                <w:rFonts w:ascii="Arial Narrow" w:hAnsi="Arial Narrow"/>
                <w:sz w:val="18"/>
                <w:szCs w:val="18"/>
              </w:rPr>
            </w:pPr>
            <w:r w:rsidRPr="00831F78">
              <w:rPr>
                <w:rFonts w:ascii="Arial Narrow" w:hAnsi="Arial Narrow" w:cs="Arial"/>
                <w:b/>
                <w:sz w:val="18"/>
                <w:szCs w:val="18"/>
              </w:rPr>
              <w:t>ESPORTAZIONI</w:t>
            </w:r>
          </w:p>
        </w:tc>
        <w:tc>
          <w:tcPr>
            <w:tcW w:w="3480" w:type="dxa"/>
            <w:gridSpan w:val="4"/>
            <w:tcBorders>
              <w:top w:val="single" w:sz="4" w:space="0" w:color="auto"/>
              <w:left w:val="nil"/>
              <w:bottom w:val="single" w:sz="4" w:space="0" w:color="auto"/>
              <w:right w:val="nil"/>
            </w:tcBorders>
            <w:shd w:val="clear" w:color="auto" w:fill="auto"/>
            <w:vAlign w:val="center"/>
          </w:tcPr>
          <w:p w14:paraId="17D33B07" w14:textId="77777777" w:rsidR="0075218A" w:rsidRPr="00831F78" w:rsidRDefault="0075218A" w:rsidP="0075218A">
            <w:pPr>
              <w:spacing w:before="40" w:after="20"/>
              <w:jc w:val="center"/>
              <w:rPr>
                <w:rFonts w:ascii="Arial Narrow" w:hAnsi="Arial Narrow" w:cs="Arial"/>
                <w:sz w:val="18"/>
                <w:szCs w:val="18"/>
              </w:rPr>
            </w:pPr>
            <w:r w:rsidRPr="00831F78">
              <w:rPr>
                <w:rFonts w:ascii="Arial Narrow" w:hAnsi="Arial Narrow" w:cs="Arial"/>
                <w:b/>
                <w:sz w:val="18"/>
                <w:szCs w:val="18"/>
              </w:rPr>
              <w:t>IMPORTAZIONI</w:t>
            </w:r>
          </w:p>
        </w:tc>
        <w:tc>
          <w:tcPr>
            <w:tcW w:w="1693" w:type="dxa"/>
            <w:gridSpan w:val="2"/>
            <w:vMerge w:val="restart"/>
            <w:tcBorders>
              <w:top w:val="single" w:sz="4" w:space="0" w:color="auto"/>
              <w:left w:val="nil"/>
              <w:right w:val="nil"/>
            </w:tcBorders>
            <w:shd w:val="clear" w:color="auto" w:fill="D9D9D9"/>
            <w:vAlign w:val="center"/>
          </w:tcPr>
          <w:p w14:paraId="1D8C34B7" w14:textId="77777777" w:rsidR="0075218A" w:rsidRPr="00831F78" w:rsidRDefault="0075218A" w:rsidP="0075218A">
            <w:pPr>
              <w:spacing w:before="40" w:after="20"/>
              <w:jc w:val="center"/>
              <w:rPr>
                <w:rFonts w:ascii="Arial Narrow" w:hAnsi="Arial Narrow" w:cs="Arial"/>
                <w:b/>
                <w:sz w:val="18"/>
                <w:szCs w:val="18"/>
              </w:rPr>
            </w:pPr>
            <w:r w:rsidRPr="00831F78">
              <w:rPr>
                <w:rFonts w:ascii="Arial Narrow" w:hAnsi="Arial Narrow" w:cs="Arial"/>
                <w:b/>
                <w:sz w:val="18"/>
                <w:szCs w:val="18"/>
              </w:rPr>
              <w:t>SALDI</w:t>
            </w:r>
          </w:p>
        </w:tc>
      </w:tr>
      <w:tr w:rsidR="0075218A" w:rsidRPr="00831F78" w14:paraId="3A3C6E18" w14:textId="77777777" w:rsidTr="0075218A">
        <w:trPr>
          <w:trHeight w:val="255"/>
        </w:trPr>
        <w:tc>
          <w:tcPr>
            <w:tcW w:w="1587" w:type="dxa"/>
            <w:vMerge/>
            <w:tcBorders>
              <w:top w:val="single" w:sz="4" w:space="0" w:color="auto"/>
              <w:left w:val="nil"/>
              <w:bottom w:val="single" w:sz="4" w:space="0" w:color="000000"/>
              <w:right w:val="nil"/>
            </w:tcBorders>
            <w:vAlign w:val="center"/>
          </w:tcPr>
          <w:p w14:paraId="723E987D" w14:textId="77777777" w:rsidR="0075218A" w:rsidRPr="00831F78" w:rsidRDefault="0075218A" w:rsidP="0075218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auto"/>
            <w:vAlign w:val="center"/>
          </w:tcPr>
          <w:p w14:paraId="666CDE1B" w14:textId="77777777" w:rsidR="0075218A" w:rsidRPr="003C7722" w:rsidRDefault="0075218A"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702" w:type="dxa"/>
            <w:gridSpan w:val="2"/>
            <w:tcBorders>
              <w:top w:val="single" w:sz="4" w:space="0" w:color="auto"/>
              <w:left w:val="nil"/>
              <w:bottom w:val="single" w:sz="4" w:space="0" w:color="auto"/>
              <w:right w:val="nil"/>
            </w:tcBorders>
            <w:shd w:val="clear" w:color="auto" w:fill="auto"/>
            <w:vAlign w:val="center"/>
          </w:tcPr>
          <w:p w14:paraId="7991A4D2" w14:textId="77777777" w:rsidR="0075218A" w:rsidRDefault="0075218A"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636D0585" w14:textId="77777777" w:rsidR="0075218A" w:rsidRPr="003C7722" w:rsidRDefault="0075218A" w:rsidP="0075218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842" w:type="dxa"/>
            <w:gridSpan w:val="2"/>
            <w:tcBorders>
              <w:top w:val="single" w:sz="4" w:space="0" w:color="auto"/>
              <w:left w:val="nil"/>
              <w:bottom w:val="single" w:sz="4" w:space="0" w:color="auto"/>
              <w:right w:val="nil"/>
            </w:tcBorders>
            <w:shd w:val="clear" w:color="auto" w:fill="auto"/>
            <w:vAlign w:val="center"/>
          </w:tcPr>
          <w:p w14:paraId="6879BB9F" w14:textId="77777777" w:rsidR="0075218A" w:rsidRPr="003C7722" w:rsidRDefault="0075218A" w:rsidP="0075218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638" w:type="dxa"/>
            <w:gridSpan w:val="2"/>
            <w:tcBorders>
              <w:top w:val="single" w:sz="4" w:space="0" w:color="auto"/>
              <w:left w:val="nil"/>
              <w:bottom w:val="single" w:sz="4" w:space="0" w:color="auto"/>
              <w:right w:val="nil"/>
            </w:tcBorders>
            <w:shd w:val="clear" w:color="auto" w:fill="auto"/>
            <w:vAlign w:val="center"/>
          </w:tcPr>
          <w:p w14:paraId="211FA9B7" w14:textId="77777777" w:rsidR="0075218A" w:rsidRDefault="0075218A" w:rsidP="0075218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56BE9AFC" w14:textId="77777777" w:rsidR="0075218A" w:rsidRPr="003C7722" w:rsidRDefault="0075218A" w:rsidP="0075218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693" w:type="dxa"/>
            <w:gridSpan w:val="2"/>
            <w:vMerge/>
            <w:tcBorders>
              <w:left w:val="nil"/>
              <w:bottom w:val="single" w:sz="4" w:space="0" w:color="auto"/>
              <w:right w:val="nil"/>
            </w:tcBorders>
            <w:shd w:val="clear" w:color="auto" w:fill="D9D9D9"/>
            <w:vAlign w:val="center"/>
          </w:tcPr>
          <w:p w14:paraId="694C96A7" w14:textId="77777777" w:rsidR="0075218A" w:rsidRPr="00831F78" w:rsidRDefault="0075218A" w:rsidP="0075218A">
            <w:pPr>
              <w:spacing w:before="40" w:after="20"/>
              <w:jc w:val="center"/>
              <w:rPr>
                <w:rFonts w:ascii="Arial Narrow" w:hAnsi="Arial Narrow"/>
                <w:b/>
                <w:sz w:val="18"/>
                <w:szCs w:val="18"/>
              </w:rPr>
            </w:pPr>
          </w:p>
        </w:tc>
      </w:tr>
      <w:tr w:rsidR="0075218A" w:rsidRPr="00831F78" w14:paraId="626C9A21" w14:textId="77777777" w:rsidTr="0075218A">
        <w:trPr>
          <w:trHeight w:val="255"/>
        </w:trPr>
        <w:tc>
          <w:tcPr>
            <w:tcW w:w="1587" w:type="dxa"/>
            <w:vMerge/>
            <w:tcBorders>
              <w:top w:val="single" w:sz="4" w:space="0" w:color="auto"/>
              <w:left w:val="nil"/>
              <w:bottom w:val="single" w:sz="4" w:space="0" w:color="000000"/>
              <w:right w:val="nil"/>
            </w:tcBorders>
            <w:vAlign w:val="center"/>
          </w:tcPr>
          <w:p w14:paraId="3B585800" w14:textId="77777777" w:rsidR="0075218A" w:rsidRPr="00831F78" w:rsidRDefault="0075218A" w:rsidP="0075218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D9D9D9"/>
            <w:vAlign w:val="center"/>
          </w:tcPr>
          <w:p w14:paraId="4734C434"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702" w:type="dxa"/>
            <w:gridSpan w:val="2"/>
            <w:tcBorders>
              <w:top w:val="single" w:sz="4" w:space="0" w:color="auto"/>
              <w:left w:val="nil"/>
              <w:bottom w:val="single" w:sz="4" w:space="0" w:color="auto"/>
              <w:right w:val="nil"/>
            </w:tcBorders>
            <w:shd w:val="clear" w:color="auto" w:fill="auto"/>
            <w:vAlign w:val="center"/>
          </w:tcPr>
          <w:p w14:paraId="4E57CE50"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tc>
        <w:tc>
          <w:tcPr>
            <w:tcW w:w="1842" w:type="dxa"/>
            <w:gridSpan w:val="2"/>
            <w:tcBorders>
              <w:top w:val="single" w:sz="4" w:space="0" w:color="auto"/>
              <w:left w:val="nil"/>
              <w:bottom w:val="single" w:sz="4" w:space="0" w:color="auto"/>
              <w:right w:val="nil"/>
            </w:tcBorders>
            <w:shd w:val="clear" w:color="auto" w:fill="D9D9D9"/>
            <w:vAlign w:val="center"/>
          </w:tcPr>
          <w:p w14:paraId="1992C196"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638" w:type="dxa"/>
            <w:gridSpan w:val="2"/>
            <w:tcBorders>
              <w:top w:val="single" w:sz="4" w:space="0" w:color="auto"/>
              <w:left w:val="nil"/>
              <w:bottom w:val="single" w:sz="4" w:space="0" w:color="auto"/>
              <w:right w:val="nil"/>
            </w:tcBorders>
            <w:shd w:val="clear" w:color="auto" w:fill="auto"/>
            <w:vAlign w:val="center"/>
          </w:tcPr>
          <w:p w14:paraId="2E1947E6"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tc>
        <w:tc>
          <w:tcPr>
            <w:tcW w:w="1693" w:type="dxa"/>
            <w:gridSpan w:val="2"/>
            <w:tcBorders>
              <w:top w:val="single" w:sz="4" w:space="0" w:color="auto"/>
              <w:left w:val="nil"/>
              <w:bottom w:val="single" w:sz="4" w:space="0" w:color="auto"/>
              <w:right w:val="nil"/>
            </w:tcBorders>
            <w:shd w:val="clear" w:color="auto" w:fill="D9D9D9"/>
            <w:vAlign w:val="center"/>
          </w:tcPr>
          <w:p w14:paraId="1AE80312"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Dati grezzi</w:t>
            </w:r>
          </w:p>
          <w:p w14:paraId="51CA8C13" w14:textId="77777777" w:rsidR="0075218A" w:rsidRPr="00626CC5" w:rsidRDefault="0075218A" w:rsidP="0075218A">
            <w:pPr>
              <w:spacing w:before="40" w:after="20"/>
              <w:jc w:val="center"/>
              <w:rPr>
                <w:rFonts w:ascii="Arial Narrow" w:hAnsi="Arial Narrow"/>
                <w:sz w:val="18"/>
                <w:szCs w:val="18"/>
              </w:rPr>
            </w:pPr>
            <w:r w:rsidRPr="00626CC5">
              <w:rPr>
                <w:rFonts w:ascii="Arial Narrow" w:hAnsi="Arial Narrow"/>
                <w:sz w:val="18"/>
                <w:szCs w:val="18"/>
              </w:rPr>
              <w:t>Milioni di euro</w:t>
            </w:r>
          </w:p>
        </w:tc>
      </w:tr>
      <w:tr w:rsidR="00644975" w:rsidRPr="00831F78" w14:paraId="1643CD66" w14:textId="77777777" w:rsidTr="0075218A">
        <w:trPr>
          <w:trHeight w:val="255"/>
        </w:trPr>
        <w:tc>
          <w:tcPr>
            <w:tcW w:w="1587" w:type="dxa"/>
            <w:vMerge/>
            <w:tcBorders>
              <w:top w:val="single" w:sz="4" w:space="0" w:color="auto"/>
              <w:left w:val="nil"/>
              <w:bottom w:val="single" w:sz="4" w:space="0" w:color="000000"/>
              <w:right w:val="nil"/>
            </w:tcBorders>
            <w:vAlign w:val="center"/>
          </w:tcPr>
          <w:p w14:paraId="7B61CD09" w14:textId="77777777" w:rsidR="00644975" w:rsidRPr="00831F78" w:rsidRDefault="00644975" w:rsidP="00644975">
            <w:pPr>
              <w:spacing w:before="40" w:after="20"/>
              <w:rPr>
                <w:rFonts w:ascii="Arial Narrow" w:hAnsi="Arial Narrow"/>
                <w:sz w:val="18"/>
                <w:szCs w:val="18"/>
              </w:rPr>
            </w:pPr>
          </w:p>
        </w:tc>
        <w:tc>
          <w:tcPr>
            <w:tcW w:w="665" w:type="dxa"/>
            <w:tcBorders>
              <w:top w:val="nil"/>
              <w:left w:val="nil"/>
              <w:right w:val="nil"/>
            </w:tcBorders>
            <w:shd w:val="clear" w:color="auto" w:fill="auto"/>
            <w:vAlign w:val="center"/>
          </w:tcPr>
          <w:p w14:paraId="08156F94"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15BA1436" w14:textId="39663C69"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set 22</w:t>
            </w:r>
          </w:p>
        </w:tc>
        <w:tc>
          <w:tcPr>
            <w:tcW w:w="1108" w:type="dxa"/>
            <w:tcBorders>
              <w:top w:val="nil"/>
              <w:left w:val="nil"/>
              <w:right w:val="nil"/>
            </w:tcBorders>
            <w:shd w:val="clear" w:color="auto" w:fill="auto"/>
            <w:vAlign w:val="center"/>
          </w:tcPr>
          <w:p w14:paraId="7FE26DA2"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ago-ott 22</w:t>
            </w:r>
          </w:p>
          <w:p w14:paraId="62D4A671" w14:textId="2C94D6EA"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mag-lug 22</w:t>
            </w:r>
          </w:p>
        </w:tc>
        <w:tc>
          <w:tcPr>
            <w:tcW w:w="685" w:type="dxa"/>
            <w:tcBorders>
              <w:top w:val="nil"/>
              <w:left w:val="nil"/>
              <w:right w:val="nil"/>
            </w:tcBorders>
            <w:shd w:val="clear" w:color="auto" w:fill="auto"/>
            <w:noWrap/>
            <w:vAlign w:val="center"/>
          </w:tcPr>
          <w:p w14:paraId="23093714"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552058E0" w14:textId="3392BD07"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017" w:type="dxa"/>
            <w:tcBorders>
              <w:top w:val="nil"/>
              <w:left w:val="nil"/>
              <w:right w:val="nil"/>
            </w:tcBorders>
            <w:shd w:val="clear" w:color="auto" w:fill="auto"/>
            <w:noWrap/>
            <w:vAlign w:val="center"/>
          </w:tcPr>
          <w:p w14:paraId="55229EBF"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3E8742C6" w14:textId="2C30F9AD"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708" w:type="dxa"/>
            <w:tcBorders>
              <w:top w:val="nil"/>
              <w:left w:val="nil"/>
              <w:right w:val="nil"/>
            </w:tcBorders>
            <w:shd w:val="clear" w:color="auto" w:fill="auto"/>
            <w:vAlign w:val="center"/>
          </w:tcPr>
          <w:p w14:paraId="5A5FA6D1"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79EE89C1" w14:textId="228F7F76"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set 22</w:t>
            </w:r>
          </w:p>
        </w:tc>
        <w:tc>
          <w:tcPr>
            <w:tcW w:w="1134" w:type="dxa"/>
            <w:tcBorders>
              <w:top w:val="nil"/>
              <w:left w:val="nil"/>
              <w:right w:val="nil"/>
            </w:tcBorders>
            <w:shd w:val="clear" w:color="auto" w:fill="auto"/>
            <w:vAlign w:val="center"/>
          </w:tcPr>
          <w:p w14:paraId="4F844B74"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ago-ott 22</w:t>
            </w:r>
          </w:p>
          <w:p w14:paraId="40180A31" w14:textId="214F8BEA"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mag-lug 22</w:t>
            </w:r>
          </w:p>
        </w:tc>
        <w:tc>
          <w:tcPr>
            <w:tcW w:w="654" w:type="dxa"/>
            <w:tcBorders>
              <w:top w:val="nil"/>
              <w:left w:val="nil"/>
              <w:right w:val="nil"/>
            </w:tcBorders>
            <w:shd w:val="clear" w:color="auto" w:fill="auto"/>
            <w:noWrap/>
            <w:vAlign w:val="center"/>
          </w:tcPr>
          <w:p w14:paraId="2D75E63D"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7808F780" w14:textId="1F0E8854"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984" w:type="dxa"/>
            <w:tcBorders>
              <w:top w:val="nil"/>
              <w:left w:val="nil"/>
              <w:right w:val="nil"/>
            </w:tcBorders>
            <w:shd w:val="clear" w:color="auto" w:fill="auto"/>
            <w:noWrap/>
            <w:vAlign w:val="center"/>
          </w:tcPr>
          <w:p w14:paraId="4E22343B" w14:textId="77777777" w:rsidR="00644975" w:rsidRPr="0069402A" w:rsidRDefault="00644975" w:rsidP="00644975">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5F401C1B" w14:textId="113A9DAB"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709" w:type="dxa"/>
            <w:tcBorders>
              <w:top w:val="single" w:sz="4" w:space="0" w:color="auto"/>
              <w:left w:val="nil"/>
              <w:right w:val="nil"/>
            </w:tcBorders>
            <w:shd w:val="clear" w:color="auto" w:fill="auto"/>
            <w:vAlign w:val="center"/>
          </w:tcPr>
          <w:p w14:paraId="39832C3F" w14:textId="1910C297"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ott 22</w:t>
            </w:r>
          </w:p>
        </w:tc>
        <w:tc>
          <w:tcPr>
            <w:tcW w:w="984" w:type="dxa"/>
            <w:tcBorders>
              <w:top w:val="single" w:sz="4" w:space="0" w:color="auto"/>
              <w:left w:val="nil"/>
              <w:right w:val="nil"/>
            </w:tcBorders>
            <w:shd w:val="clear" w:color="auto" w:fill="auto"/>
            <w:vAlign w:val="center"/>
          </w:tcPr>
          <w:p w14:paraId="78455110" w14:textId="0555902D" w:rsidR="00644975" w:rsidRPr="003C7722" w:rsidRDefault="00644975" w:rsidP="00644975">
            <w:pPr>
              <w:spacing w:before="40" w:after="20"/>
              <w:jc w:val="center"/>
              <w:rPr>
                <w:rFonts w:ascii="Arial Narrow" w:hAnsi="Arial Narrow"/>
                <w:sz w:val="18"/>
                <w:szCs w:val="18"/>
                <w:lang w:val="en-US"/>
              </w:rPr>
            </w:pPr>
            <w:r>
              <w:rPr>
                <w:rFonts w:ascii="Arial Narrow" w:hAnsi="Arial Narrow"/>
                <w:sz w:val="18"/>
                <w:szCs w:val="18"/>
                <w:lang w:val="en-US"/>
              </w:rPr>
              <w:t>gen-ott 22</w:t>
            </w:r>
          </w:p>
        </w:tc>
      </w:tr>
      <w:tr w:rsidR="00643C20" w:rsidRPr="008C0651" w14:paraId="736716A8" w14:textId="77777777" w:rsidTr="00643C20">
        <w:trPr>
          <w:trHeight w:val="255"/>
        </w:trPr>
        <w:tc>
          <w:tcPr>
            <w:tcW w:w="1587" w:type="dxa"/>
            <w:tcBorders>
              <w:top w:val="single" w:sz="4" w:space="0" w:color="auto"/>
              <w:left w:val="nil"/>
              <w:bottom w:val="single" w:sz="4" w:space="0" w:color="auto"/>
              <w:right w:val="nil"/>
            </w:tcBorders>
            <w:shd w:val="clear" w:color="auto" w:fill="auto"/>
            <w:vAlign w:val="bottom"/>
          </w:tcPr>
          <w:p w14:paraId="422B7BD3" w14:textId="77777777" w:rsidR="00643C20" w:rsidRPr="00831F78" w:rsidRDefault="00643C20" w:rsidP="00643C20">
            <w:pPr>
              <w:spacing w:before="40" w:after="20"/>
              <w:rPr>
                <w:rFonts w:ascii="Arial Narrow" w:hAnsi="Arial Narrow"/>
                <w:sz w:val="18"/>
                <w:szCs w:val="18"/>
              </w:rPr>
            </w:pPr>
            <w:r w:rsidRPr="00831F78">
              <w:rPr>
                <w:rFonts w:ascii="Arial Narrow" w:hAnsi="Arial Narrow"/>
                <w:sz w:val="18"/>
                <w:szCs w:val="18"/>
              </w:rPr>
              <w:t>Beni di consumo</w:t>
            </w:r>
          </w:p>
        </w:tc>
        <w:tc>
          <w:tcPr>
            <w:tcW w:w="665" w:type="dxa"/>
            <w:tcBorders>
              <w:top w:val="single" w:sz="4" w:space="0" w:color="auto"/>
              <w:left w:val="nil"/>
              <w:bottom w:val="single" w:sz="4" w:space="0" w:color="auto"/>
              <w:right w:val="nil"/>
            </w:tcBorders>
            <w:shd w:val="clear" w:color="auto" w:fill="D9D9D9"/>
            <w:noWrap/>
            <w:vAlign w:val="center"/>
          </w:tcPr>
          <w:p w14:paraId="193A2938" w14:textId="4A9EE498" w:rsidR="00643C20" w:rsidRDefault="00643C20" w:rsidP="00643C20">
            <w:pPr>
              <w:jc w:val="center"/>
              <w:rPr>
                <w:rFonts w:ascii="Arial Narrow" w:hAnsi="Arial Narrow"/>
                <w:sz w:val="18"/>
                <w:szCs w:val="18"/>
              </w:rPr>
            </w:pPr>
            <w:r>
              <w:rPr>
                <w:rFonts w:ascii="Arial Narrow" w:hAnsi="Arial Narrow"/>
                <w:sz w:val="18"/>
                <w:szCs w:val="18"/>
              </w:rPr>
              <w:t>-1,5</w:t>
            </w:r>
          </w:p>
        </w:tc>
        <w:tc>
          <w:tcPr>
            <w:tcW w:w="1108" w:type="dxa"/>
            <w:tcBorders>
              <w:top w:val="single" w:sz="4" w:space="0" w:color="auto"/>
              <w:left w:val="nil"/>
              <w:bottom w:val="single" w:sz="4" w:space="0" w:color="auto"/>
              <w:right w:val="nil"/>
            </w:tcBorders>
            <w:shd w:val="clear" w:color="auto" w:fill="D9D9D9"/>
            <w:noWrap/>
            <w:vAlign w:val="center"/>
          </w:tcPr>
          <w:p w14:paraId="674BFB78" w14:textId="41B6953A" w:rsidR="00643C20" w:rsidRDefault="00643C20" w:rsidP="00643C20">
            <w:pPr>
              <w:jc w:val="center"/>
              <w:rPr>
                <w:rFonts w:ascii="Arial Narrow" w:hAnsi="Arial Narrow"/>
                <w:sz w:val="18"/>
                <w:szCs w:val="18"/>
              </w:rPr>
            </w:pPr>
            <w:r>
              <w:rPr>
                <w:rFonts w:ascii="Arial Narrow" w:hAnsi="Arial Narrow"/>
                <w:sz w:val="18"/>
                <w:szCs w:val="18"/>
              </w:rPr>
              <w:t>+0,9</w:t>
            </w:r>
          </w:p>
        </w:tc>
        <w:tc>
          <w:tcPr>
            <w:tcW w:w="685" w:type="dxa"/>
            <w:tcBorders>
              <w:top w:val="single" w:sz="4" w:space="0" w:color="auto"/>
              <w:left w:val="nil"/>
              <w:bottom w:val="single" w:sz="4" w:space="0" w:color="auto"/>
              <w:right w:val="nil"/>
            </w:tcBorders>
            <w:shd w:val="clear" w:color="auto" w:fill="auto"/>
            <w:noWrap/>
            <w:vAlign w:val="center"/>
          </w:tcPr>
          <w:p w14:paraId="68FB1849" w14:textId="315CB807" w:rsidR="00643C20" w:rsidRDefault="00643C20" w:rsidP="00643C20">
            <w:pPr>
              <w:jc w:val="center"/>
              <w:rPr>
                <w:rFonts w:ascii="Arial Narrow" w:hAnsi="Arial Narrow"/>
                <w:sz w:val="18"/>
                <w:szCs w:val="18"/>
              </w:rPr>
            </w:pPr>
            <w:r>
              <w:rPr>
                <w:rFonts w:ascii="Arial Narrow" w:hAnsi="Arial Narrow"/>
                <w:sz w:val="18"/>
                <w:szCs w:val="18"/>
              </w:rPr>
              <w:t>+15,1</w:t>
            </w:r>
          </w:p>
        </w:tc>
        <w:tc>
          <w:tcPr>
            <w:tcW w:w="1017" w:type="dxa"/>
            <w:tcBorders>
              <w:top w:val="single" w:sz="4" w:space="0" w:color="auto"/>
              <w:left w:val="nil"/>
              <w:bottom w:val="single" w:sz="4" w:space="0" w:color="auto"/>
              <w:right w:val="nil"/>
            </w:tcBorders>
            <w:shd w:val="clear" w:color="auto" w:fill="auto"/>
            <w:noWrap/>
            <w:vAlign w:val="center"/>
          </w:tcPr>
          <w:p w14:paraId="03DFA5BB" w14:textId="7BFF1222" w:rsidR="00643C20" w:rsidRDefault="00643C20" w:rsidP="00643C20">
            <w:pPr>
              <w:jc w:val="center"/>
              <w:rPr>
                <w:rFonts w:ascii="Arial Narrow" w:hAnsi="Arial Narrow"/>
                <w:sz w:val="18"/>
                <w:szCs w:val="18"/>
              </w:rPr>
            </w:pPr>
            <w:r>
              <w:rPr>
                <w:rFonts w:ascii="Arial Narrow" w:hAnsi="Arial Narrow"/>
                <w:sz w:val="18"/>
                <w:szCs w:val="18"/>
              </w:rPr>
              <w:t>+21,1</w:t>
            </w:r>
          </w:p>
        </w:tc>
        <w:tc>
          <w:tcPr>
            <w:tcW w:w="708" w:type="dxa"/>
            <w:tcBorders>
              <w:top w:val="single" w:sz="4" w:space="0" w:color="auto"/>
              <w:left w:val="nil"/>
              <w:bottom w:val="single" w:sz="4" w:space="0" w:color="auto"/>
              <w:right w:val="nil"/>
            </w:tcBorders>
            <w:shd w:val="clear" w:color="auto" w:fill="D9D9D9"/>
            <w:noWrap/>
            <w:vAlign w:val="center"/>
          </w:tcPr>
          <w:p w14:paraId="35E5980E" w14:textId="40FA4274" w:rsidR="00643C20" w:rsidRDefault="00643C20" w:rsidP="00643C20">
            <w:pPr>
              <w:jc w:val="center"/>
              <w:rPr>
                <w:rFonts w:ascii="Arial Narrow" w:hAnsi="Arial Narrow"/>
                <w:sz w:val="18"/>
                <w:szCs w:val="18"/>
              </w:rPr>
            </w:pPr>
            <w:r>
              <w:rPr>
                <w:rFonts w:ascii="Arial Narrow" w:hAnsi="Arial Narrow"/>
                <w:sz w:val="18"/>
                <w:szCs w:val="18"/>
              </w:rPr>
              <w:t>+0,6</w:t>
            </w:r>
          </w:p>
        </w:tc>
        <w:tc>
          <w:tcPr>
            <w:tcW w:w="1134" w:type="dxa"/>
            <w:tcBorders>
              <w:top w:val="single" w:sz="4" w:space="0" w:color="auto"/>
              <w:left w:val="nil"/>
              <w:bottom w:val="single" w:sz="4" w:space="0" w:color="auto"/>
              <w:right w:val="nil"/>
            </w:tcBorders>
            <w:shd w:val="clear" w:color="auto" w:fill="D9D9D9"/>
            <w:noWrap/>
            <w:vAlign w:val="center"/>
          </w:tcPr>
          <w:p w14:paraId="44070F80" w14:textId="7891DF8F" w:rsidR="00643C20" w:rsidRDefault="00643C20" w:rsidP="00643C20">
            <w:pPr>
              <w:jc w:val="center"/>
              <w:rPr>
                <w:rFonts w:ascii="Arial Narrow" w:hAnsi="Arial Narrow"/>
                <w:sz w:val="18"/>
                <w:szCs w:val="18"/>
              </w:rPr>
            </w:pPr>
            <w:r>
              <w:rPr>
                <w:rFonts w:ascii="Arial Narrow" w:hAnsi="Arial Narrow"/>
                <w:sz w:val="18"/>
                <w:szCs w:val="18"/>
              </w:rPr>
              <w:t>+4,0</w:t>
            </w:r>
          </w:p>
        </w:tc>
        <w:tc>
          <w:tcPr>
            <w:tcW w:w="654" w:type="dxa"/>
            <w:tcBorders>
              <w:top w:val="single" w:sz="4" w:space="0" w:color="auto"/>
              <w:left w:val="nil"/>
              <w:bottom w:val="single" w:sz="4" w:space="0" w:color="auto"/>
              <w:right w:val="nil"/>
            </w:tcBorders>
            <w:shd w:val="clear" w:color="auto" w:fill="auto"/>
            <w:noWrap/>
            <w:vAlign w:val="center"/>
          </w:tcPr>
          <w:p w14:paraId="5DEA871A" w14:textId="4CEEDB20" w:rsidR="00643C20" w:rsidRDefault="00643C20" w:rsidP="00643C20">
            <w:pPr>
              <w:jc w:val="center"/>
              <w:rPr>
                <w:rFonts w:ascii="Arial Narrow" w:hAnsi="Arial Narrow"/>
                <w:sz w:val="18"/>
                <w:szCs w:val="18"/>
              </w:rPr>
            </w:pPr>
            <w:r>
              <w:rPr>
                <w:rFonts w:ascii="Arial Narrow" w:hAnsi="Arial Narrow"/>
                <w:sz w:val="18"/>
                <w:szCs w:val="18"/>
              </w:rPr>
              <w:t>+25,5</w:t>
            </w:r>
          </w:p>
        </w:tc>
        <w:tc>
          <w:tcPr>
            <w:tcW w:w="984" w:type="dxa"/>
            <w:tcBorders>
              <w:top w:val="single" w:sz="4" w:space="0" w:color="auto"/>
              <w:left w:val="nil"/>
              <w:bottom w:val="single" w:sz="4" w:space="0" w:color="auto"/>
              <w:right w:val="nil"/>
            </w:tcBorders>
            <w:shd w:val="clear" w:color="auto" w:fill="auto"/>
            <w:noWrap/>
            <w:vAlign w:val="center"/>
          </w:tcPr>
          <w:p w14:paraId="094DD5FA" w14:textId="34AB9A7B" w:rsidR="00643C20" w:rsidRDefault="00643C20" w:rsidP="00643C20">
            <w:pPr>
              <w:jc w:val="center"/>
              <w:rPr>
                <w:rFonts w:ascii="Arial Narrow" w:hAnsi="Arial Narrow"/>
                <w:sz w:val="18"/>
                <w:szCs w:val="18"/>
              </w:rPr>
            </w:pPr>
            <w:r>
              <w:rPr>
                <w:rFonts w:ascii="Arial Narrow" w:hAnsi="Arial Narrow"/>
                <w:sz w:val="18"/>
                <w:szCs w:val="18"/>
              </w:rPr>
              <w:t>+27,1</w:t>
            </w:r>
          </w:p>
        </w:tc>
        <w:tc>
          <w:tcPr>
            <w:tcW w:w="709" w:type="dxa"/>
            <w:tcBorders>
              <w:top w:val="single" w:sz="4" w:space="0" w:color="auto"/>
              <w:left w:val="nil"/>
              <w:bottom w:val="single" w:sz="4" w:space="0" w:color="auto"/>
              <w:right w:val="nil"/>
            </w:tcBorders>
            <w:shd w:val="clear" w:color="auto" w:fill="D9D9D9"/>
            <w:noWrap/>
            <w:vAlign w:val="center"/>
          </w:tcPr>
          <w:p w14:paraId="0A169005" w14:textId="07D91AAF" w:rsidR="00643C20" w:rsidRDefault="00643C20" w:rsidP="00643C20">
            <w:pPr>
              <w:jc w:val="center"/>
              <w:rPr>
                <w:rFonts w:ascii="Arial Narrow" w:hAnsi="Arial Narrow"/>
                <w:sz w:val="18"/>
                <w:szCs w:val="18"/>
              </w:rPr>
            </w:pPr>
            <w:r>
              <w:rPr>
                <w:rFonts w:ascii="Arial Narrow" w:hAnsi="Arial Narrow"/>
                <w:sz w:val="18"/>
                <w:szCs w:val="18"/>
              </w:rPr>
              <w:t>+4.530</w:t>
            </w:r>
          </w:p>
        </w:tc>
        <w:tc>
          <w:tcPr>
            <w:tcW w:w="984" w:type="dxa"/>
            <w:tcBorders>
              <w:top w:val="single" w:sz="4" w:space="0" w:color="auto"/>
              <w:left w:val="nil"/>
              <w:bottom w:val="single" w:sz="4" w:space="0" w:color="auto"/>
              <w:right w:val="nil"/>
            </w:tcBorders>
            <w:shd w:val="clear" w:color="auto" w:fill="D9D9D9"/>
            <w:vAlign w:val="center"/>
          </w:tcPr>
          <w:p w14:paraId="1E9FCC23" w14:textId="158718BA" w:rsidR="00643C20" w:rsidRDefault="00643C20" w:rsidP="00643C20">
            <w:pPr>
              <w:jc w:val="center"/>
              <w:rPr>
                <w:rFonts w:ascii="Arial Narrow" w:hAnsi="Arial Narrow"/>
                <w:sz w:val="18"/>
                <w:szCs w:val="18"/>
              </w:rPr>
            </w:pPr>
            <w:r>
              <w:rPr>
                <w:rFonts w:ascii="Arial Narrow" w:hAnsi="Arial Narrow"/>
                <w:sz w:val="18"/>
                <w:szCs w:val="18"/>
              </w:rPr>
              <w:t>+39.732</w:t>
            </w:r>
          </w:p>
        </w:tc>
      </w:tr>
      <w:tr w:rsidR="00643C20" w:rsidRPr="008C0651" w14:paraId="1B907A93" w14:textId="77777777" w:rsidTr="00643C20">
        <w:trPr>
          <w:trHeight w:val="255"/>
        </w:trPr>
        <w:tc>
          <w:tcPr>
            <w:tcW w:w="1587" w:type="dxa"/>
            <w:tcBorders>
              <w:top w:val="single" w:sz="4" w:space="0" w:color="auto"/>
              <w:left w:val="nil"/>
              <w:bottom w:val="single" w:sz="4" w:space="0" w:color="auto"/>
              <w:right w:val="nil"/>
            </w:tcBorders>
            <w:shd w:val="clear" w:color="auto" w:fill="auto"/>
            <w:vAlign w:val="bottom"/>
          </w:tcPr>
          <w:p w14:paraId="54DD10DC" w14:textId="77777777" w:rsidR="00643C20" w:rsidRPr="00AB0DE6" w:rsidRDefault="00643C20" w:rsidP="00643C20">
            <w:pPr>
              <w:spacing w:before="40" w:after="20"/>
              <w:rPr>
                <w:rFonts w:ascii="Arial Narrow" w:hAnsi="Arial Narrow"/>
                <w:sz w:val="18"/>
                <w:szCs w:val="18"/>
              </w:rPr>
            </w:pPr>
            <w:r w:rsidRPr="00AB0DE6">
              <w:rPr>
                <w:rFonts w:ascii="Arial Narrow" w:hAnsi="Arial Narrow"/>
                <w:sz w:val="18"/>
                <w:szCs w:val="18"/>
              </w:rPr>
              <w:t xml:space="preserve">  </w:t>
            </w:r>
            <w:r>
              <w:rPr>
                <w:rFonts w:ascii="Arial Narrow" w:hAnsi="Arial Narrow"/>
                <w:sz w:val="18"/>
                <w:szCs w:val="18"/>
              </w:rPr>
              <w:t>d</w:t>
            </w:r>
            <w:r w:rsidRPr="00AB0DE6">
              <w:rPr>
                <w:rFonts w:ascii="Arial Narrow" w:hAnsi="Arial Narrow"/>
                <w:sz w:val="18"/>
                <w:szCs w:val="18"/>
              </w:rPr>
              <w:t>urevoli</w:t>
            </w:r>
          </w:p>
        </w:tc>
        <w:tc>
          <w:tcPr>
            <w:tcW w:w="665" w:type="dxa"/>
            <w:tcBorders>
              <w:top w:val="single" w:sz="4" w:space="0" w:color="auto"/>
              <w:left w:val="nil"/>
              <w:bottom w:val="single" w:sz="4" w:space="0" w:color="auto"/>
              <w:right w:val="nil"/>
            </w:tcBorders>
            <w:shd w:val="clear" w:color="auto" w:fill="D9D9D9"/>
            <w:noWrap/>
            <w:vAlign w:val="center"/>
          </w:tcPr>
          <w:p w14:paraId="3FDC9C11" w14:textId="39E5328F" w:rsidR="00643C20" w:rsidRDefault="00643C20" w:rsidP="00643C20">
            <w:pPr>
              <w:jc w:val="center"/>
              <w:rPr>
                <w:rFonts w:ascii="Arial Narrow" w:hAnsi="Arial Narrow"/>
                <w:sz w:val="18"/>
                <w:szCs w:val="18"/>
              </w:rPr>
            </w:pPr>
            <w:r>
              <w:rPr>
                <w:rFonts w:ascii="Arial Narrow" w:hAnsi="Arial Narrow"/>
                <w:sz w:val="18"/>
                <w:szCs w:val="18"/>
              </w:rPr>
              <w:t>-4,3</w:t>
            </w:r>
          </w:p>
        </w:tc>
        <w:tc>
          <w:tcPr>
            <w:tcW w:w="1108" w:type="dxa"/>
            <w:tcBorders>
              <w:top w:val="single" w:sz="4" w:space="0" w:color="auto"/>
              <w:left w:val="nil"/>
              <w:bottom w:val="single" w:sz="4" w:space="0" w:color="auto"/>
              <w:right w:val="nil"/>
            </w:tcBorders>
            <w:shd w:val="clear" w:color="auto" w:fill="D9D9D9"/>
            <w:noWrap/>
            <w:vAlign w:val="center"/>
          </w:tcPr>
          <w:p w14:paraId="0D5C1158" w14:textId="034CA37C" w:rsidR="00643C20" w:rsidRDefault="00643C20" w:rsidP="00643C20">
            <w:pPr>
              <w:jc w:val="center"/>
              <w:rPr>
                <w:rFonts w:ascii="Arial Narrow" w:hAnsi="Arial Narrow"/>
                <w:sz w:val="18"/>
                <w:szCs w:val="18"/>
              </w:rPr>
            </w:pPr>
            <w:r>
              <w:rPr>
                <w:rFonts w:ascii="Arial Narrow" w:hAnsi="Arial Narrow"/>
                <w:sz w:val="18"/>
                <w:szCs w:val="18"/>
              </w:rPr>
              <w:t>-1,2</w:t>
            </w:r>
          </w:p>
        </w:tc>
        <w:tc>
          <w:tcPr>
            <w:tcW w:w="685" w:type="dxa"/>
            <w:tcBorders>
              <w:top w:val="single" w:sz="4" w:space="0" w:color="auto"/>
              <w:left w:val="nil"/>
              <w:bottom w:val="single" w:sz="4" w:space="0" w:color="auto"/>
              <w:right w:val="nil"/>
            </w:tcBorders>
            <w:shd w:val="clear" w:color="auto" w:fill="auto"/>
            <w:noWrap/>
            <w:vAlign w:val="center"/>
          </w:tcPr>
          <w:p w14:paraId="2012164B" w14:textId="63382346" w:rsidR="00643C20" w:rsidRDefault="00643C20" w:rsidP="00643C20">
            <w:pPr>
              <w:jc w:val="center"/>
              <w:rPr>
                <w:rFonts w:ascii="Arial Narrow" w:hAnsi="Arial Narrow"/>
                <w:sz w:val="18"/>
                <w:szCs w:val="18"/>
              </w:rPr>
            </w:pPr>
            <w:r>
              <w:rPr>
                <w:rFonts w:ascii="Arial Narrow" w:hAnsi="Arial Narrow"/>
                <w:sz w:val="18"/>
                <w:szCs w:val="18"/>
              </w:rPr>
              <w:t>+4,8</w:t>
            </w:r>
          </w:p>
        </w:tc>
        <w:tc>
          <w:tcPr>
            <w:tcW w:w="1017" w:type="dxa"/>
            <w:tcBorders>
              <w:top w:val="single" w:sz="4" w:space="0" w:color="auto"/>
              <w:left w:val="nil"/>
              <w:bottom w:val="single" w:sz="4" w:space="0" w:color="auto"/>
              <w:right w:val="nil"/>
            </w:tcBorders>
            <w:shd w:val="clear" w:color="auto" w:fill="auto"/>
            <w:noWrap/>
            <w:vAlign w:val="center"/>
          </w:tcPr>
          <w:p w14:paraId="70EDECFF" w14:textId="627F9B0B" w:rsidR="00643C20" w:rsidRDefault="00643C20" w:rsidP="00643C20">
            <w:pPr>
              <w:jc w:val="center"/>
              <w:rPr>
                <w:rFonts w:ascii="Arial Narrow" w:hAnsi="Arial Narrow"/>
                <w:sz w:val="18"/>
                <w:szCs w:val="18"/>
              </w:rPr>
            </w:pPr>
            <w:r>
              <w:rPr>
                <w:rFonts w:ascii="Arial Narrow" w:hAnsi="Arial Narrow"/>
                <w:sz w:val="18"/>
                <w:szCs w:val="18"/>
              </w:rPr>
              <w:t>+15,1</w:t>
            </w:r>
          </w:p>
        </w:tc>
        <w:tc>
          <w:tcPr>
            <w:tcW w:w="708" w:type="dxa"/>
            <w:tcBorders>
              <w:top w:val="single" w:sz="4" w:space="0" w:color="auto"/>
              <w:left w:val="nil"/>
              <w:bottom w:val="single" w:sz="4" w:space="0" w:color="auto"/>
              <w:right w:val="nil"/>
            </w:tcBorders>
            <w:shd w:val="clear" w:color="auto" w:fill="D9D9D9"/>
            <w:noWrap/>
            <w:vAlign w:val="center"/>
          </w:tcPr>
          <w:p w14:paraId="72A9E3DA" w14:textId="0C9B43B0" w:rsidR="00643C20" w:rsidRDefault="00643C20" w:rsidP="00643C20">
            <w:pPr>
              <w:jc w:val="center"/>
              <w:rPr>
                <w:rFonts w:ascii="Arial Narrow" w:hAnsi="Arial Narrow"/>
                <w:sz w:val="18"/>
                <w:szCs w:val="18"/>
              </w:rPr>
            </w:pPr>
            <w:r>
              <w:rPr>
                <w:rFonts w:ascii="Arial Narrow" w:hAnsi="Arial Narrow"/>
                <w:sz w:val="18"/>
                <w:szCs w:val="18"/>
              </w:rPr>
              <w:t>-0,1</w:t>
            </w:r>
          </w:p>
        </w:tc>
        <w:tc>
          <w:tcPr>
            <w:tcW w:w="1134" w:type="dxa"/>
            <w:tcBorders>
              <w:top w:val="single" w:sz="4" w:space="0" w:color="auto"/>
              <w:left w:val="nil"/>
              <w:bottom w:val="single" w:sz="4" w:space="0" w:color="auto"/>
              <w:right w:val="nil"/>
            </w:tcBorders>
            <w:shd w:val="clear" w:color="auto" w:fill="D9D9D9"/>
            <w:noWrap/>
            <w:vAlign w:val="center"/>
          </w:tcPr>
          <w:p w14:paraId="7A970DB7" w14:textId="48233A51" w:rsidR="00643C20" w:rsidRDefault="00643C20" w:rsidP="00643C20">
            <w:pPr>
              <w:jc w:val="center"/>
              <w:rPr>
                <w:rFonts w:ascii="Arial Narrow" w:hAnsi="Arial Narrow"/>
                <w:sz w:val="18"/>
                <w:szCs w:val="18"/>
              </w:rPr>
            </w:pPr>
            <w:r>
              <w:rPr>
                <w:rFonts w:ascii="Arial Narrow" w:hAnsi="Arial Narrow"/>
                <w:sz w:val="18"/>
                <w:szCs w:val="18"/>
              </w:rPr>
              <w:t>+1,1</w:t>
            </w:r>
          </w:p>
        </w:tc>
        <w:tc>
          <w:tcPr>
            <w:tcW w:w="654" w:type="dxa"/>
            <w:tcBorders>
              <w:top w:val="single" w:sz="4" w:space="0" w:color="auto"/>
              <w:left w:val="nil"/>
              <w:bottom w:val="single" w:sz="4" w:space="0" w:color="auto"/>
              <w:right w:val="nil"/>
            </w:tcBorders>
            <w:shd w:val="clear" w:color="auto" w:fill="auto"/>
            <w:noWrap/>
            <w:vAlign w:val="center"/>
          </w:tcPr>
          <w:p w14:paraId="0FF61880" w14:textId="16A6192F" w:rsidR="00643C20" w:rsidRDefault="00643C20" w:rsidP="00643C20">
            <w:pPr>
              <w:jc w:val="center"/>
              <w:rPr>
                <w:rFonts w:ascii="Arial Narrow" w:hAnsi="Arial Narrow"/>
                <w:sz w:val="18"/>
                <w:szCs w:val="18"/>
              </w:rPr>
            </w:pPr>
            <w:r>
              <w:rPr>
                <w:rFonts w:ascii="Arial Narrow" w:hAnsi="Arial Narrow"/>
                <w:sz w:val="18"/>
                <w:szCs w:val="18"/>
              </w:rPr>
              <w:t>+5,2</w:t>
            </w:r>
          </w:p>
        </w:tc>
        <w:tc>
          <w:tcPr>
            <w:tcW w:w="984" w:type="dxa"/>
            <w:tcBorders>
              <w:top w:val="single" w:sz="4" w:space="0" w:color="auto"/>
              <w:left w:val="nil"/>
              <w:bottom w:val="single" w:sz="4" w:space="0" w:color="auto"/>
              <w:right w:val="nil"/>
            </w:tcBorders>
            <w:shd w:val="clear" w:color="auto" w:fill="auto"/>
            <w:noWrap/>
            <w:vAlign w:val="center"/>
          </w:tcPr>
          <w:p w14:paraId="6F169314" w14:textId="72A7F421" w:rsidR="00643C20" w:rsidRDefault="00643C20" w:rsidP="00643C20">
            <w:pPr>
              <w:jc w:val="center"/>
              <w:rPr>
                <w:rFonts w:ascii="Arial Narrow" w:hAnsi="Arial Narrow"/>
                <w:sz w:val="18"/>
                <w:szCs w:val="18"/>
              </w:rPr>
            </w:pPr>
            <w:r>
              <w:rPr>
                <w:rFonts w:ascii="Arial Narrow" w:hAnsi="Arial Narrow"/>
                <w:sz w:val="18"/>
                <w:szCs w:val="18"/>
              </w:rPr>
              <w:t>+11,5</w:t>
            </w:r>
          </w:p>
        </w:tc>
        <w:tc>
          <w:tcPr>
            <w:tcW w:w="709" w:type="dxa"/>
            <w:tcBorders>
              <w:top w:val="single" w:sz="4" w:space="0" w:color="auto"/>
              <w:left w:val="nil"/>
              <w:bottom w:val="single" w:sz="4" w:space="0" w:color="auto"/>
              <w:right w:val="nil"/>
            </w:tcBorders>
            <w:shd w:val="clear" w:color="auto" w:fill="D9D9D9"/>
            <w:noWrap/>
            <w:vAlign w:val="center"/>
          </w:tcPr>
          <w:p w14:paraId="50156964" w14:textId="295FC061" w:rsidR="00643C20" w:rsidRDefault="00643C20" w:rsidP="00643C20">
            <w:pPr>
              <w:jc w:val="center"/>
              <w:rPr>
                <w:rFonts w:ascii="Arial Narrow" w:hAnsi="Arial Narrow"/>
                <w:sz w:val="18"/>
                <w:szCs w:val="18"/>
              </w:rPr>
            </w:pPr>
            <w:r>
              <w:rPr>
                <w:rFonts w:ascii="Arial Narrow" w:hAnsi="Arial Narrow"/>
                <w:sz w:val="18"/>
                <w:szCs w:val="18"/>
              </w:rPr>
              <w:t>+1.472</w:t>
            </w:r>
          </w:p>
        </w:tc>
        <w:tc>
          <w:tcPr>
            <w:tcW w:w="984" w:type="dxa"/>
            <w:tcBorders>
              <w:top w:val="single" w:sz="4" w:space="0" w:color="auto"/>
              <w:left w:val="nil"/>
              <w:bottom w:val="single" w:sz="4" w:space="0" w:color="auto"/>
              <w:right w:val="nil"/>
            </w:tcBorders>
            <w:shd w:val="clear" w:color="auto" w:fill="D9D9D9"/>
            <w:vAlign w:val="center"/>
          </w:tcPr>
          <w:p w14:paraId="6078F65F" w14:textId="7074B584" w:rsidR="00643C20" w:rsidRDefault="00643C20" w:rsidP="00643C20">
            <w:pPr>
              <w:jc w:val="center"/>
              <w:rPr>
                <w:rFonts w:ascii="Arial Narrow" w:hAnsi="Arial Narrow"/>
                <w:sz w:val="18"/>
                <w:szCs w:val="18"/>
              </w:rPr>
            </w:pPr>
            <w:r>
              <w:rPr>
                <w:rFonts w:ascii="Arial Narrow" w:hAnsi="Arial Narrow"/>
                <w:sz w:val="18"/>
                <w:szCs w:val="18"/>
              </w:rPr>
              <w:t>+13.635</w:t>
            </w:r>
          </w:p>
        </w:tc>
      </w:tr>
      <w:tr w:rsidR="00643C20" w:rsidRPr="008C0651" w14:paraId="23399346" w14:textId="77777777" w:rsidTr="00643C20">
        <w:trPr>
          <w:trHeight w:val="255"/>
        </w:trPr>
        <w:tc>
          <w:tcPr>
            <w:tcW w:w="1587" w:type="dxa"/>
            <w:tcBorders>
              <w:top w:val="single" w:sz="4" w:space="0" w:color="auto"/>
              <w:left w:val="nil"/>
              <w:bottom w:val="single" w:sz="4" w:space="0" w:color="auto"/>
              <w:right w:val="nil"/>
            </w:tcBorders>
            <w:shd w:val="clear" w:color="auto" w:fill="auto"/>
            <w:vAlign w:val="bottom"/>
          </w:tcPr>
          <w:p w14:paraId="10BB07A3" w14:textId="77777777" w:rsidR="00643C20" w:rsidRPr="00AB0DE6" w:rsidRDefault="00643C20" w:rsidP="00643C20">
            <w:pPr>
              <w:spacing w:before="40" w:after="20"/>
              <w:rPr>
                <w:rFonts w:ascii="Arial Narrow" w:hAnsi="Arial Narrow"/>
                <w:sz w:val="18"/>
                <w:szCs w:val="18"/>
              </w:rPr>
            </w:pPr>
            <w:r w:rsidRPr="00AB0DE6">
              <w:rPr>
                <w:rFonts w:ascii="Arial Narrow" w:hAnsi="Arial Narrow"/>
                <w:sz w:val="18"/>
                <w:szCs w:val="18"/>
              </w:rPr>
              <w:t xml:space="preserve">  non durevoli</w:t>
            </w:r>
          </w:p>
        </w:tc>
        <w:tc>
          <w:tcPr>
            <w:tcW w:w="665" w:type="dxa"/>
            <w:tcBorders>
              <w:top w:val="single" w:sz="4" w:space="0" w:color="auto"/>
              <w:left w:val="nil"/>
              <w:bottom w:val="single" w:sz="4" w:space="0" w:color="auto"/>
              <w:right w:val="nil"/>
            </w:tcBorders>
            <w:shd w:val="clear" w:color="auto" w:fill="D9D9D9"/>
            <w:noWrap/>
            <w:vAlign w:val="center"/>
          </w:tcPr>
          <w:p w14:paraId="7220AE76" w14:textId="48E4A2A7" w:rsidR="00643C20" w:rsidRDefault="00643C20" w:rsidP="00643C20">
            <w:pPr>
              <w:jc w:val="center"/>
              <w:rPr>
                <w:rFonts w:ascii="Arial Narrow" w:hAnsi="Arial Narrow"/>
                <w:sz w:val="18"/>
                <w:szCs w:val="18"/>
              </w:rPr>
            </w:pPr>
            <w:r>
              <w:rPr>
                <w:rFonts w:ascii="Arial Narrow" w:hAnsi="Arial Narrow"/>
                <w:sz w:val="18"/>
                <w:szCs w:val="18"/>
              </w:rPr>
              <w:t>-0,8</w:t>
            </w:r>
          </w:p>
        </w:tc>
        <w:tc>
          <w:tcPr>
            <w:tcW w:w="1108" w:type="dxa"/>
            <w:tcBorders>
              <w:top w:val="single" w:sz="4" w:space="0" w:color="auto"/>
              <w:left w:val="nil"/>
              <w:bottom w:val="single" w:sz="4" w:space="0" w:color="auto"/>
              <w:right w:val="nil"/>
            </w:tcBorders>
            <w:shd w:val="clear" w:color="auto" w:fill="D9D9D9"/>
            <w:noWrap/>
            <w:vAlign w:val="center"/>
          </w:tcPr>
          <w:p w14:paraId="6AD1D22F" w14:textId="7CB89977" w:rsidR="00643C20" w:rsidRDefault="00643C20" w:rsidP="00643C20">
            <w:pPr>
              <w:jc w:val="center"/>
              <w:rPr>
                <w:rFonts w:ascii="Arial Narrow" w:hAnsi="Arial Narrow"/>
                <w:sz w:val="18"/>
                <w:szCs w:val="18"/>
              </w:rPr>
            </w:pPr>
            <w:r>
              <w:rPr>
                <w:rFonts w:ascii="Arial Narrow" w:hAnsi="Arial Narrow"/>
                <w:sz w:val="18"/>
                <w:szCs w:val="18"/>
              </w:rPr>
              <w:t>+1,4</w:t>
            </w:r>
          </w:p>
        </w:tc>
        <w:tc>
          <w:tcPr>
            <w:tcW w:w="685" w:type="dxa"/>
            <w:tcBorders>
              <w:top w:val="single" w:sz="4" w:space="0" w:color="auto"/>
              <w:left w:val="nil"/>
              <w:bottom w:val="single" w:sz="4" w:space="0" w:color="auto"/>
              <w:right w:val="nil"/>
            </w:tcBorders>
            <w:shd w:val="clear" w:color="auto" w:fill="auto"/>
            <w:noWrap/>
            <w:vAlign w:val="center"/>
          </w:tcPr>
          <w:p w14:paraId="0E7955E1" w14:textId="62D198BB" w:rsidR="00643C20" w:rsidRDefault="00643C20" w:rsidP="00643C20">
            <w:pPr>
              <w:jc w:val="center"/>
              <w:rPr>
                <w:rFonts w:ascii="Arial Narrow" w:hAnsi="Arial Narrow"/>
                <w:sz w:val="18"/>
                <w:szCs w:val="18"/>
              </w:rPr>
            </w:pPr>
            <w:r>
              <w:rPr>
                <w:rFonts w:ascii="Arial Narrow" w:hAnsi="Arial Narrow"/>
                <w:sz w:val="18"/>
                <w:szCs w:val="18"/>
              </w:rPr>
              <w:t>+17,4</w:t>
            </w:r>
          </w:p>
        </w:tc>
        <w:tc>
          <w:tcPr>
            <w:tcW w:w="1017" w:type="dxa"/>
            <w:tcBorders>
              <w:top w:val="single" w:sz="4" w:space="0" w:color="auto"/>
              <w:left w:val="nil"/>
              <w:bottom w:val="single" w:sz="4" w:space="0" w:color="auto"/>
              <w:right w:val="nil"/>
            </w:tcBorders>
            <w:shd w:val="clear" w:color="auto" w:fill="auto"/>
            <w:noWrap/>
            <w:vAlign w:val="center"/>
          </w:tcPr>
          <w:p w14:paraId="5FE05581" w14:textId="45A97B51" w:rsidR="00643C20" w:rsidRDefault="00643C20" w:rsidP="00643C20">
            <w:pPr>
              <w:jc w:val="center"/>
              <w:rPr>
                <w:rFonts w:ascii="Arial Narrow" w:hAnsi="Arial Narrow"/>
                <w:sz w:val="18"/>
                <w:szCs w:val="18"/>
              </w:rPr>
            </w:pPr>
            <w:r>
              <w:rPr>
                <w:rFonts w:ascii="Arial Narrow" w:hAnsi="Arial Narrow"/>
                <w:sz w:val="18"/>
                <w:szCs w:val="18"/>
              </w:rPr>
              <w:t>+22,4</w:t>
            </w:r>
          </w:p>
        </w:tc>
        <w:tc>
          <w:tcPr>
            <w:tcW w:w="708" w:type="dxa"/>
            <w:tcBorders>
              <w:top w:val="single" w:sz="4" w:space="0" w:color="auto"/>
              <w:left w:val="nil"/>
              <w:bottom w:val="single" w:sz="4" w:space="0" w:color="auto"/>
              <w:right w:val="nil"/>
            </w:tcBorders>
            <w:shd w:val="clear" w:color="auto" w:fill="D9D9D9"/>
            <w:noWrap/>
            <w:vAlign w:val="center"/>
          </w:tcPr>
          <w:p w14:paraId="3C3D1B9E" w14:textId="4FB8A5B3" w:rsidR="00643C20" w:rsidRDefault="00643C20" w:rsidP="00643C20">
            <w:pPr>
              <w:jc w:val="center"/>
              <w:rPr>
                <w:rFonts w:ascii="Arial Narrow" w:hAnsi="Arial Narrow"/>
                <w:sz w:val="18"/>
                <w:szCs w:val="18"/>
              </w:rPr>
            </w:pPr>
            <w:r>
              <w:rPr>
                <w:rFonts w:ascii="Arial Narrow" w:hAnsi="Arial Narrow"/>
                <w:sz w:val="18"/>
                <w:szCs w:val="18"/>
              </w:rPr>
              <w:t>+0,7</w:t>
            </w:r>
          </w:p>
        </w:tc>
        <w:tc>
          <w:tcPr>
            <w:tcW w:w="1134" w:type="dxa"/>
            <w:tcBorders>
              <w:top w:val="single" w:sz="4" w:space="0" w:color="auto"/>
              <w:left w:val="nil"/>
              <w:bottom w:val="single" w:sz="4" w:space="0" w:color="auto"/>
              <w:right w:val="nil"/>
            </w:tcBorders>
            <w:shd w:val="clear" w:color="auto" w:fill="D9D9D9"/>
            <w:noWrap/>
            <w:vAlign w:val="center"/>
          </w:tcPr>
          <w:p w14:paraId="0F594981" w14:textId="6279AD58" w:rsidR="00643C20" w:rsidRDefault="00643C20" w:rsidP="00643C20">
            <w:pPr>
              <w:jc w:val="center"/>
              <w:rPr>
                <w:rFonts w:ascii="Arial Narrow" w:hAnsi="Arial Narrow"/>
                <w:sz w:val="18"/>
                <w:szCs w:val="18"/>
              </w:rPr>
            </w:pPr>
            <w:r>
              <w:rPr>
                <w:rFonts w:ascii="Arial Narrow" w:hAnsi="Arial Narrow"/>
                <w:sz w:val="18"/>
                <w:szCs w:val="18"/>
              </w:rPr>
              <w:t>+4,4</w:t>
            </w:r>
          </w:p>
        </w:tc>
        <w:tc>
          <w:tcPr>
            <w:tcW w:w="654" w:type="dxa"/>
            <w:tcBorders>
              <w:top w:val="single" w:sz="4" w:space="0" w:color="auto"/>
              <w:left w:val="nil"/>
              <w:bottom w:val="single" w:sz="4" w:space="0" w:color="auto"/>
              <w:right w:val="nil"/>
            </w:tcBorders>
            <w:shd w:val="clear" w:color="auto" w:fill="auto"/>
            <w:noWrap/>
            <w:vAlign w:val="center"/>
          </w:tcPr>
          <w:p w14:paraId="6F6589D1" w14:textId="0A8F2CFF" w:rsidR="00643C20" w:rsidRDefault="00643C20" w:rsidP="00643C20">
            <w:pPr>
              <w:jc w:val="center"/>
              <w:rPr>
                <w:rFonts w:ascii="Arial Narrow" w:hAnsi="Arial Narrow"/>
                <w:sz w:val="18"/>
                <w:szCs w:val="18"/>
              </w:rPr>
            </w:pPr>
            <w:r>
              <w:rPr>
                <w:rFonts w:ascii="Arial Narrow" w:hAnsi="Arial Narrow"/>
                <w:sz w:val="18"/>
                <w:szCs w:val="18"/>
              </w:rPr>
              <w:t>+28,8</w:t>
            </w:r>
          </w:p>
        </w:tc>
        <w:tc>
          <w:tcPr>
            <w:tcW w:w="984" w:type="dxa"/>
            <w:tcBorders>
              <w:top w:val="single" w:sz="4" w:space="0" w:color="auto"/>
              <w:left w:val="nil"/>
              <w:bottom w:val="single" w:sz="4" w:space="0" w:color="auto"/>
              <w:right w:val="nil"/>
            </w:tcBorders>
            <w:shd w:val="clear" w:color="auto" w:fill="auto"/>
            <w:noWrap/>
            <w:vAlign w:val="center"/>
          </w:tcPr>
          <w:p w14:paraId="2564FA5C" w14:textId="5BD8C7BA" w:rsidR="00643C20" w:rsidRDefault="00643C20" w:rsidP="00643C20">
            <w:pPr>
              <w:jc w:val="center"/>
              <w:rPr>
                <w:rFonts w:ascii="Arial Narrow" w:hAnsi="Arial Narrow"/>
                <w:sz w:val="18"/>
                <w:szCs w:val="18"/>
              </w:rPr>
            </w:pPr>
            <w:r>
              <w:rPr>
                <w:rFonts w:ascii="Arial Narrow" w:hAnsi="Arial Narrow"/>
                <w:sz w:val="18"/>
                <w:szCs w:val="18"/>
              </w:rPr>
              <w:t>+29,6</w:t>
            </w:r>
          </w:p>
        </w:tc>
        <w:tc>
          <w:tcPr>
            <w:tcW w:w="709" w:type="dxa"/>
            <w:tcBorders>
              <w:top w:val="single" w:sz="4" w:space="0" w:color="auto"/>
              <w:left w:val="nil"/>
              <w:bottom w:val="single" w:sz="4" w:space="0" w:color="auto"/>
              <w:right w:val="nil"/>
            </w:tcBorders>
            <w:shd w:val="clear" w:color="auto" w:fill="D9D9D9"/>
            <w:noWrap/>
            <w:vAlign w:val="center"/>
          </w:tcPr>
          <w:p w14:paraId="2DE55066" w14:textId="24CAC9D6" w:rsidR="00643C20" w:rsidRDefault="00643C20" w:rsidP="00643C20">
            <w:pPr>
              <w:jc w:val="center"/>
              <w:rPr>
                <w:rFonts w:ascii="Arial Narrow" w:hAnsi="Arial Narrow"/>
                <w:sz w:val="18"/>
                <w:szCs w:val="18"/>
              </w:rPr>
            </w:pPr>
            <w:r>
              <w:rPr>
                <w:rFonts w:ascii="Arial Narrow" w:hAnsi="Arial Narrow"/>
                <w:sz w:val="18"/>
                <w:szCs w:val="18"/>
              </w:rPr>
              <w:t>+3.058</w:t>
            </w:r>
          </w:p>
        </w:tc>
        <w:tc>
          <w:tcPr>
            <w:tcW w:w="984" w:type="dxa"/>
            <w:tcBorders>
              <w:top w:val="single" w:sz="4" w:space="0" w:color="auto"/>
              <w:left w:val="nil"/>
              <w:bottom w:val="single" w:sz="4" w:space="0" w:color="auto"/>
              <w:right w:val="nil"/>
            </w:tcBorders>
            <w:shd w:val="clear" w:color="auto" w:fill="D9D9D9"/>
            <w:vAlign w:val="center"/>
          </w:tcPr>
          <w:p w14:paraId="514A1CA4" w14:textId="33EDED15" w:rsidR="00643C20" w:rsidRDefault="00643C20" w:rsidP="00643C20">
            <w:pPr>
              <w:jc w:val="center"/>
              <w:rPr>
                <w:rFonts w:ascii="Arial Narrow" w:hAnsi="Arial Narrow"/>
                <w:sz w:val="18"/>
                <w:szCs w:val="18"/>
              </w:rPr>
            </w:pPr>
            <w:r>
              <w:rPr>
                <w:rFonts w:ascii="Arial Narrow" w:hAnsi="Arial Narrow"/>
                <w:sz w:val="18"/>
                <w:szCs w:val="18"/>
              </w:rPr>
              <w:t>+26.097</w:t>
            </w:r>
          </w:p>
        </w:tc>
      </w:tr>
      <w:tr w:rsidR="00643C20" w:rsidRPr="008C0651" w14:paraId="17A82108" w14:textId="77777777" w:rsidTr="00643C20">
        <w:trPr>
          <w:trHeight w:val="255"/>
        </w:trPr>
        <w:tc>
          <w:tcPr>
            <w:tcW w:w="1587" w:type="dxa"/>
            <w:tcBorders>
              <w:top w:val="single" w:sz="4" w:space="0" w:color="auto"/>
              <w:left w:val="nil"/>
              <w:bottom w:val="single" w:sz="4" w:space="0" w:color="auto"/>
              <w:right w:val="nil"/>
            </w:tcBorders>
            <w:shd w:val="clear" w:color="auto" w:fill="auto"/>
            <w:vAlign w:val="bottom"/>
          </w:tcPr>
          <w:p w14:paraId="72D3BA25" w14:textId="77777777" w:rsidR="00643C20" w:rsidRPr="00831F78" w:rsidRDefault="00643C20" w:rsidP="00643C20">
            <w:pPr>
              <w:spacing w:before="40" w:after="20"/>
              <w:rPr>
                <w:rFonts w:ascii="Arial Narrow" w:hAnsi="Arial Narrow"/>
                <w:sz w:val="18"/>
                <w:szCs w:val="18"/>
              </w:rPr>
            </w:pPr>
            <w:r w:rsidRPr="00831F78">
              <w:rPr>
                <w:rFonts w:ascii="Arial Narrow" w:hAnsi="Arial Narrow"/>
                <w:sz w:val="18"/>
                <w:szCs w:val="18"/>
              </w:rPr>
              <w:t>Beni strumentali</w:t>
            </w:r>
          </w:p>
        </w:tc>
        <w:tc>
          <w:tcPr>
            <w:tcW w:w="665" w:type="dxa"/>
            <w:tcBorders>
              <w:top w:val="single" w:sz="4" w:space="0" w:color="auto"/>
              <w:left w:val="nil"/>
              <w:bottom w:val="single" w:sz="4" w:space="0" w:color="auto"/>
              <w:right w:val="nil"/>
            </w:tcBorders>
            <w:shd w:val="clear" w:color="auto" w:fill="D9D9D9"/>
            <w:noWrap/>
            <w:vAlign w:val="center"/>
          </w:tcPr>
          <w:p w14:paraId="3F9915DA" w14:textId="4100CE36" w:rsidR="00643C20" w:rsidRDefault="00643C20" w:rsidP="00643C20">
            <w:pPr>
              <w:jc w:val="center"/>
              <w:rPr>
                <w:rFonts w:ascii="Arial Narrow" w:hAnsi="Arial Narrow"/>
                <w:sz w:val="18"/>
                <w:szCs w:val="18"/>
              </w:rPr>
            </w:pPr>
            <w:r>
              <w:rPr>
                <w:rFonts w:ascii="Arial Narrow" w:hAnsi="Arial Narrow"/>
                <w:sz w:val="18"/>
                <w:szCs w:val="18"/>
              </w:rPr>
              <w:t>-3,7</w:t>
            </w:r>
          </w:p>
        </w:tc>
        <w:tc>
          <w:tcPr>
            <w:tcW w:w="1108" w:type="dxa"/>
            <w:tcBorders>
              <w:top w:val="single" w:sz="4" w:space="0" w:color="auto"/>
              <w:left w:val="nil"/>
              <w:bottom w:val="single" w:sz="4" w:space="0" w:color="auto"/>
              <w:right w:val="nil"/>
            </w:tcBorders>
            <w:shd w:val="clear" w:color="auto" w:fill="D9D9D9"/>
            <w:noWrap/>
            <w:vAlign w:val="center"/>
          </w:tcPr>
          <w:p w14:paraId="6EE82223" w14:textId="5EB0E246" w:rsidR="00643C20" w:rsidRDefault="00643C20" w:rsidP="00643C20">
            <w:pPr>
              <w:jc w:val="center"/>
              <w:rPr>
                <w:rFonts w:ascii="Arial Narrow" w:hAnsi="Arial Narrow"/>
                <w:sz w:val="18"/>
                <w:szCs w:val="18"/>
              </w:rPr>
            </w:pPr>
            <w:r>
              <w:rPr>
                <w:rFonts w:ascii="Arial Narrow" w:hAnsi="Arial Narrow"/>
                <w:sz w:val="18"/>
                <w:szCs w:val="18"/>
              </w:rPr>
              <w:t>-0,2</w:t>
            </w:r>
          </w:p>
        </w:tc>
        <w:tc>
          <w:tcPr>
            <w:tcW w:w="685" w:type="dxa"/>
            <w:tcBorders>
              <w:top w:val="single" w:sz="4" w:space="0" w:color="auto"/>
              <w:left w:val="nil"/>
              <w:bottom w:val="single" w:sz="4" w:space="0" w:color="auto"/>
              <w:right w:val="nil"/>
            </w:tcBorders>
            <w:shd w:val="clear" w:color="auto" w:fill="auto"/>
            <w:noWrap/>
            <w:vAlign w:val="center"/>
          </w:tcPr>
          <w:p w14:paraId="5A727FAA" w14:textId="78200B42" w:rsidR="00643C20" w:rsidRDefault="00643C20" w:rsidP="00643C20">
            <w:pPr>
              <w:jc w:val="center"/>
              <w:rPr>
                <w:rFonts w:ascii="Arial Narrow" w:hAnsi="Arial Narrow"/>
                <w:sz w:val="18"/>
                <w:szCs w:val="18"/>
              </w:rPr>
            </w:pPr>
            <w:r>
              <w:rPr>
                <w:rFonts w:ascii="Arial Narrow" w:hAnsi="Arial Narrow"/>
                <w:sz w:val="18"/>
                <w:szCs w:val="18"/>
              </w:rPr>
              <w:t>+12,5</w:t>
            </w:r>
          </w:p>
        </w:tc>
        <w:tc>
          <w:tcPr>
            <w:tcW w:w="1017" w:type="dxa"/>
            <w:tcBorders>
              <w:top w:val="single" w:sz="4" w:space="0" w:color="auto"/>
              <w:left w:val="nil"/>
              <w:bottom w:val="single" w:sz="4" w:space="0" w:color="auto"/>
              <w:right w:val="nil"/>
            </w:tcBorders>
            <w:shd w:val="clear" w:color="auto" w:fill="auto"/>
            <w:noWrap/>
            <w:vAlign w:val="center"/>
          </w:tcPr>
          <w:p w14:paraId="75988CC6" w14:textId="082ABA87" w:rsidR="00643C20" w:rsidRDefault="00643C20" w:rsidP="00643C20">
            <w:pPr>
              <w:jc w:val="center"/>
              <w:rPr>
                <w:rFonts w:ascii="Arial Narrow" w:hAnsi="Arial Narrow"/>
                <w:sz w:val="18"/>
                <w:szCs w:val="18"/>
              </w:rPr>
            </w:pPr>
            <w:r>
              <w:rPr>
                <w:rFonts w:ascii="Arial Narrow" w:hAnsi="Arial Narrow"/>
                <w:sz w:val="18"/>
                <w:szCs w:val="18"/>
              </w:rPr>
              <w:t>+10,8</w:t>
            </w:r>
          </w:p>
        </w:tc>
        <w:tc>
          <w:tcPr>
            <w:tcW w:w="708" w:type="dxa"/>
            <w:tcBorders>
              <w:top w:val="single" w:sz="4" w:space="0" w:color="auto"/>
              <w:left w:val="nil"/>
              <w:bottom w:val="single" w:sz="4" w:space="0" w:color="auto"/>
              <w:right w:val="nil"/>
            </w:tcBorders>
            <w:shd w:val="clear" w:color="auto" w:fill="D9D9D9"/>
            <w:noWrap/>
            <w:vAlign w:val="center"/>
          </w:tcPr>
          <w:p w14:paraId="785D76F8" w14:textId="0CADF204" w:rsidR="00643C20" w:rsidRDefault="00643C20" w:rsidP="00643C20">
            <w:pPr>
              <w:jc w:val="center"/>
              <w:rPr>
                <w:rFonts w:ascii="Arial Narrow" w:hAnsi="Arial Narrow"/>
                <w:sz w:val="18"/>
                <w:szCs w:val="18"/>
              </w:rPr>
            </w:pPr>
            <w:r>
              <w:rPr>
                <w:rFonts w:ascii="Arial Narrow" w:hAnsi="Arial Narrow"/>
                <w:sz w:val="18"/>
                <w:szCs w:val="18"/>
              </w:rPr>
              <w:t>-2,0</w:t>
            </w:r>
          </w:p>
        </w:tc>
        <w:tc>
          <w:tcPr>
            <w:tcW w:w="1134" w:type="dxa"/>
            <w:tcBorders>
              <w:top w:val="single" w:sz="4" w:space="0" w:color="auto"/>
              <w:left w:val="nil"/>
              <w:bottom w:val="single" w:sz="4" w:space="0" w:color="auto"/>
              <w:right w:val="nil"/>
            </w:tcBorders>
            <w:shd w:val="clear" w:color="auto" w:fill="D9D9D9"/>
            <w:noWrap/>
            <w:vAlign w:val="center"/>
          </w:tcPr>
          <w:p w14:paraId="34AA0FCA" w14:textId="57700FC9" w:rsidR="00643C20" w:rsidRDefault="00643C20" w:rsidP="00643C20">
            <w:pPr>
              <w:jc w:val="center"/>
              <w:rPr>
                <w:rFonts w:ascii="Arial Narrow" w:hAnsi="Arial Narrow"/>
                <w:sz w:val="18"/>
                <w:szCs w:val="18"/>
              </w:rPr>
            </w:pPr>
            <w:r>
              <w:rPr>
                <w:rFonts w:ascii="Arial Narrow" w:hAnsi="Arial Narrow"/>
                <w:sz w:val="18"/>
                <w:szCs w:val="18"/>
              </w:rPr>
              <w:t>+11,4</w:t>
            </w:r>
          </w:p>
        </w:tc>
        <w:tc>
          <w:tcPr>
            <w:tcW w:w="654" w:type="dxa"/>
            <w:tcBorders>
              <w:top w:val="single" w:sz="4" w:space="0" w:color="auto"/>
              <w:left w:val="nil"/>
              <w:bottom w:val="single" w:sz="4" w:space="0" w:color="auto"/>
              <w:right w:val="nil"/>
            </w:tcBorders>
            <w:shd w:val="clear" w:color="auto" w:fill="auto"/>
            <w:noWrap/>
            <w:vAlign w:val="center"/>
          </w:tcPr>
          <w:p w14:paraId="7B2C906C" w14:textId="6FED4E78" w:rsidR="00643C20" w:rsidRDefault="00643C20" w:rsidP="00643C20">
            <w:pPr>
              <w:jc w:val="center"/>
              <w:rPr>
                <w:rFonts w:ascii="Arial Narrow" w:hAnsi="Arial Narrow"/>
                <w:sz w:val="18"/>
                <w:szCs w:val="18"/>
              </w:rPr>
            </w:pPr>
            <w:r>
              <w:rPr>
                <w:rFonts w:ascii="Arial Narrow" w:hAnsi="Arial Narrow"/>
                <w:sz w:val="18"/>
                <w:szCs w:val="18"/>
              </w:rPr>
              <w:t>+28,4</w:t>
            </w:r>
          </w:p>
        </w:tc>
        <w:tc>
          <w:tcPr>
            <w:tcW w:w="984" w:type="dxa"/>
            <w:tcBorders>
              <w:top w:val="single" w:sz="4" w:space="0" w:color="auto"/>
              <w:left w:val="nil"/>
              <w:bottom w:val="single" w:sz="4" w:space="0" w:color="auto"/>
              <w:right w:val="nil"/>
            </w:tcBorders>
            <w:shd w:val="clear" w:color="auto" w:fill="auto"/>
            <w:noWrap/>
            <w:vAlign w:val="center"/>
          </w:tcPr>
          <w:p w14:paraId="77AD697B" w14:textId="50808B78" w:rsidR="00643C20" w:rsidRDefault="00643C20" w:rsidP="00643C20">
            <w:pPr>
              <w:jc w:val="center"/>
              <w:rPr>
                <w:rFonts w:ascii="Arial Narrow" w:hAnsi="Arial Narrow"/>
                <w:sz w:val="18"/>
                <w:szCs w:val="18"/>
              </w:rPr>
            </w:pPr>
            <w:r>
              <w:rPr>
                <w:rFonts w:ascii="Arial Narrow" w:hAnsi="Arial Narrow"/>
                <w:sz w:val="18"/>
                <w:szCs w:val="18"/>
              </w:rPr>
              <w:t>+16,0</w:t>
            </w:r>
          </w:p>
        </w:tc>
        <w:tc>
          <w:tcPr>
            <w:tcW w:w="709" w:type="dxa"/>
            <w:tcBorders>
              <w:top w:val="single" w:sz="4" w:space="0" w:color="auto"/>
              <w:left w:val="nil"/>
              <w:bottom w:val="single" w:sz="4" w:space="0" w:color="auto"/>
              <w:right w:val="nil"/>
            </w:tcBorders>
            <w:shd w:val="clear" w:color="auto" w:fill="D9D9D9"/>
            <w:noWrap/>
            <w:vAlign w:val="center"/>
          </w:tcPr>
          <w:p w14:paraId="52B48367" w14:textId="5AE527B3" w:rsidR="00643C20" w:rsidRDefault="00643C20" w:rsidP="00643C20">
            <w:pPr>
              <w:jc w:val="center"/>
              <w:rPr>
                <w:rFonts w:ascii="Arial Narrow" w:hAnsi="Arial Narrow"/>
                <w:sz w:val="18"/>
                <w:szCs w:val="18"/>
              </w:rPr>
            </w:pPr>
            <w:r>
              <w:rPr>
                <w:rFonts w:ascii="Arial Narrow" w:hAnsi="Arial Narrow"/>
                <w:sz w:val="18"/>
                <w:szCs w:val="18"/>
              </w:rPr>
              <w:t>+3.569</w:t>
            </w:r>
          </w:p>
        </w:tc>
        <w:tc>
          <w:tcPr>
            <w:tcW w:w="984" w:type="dxa"/>
            <w:tcBorders>
              <w:top w:val="single" w:sz="4" w:space="0" w:color="auto"/>
              <w:left w:val="nil"/>
              <w:bottom w:val="single" w:sz="4" w:space="0" w:color="auto"/>
              <w:right w:val="nil"/>
            </w:tcBorders>
            <w:shd w:val="clear" w:color="auto" w:fill="D9D9D9"/>
            <w:vAlign w:val="center"/>
          </w:tcPr>
          <w:p w14:paraId="7221D9A9" w14:textId="03711352" w:rsidR="00643C20" w:rsidRDefault="00643C20" w:rsidP="00643C20">
            <w:pPr>
              <w:jc w:val="center"/>
              <w:rPr>
                <w:rFonts w:ascii="Arial Narrow" w:hAnsi="Arial Narrow"/>
                <w:sz w:val="18"/>
                <w:szCs w:val="18"/>
              </w:rPr>
            </w:pPr>
            <w:r>
              <w:rPr>
                <w:rFonts w:ascii="Arial Narrow" w:hAnsi="Arial Narrow"/>
                <w:sz w:val="18"/>
                <w:szCs w:val="18"/>
              </w:rPr>
              <w:t>+41.188</w:t>
            </w:r>
          </w:p>
        </w:tc>
      </w:tr>
      <w:tr w:rsidR="00643C20" w:rsidRPr="008C0651" w14:paraId="3BC242ED" w14:textId="77777777" w:rsidTr="00643C20">
        <w:trPr>
          <w:trHeight w:val="255"/>
        </w:trPr>
        <w:tc>
          <w:tcPr>
            <w:tcW w:w="1587" w:type="dxa"/>
            <w:tcBorders>
              <w:top w:val="single" w:sz="4" w:space="0" w:color="auto"/>
              <w:left w:val="nil"/>
              <w:bottom w:val="single" w:sz="4" w:space="0" w:color="auto"/>
              <w:right w:val="nil"/>
            </w:tcBorders>
            <w:shd w:val="clear" w:color="auto" w:fill="auto"/>
            <w:vAlign w:val="bottom"/>
          </w:tcPr>
          <w:p w14:paraId="2807F478" w14:textId="77777777" w:rsidR="00643C20" w:rsidRPr="00831F78" w:rsidRDefault="00643C20" w:rsidP="00643C20">
            <w:pPr>
              <w:spacing w:before="40" w:after="20"/>
              <w:rPr>
                <w:rFonts w:ascii="Arial Narrow" w:hAnsi="Arial Narrow"/>
                <w:sz w:val="18"/>
                <w:szCs w:val="18"/>
              </w:rPr>
            </w:pPr>
            <w:r w:rsidRPr="00831F78">
              <w:rPr>
                <w:rFonts w:ascii="Arial Narrow" w:hAnsi="Arial Narrow"/>
                <w:sz w:val="18"/>
                <w:szCs w:val="18"/>
              </w:rPr>
              <w:t>Beni intermedi</w:t>
            </w:r>
          </w:p>
        </w:tc>
        <w:tc>
          <w:tcPr>
            <w:tcW w:w="665" w:type="dxa"/>
            <w:tcBorders>
              <w:top w:val="single" w:sz="4" w:space="0" w:color="auto"/>
              <w:left w:val="nil"/>
              <w:bottom w:val="single" w:sz="4" w:space="0" w:color="auto"/>
              <w:right w:val="nil"/>
            </w:tcBorders>
            <w:shd w:val="clear" w:color="auto" w:fill="D9D9D9"/>
            <w:noWrap/>
            <w:vAlign w:val="center"/>
          </w:tcPr>
          <w:p w14:paraId="543A5AC9" w14:textId="11C28B77" w:rsidR="00643C20" w:rsidRDefault="00643C20" w:rsidP="00643C20">
            <w:pPr>
              <w:jc w:val="center"/>
              <w:rPr>
                <w:rFonts w:ascii="Arial Narrow" w:hAnsi="Arial Narrow"/>
                <w:sz w:val="18"/>
                <w:szCs w:val="18"/>
              </w:rPr>
            </w:pPr>
            <w:r>
              <w:rPr>
                <w:rFonts w:ascii="Arial Narrow" w:hAnsi="Arial Narrow"/>
                <w:sz w:val="18"/>
                <w:szCs w:val="18"/>
              </w:rPr>
              <w:t>-1,2</w:t>
            </w:r>
          </w:p>
        </w:tc>
        <w:tc>
          <w:tcPr>
            <w:tcW w:w="1108" w:type="dxa"/>
            <w:tcBorders>
              <w:top w:val="single" w:sz="4" w:space="0" w:color="auto"/>
              <w:left w:val="nil"/>
              <w:bottom w:val="single" w:sz="4" w:space="0" w:color="auto"/>
              <w:right w:val="nil"/>
            </w:tcBorders>
            <w:shd w:val="clear" w:color="auto" w:fill="D9D9D9"/>
            <w:noWrap/>
            <w:vAlign w:val="center"/>
          </w:tcPr>
          <w:p w14:paraId="5DB9BDE4" w14:textId="4873B265" w:rsidR="00643C20" w:rsidRDefault="00643C20" w:rsidP="00643C20">
            <w:pPr>
              <w:jc w:val="center"/>
              <w:rPr>
                <w:rFonts w:ascii="Arial Narrow" w:hAnsi="Arial Narrow"/>
                <w:sz w:val="18"/>
                <w:szCs w:val="18"/>
              </w:rPr>
            </w:pPr>
            <w:r>
              <w:rPr>
                <w:rFonts w:ascii="Arial Narrow" w:hAnsi="Arial Narrow"/>
                <w:sz w:val="18"/>
                <w:szCs w:val="18"/>
              </w:rPr>
              <w:t>-0,6</w:t>
            </w:r>
          </w:p>
        </w:tc>
        <w:tc>
          <w:tcPr>
            <w:tcW w:w="685" w:type="dxa"/>
            <w:tcBorders>
              <w:top w:val="single" w:sz="4" w:space="0" w:color="auto"/>
              <w:left w:val="nil"/>
              <w:bottom w:val="single" w:sz="4" w:space="0" w:color="auto"/>
              <w:right w:val="nil"/>
            </w:tcBorders>
            <w:shd w:val="clear" w:color="auto" w:fill="auto"/>
            <w:noWrap/>
            <w:vAlign w:val="center"/>
          </w:tcPr>
          <w:p w14:paraId="39B6AABF" w14:textId="37677BE8" w:rsidR="00643C20" w:rsidRDefault="00643C20" w:rsidP="00643C20">
            <w:pPr>
              <w:jc w:val="center"/>
              <w:rPr>
                <w:rFonts w:ascii="Arial Narrow" w:hAnsi="Arial Narrow"/>
                <w:sz w:val="18"/>
                <w:szCs w:val="18"/>
              </w:rPr>
            </w:pPr>
            <w:r>
              <w:rPr>
                <w:rFonts w:ascii="Arial Narrow" w:hAnsi="Arial Narrow"/>
                <w:sz w:val="18"/>
                <w:szCs w:val="18"/>
              </w:rPr>
              <w:t>+18,0</w:t>
            </w:r>
          </w:p>
        </w:tc>
        <w:tc>
          <w:tcPr>
            <w:tcW w:w="1017" w:type="dxa"/>
            <w:tcBorders>
              <w:top w:val="single" w:sz="4" w:space="0" w:color="auto"/>
              <w:left w:val="nil"/>
              <w:bottom w:val="single" w:sz="4" w:space="0" w:color="auto"/>
              <w:right w:val="nil"/>
            </w:tcBorders>
            <w:shd w:val="clear" w:color="auto" w:fill="auto"/>
            <w:noWrap/>
            <w:vAlign w:val="center"/>
          </w:tcPr>
          <w:p w14:paraId="2FC12FD7" w14:textId="361A445E" w:rsidR="00643C20" w:rsidRDefault="00643C20" w:rsidP="00643C20">
            <w:pPr>
              <w:jc w:val="center"/>
              <w:rPr>
                <w:rFonts w:ascii="Arial Narrow" w:hAnsi="Arial Narrow"/>
                <w:sz w:val="18"/>
                <w:szCs w:val="18"/>
              </w:rPr>
            </w:pPr>
            <w:r>
              <w:rPr>
                <w:rFonts w:ascii="Arial Narrow" w:hAnsi="Arial Narrow"/>
                <w:sz w:val="18"/>
                <w:szCs w:val="18"/>
              </w:rPr>
              <w:t>+22,7</w:t>
            </w:r>
          </w:p>
        </w:tc>
        <w:tc>
          <w:tcPr>
            <w:tcW w:w="708" w:type="dxa"/>
            <w:tcBorders>
              <w:top w:val="single" w:sz="4" w:space="0" w:color="auto"/>
              <w:left w:val="nil"/>
              <w:bottom w:val="single" w:sz="4" w:space="0" w:color="auto"/>
              <w:right w:val="nil"/>
            </w:tcBorders>
            <w:shd w:val="clear" w:color="auto" w:fill="D9D9D9"/>
            <w:noWrap/>
            <w:vAlign w:val="center"/>
          </w:tcPr>
          <w:p w14:paraId="21550567" w14:textId="04E991FB" w:rsidR="00643C20" w:rsidRDefault="00643C20" w:rsidP="00643C20">
            <w:pPr>
              <w:jc w:val="center"/>
              <w:rPr>
                <w:rFonts w:ascii="Arial Narrow" w:hAnsi="Arial Narrow"/>
                <w:sz w:val="18"/>
                <w:szCs w:val="18"/>
              </w:rPr>
            </w:pPr>
            <w:r>
              <w:rPr>
                <w:rFonts w:ascii="Arial Narrow" w:hAnsi="Arial Narrow"/>
                <w:sz w:val="18"/>
                <w:szCs w:val="18"/>
              </w:rPr>
              <w:t>-0,3</w:t>
            </w:r>
          </w:p>
        </w:tc>
        <w:tc>
          <w:tcPr>
            <w:tcW w:w="1134" w:type="dxa"/>
            <w:tcBorders>
              <w:top w:val="single" w:sz="4" w:space="0" w:color="auto"/>
              <w:left w:val="nil"/>
              <w:bottom w:val="single" w:sz="4" w:space="0" w:color="auto"/>
              <w:right w:val="nil"/>
            </w:tcBorders>
            <w:shd w:val="clear" w:color="auto" w:fill="D9D9D9"/>
            <w:noWrap/>
            <w:vAlign w:val="center"/>
          </w:tcPr>
          <w:p w14:paraId="55BD0008" w14:textId="70AB77D2" w:rsidR="00643C20" w:rsidRDefault="00643C20" w:rsidP="00643C20">
            <w:pPr>
              <w:jc w:val="center"/>
              <w:rPr>
                <w:rFonts w:ascii="Arial Narrow" w:hAnsi="Arial Narrow"/>
                <w:sz w:val="18"/>
                <w:szCs w:val="18"/>
              </w:rPr>
            </w:pPr>
            <w:r>
              <w:rPr>
                <w:rFonts w:ascii="Arial Narrow" w:hAnsi="Arial Narrow"/>
                <w:sz w:val="18"/>
                <w:szCs w:val="18"/>
              </w:rPr>
              <w:t>-2,9</w:t>
            </w:r>
          </w:p>
        </w:tc>
        <w:tc>
          <w:tcPr>
            <w:tcW w:w="654" w:type="dxa"/>
            <w:tcBorders>
              <w:top w:val="single" w:sz="4" w:space="0" w:color="auto"/>
              <w:left w:val="nil"/>
              <w:bottom w:val="single" w:sz="4" w:space="0" w:color="auto"/>
              <w:right w:val="nil"/>
            </w:tcBorders>
            <w:shd w:val="clear" w:color="auto" w:fill="auto"/>
            <w:noWrap/>
            <w:vAlign w:val="center"/>
          </w:tcPr>
          <w:p w14:paraId="4EB714E9" w14:textId="67C41AD9" w:rsidR="00643C20" w:rsidRDefault="00643C20" w:rsidP="00643C20">
            <w:pPr>
              <w:jc w:val="center"/>
              <w:rPr>
                <w:rFonts w:ascii="Arial Narrow" w:hAnsi="Arial Narrow"/>
                <w:sz w:val="18"/>
                <w:szCs w:val="18"/>
              </w:rPr>
            </w:pPr>
            <w:r>
              <w:rPr>
                <w:rFonts w:ascii="Arial Narrow" w:hAnsi="Arial Narrow"/>
                <w:sz w:val="18"/>
                <w:szCs w:val="18"/>
              </w:rPr>
              <w:t>+16,9</w:t>
            </w:r>
          </w:p>
        </w:tc>
        <w:tc>
          <w:tcPr>
            <w:tcW w:w="984" w:type="dxa"/>
            <w:tcBorders>
              <w:top w:val="single" w:sz="4" w:space="0" w:color="auto"/>
              <w:left w:val="nil"/>
              <w:bottom w:val="single" w:sz="4" w:space="0" w:color="auto"/>
              <w:right w:val="nil"/>
            </w:tcBorders>
            <w:shd w:val="clear" w:color="auto" w:fill="auto"/>
            <w:noWrap/>
            <w:vAlign w:val="center"/>
          </w:tcPr>
          <w:p w14:paraId="60AA1EF6" w14:textId="62A82421" w:rsidR="00643C20" w:rsidRDefault="00643C20" w:rsidP="00643C20">
            <w:pPr>
              <w:jc w:val="center"/>
              <w:rPr>
                <w:rFonts w:ascii="Arial Narrow" w:hAnsi="Arial Narrow"/>
                <w:sz w:val="18"/>
                <w:szCs w:val="18"/>
              </w:rPr>
            </w:pPr>
            <w:r>
              <w:rPr>
                <w:rFonts w:ascii="Arial Narrow" w:hAnsi="Arial Narrow"/>
                <w:sz w:val="18"/>
                <w:szCs w:val="18"/>
              </w:rPr>
              <w:t>+33,1</w:t>
            </w:r>
          </w:p>
        </w:tc>
        <w:tc>
          <w:tcPr>
            <w:tcW w:w="709" w:type="dxa"/>
            <w:tcBorders>
              <w:top w:val="single" w:sz="4" w:space="0" w:color="auto"/>
              <w:left w:val="nil"/>
              <w:bottom w:val="single" w:sz="4" w:space="0" w:color="auto"/>
              <w:right w:val="nil"/>
            </w:tcBorders>
            <w:shd w:val="clear" w:color="auto" w:fill="D9D9D9"/>
            <w:noWrap/>
            <w:vAlign w:val="center"/>
          </w:tcPr>
          <w:p w14:paraId="7972A7EB" w14:textId="0C26799E" w:rsidR="00643C20" w:rsidRDefault="00643C20" w:rsidP="00643C20">
            <w:pPr>
              <w:jc w:val="center"/>
              <w:rPr>
                <w:rFonts w:ascii="Arial Narrow" w:hAnsi="Arial Narrow"/>
                <w:sz w:val="18"/>
                <w:szCs w:val="18"/>
              </w:rPr>
            </w:pPr>
            <w:r>
              <w:rPr>
                <w:rFonts w:ascii="Arial Narrow" w:hAnsi="Arial Narrow"/>
                <w:sz w:val="18"/>
                <w:szCs w:val="18"/>
              </w:rPr>
              <w:t>-1.460</w:t>
            </w:r>
          </w:p>
        </w:tc>
        <w:tc>
          <w:tcPr>
            <w:tcW w:w="984" w:type="dxa"/>
            <w:tcBorders>
              <w:top w:val="single" w:sz="4" w:space="0" w:color="auto"/>
              <w:left w:val="nil"/>
              <w:bottom w:val="single" w:sz="4" w:space="0" w:color="auto"/>
              <w:right w:val="nil"/>
            </w:tcBorders>
            <w:shd w:val="clear" w:color="auto" w:fill="D9D9D9"/>
            <w:vAlign w:val="center"/>
          </w:tcPr>
          <w:p w14:paraId="3EA0D96F" w14:textId="182EED08" w:rsidR="00643C20" w:rsidRDefault="00643C20" w:rsidP="00643C20">
            <w:pPr>
              <w:jc w:val="center"/>
              <w:rPr>
                <w:rFonts w:ascii="Arial Narrow" w:hAnsi="Arial Narrow"/>
                <w:sz w:val="18"/>
                <w:szCs w:val="18"/>
              </w:rPr>
            </w:pPr>
            <w:r>
              <w:rPr>
                <w:rFonts w:ascii="Arial Narrow" w:hAnsi="Arial Narrow"/>
                <w:sz w:val="18"/>
                <w:szCs w:val="18"/>
              </w:rPr>
              <w:t>-20.602</w:t>
            </w:r>
          </w:p>
        </w:tc>
      </w:tr>
      <w:tr w:rsidR="00643C20" w:rsidRPr="008C0651" w14:paraId="7064A5C0" w14:textId="77777777" w:rsidTr="00643C20">
        <w:trPr>
          <w:trHeight w:val="255"/>
        </w:trPr>
        <w:tc>
          <w:tcPr>
            <w:tcW w:w="1587" w:type="dxa"/>
            <w:tcBorders>
              <w:top w:val="single" w:sz="4" w:space="0" w:color="auto"/>
              <w:left w:val="nil"/>
              <w:bottom w:val="single" w:sz="4" w:space="0" w:color="auto"/>
              <w:right w:val="nil"/>
            </w:tcBorders>
            <w:shd w:val="clear" w:color="auto" w:fill="auto"/>
            <w:vAlign w:val="bottom"/>
          </w:tcPr>
          <w:p w14:paraId="268E6281" w14:textId="77777777" w:rsidR="00643C20" w:rsidRPr="00831F78" w:rsidRDefault="00643C20" w:rsidP="00643C20">
            <w:pPr>
              <w:spacing w:before="40" w:after="20"/>
              <w:rPr>
                <w:rFonts w:ascii="Arial Narrow" w:hAnsi="Arial Narrow"/>
                <w:sz w:val="18"/>
                <w:szCs w:val="18"/>
              </w:rPr>
            </w:pPr>
            <w:r w:rsidRPr="00831F78">
              <w:rPr>
                <w:rFonts w:ascii="Arial Narrow" w:hAnsi="Arial Narrow"/>
                <w:sz w:val="18"/>
                <w:szCs w:val="18"/>
              </w:rPr>
              <w:t>Energia</w:t>
            </w:r>
          </w:p>
        </w:tc>
        <w:tc>
          <w:tcPr>
            <w:tcW w:w="665" w:type="dxa"/>
            <w:tcBorders>
              <w:top w:val="single" w:sz="4" w:space="0" w:color="auto"/>
              <w:left w:val="nil"/>
              <w:bottom w:val="single" w:sz="4" w:space="0" w:color="auto"/>
              <w:right w:val="nil"/>
            </w:tcBorders>
            <w:shd w:val="clear" w:color="auto" w:fill="D9D9D9"/>
            <w:noWrap/>
            <w:vAlign w:val="center"/>
          </w:tcPr>
          <w:p w14:paraId="3F65B1A0" w14:textId="0E0F752C" w:rsidR="00643C20" w:rsidRDefault="00643C20" w:rsidP="00643C20">
            <w:pPr>
              <w:jc w:val="center"/>
              <w:rPr>
                <w:rFonts w:ascii="Arial Narrow" w:hAnsi="Arial Narrow"/>
                <w:sz w:val="18"/>
                <w:szCs w:val="18"/>
              </w:rPr>
            </w:pPr>
            <w:r>
              <w:rPr>
                <w:rFonts w:ascii="Arial Narrow" w:hAnsi="Arial Narrow"/>
                <w:sz w:val="18"/>
                <w:szCs w:val="18"/>
              </w:rPr>
              <w:t>+19,7</w:t>
            </w:r>
          </w:p>
        </w:tc>
        <w:tc>
          <w:tcPr>
            <w:tcW w:w="1108" w:type="dxa"/>
            <w:tcBorders>
              <w:top w:val="single" w:sz="4" w:space="0" w:color="auto"/>
              <w:left w:val="nil"/>
              <w:bottom w:val="single" w:sz="4" w:space="0" w:color="auto"/>
              <w:right w:val="nil"/>
            </w:tcBorders>
            <w:shd w:val="clear" w:color="auto" w:fill="D9D9D9"/>
            <w:noWrap/>
            <w:vAlign w:val="center"/>
          </w:tcPr>
          <w:p w14:paraId="3B5C1AE5" w14:textId="0D8FD37D" w:rsidR="00643C20" w:rsidRDefault="00643C20" w:rsidP="00643C20">
            <w:pPr>
              <w:jc w:val="center"/>
              <w:rPr>
                <w:rFonts w:ascii="Arial Narrow" w:hAnsi="Arial Narrow"/>
                <w:sz w:val="18"/>
                <w:szCs w:val="18"/>
              </w:rPr>
            </w:pPr>
            <w:r>
              <w:rPr>
                <w:rFonts w:ascii="Arial Narrow" w:hAnsi="Arial Narrow"/>
                <w:sz w:val="18"/>
                <w:szCs w:val="18"/>
              </w:rPr>
              <w:t>-14,4</w:t>
            </w:r>
          </w:p>
        </w:tc>
        <w:tc>
          <w:tcPr>
            <w:tcW w:w="685" w:type="dxa"/>
            <w:tcBorders>
              <w:top w:val="single" w:sz="4" w:space="0" w:color="auto"/>
              <w:left w:val="nil"/>
              <w:bottom w:val="single" w:sz="4" w:space="0" w:color="auto"/>
              <w:right w:val="nil"/>
            </w:tcBorders>
            <w:shd w:val="clear" w:color="auto" w:fill="auto"/>
            <w:noWrap/>
            <w:vAlign w:val="center"/>
          </w:tcPr>
          <w:p w14:paraId="57809FE0" w14:textId="64536F19" w:rsidR="00643C20" w:rsidRDefault="00643C20" w:rsidP="00643C20">
            <w:pPr>
              <w:jc w:val="center"/>
              <w:rPr>
                <w:rFonts w:ascii="Arial Narrow" w:hAnsi="Arial Narrow"/>
                <w:sz w:val="18"/>
                <w:szCs w:val="18"/>
              </w:rPr>
            </w:pPr>
            <w:r>
              <w:rPr>
                <w:rFonts w:ascii="Arial Narrow" w:hAnsi="Arial Narrow"/>
                <w:sz w:val="18"/>
                <w:szCs w:val="18"/>
              </w:rPr>
              <w:t>+87,3</w:t>
            </w:r>
          </w:p>
        </w:tc>
        <w:tc>
          <w:tcPr>
            <w:tcW w:w="1017" w:type="dxa"/>
            <w:tcBorders>
              <w:top w:val="single" w:sz="4" w:space="0" w:color="auto"/>
              <w:left w:val="nil"/>
              <w:bottom w:val="single" w:sz="4" w:space="0" w:color="auto"/>
              <w:right w:val="nil"/>
            </w:tcBorders>
            <w:shd w:val="clear" w:color="auto" w:fill="auto"/>
            <w:noWrap/>
            <w:vAlign w:val="center"/>
          </w:tcPr>
          <w:p w14:paraId="7C8248A9" w14:textId="1BD12E22" w:rsidR="00643C20" w:rsidRDefault="00643C20" w:rsidP="00643C20">
            <w:pPr>
              <w:jc w:val="center"/>
              <w:rPr>
                <w:rFonts w:ascii="Arial Narrow" w:hAnsi="Arial Narrow"/>
                <w:sz w:val="18"/>
                <w:szCs w:val="18"/>
              </w:rPr>
            </w:pPr>
            <w:r>
              <w:rPr>
                <w:rFonts w:ascii="Arial Narrow" w:hAnsi="Arial Narrow"/>
                <w:sz w:val="18"/>
                <w:szCs w:val="18"/>
              </w:rPr>
              <w:t>+109,7</w:t>
            </w:r>
          </w:p>
        </w:tc>
        <w:tc>
          <w:tcPr>
            <w:tcW w:w="708" w:type="dxa"/>
            <w:tcBorders>
              <w:top w:val="single" w:sz="4" w:space="0" w:color="auto"/>
              <w:left w:val="nil"/>
              <w:bottom w:val="single" w:sz="4" w:space="0" w:color="auto"/>
              <w:right w:val="nil"/>
            </w:tcBorders>
            <w:shd w:val="clear" w:color="auto" w:fill="D9D9D9"/>
            <w:noWrap/>
            <w:vAlign w:val="center"/>
          </w:tcPr>
          <w:p w14:paraId="2D2A7800" w14:textId="7359AD11" w:rsidR="00643C20" w:rsidRDefault="00643C20" w:rsidP="00643C20">
            <w:pPr>
              <w:jc w:val="center"/>
              <w:rPr>
                <w:rFonts w:ascii="Arial Narrow" w:hAnsi="Arial Narrow"/>
                <w:sz w:val="18"/>
                <w:szCs w:val="18"/>
              </w:rPr>
            </w:pPr>
            <w:r>
              <w:rPr>
                <w:rFonts w:ascii="Arial Narrow" w:hAnsi="Arial Narrow"/>
                <w:sz w:val="18"/>
                <w:szCs w:val="18"/>
              </w:rPr>
              <w:t>-20,6</w:t>
            </w:r>
          </w:p>
        </w:tc>
        <w:tc>
          <w:tcPr>
            <w:tcW w:w="1134" w:type="dxa"/>
            <w:tcBorders>
              <w:top w:val="single" w:sz="4" w:space="0" w:color="auto"/>
              <w:left w:val="nil"/>
              <w:bottom w:val="single" w:sz="4" w:space="0" w:color="auto"/>
              <w:right w:val="nil"/>
            </w:tcBorders>
            <w:shd w:val="clear" w:color="auto" w:fill="D9D9D9"/>
            <w:noWrap/>
            <w:vAlign w:val="center"/>
          </w:tcPr>
          <w:p w14:paraId="514A7489" w14:textId="139A7ACE" w:rsidR="00643C20" w:rsidRDefault="00643C20" w:rsidP="00643C20">
            <w:pPr>
              <w:jc w:val="center"/>
              <w:rPr>
                <w:rFonts w:ascii="Arial Narrow" w:hAnsi="Arial Narrow"/>
                <w:sz w:val="18"/>
                <w:szCs w:val="18"/>
              </w:rPr>
            </w:pPr>
            <w:r>
              <w:rPr>
                <w:rFonts w:ascii="Arial Narrow" w:hAnsi="Arial Narrow"/>
                <w:sz w:val="18"/>
                <w:szCs w:val="18"/>
              </w:rPr>
              <w:t>+7,9</w:t>
            </w:r>
          </w:p>
        </w:tc>
        <w:tc>
          <w:tcPr>
            <w:tcW w:w="654" w:type="dxa"/>
            <w:tcBorders>
              <w:top w:val="single" w:sz="4" w:space="0" w:color="auto"/>
              <w:left w:val="nil"/>
              <w:bottom w:val="single" w:sz="4" w:space="0" w:color="auto"/>
              <w:right w:val="nil"/>
            </w:tcBorders>
            <w:shd w:val="clear" w:color="auto" w:fill="auto"/>
            <w:noWrap/>
            <w:vAlign w:val="center"/>
          </w:tcPr>
          <w:p w14:paraId="3065921F" w14:textId="6847FEFB" w:rsidR="00643C20" w:rsidRDefault="00643C20" w:rsidP="00643C20">
            <w:pPr>
              <w:jc w:val="center"/>
              <w:rPr>
                <w:rFonts w:ascii="Arial Narrow" w:hAnsi="Arial Narrow"/>
                <w:sz w:val="18"/>
                <w:szCs w:val="18"/>
              </w:rPr>
            </w:pPr>
            <w:r>
              <w:rPr>
                <w:rFonts w:ascii="Arial Narrow" w:hAnsi="Arial Narrow"/>
                <w:sz w:val="18"/>
                <w:szCs w:val="18"/>
              </w:rPr>
              <w:t>+57,5</w:t>
            </w:r>
          </w:p>
        </w:tc>
        <w:tc>
          <w:tcPr>
            <w:tcW w:w="984" w:type="dxa"/>
            <w:tcBorders>
              <w:top w:val="single" w:sz="4" w:space="0" w:color="auto"/>
              <w:left w:val="nil"/>
              <w:bottom w:val="single" w:sz="4" w:space="0" w:color="auto"/>
              <w:right w:val="nil"/>
            </w:tcBorders>
            <w:shd w:val="clear" w:color="auto" w:fill="auto"/>
            <w:noWrap/>
            <w:vAlign w:val="center"/>
          </w:tcPr>
          <w:p w14:paraId="43A38DBF" w14:textId="081E470C" w:rsidR="00643C20" w:rsidRDefault="00643C20" w:rsidP="00643C20">
            <w:pPr>
              <w:jc w:val="center"/>
              <w:rPr>
                <w:rFonts w:ascii="Arial Narrow" w:hAnsi="Arial Narrow"/>
                <w:sz w:val="18"/>
                <w:szCs w:val="18"/>
              </w:rPr>
            </w:pPr>
            <w:r>
              <w:rPr>
                <w:rFonts w:ascii="Arial Narrow" w:hAnsi="Arial Narrow"/>
                <w:sz w:val="18"/>
                <w:szCs w:val="18"/>
              </w:rPr>
              <w:t>+151,7</w:t>
            </w:r>
          </w:p>
        </w:tc>
        <w:tc>
          <w:tcPr>
            <w:tcW w:w="709" w:type="dxa"/>
            <w:tcBorders>
              <w:top w:val="single" w:sz="4" w:space="0" w:color="auto"/>
              <w:left w:val="nil"/>
              <w:bottom w:val="single" w:sz="4" w:space="0" w:color="auto"/>
              <w:right w:val="nil"/>
            </w:tcBorders>
            <w:shd w:val="clear" w:color="auto" w:fill="D9D9D9"/>
            <w:noWrap/>
            <w:vAlign w:val="center"/>
          </w:tcPr>
          <w:p w14:paraId="7481B419" w14:textId="4950A75B" w:rsidR="00643C20" w:rsidRDefault="00643C20" w:rsidP="00643C20">
            <w:pPr>
              <w:jc w:val="center"/>
              <w:rPr>
                <w:rFonts w:ascii="Arial Narrow" w:hAnsi="Arial Narrow"/>
                <w:sz w:val="18"/>
                <w:szCs w:val="18"/>
              </w:rPr>
            </w:pPr>
            <w:r>
              <w:rPr>
                <w:rFonts w:ascii="Arial Narrow" w:hAnsi="Arial Narrow"/>
                <w:sz w:val="18"/>
                <w:szCs w:val="18"/>
              </w:rPr>
              <w:t>-8.762</w:t>
            </w:r>
          </w:p>
        </w:tc>
        <w:tc>
          <w:tcPr>
            <w:tcW w:w="984" w:type="dxa"/>
            <w:tcBorders>
              <w:top w:val="single" w:sz="4" w:space="0" w:color="auto"/>
              <w:left w:val="nil"/>
              <w:bottom w:val="single" w:sz="4" w:space="0" w:color="auto"/>
              <w:right w:val="nil"/>
            </w:tcBorders>
            <w:shd w:val="clear" w:color="auto" w:fill="D9D9D9"/>
            <w:vAlign w:val="center"/>
          </w:tcPr>
          <w:p w14:paraId="2EE70983" w14:textId="14872EBE" w:rsidR="00643C20" w:rsidRDefault="00643C20" w:rsidP="00643C20">
            <w:pPr>
              <w:jc w:val="center"/>
              <w:rPr>
                <w:rFonts w:ascii="Arial Narrow" w:hAnsi="Arial Narrow"/>
                <w:sz w:val="18"/>
                <w:szCs w:val="18"/>
              </w:rPr>
            </w:pPr>
            <w:r>
              <w:rPr>
                <w:rFonts w:ascii="Arial Narrow" w:hAnsi="Arial Narrow"/>
                <w:sz w:val="18"/>
                <w:szCs w:val="18"/>
              </w:rPr>
              <w:t>-93.887</w:t>
            </w:r>
          </w:p>
        </w:tc>
      </w:tr>
      <w:tr w:rsidR="00643C20" w:rsidRPr="008C0651" w14:paraId="5E98AC6E" w14:textId="77777777" w:rsidTr="00643C20">
        <w:trPr>
          <w:trHeight w:val="255"/>
        </w:trPr>
        <w:tc>
          <w:tcPr>
            <w:tcW w:w="1587" w:type="dxa"/>
            <w:tcBorders>
              <w:top w:val="single" w:sz="4" w:space="0" w:color="auto"/>
              <w:left w:val="nil"/>
              <w:bottom w:val="single" w:sz="4" w:space="0" w:color="auto"/>
              <w:right w:val="nil"/>
            </w:tcBorders>
            <w:shd w:val="clear" w:color="auto" w:fill="auto"/>
            <w:vAlign w:val="bottom"/>
          </w:tcPr>
          <w:p w14:paraId="6037BBAC" w14:textId="77777777" w:rsidR="00643C20" w:rsidRPr="00831F78" w:rsidRDefault="00643C20" w:rsidP="00643C20">
            <w:pPr>
              <w:spacing w:before="40" w:after="20"/>
              <w:rPr>
                <w:rFonts w:ascii="Arial Narrow" w:hAnsi="Arial Narrow"/>
                <w:sz w:val="18"/>
                <w:szCs w:val="18"/>
              </w:rPr>
            </w:pPr>
            <w:r w:rsidRPr="00831F78">
              <w:rPr>
                <w:rFonts w:ascii="Arial Narrow" w:hAnsi="Arial Narrow"/>
                <w:sz w:val="18"/>
                <w:szCs w:val="18"/>
              </w:rPr>
              <w:t>Totale al netto dell’energia</w:t>
            </w:r>
          </w:p>
        </w:tc>
        <w:tc>
          <w:tcPr>
            <w:tcW w:w="665" w:type="dxa"/>
            <w:tcBorders>
              <w:top w:val="single" w:sz="4" w:space="0" w:color="auto"/>
              <w:left w:val="nil"/>
              <w:bottom w:val="single" w:sz="4" w:space="0" w:color="auto"/>
              <w:right w:val="nil"/>
            </w:tcBorders>
            <w:shd w:val="clear" w:color="auto" w:fill="D9D9D9"/>
            <w:noWrap/>
            <w:vAlign w:val="center"/>
          </w:tcPr>
          <w:p w14:paraId="55279850" w14:textId="306DCBDB" w:rsidR="00643C20" w:rsidRDefault="00643C20" w:rsidP="00643C20">
            <w:pPr>
              <w:jc w:val="center"/>
              <w:rPr>
                <w:rFonts w:ascii="Arial Narrow" w:hAnsi="Arial Narrow"/>
                <w:sz w:val="18"/>
                <w:szCs w:val="18"/>
              </w:rPr>
            </w:pPr>
            <w:r>
              <w:rPr>
                <w:rFonts w:ascii="Arial Narrow" w:hAnsi="Arial Narrow"/>
                <w:sz w:val="18"/>
                <w:szCs w:val="18"/>
              </w:rPr>
              <w:t>-2,0</w:t>
            </w:r>
          </w:p>
        </w:tc>
        <w:tc>
          <w:tcPr>
            <w:tcW w:w="1108" w:type="dxa"/>
            <w:tcBorders>
              <w:top w:val="single" w:sz="4" w:space="0" w:color="auto"/>
              <w:left w:val="nil"/>
              <w:bottom w:val="single" w:sz="4" w:space="0" w:color="auto"/>
              <w:right w:val="nil"/>
            </w:tcBorders>
            <w:shd w:val="clear" w:color="auto" w:fill="D9D9D9"/>
            <w:noWrap/>
            <w:vAlign w:val="center"/>
          </w:tcPr>
          <w:p w14:paraId="6B0B254E" w14:textId="4B98E331" w:rsidR="00643C20" w:rsidRDefault="00643C20" w:rsidP="00643C20">
            <w:pPr>
              <w:jc w:val="center"/>
              <w:rPr>
                <w:rFonts w:ascii="Arial Narrow" w:hAnsi="Arial Narrow"/>
                <w:sz w:val="18"/>
                <w:szCs w:val="18"/>
              </w:rPr>
            </w:pPr>
            <w:r>
              <w:rPr>
                <w:rFonts w:ascii="Arial Narrow" w:hAnsi="Arial Narrow"/>
                <w:sz w:val="18"/>
                <w:szCs w:val="18"/>
              </w:rPr>
              <w:t>+0,1</w:t>
            </w:r>
          </w:p>
        </w:tc>
        <w:tc>
          <w:tcPr>
            <w:tcW w:w="685" w:type="dxa"/>
            <w:tcBorders>
              <w:top w:val="single" w:sz="4" w:space="0" w:color="auto"/>
              <w:left w:val="nil"/>
              <w:bottom w:val="single" w:sz="4" w:space="0" w:color="auto"/>
              <w:right w:val="nil"/>
            </w:tcBorders>
            <w:shd w:val="clear" w:color="auto" w:fill="auto"/>
            <w:noWrap/>
            <w:vAlign w:val="center"/>
          </w:tcPr>
          <w:p w14:paraId="25A2FEEC" w14:textId="0A735575" w:rsidR="00643C20" w:rsidRDefault="00643C20" w:rsidP="00643C20">
            <w:pPr>
              <w:jc w:val="center"/>
              <w:rPr>
                <w:rFonts w:ascii="Arial Narrow" w:hAnsi="Arial Narrow"/>
                <w:sz w:val="18"/>
                <w:szCs w:val="18"/>
              </w:rPr>
            </w:pPr>
            <w:r>
              <w:rPr>
                <w:rFonts w:ascii="Arial Narrow" w:hAnsi="Arial Narrow"/>
                <w:sz w:val="18"/>
                <w:szCs w:val="18"/>
              </w:rPr>
              <w:t>+15,3</w:t>
            </w:r>
          </w:p>
        </w:tc>
        <w:tc>
          <w:tcPr>
            <w:tcW w:w="1017" w:type="dxa"/>
            <w:tcBorders>
              <w:top w:val="single" w:sz="4" w:space="0" w:color="auto"/>
              <w:left w:val="nil"/>
              <w:bottom w:val="single" w:sz="4" w:space="0" w:color="auto"/>
              <w:right w:val="nil"/>
            </w:tcBorders>
            <w:shd w:val="clear" w:color="auto" w:fill="auto"/>
            <w:noWrap/>
            <w:vAlign w:val="center"/>
          </w:tcPr>
          <w:p w14:paraId="791A78A0" w14:textId="38864C1D" w:rsidR="00643C20" w:rsidRDefault="00643C20" w:rsidP="00643C20">
            <w:pPr>
              <w:jc w:val="center"/>
              <w:rPr>
                <w:rFonts w:ascii="Arial Narrow" w:hAnsi="Arial Narrow"/>
                <w:sz w:val="18"/>
                <w:szCs w:val="18"/>
              </w:rPr>
            </w:pPr>
            <w:r>
              <w:rPr>
                <w:rFonts w:ascii="Arial Narrow" w:hAnsi="Arial Narrow"/>
                <w:sz w:val="18"/>
                <w:szCs w:val="18"/>
              </w:rPr>
              <w:t>+18,3</w:t>
            </w:r>
          </w:p>
        </w:tc>
        <w:tc>
          <w:tcPr>
            <w:tcW w:w="708" w:type="dxa"/>
            <w:tcBorders>
              <w:top w:val="single" w:sz="4" w:space="0" w:color="auto"/>
              <w:left w:val="nil"/>
              <w:bottom w:val="single" w:sz="4" w:space="0" w:color="auto"/>
              <w:right w:val="nil"/>
            </w:tcBorders>
            <w:shd w:val="clear" w:color="auto" w:fill="D9D9D9"/>
            <w:noWrap/>
            <w:vAlign w:val="center"/>
          </w:tcPr>
          <w:p w14:paraId="07928A9D" w14:textId="52C47986" w:rsidR="00643C20" w:rsidRDefault="00643C20" w:rsidP="00643C20">
            <w:pPr>
              <w:jc w:val="center"/>
              <w:rPr>
                <w:rFonts w:ascii="Arial Narrow" w:hAnsi="Arial Narrow"/>
                <w:sz w:val="18"/>
                <w:szCs w:val="18"/>
              </w:rPr>
            </w:pPr>
            <w:r>
              <w:rPr>
                <w:rFonts w:ascii="Arial Narrow" w:hAnsi="Arial Narrow"/>
                <w:sz w:val="18"/>
                <w:szCs w:val="18"/>
              </w:rPr>
              <w:t>-0,5</w:t>
            </w:r>
          </w:p>
        </w:tc>
        <w:tc>
          <w:tcPr>
            <w:tcW w:w="1134" w:type="dxa"/>
            <w:tcBorders>
              <w:top w:val="single" w:sz="4" w:space="0" w:color="auto"/>
              <w:left w:val="nil"/>
              <w:bottom w:val="single" w:sz="4" w:space="0" w:color="auto"/>
              <w:right w:val="nil"/>
            </w:tcBorders>
            <w:shd w:val="clear" w:color="auto" w:fill="D9D9D9"/>
            <w:noWrap/>
            <w:vAlign w:val="center"/>
          </w:tcPr>
          <w:p w14:paraId="1BDC5F83" w14:textId="2C9B391E" w:rsidR="00643C20" w:rsidRDefault="00643C20" w:rsidP="00643C20">
            <w:pPr>
              <w:jc w:val="center"/>
              <w:rPr>
                <w:rFonts w:ascii="Arial Narrow" w:hAnsi="Arial Narrow"/>
                <w:sz w:val="18"/>
                <w:szCs w:val="18"/>
              </w:rPr>
            </w:pPr>
            <w:r>
              <w:rPr>
                <w:rFonts w:ascii="Arial Narrow" w:hAnsi="Arial Narrow"/>
                <w:sz w:val="18"/>
                <w:szCs w:val="18"/>
              </w:rPr>
              <w:t>+2,7</w:t>
            </w:r>
          </w:p>
        </w:tc>
        <w:tc>
          <w:tcPr>
            <w:tcW w:w="654" w:type="dxa"/>
            <w:tcBorders>
              <w:top w:val="single" w:sz="4" w:space="0" w:color="auto"/>
              <w:left w:val="nil"/>
              <w:bottom w:val="single" w:sz="4" w:space="0" w:color="auto"/>
              <w:right w:val="nil"/>
            </w:tcBorders>
            <w:shd w:val="clear" w:color="auto" w:fill="auto"/>
            <w:noWrap/>
            <w:vAlign w:val="center"/>
          </w:tcPr>
          <w:p w14:paraId="7048DA16" w14:textId="24BAF40A" w:rsidR="00643C20" w:rsidRDefault="00643C20" w:rsidP="00643C20">
            <w:pPr>
              <w:jc w:val="center"/>
              <w:rPr>
                <w:rFonts w:ascii="Arial Narrow" w:hAnsi="Arial Narrow"/>
                <w:sz w:val="18"/>
                <w:szCs w:val="18"/>
              </w:rPr>
            </w:pPr>
            <w:r>
              <w:rPr>
                <w:rFonts w:ascii="Arial Narrow" w:hAnsi="Arial Narrow"/>
                <w:sz w:val="18"/>
                <w:szCs w:val="18"/>
              </w:rPr>
              <w:t>+22,4</w:t>
            </w:r>
          </w:p>
        </w:tc>
        <w:tc>
          <w:tcPr>
            <w:tcW w:w="984" w:type="dxa"/>
            <w:tcBorders>
              <w:top w:val="single" w:sz="4" w:space="0" w:color="auto"/>
              <w:left w:val="nil"/>
              <w:bottom w:val="single" w:sz="4" w:space="0" w:color="auto"/>
              <w:right w:val="nil"/>
            </w:tcBorders>
            <w:shd w:val="clear" w:color="auto" w:fill="auto"/>
            <w:noWrap/>
            <w:vAlign w:val="center"/>
          </w:tcPr>
          <w:p w14:paraId="35E3725B" w14:textId="762EA285" w:rsidR="00643C20" w:rsidRDefault="00643C20" w:rsidP="00643C20">
            <w:pPr>
              <w:jc w:val="center"/>
              <w:rPr>
                <w:rFonts w:ascii="Arial Narrow" w:hAnsi="Arial Narrow"/>
                <w:sz w:val="18"/>
                <w:szCs w:val="18"/>
              </w:rPr>
            </w:pPr>
            <w:r>
              <w:rPr>
                <w:rFonts w:ascii="Arial Narrow" w:hAnsi="Arial Narrow"/>
                <w:sz w:val="18"/>
                <w:szCs w:val="18"/>
              </w:rPr>
              <w:t>+26,7</w:t>
            </w:r>
          </w:p>
        </w:tc>
        <w:tc>
          <w:tcPr>
            <w:tcW w:w="709" w:type="dxa"/>
            <w:tcBorders>
              <w:top w:val="single" w:sz="4" w:space="0" w:color="auto"/>
              <w:left w:val="nil"/>
              <w:bottom w:val="single" w:sz="4" w:space="0" w:color="auto"/>
              <w:right w:val="nil"/>
            </w:tcBorders>
            <w:shd w:val="clear" w:color="auto" w:fill="D9D9D9"/>
            <w:noWrap/>
            <w:vAlign w:val="center"/>
          </w:tcPr>
          <w:p w14:paraId="71A6EA57" w14:textId="6C8BEB8D" w:rsidR="00643C20" w:rsidRDefault="00643C20" w:rsidP="00643C20">
            <w:pPr>
              <w:jc w:val="center"/>
              <w:rPr>
                <w:rFonts w:ascii="Arial Narrow" w:hAnsi="Arial Narrow"/>
                <w:sz w:val="18"/>
                <w:szCs w:val="18"/>
              </w:rPr>
            </w:pPr>
            <w:r>
              <w:rPr>
                <w:rFonts w:ascii="Arial Narrow" w:hAnsi="Arial Narrow"/>
                <w:sz w:val="18"/>
                <w:szCs w:val="18"/>
              </w:rPr>
              <w:t>+6.639</w:t>
            </w:r>
          </w:p>
        </w:tc>
        <w:tc>
          <w:tcPr>
            <w:tcW w:w="984" w:type="dxa"/>
            <w:tcBorders>
              <w:top w:val="single" w:sz="4" w:space="0" w:color="auto"/>
              <w:left w:val="nil"/>
              <w:bottom w:val="single" w:sz="4" w:space="0" w:color="auto"/>
              <w:right w:val="nil"/>
            </w:tcBorders>
            <w:shd w:val="clear" w:color="auto" w:fill="D9D9D9"/>
            <w:vAlign w:val="center"/>
          </w:tcPr>
          <w:p w14:paraId="2B791147" w14:textId="6011C662" w:rsidR="00643C20" w:rsidRDefault="00643C20" w:rsidP="00643C20">
            <w:pPr>
              <w:jc w:val="center"/>
              <w:rPr>
                <w:rFonts w:ascii="Arial Narrow" w:hAnsi="Arial Narrow"/>
                <w:sz w:val="18"/>
                <w:szCs w:val="18"/>
              </w:rPr>
            </w:pPr>
            <w:r>
              <w:rPr>
                <w:rFonts w:ascii="Arial Narrow" w:hAnsi="Arial Narrow"/>
                <w:sz w:val="18"/>
                <w:szCs w:val="18"/>
              </w:rPr>
              <w:t>+60.319</w:t>
            </w:r>
          </w:p>
        </w:tc>
      </w:tr>
      <w:tr w:rsidR="00643C20" w:rsidRPr="008C0651" w14:paraId="55245CCE" w14:textId="77777777" w:rsidTr="00643C20">
        <w:trPr>
          <w:trHeight w:val="255"/>
        </w:trPr>
        <w:tc>
          <w:tcPr>
            <w:tcW w:w="1587" w:type="dxa"/>
            <w:tcBorders>
              <w:top w:val="single" w:sz="4" w:space="0" w:color="auto"/>
              <w:left w:val="nil"/>
              <w:bottom w:val="single" w:sz="4" w:space="0" w:color="auto"/>
              <w:right w:val="nil"/>
            </w:tcBorders>
            <w:shd w:val="clear" w:color="000000" w:fill="FF0000"/>
            <w:vAlign w:val="bottom"/>
          </w:tcPr>
          <w:p w14:paraId="221BD76C" w14:textId="77777777" w:rsidR="00643C20" w:rsidRPr="008C0651" w:rsidRDefault="00643C20" w:rsidP="00643C20">
            <w:pPr>
              <w:spacing w:before="40" w:after="20"/>
              <w:rPr>
                <w:rFonts w:ascii="Arial Narrow" w:hAnsi="Arial Narrow"/>
                <w:b/>
                <w:color w:val="FFFFFF" w:themeColor="background1"/>
                <w:sz w:val="18"/>
                <w:szCs w:val="18"/>
              </w:rPr>
            </w:pPr>
            <w:r w:rsidRPr="008C0651">
              <w:rPr>
                <w:rFonts w:ascii="Arial Narrow" w:hAnsi="Arial Narrow"/>
                <w:b/>
                <w:color w:val="FFFFFF" w:themeColor="background1"/>
                <w:sz w:val="18"/>
                <w:szCs w:val="18"/>
              </w:rPr>
              <w:t>Totale</w:t>
            </w:r>
          </w:p>
        </w:tc>
        <w:tc>
          <w:tcPr>
            <w:tcW w:w="665" w:type="dxa"/>
            <w:tcBorders>
              <w:top w:val="single" w:sz="4" w:space="0" w:color="auto"/>
              <w:left w:val="nil"/>
              <w:bottom w:val="single" w:sz="4" w:space="0" w:color="auto"/>
              <w:right w:val="nil"/>
            </w:tcBorders>
            <w:shd w:val="clear" w:color="000000" w:fill="FF0000"/>
            <w:noWrap/>
            <w:vAlign w:val="center"/>
          </w:tcPr>
          <w:p w14:paraId="21240D72" w14:textId="37D89B9E"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-1,1</w:t>
            </w:r>
          </w:p>
        </w:tc>
        <w:tc>
          <w:tcPr>
            <w:tcW w:w="1108" w:type="dxa"/>
            <w:tcBorders>
              <w:top w:val="single" w:sz="4" w:space="0" w:color="auto"/>
              <w:left w:val="nil"/>
              <w:bottom w:val="single" w:sz="4" w:space="0" w:color="auto"/>
              <w:right w:val="nil"/>
            </w:tcBorders>
            <w:shd w:val="clear" w:color="000000" w:fill="FF0000"/>
            <w:noWrap/>
            <w:vAlign w:val="center"/>
          </w:tcPr>
          <w:p w14:paraId="7F24A5A1" w14:textId="4CDCE8B6"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-0,7</w:t>
            </w:r>
          </w:p>
        </w:tc>
        <w:tc>
          <w:tcPr>
            <w:tcW w:w="685" w:type="dxa"/>
            <w:tcBorders>
              <w:top w:val="single" w:sz="4" w:space="0" w:color="auto"/>
              <w:left w:val="nil"/>
              <w:bottom w:val="single" w:sz="4" w:space="0" w:color="auto"/>
              <w:right w:val="nil"/>
            </w:tcBorders>
            <w:shd w:val="clear" w:color="000000" w:fill="FF0000"/>
            <w:noWrap/>
            <w:vAlign w:val="center"/>
          </w:tcPr>
          <w:p w14:paraId="3BF2FBD0" w14:textId="74A9043A"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+17,5</w:t>
            </w:r>
          </w:p>
        </w:tc>
        <w:tc>
          <w:tcPr>
            <w:tcW w:w="1017" w:type="dxa"/>
            <w:tcBorders>
              <w:top w:val="single" w:sz="4" w:space="0" w:color="auto"/>
              <w:left w:val="nil"/>
              <w:bottom w:val="single" w:sz="4" w:space="0" w:color="auto"/>
              <w:right w:val="nil"/>
            </w:tcBorders>
            <w:shd w:val="clear" w:color="000000" w:fill="FF0000"/>
            <w:noWrap/>
            <w:vAlign w:val="center"/>
          </w:tcPr>
          <w:p w14:paraId="73B32ACF" w14:textId="05659183"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+20,8</w:t>
            </w:r>
          </w:p>
        </w:tc>
        <w:tc>
          <w:tcPr>
            <w:tcW w:w="708" w:type="dxa"/>
            <w:tcBorders>
              <w:top w:val="single" w:sz="4" w:space="0" w:color="auto"/>
              <w:left w:val="nil"/>
              <w:bottom w:val="single" w:sz="4" w:space="0" w:color="auto"/>
              <w:right w:val="nil"/>
            </w:tcBorders>
            <w:shd w:val="clear" w:color="000000" w:fill="FF0000"/>
            <w:noWrap/>
            <w:vAlign w:val="center"/>
          </w:tcPr>
          <w:p w14:paraId="3B7E35A5" w14:textId="514F1EF4"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-5,5</w:t>
            </w:r>
          </w:p>
        </w:tc>
        <w:tc>
          <w:tcPr>
            <w:tcW w:w="1134" w:type="dxa"/>
            <w:tcBorders>
              <w:top w:val="single" w:sz="4" w:space="0" w:color="auto"/>
              <w:left w:val="nil"/>
              <w:bottom w:val="single" w:sz="4" w:space="0" w:color="auto"/>
              <w:right w:val="nil"/>
            </w:tcBorders>
            <w:shd w:val="clear" w:color="000000" w:fill="FF0000"/>
            <w:noWrap/>
            <w:vAlign w:val="center"/>
          </w:tcPr>
          <w:p w14:paraId="73DCCAE3" w14:textId="77F303BC"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+3,9</w:t>
            </w:r>
          </w:p>
        </w:tc>
        <w:tc>
          <w:tcPr>
            <w:tcW w:w="654" w:type="dxa"/>
            <w:tcBorders>
              <w:top w:val="single" w:sz="4" w:space="0" w:color="auto"/>
              <w:left w:val="nil"/>
              <w:bottom w:val="single" w:sz="4" w:space="0" w:color="auto"/>
              <w:right w:val="nil"/>
            </w:tcBorders>
            <w:shd w:val="clear" w:color="000000" w:fill="FF0000"/>
            <w:noWrap/>
            <w:vAlign w:val="center"/>
          </w:tcPr>
          <w:p w14:paraId="78605F65" w14:textId="6936FC1B"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+28,2</w:t>
            </w:r>
          </w:p>
        </w:tc>
        <w:tc>
          <w:tcPr>
            <w:tcW w:w="984" w:type="dxa"/>
            <w:tcBorders>
              <w:top w:val="single" w:sz="4" w:space="0" w:color="auto"/>
              <w:left w:val="nil"/>
              <w:bottom w:val="single" w:sz="4" w:space="0" w:color="auto"/>
              <w:right w:val="nil"/>
            </w:tcBorders>
            <w:shd w:val="clear" w:color="000000" w:fill="FF0000"/>
            <w:noWrap/>
            <w:vAlign w:val="center"/>
          </w:tcPr>
          <w:p w14:paraId="2438AC7D" w14:textId="2C5EC961"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+41,8</w:t>
            </w:r>
          </w:p>
        </w:tc>
        <w:tc>
          <w:tcPr>
            <w:tcW w:w="709" w:type="dxa"/>
            <w:tcBorders>
              <w:top w:val="single" w:sz="4" w:space="0" w:color="auto"/>
              <w:left w:val="nil"/>
              <w:bottom w:val="single" w:sz="4" w:space="0" w:color="auto"/>
              <w:right w:val="nil"/>
            </w:tcBorders>
            <w:shd w:val="clear" w:color="000000" w:fill="FF0000"/>
            <w:noWrap/>
            <w:vAlign w:val="center"/>
          </w:tcPr>
          <w:p w14:paraId="2D3E088F" w14:textId="4CD05593"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-2.123</w:t>
            </w:r>
          </w:p>
        </w:tc>
        <w:tc>
          <w:tcPr>
            <w:tcW w:w="984" w:type="dxa"/>
            <w:tcBorders>
              <w:top w:val="single" w:sz="4" w:space="0" w:color="auto"/>
              <w:left w:val="nil"/>
              <w:bottom w:val="single" w:sz="4" w:space="0" w:color="auto"/>
              <w:right w:val="nil"/>
            </w:tcBorders>
            <w:shd w:val="clear" w:color="000000" w:fill="FF0000"/>
            <w:vAlign w:val="center"/>
          </w:tcPr>
          <w:p w14:paraId="3FDB24ED" w14:textId="2E9B0944" w:rsidR="00643C20" w:rsidRDefault="00643C20" w:rsidP="00643C20">
            <w:pPr>
              <w:jc w:val="center"/>
              <w:rPr>
                <w:rFonts w:ascii="Arial Narrow" w:hAnsi="Arial Narrow"/>
                <w:b/>
                <w:bCs/>
                <w:color w:val="FFFFFF"/>
                <w:sz w:val="18"/>
                <w:szCs w:val="18"/>
              </w:rPr>
            </w:pPr>
            <w:r>
              <w:rPr>
                <w:rFonts w:ascii="Arial Narrow" w:hAnsi="Arial Narrow"/>
                <w:b/>
                <w:bCs/>
                <w:color w:val="FFFFFF"/>
                <w:sz w:val="18"/>
                <w:szCs w:val="18"/>
              </w:rPr>
              <w:t>-33.568</w:t>
            </w:r>
          </w:p>
        </w:tc>
      </w:tr>
    </w:tbl>
    <w:p w14:paraId="25AF6E9D" w14:textId="77777777" w:rsidR="00E35D07" w:rsidRPr="00F515CD" w:rsidRDefault="00E35D07" w:rsidP="00C32401">
      <w:pPr>
        <w:pStyle w:val="Corpodeltesto1"/>
        <w:spacing w:after="120"/>
        <w:rPr>
          <w:rFonts w:ascii="Arial" w:hAnsi="Arial" w:cs="Arial"/>
          <w:b w:val="0"/>
          <w:color w:val="000000"/>
          <w:kern w:val="28"/>
          <w:sz w:val="21"/>
          <w:szCs w:val="21"/>
        </w:rPr>
      </w:pPr>
    </w:p>
    <w:p w14:paraId="790E9122" w14:textId="77777777" w:rsidR="005C5F2C" w:rsidRDefault="005C5F2C" w:rsidP="00513535">
      <w:pPr>
        <w:pStyle w:val="Corpodeltesto1"/>
        <w:rPr>
          <w:rFonts w:ascii="Arial" w:hAnsi="Arial" w:cs="Arial"/>
          <w:b w:val="0"/>
          <w:color w:val="000000"/>
          <w:kern w:val="28"/>
          <w:sz w:val="21"/>
          <w:szCs w:val="21"/>
        </w:rPr>
      </w:pPr>
    </w:p>
    <w:p w14:paraId="265C9A31" w14:textId="1672641E" w:rsidR="00513535" w:rsidRPr="00C46CB7" w:rsidRDefault="006115EB" w:rsidP="00513535">
      <w:pPr>
        <w:pStyle w:val="Corpodeltesto1"/>
        <w:rPr>
          <w:rFonts w:ascii="Arial" w:hAnsi="Arial" w:cs="Arial"/>
          <w:b w:val="0"/>
          <w:color w:val="000000"/>
          <w:kern w:val="28"/>
          <w:sz w:val="21"/>
          <w:szCs w:val="21"/>
        </w:rPr>
      </w:pPr>
      <w:r w:rsidRPr="00C46CB7">
        <w:rPr>
          <w:rFonts w:ascii="Arial" w:hAnsi="Arial" w:cs="Arial"/>
          <w:b w:val="0"/>
          <w:color w:val="000000"/>
          <w:kern w:val="28"/>
          <w:sz w:val="21"/>
          <w:szCs w:val="21"/>
        </w:rPr>
        <w:t xml:space="preserve">A </w:t>
      </w:r>
      <w:r w:rsidR="00F60252" w:rsidRPr="00C46CB7">
        <w:rPr>
          <w:rFonts w:ascii="Arial" w:hAnsi="Arial" w:cs="Arial"/>
          <w:b w:val="0"/>
          <w:color w:val="000000"/>
          <w:kern w:val="28"/>
          <w:sz w:val="21"/>
          <w:szCs w:val="21"/>
        </w:rPr>
        <w:t>ottobre</w:t>
      </w:r>
      <w:r w:rsidR="005016C2" w:rsidRPr="00C46CB7">
        <w:rPr>
          <w:rFonts w:ascii="Arial" w:hAnsi="Arial" w:cs="Arial"/>
          <w:b w:val="0"/>
          <w:color w:val="000000"/>
          <w:kern w:val="28"/>
          <w:sz w:val="21"/>
          <w:szCs w:val="21"/>
        </w:rPr>
        <w:t xml:space="preserve"> </w:t>
      </w:r>
      <w:r w:rsidR="00513535" w:rsidRPr="00C46CB7">
        <w:rPr>
          <w:rFonts w:ascii="Arial" w:hAnsi="Arial" w:cs="Arial"/>
          <w:b w:val="0"/>
          <w:color w:val="000000"/>
          <w:kern w:val="28"/>
          <w:sz w:val="21"/>
          <w:szCs w:val="21"/>
        </w:rPr>
        <w:t xml:space="preserve">2022, la </w:t>
      </w:r>
      <w:r w:rsidR="00F60252" w:rsidRPr="00C46CB7">
        <w:rPr>
          <w:rFonts w:ascii="Arial" w:hAnsi="Arial" w:cs="Arial"/>
          <w:b w:val="0"/>
          <w:color w:val="000000"/>
          <w:kern w:val="28"/>
          <w:sz w:val="21"/>
          <w:szCs w:val="21"/>
        </w:rPr>
        <w:t>diminuzione</w:t>
      </w:r>
      <w:r w:rsidR="005016C2" w:rsidRPr="00C46CB7">
        <w:rPr>
          <w:rFonts w:ascii="Arial" w:hAnsi="Arial" w:cs="Arial"/>
          <w:b w:val="0"/>
          <w:color w:val="000000"/>
          <w:kern w:val="28"/>
          <w:sz w:val="21"/>
          <w:szCs w:val="21"/>
        </w:rPr>
        <w:t xml:space="preserve"> </w:t>
      </w:r>
      <w:r w:rsidR="00F60252" w:rsidRPr="00C46CB7">
        <w:rPr>
          <w:rFonts w:ascii="Arial" w:hAnsi="Arial" w:cs="Arial"/>
          <w:b w:val="0"/>
          <w:color w:val="000000"/>
          <w:kern w:val="28"/>
          <w:sz w:val="21"/>
          <w:szCs w:val="21"/>
        </w:rPr>
        <w:t>congiunturale dell’export (-</w:t>
      </w:r>
      <w:r w:rsidRPr="00C46CB7">
        <w:rPr>
          <w:rFonts w:ascii="Arial" w:hAnsi="Arial" w:cs="Arial"/>
          <w:b w:val="0"/>
          <w:color w:val="000000"/>
          <w:kern w:val="28"/>
          <w:sz w:val="21"/>
          <w:szCs w:val="21"/>
        </w:rPr>
        <w:t>1</w:t>
      </w:r>
      <w:r w:rsidR="00513535" w:rsidRPr="00C46CB7">
        <w:rPr>
          <w:rFonts w:ascii="Arial" w:hAnsi="Arial" w:cs="Arial"/>
          <w:b w:val="0"/>
          <w:color w:val="000000"/>
          <w:kern w:val="28"/>
          <w:sz w:val="21"/>
          <w:szCs w:val="21"/>
        </w:rPr>
        <w:t>,</w:t>
      </w:r>
      <w:r w:rsidR="00F60252" w:rsidRPr="00C46CB7">
        <w:rPr>
          <w:rFonts w:ascii="Arial" w:hAnsi="Arial" w:cs="Arial"/>
          <w:b w:val="0"/>
          <w:color w:val="000000"/>
          <w:kern w:val="28"/>
          <w:sz w:val="21"/>
          <w:szCs w:val="21"/>
        </w:rPr>
        <w:t>1</w:t>
      </w:r>
      <w:r w:rsidR="00513535" w:rsidRPr="00C46CB7">
        <w:rPr>
          <w:rFonts w:ascii="Arial" w:hAnsi="Arial" w:cs="Arial"/>
          <w:b w:val="0"/>
          <w:color w:val="000000"/>
          <w:kern w:val="28"/>
          <w:sz w:val="21"/>
          <w:szCs w:val="21"/>
        </w:rPr>
        <w:t>%) interessa tutti i raggruppamenti principali di industrie, a</w:t>
      </w:r>
      <w:r w:rsidR="00C50DB5" w:rsidRPr="00C46CB7">
        <w:rPr>
          <w:rFonts w:ascii="Arial" w:hAnsi="Arial" w:cs="Arial"/>
          <w:b w:val="0"/>
          <w:color w:val="000000"/>
          <w:kern w:val="28"/>
          <w:sz w:val="21"/>
          <w:szCs w:val="21"/>
        </w:rPr>
        <w:t xml:space="preserve"> eccezione </w:t>
      </w:r>
      <w:r w:rsidRPr="00C46CB7">
        <w:rPr>
          <w:rFonts w:ascii="Arial" w:hAnsi="Arial" w:cs="Arial"/>
          <w:b w:val="0"/>
          <w:color w:val="000000"/>
          <w:kern w:val="28"/>
          <w:sz w:val="21"/>
          <w:szCs w:val="21"/>
        </w:rPr>
        <w:t>dell’energia</w:t>
      </w:r>
      <w:r w:rsidR="009E6E43" w:rsidRPr="00C46CB7">
        <w:rPr>
          <w:rFonts w:ascii="Arial" w:hAnsi="Arial" w:cs="Arial"/>
          <w:b w:val="0"/>
          <w:color w:val="000000"/>
          <w:kern w:val="28"/>
          <w:sz w:val="21"/>
          <w:szCs w:val="21"/>
        </w:rPr>
        <w:t xml:space="preserve"> </w:t>
      </w:r>
      <w:r w:rsidR="00F60252" w:rsidRPr="00C46CB7">
        <w:rPr>
          <w:rFonts w:ascii="Arial" w:hAnsi="Arial" w:cs="Arial"/>
          <w:b w:val="0"/>
          <w:color w:val="000000"/>
          <w:kern w:val="28"/>
          <w:sz w:val="21"/>
          <w:szCs w:val="21"/>
        </w:rPr>
        <w:t>(+</w:t>
      </w:r>
      <w:r w:rsidRPr="00C46CB7">
        <w:rPr>
          <w:rFonts w:ascii="Arial" w:hAnsi="Arial" w:cs="Arial"/>
          <w:b w:val="0"/>
          <w:color w:val="000000"/>
          <w:kern w:val="28"/>
          <w:sz w:val="21"/>
          <w:szCs w:val="21"/>
        </w:rPr>
        <w:t>1</w:t>
      </w:r>
      <w:r w:rsidR="00F60252" w:rsidRPr="00C46CB7">
        <w:rPr>
          <w:rFonts w:ascii="Arial" w:hAnsi="Arial" w:cs="Arial"/>
          <w:b w:val="0"/>
          <w:color w:val="000000"/>
          <w:kern w:val="28"/>
          <w:sz w:val="21"/>
          <w:szCs w:val="21"/>
        </w:rPr>
        <w:t>9</w:t>
      </w:r>
      <w:r w:rsidR="00513535" w:rsidRPr="00C46CB7">
        <w:rPr>
          <w:rFonts w:ascii="Arial" w:hAnsi="Arial" w:cs="Arial"/>
          <w:b w:val="0"/>
          <w:color w:val="000000"/>
          <w:kern w:val="28"/>
          <w:sz w:val="21"/>
          <w:szCs w:val="21"/>
        </w:rPr>
        <w:t>,</w:t>
      </w:r>
      <w:r w:rsidR="00F60252" w:rsidRPr="00C46CB7">
        <w:rPr>
          <w:rFonts w:ascii="Arial" w:hAnsi="Arial" w:cs="Arial"/>
          <w:b w:val="0"/>
          <w:color w:val="000000"/>
          <w:kern w:val="28"/>
          <w:sz w:val="21"/>
          <w:szCs w:val="21"/>
        </w:rPr>
        <w:t>7</w:t>
      </w:r>
      <w:r w:rsidR="00513535" w:rsidRPr="00C46CB7">
        <w:rPr>
          <w:rFonts w:ascii="Arial" w:hAnsi="Arial" w:cs="Arial"/>
          <w:b w:val="0"/>
          <w:color w:val="000000"/>
          <w:kern w:val="28"/>
          <w:sz w:val="21"/>
          <w:szCs w:val="21"/>
        </w:rPr>
        <w:t>%)</w:t>
      </w:r>
      <w:r w:rsidR="009C0DAD">
        <w:rPr>
          <w:rFonts w:ascii="Arial" w:hAnsi="Arial" w:cs="Arial"/>
          <w:b w:val="0"/>
          <w:color w:val="000000"/>
          <w:kern w:val="28"/>
          <w:sz w:val="21"/>
          <w:szCs w:val="21"/>
        </w:rPr>
        <w:t>;</w:t>
      </w:r>
      <w:r w:rsidRPr="00C46CB7">
        <w:rPr>
          <w:rFonts w:ascii="Arial" w:hAnsi="Arial" w:cs="Arial"/>
          <w:b w:val="0"/>
          <w:color w:val="000000"/>
          <w:kern w:val="28"/>
          <w:sz w:val="21"/>
          <w:szCs w:val="21"/>
        </w:rPr>
        <w:t xml:space="preserve"> </w:t>
      </w:r>
      <w:r w:rsidR="00046F8A" w:rsidRPr="00C46CB7">
        <w:rPr>
          <w:rFonts w:ascii="Arial" w:hAnsi="Arial" w:cs="Arial"/>
          <w:b w:val="0"/>
          <w:color w:val="000000"/>
          <w:kern w:val="28"/>
          <w:sz w:val="21"/>
          <w:szCs w:val="21"/>
        </w:rPr>
        <w:t xml:space="preserve">a contribuire alla flessione sono </w:t>
      </w:r>
      <w:r w:rsidR="009D06E5" w:rsidRPr="00C46CB7">
        <w:rPr>
          <w:rFonts w:ascii="Arial" w:hAnsi="Arial" w:cs="Arial"/>
          <w:b w:val="0"/>
          <w:color w:val="000000"/>
          <w:kern w:val="28"/>
          <w:sz w:val="21"/>
          <w:szCs w:val="21"/>
        </w:rPr>
        <w:t xml:space="preserve">in particolare </w:t>
      </w:r>
      <w:r w:rsidR="00C50DB5" w:rsidRPr="00C46CB7">
        <w:rPr>
          <w:rFonts w:ascii="Arial" w:hAnsi="Arial" w:cs="Arial"/>
          <w:b w:val="0"/>
          <w:color w:val="000000"/>
          <w:kern w:val="28"/>
          <w:sz w:val="21"/>
          <w:szCs w:val="21"/>
        </w:rPr>
        <w:t xml:space="preserve">i </w:t>
      </w:r>
      <w:r w:rsidR="00F60252" w:rsidRPr="00C46CB7">
        <w:rPr>
          <w:rFonts w:ascii="Arial" w:hAnsi="Arial" w:cs="Arial"/>
          <w:b w:val="0"/>
          <w:color w:val="000000"/>
          <w:kern w:val="28"/>
          <w:sz w:val="21"/>
          <w:szCs w:val="21"/>
        </w:rPr>
        <w:t xml:space="preserve">beni strumentali </w:t>
      </w:r>
      <w:r w:rsidR="009D06E5" w:rsidRPr="00C46CB7">
        <w:rPr>
          <w:rFonts w:ascii="Arial" w:hAnsi="Arial" w:cs="Arial"/>
          <w:b w:val="0"/>
          <w:color w:val="000000"/>
          <w:kern w:val="28"/>
          <w:sz w:val="21"/>
          <w:szCs w:val="21"/>
        </w:rPr>
        <w:t xml:space="preserve"> </w:t>
      </w:r>
      <w:r w:rsidR="00F60252" w:rsidRPr="00C46CB7">
        <w:rPr>
          <w:rFonts w:ascii="Arial" w:hAnsi="Arial" w:cs="Arial"/>
          <w:b w:val="0"/>
          <w:color w:val="000000"/>
          <w:kern w:val="28"/>
          <w:sz w:val="21"/>
          <w:szCs w:val="21"/>
        </w:rPr>
        <w:t>(-3</w:t>
      </w:r>
      <w:r w:rsidR="00513535" w:rsidRPr="00C46CB7">
        <w:rPr>
          <w:rFonts w:ascii="Arial" w:hAnsi="Arial" w:cs="Arial"/>
          <w:b w:val="0"/>
          <w:color w:val="000000"/>
          <w:kern w:val="28"/>
          <w:sz w:val="21"/>
          <w:szCs w:val="21"/>
        </w:rPr>
        <w:t>,</w:t>
      </w:r>
      <w:r w:rsidR="00F60252" w:rsidRPr="00C46CB7">
        <w:rPr>
          <w:rFonts w:ascii="Arial" w:hAnsi="Arial" w:cs="Arial"/>
          <w:b w:val="0"/>
          <w:color w:val="000000"/>
          <w:kern w:val="28"/>
          <w:sz w:val="21"/>
          <w:szCs w:val="21"/>
        </w:rPr>
        <w:t>7</w:t>
      </w:r>
      <w:r w:rsidR="002A4670" w:rsidRPr="00C46CB7">
        <w:rPr>
          <w:rFonts w:ascii="Arial" w:hAnsi="Arial" w:cs="Arial"/>
          <w:b w:val="0"/>
          <w:color w:val="000000"/>
          <w:kern w:val="28"/>
          <w:sz w:val="21"/>
          <w:szCs w:val="21"/>
        </w:rPr>
        <w:t>%)</w:t>
      </w:r>
      <w:r w:rsidR="00513535" w:rsidRPr="00C46CB7">
        <w:rPr>
          <w:rFonts w:ascii="Arial" w:hAnsi="Arial" w:cs="Arial"/>
          <w:b w:val="0"/>
          <w:color w:val="000000"/>
          <w:kern w:val="28"/>
          <w:sz w:val="21"/>
          <w:szCs w:val="21"/>
        </w:rPr>
        <w:t xml:space="preserve">. </w:t>
      </w:r>
    </w:p>
    <w:p w14:paraId="7A4E2C52" w14:textId="6AD7E3DC" w:rsidR="0075218A" w:rsidRDefault="00B01087" w:rsidP="00513535">
      <w:pPr>
        <w:pStyle w:val="Corpodeltesto1"/>
        <w:rPr>
          <w:rFonts w:ascii="Arial" w:hAnsi="Arial" w:cs="Arial"/>
          <w:b w:val="0"/>
          <w:color w:val="000000"/>
          <w:kern w:val="28"/>
          <w:sz w:val="21"/>
          <w:szCs w:val="21"/>
        </w:rPr>
      </w:pPr>
      <w:r w:rsidRPr="00C46CB7">
        <w:rPr>
          <w:rFonts w:ascii="Arial" w:hAnsi="Arial" w:cs="Arial"/>
          <w:b w:val="0"/>
          <w:color w:val="000000"/>
          <w:kern w:val="28"/>
          <w:sz w:val="21"/>
          <w:szCs w:val="21"/>
        </w:rPr>
        <w:t>La flessione</w:t>
      </w:r>
      <w:r w:rsidR="00513535" w:rsidRPr="00C46CB7">
        <w:rPr>
          <w:rFonts w:ascii="Arial" w:hAnsi="Arial" w:cs="Arial"/>
          <w:b w:val="0"/>
          <w:color w:val="000000"/>
          <w:kern w:val="28"/>
          <w:sz w:val="21"/>
          <w:szCs w:val="21"/>
        </w:rPr>
        <w:t xml:space="preserve"> </w:t>
      </w:r>
      <w:r w:rsidR="00046F8A" w:rsidRPr="00C46CB7">
        <w:rPr>
          <w:rFonts w:ascii="Arial" w:hAnsi="Arial" w:cs="Arial"/>
          <w:b w:val="0"/>
          <w:color w:val="000000"/>
          <w:kern w:val="28"/>
          <w:sz w:val="21"/>
          <w:szCs w:val="21"/>
        </w:rPr>
        <w:t>su base mensile dell’import (-5</w:t>
      </w:r>
      <w:r w:rsidR="001A2B66" w:rsidRPr="00C46CB7">
        <w:rPr>
          <w:rFonts w:ascii="Arial" w:hAnsi="Arial" w:cs="Arial"/>
          <w:b w:val="0"/>
          <w:color w:val="000000"/>
          <w:kern w:val="28"/>
          <w:sz w:val="21"/>
          <w:szCs w:val="21"/>
        </w:rPr>
        <w:t>,</w:t>
      </w:r>
      <w:r w:rsidR="00046F8A" w:rsidRPr="00C46CB7">
        <w:rPr>
          <w:rFonts w:ascii="Arial" w:hAnsi="Arial" w:cs="Arial"/>
          <w:b w:val="0"/>
          <w:color w:val="000000"/>
          <w:kern w:val="28"/>
          <w:sz w:val="21"/>
          <w:szCs w:val="21"/>
        </w:rPr>
        <w:t>5</w:t>
      </w:r>
      <w:r w:rsidR="00513535" w:rsidRPr="00C46CB7">
        <w:rPr>
          <w:rFonts w:ascii="Arial" w:hAnsi="Arial" w:cs="Arial"/>
          <w:b w:val="0"/>
          <w:color w:val="000000"/>
          <w:kern w:val="28"/>
          <w:sz w:val="21"/>
          <w:szCs w:val="21"/>
        </w:rPr>
        <w:t xml:space="preserve">%) </w:t>
      </w:r>
      <w:r w:rsidR="001A2B66" w:rsidRPr="00C46CB7">
        <w:rPr>
          <w:rFonts w:ascii="Arial" w:hAnsi="Arial" w:cs="Arial"/>
          <w:b w:val="0"/>
          <w:color w:val="000000"/>
          <w:kern w:val="28"/>
          <w:sz w:val="21"/>
          <w:szCs w:val="21"/>
        </w:rPr>
        <w:t>ri</w:t>
      </w:r>
      <w:r w:rsidRPr="00C46CB7">
        <w:rPr>
          <w:rFonts w:ascii="Arial" w:hAnsi="Arial" w:cs="Arial"/>
          <w:b w:val="0"/>
          <w:color w:val="000000"/>
          <w:kern w:val="28"/>
          <w:sz w:val="21"/>
          <w:szCs w:val="21"/>
        </w:rPr>
        <w:t xml:space="preserve">guarda tutti i raggruppamenti, a esclusione </w:t>
      </w:r>
      <w:r w:rsidR="00046F8A" w:rsidRPr="00C46CB7">
        <w:rPr>
          <w:rFonts w:ascii="Arial" w:hAnsi="Arial" w:cs="Arial"/>
          <w:b w:val="0"/>
          <w:color w:val="000000"/>
          <w:kern w:val="28"/>
          <w:sz w:val="21"/>
          <w:szCs w:val="21"/>
        </w:rPr>
        <w:t>dei beni di consumo non durevoli</w:t>
      </w:r>
      <w:r w:rsidRPr="00C46CB7">
        <w:rPr>
          <w:rFonts w:ascii="Arial" w:hAnsi="Arial" w:cs="Arial"/>
          <w:b w:val="0"/>
          <w:color w:val="000000"/>
          <w:kern w:val="28"/>
          <w:sz w:val="21"/>
          <w:szCs w:val="21"/>
        </w:rPr>
        <w:t xml:space="preserve"> in </w:t>
      </w:r>
      <w:r w:rsidR="00046F8A" w:rsidRPr="00C46CB7">
        <w:rPr>
          <w:rFonts w:ascii="Arial" w:hAnsi="Arial" w:cs="Arial"/>
          <w:b w:val="0"/>
          <w:color w:val="000000"/>
          <w:kern w:val="28"/>
          <w:sz w:val="21"/>
          <w:szCs w:val="21"/>
        </w:rPr>
        <w:t>lieve aumento (+0</w:t>
      </w:r>
      <w:r w:rsidR="00513535" w:rsidRPr="00C46CB7">
        <w:rPr>
          <w:rFonts w:ascii="Arial" w:hAnsi="Arial" w:cs="Arial"/>
          <w:b w:val="0"/>
          <w:color w:val="000000"/>
          <w:kern w:val="28"/>
          <w:sz w:val="21"/>
          <w:szCs w:val="21"/>
        </w:rPr>
        <w:t>,</w:t>
      </w:r>
      <w:r w:rsidR="00046F8A" w:rsidRPr="00C46CB7">
        <w:rPr>
          <w:rFonts w:ascii="Arial" w:hAnsi="Arial" w:cs="Arial"/>
          <w:b w:val="0"/>
          <w:color w:val="000000"/>
          <w:kern w:val="28"/>
          <w:sz w:val="21"/>
          <w:szCs w:val="21"/>
        </w:rPr>
        <w:t>7</w:t>
      </w:r>
      <w:r w:rsidR="00B06C13" w:rsidRPr="00C46CB7">
        <w:rPr>
          <w:rFonts w:ascii="Arial" w:hAnsi="Arial" w:cs="Arial"/>
          <w:b w:val="0"/>
          <w:color w:val="000000"/>
          <w:kern w:val="28"/>
          <w:sz w:val="21"/>
          <w:szCs w:val="21"/>
        </w:rPr>
        <w:t>%</w:t>
      </w:r>
      <w:r w:rsidR="00046F8A" w:rsidRPr="00C46CB7">
        <w:rPr>
          <w:rFonts w:ascii="Arial" w:hAnsi="Arial" w:cs="Arial"/>
          <w:b w:val="0"/>
          <w:color w:val="000000"/>
          <w:kern w:val="28"/>
          <w:sz w:val="21"/>
          <w:szCs w:val="21"/>
        </w:rPr>
        <w:t>),</w:t>
      </w:r>
      <w:r w:rsidR="00B06C13" w:rsidRPr="00C46CB7">
        <w:rPr>
          <w:rFonts w:ascii="Arial" w:hAnsi="Arial" w:cs="Arial"/>
          <w:b w:val="0"/>
          <w:color w:val="000000"/>
          <w:kern w:val="28"/>
          <w:sz w:val="21"/>
          <w:szCs w:val="21"/>
        </w:rPr>
        <w:t xml:space="preserve"> </w:t>
      </w:r>
      <w:r w:rsidR="00046F8A" w:rsidRPr="00C46CB7">
        <w:rPr>
          <w:rFonts w:ascii="Arial" w:hAnsi="Arial" w:cs="Arial"/>
          <w:b w:val="0"/>
          <w:color w:val="000000"/>
          <w:kern w:val="28"/>
          <w:sz w:val="21"/>
          <w:szCs w:val="21"/>
        </w:rPr>
        <w:t xml:space="preserve">ed è dovuta </w:t>
      </w:r>
      <w:r w:rsidR="009D06E5" w:rsidRPr="00C46CB7">
        <w:rPr>
          <w:rFonts w:ascii="Arial" w:hAnsi="Arial" w:cs="Arial"/>
          <w:b w:val="0"/>
          <w:color w:val="000000"/>
          <w:kern w:val="28"/>
          <w:sz w:val="21"/>
          <w:szCs w:val="21"/>
        </w:rPr>
        <w:t xml:space="preserve">principalmente </w:t>
      </w:r>
      <w:r w:rsidR="00046F8A" w:rsidRPr="00C46CB7">
        <w:rPr>
          <w:rFonts w:ascii="Arial" w:hAnsi="Arial" w:cs="Arial"/>
          <w:b w:val="0"/>
          <w:color w:val="000000"/>
          <w:kern w:val="28"/>
          <w:sz w:val="21"/>
          <w:szCs w:val="21"/>
        </w:rPr>
        <w:t>al calo de</w:t>
      </w:r>
      <w:r w:rsidR="00421B69">
        <w:rPr>
          <w:rFonts w:ascii="Arial" w:hAnsi="Arial" w:cs="Arial"/>
          <w:b w:val="0"/>
          <w:color w:val="000000"/>
          <w:kern w:val="28"/>
          <w:sz w:val="21"/>
          <w:szCs w:val="21"/>
        </w:rPr>
        <w:t>gli acquisti</w:t>
      </w:r>
      <w:r w:rsidR="00046F8A" w:rsidRPr="00C46CB7">
        <w:rPr>
          <w:rFonts w:ascii="Arial" w:hAnsi="Arial" w:cs="Arial"/>
          <w:b w:val="0"/>
          <w:color w:val="000000"/>
          <w:kern w:val="28"/>
          <w:sz w:val="21"/>
          <w:szCs w:val="21"/>
        </w:rPr>
        <w:t xml:space="preserve"> di energia           (-20</w:t>
      </w:r>
      <w:r w:rsidR="00B06C13" w:rsidRPr="00C46CB7">
        <w:rPr>
          <w:rFonts w:ascii="Arial" w:hAnsi="Arial" w:cs="Arial"/>
          <w:b w:val="0"/>
          <w:color w:val="000000"/>
          <w:kern w:val="28"/>
          <w:sz w:val="21"/>
          <w:szCs w:val="21"/>
        </w:rPr>
        <w:t>,</w:t>
      </w:r>
      <w:r w:rsidR="00046F8A" w:rsidRPr="00C46CB7">
        <w:rPr>
          <w:rFonts w:ascii="Arial" w:hAnsi="Arial" w:cs="Arial"/>
          <w:b w:val="0"/>
          <w:color w:val="000000"/>
          <w:kern w:val="28"/>
          <w:sz w:val="21"/>
          <w:szCs w:val="21"/>
        </w:rPr>
        <w:t>6</w:t>
      </w:r>
      <w:r w:rsidR="00B06C13" w:rsidRPr="00C46CB7">
        <w:rPr>
          <w:rFonts w:ascii="Arial" w:hAnsi="Arial" w:cs="Arial"/>
          <w:b w:val="0"/>
          <w:color w:val="000000"/>
          <w:kern w:val="28"/>
          <w:sz w:val="21"/>
          <w:szCs w:val="21"/>
        </w:rPr>
        <w:t>%).</w:t>
      </w:r>
      <w:r w:rsidR="00513535" w:rsidRPr="00513535">
        <w:rPr>
          <w:rFonts w:ascii="Arial" w:hAnsi="Arial" w:cs="Arial"/>
          <w:b w:val="0"/>
          <w:color w:val="000000"/>
          <w:kern w:val="28"/>
          <w:sz w:val="21"/>
          <w:szCs w:val="21"/>
        </w:rPr>
        <w:t xml:space="preserve"> </w:t>
      </w:r>
    </w:p>
    <w:p w14:paraId="0143F2ED" w14:textId="77777777" w:rsidR="002F4710" w:rsidRDefault="002F4710" w:rsidP="002900F6">
      <w:pPr>
        <w:pStyle w:val="Corpodeltesto1"/>
        <w:rPr>
          <w:rFonts w:ascii="Arial" w:hAnsi="Arial" w:cs="Arial"/>
          <w:b w:val="0"/>
          <w:color w:val="000000"/>
          <w:kern w:val="28"/>
          <w:sz w:val="21"/>
          <w:szCs w:val="21"/>
        </w:rPr>
      </w:pPr>
    </w:p>
    <w:p w14:paraId="7DF9A35B" w14:textId="1E93DAC7" w:rsidR="00116AB6" w:rsidRDefault="00116AB6" w:rsidP="006073FC">
      <w:pPr>
        <w:pStyle w:val="Corpodeltesto1"/>
        <w:rPr>
          <w:rFonts w:ascii="Arial" w:hAnsi="Arial" w:cs="Arial"/>
          <w:b w:val="0"/>
          <w:color w:val="000000"/>
          <w:kern w:val="28"/>
          <w:sz w:val="21"/>
          <w:szCs w:val="21"/>
        </w:rPr>
      </w:pPr>
    </w:p>
    <w:p w14:paraId="293CCEEC" w14:textId="77777777" w:rsidR="005C5F2C" w:rsidRDefault="005C5F2C" w:rsidP="006073FC">
      <w:pPr>
        <w:pStyle w:val="Corpodeltesto1"/>
        <w:rPr>
          <w:rFonts w:ascii="Arial" w:hAnsi="Arial" w:cs="Arial"/>
          <w:b w:val="0"/>
          <w:color w:val="000000"/>
          <w:kern w:val="28"/>
          <w:sz w:val="21"/>
          <w:szCs w:val="21"/>
        </w:rPr>
      </w:pPr>
    </w:p>
    <w:p w14:paraId="7603481A" w14:textId="77777777" w:rsidR="007F58F4" w:rsidRDefault="007F58F4" w:rsidP="006073FC">
      <w:pPr>
        <w:pStyle w:val="Corpodeltesto1"/>
        <w:rPr>
          <w:rFonts w:ascii="Arial" w:hAnsi="Arial" w:cs="Arial"/>
          <w:b w:val="0"/>
          <w:color w:val="000000"/>
          <w:kern w:val="28"/>
          <w:sz w:val="21"/>
          <w:szCs w:val="21"/>
        </w:rPr>
      </w:pPr>
    </w:p>
    <w:p w14:paraId="37EFB4E3" w14:textId="595F7A2C" w:rsidR="00116AB6" w:rsidRDefault="00116AB6" w:rsidP="006073FC">
      <w:pPr>
        <w:pStyle w:val="Corpodeltesto1"/>
        <w:rPr>
          <w:rFonts w:ascii="Arial" w:hAnsi="Arial" w:cs="Arial"/>
          <w:b w:val="0"/>
          <w:color w:val="000000"/>
          <w:kern w:val="28"/>
          <w:sz w:val="21"/>
          <w:szCs w:val="21"/>
        </w:rPr>
      </w:pPr>
    </w:p>
    <w:p w14:paraId="3EDEC972" w14:textId="77777777" w:rsidR="002865B7" w:rsidRDefault="002865B7" w:rsidP="006073FC">
      <w:pPr>
        <w:pStyle w:val="Corpodeltesto1"/>
        <w:rPr>
          <w:rFonts w:ascii="Arial" w:hAnsi="Arial" w:cs="Arial"/>
          <w:b w:val="0"/>
          <w:color w:val="000000"/>
          <w:kern w:val="28"/>
          <w:sz w:val="21"/>
          <w:szCs w:val="21"/>
        </w:rPr>
      </w:pPr>
    </w:p>
    <w:p w14:paraId="01FB2B3B" w14:textId="77777777" w:rsidR="006073FC" w:rsidRDefault="006073FC" w:rsidP="00636140">
      <w:pPr>
        <w:pStyle w:val="Corpodeltesto1"/>
        <w:jc w:val="left"/>
        <w:rPr>
          <w:rFonts w:ascii="Arial Narrow" w:hAnsi="Arial Narrow" w:cs="Arial"/>
          <w:bCs/>
          <w:color w:val="E42618"/>
          <w:kern w:val="28"/>
          <w:sz w:val="22"/>
          <w:szCs w:val="22"/>
        </w:rPr>
      </w:pPr>
    </w:p>
    <w:p w14:paraId="774137C1" w14:textId="77777777" w:rsidR="002865B7" w:rsidRDefault="002865B7" w:rsidP="00636140">
      <w:pPr>
        <w:pStyle w:val="Corpodeltesto1"/>
        <w:jc w:val="left"/>
        <w:rPr>
          <w:rFonts w:ascii="Arial Narrow" w:hAnsi="Arial Narrow" w:cs="Arial"/>
          <w:bCs/>
          <w:color w:val="E42618"/>
          <w:kern w:val="28"/>
          <w:sz w:val="22"/>
          <w:szCs w:val="22"/>
        </w:rPr>
      </w:pPr>
    </w:p>
    <w:p w14:paraId="20D22D07" w14:textId="695183FC" w:rsidR="006D02F3" w:rsidRDefault="00831F78" w:rsidP="00636140">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sidR="006D02F3">
        <w:rPr>
          <w:rFonts w:ascii="Arial Narrow" w:hAnsi="Arial Narrow" w:cs="Arial"/>
          <w:bCs/>
          <w:color w:val="E42618"/>
          <w:kern w:val="28"/>
          <w:sz w:val="22"/>
          <w:szCs w:val="22"/>
        </w:rPr>
        <w:t>6</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AB6CA8"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ALL’EXPORT</w:t>
      </w:r>
    </w:p>
    <w:p w14:paraId="3A161C78" w14:textId="4D69114B" w:rsidR="00282F5A" w:rsidRDefault="00024474" w:rsidP="00282F5A">
      <w:pPr>
        <w:pStyle w:val="Corpodeltesto1"/>
        <w:spacing w:after="120"/>
        <w:jc w:val="left"/>
        <w:rPr>
          <w:noProof/>
        </w:rPr>
      </w:pPr>
      <w:r>
        <w:rPr>
          <w:rFonts w:ascii="Arial Narrow" w:hAnsi="Arial Narrow" w:cs="Arial"/>
          <w:b w:val="0"/>
          <w:color w:val="5F5F5F"/>
          <w:kern w:val="28"/>
          <w:sz w:val="20"/>
          <w:szCs w:val="20"/>
        </w:rPr>
        <w:t>Ottobre</w:t>
      </w:r>
      <w:r w:rsidR="005F4885" w:rsidRPr="005F4885">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5C343A"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5C343A" w:rsidRPr="005C343A">
        <w:rPr>
          <w:rFonts w:ascii="Arial Narrow" w:hAnsi="Arial Narrow" w:cs="Arial"/>
          <w:b w:val="0"/>
          <w:color w:val="5F5F5F"/>
          <w:kern w:val="28"/>
          <w:sz w:val="20"/>
          <w:szCs w:val="20"/>
        </w:rPr>
        <w:t xml:space="preserve"> percentuali tendenziali</w:t>
      </w:r>
      <w:r w:rsidR="00282F5A">
        <w:rPr>
          <w:rFonts w:ascii="Arial Narrow" w:hAnsi="Arial Narrow" w:cs="Arial"/>
          <w:b w:val="0"/>
          <w:color w:val="5F5F5F"/>
          <w:kern w:val="28"/>
          <w:sz w:val="20"/>
          <w:szCs w:val="20"/>
        </w:rPr>
        <w:t xml:space="preserve"> </w:t>
      </w:r>
      <w:r w:rsidR="00282F5A" w:rsidRPr="00E35121">
        <w:rPr>
          <w:rFonts w:ascii="Arial Narrow" w:hAnsi="Arial Narrow" w:cs="Arial"/>
          <w:b w:val="0"/>
          <w:bCs/>
          <w:color w:val="5F5F5F"/>
          <w:kern w:val="28"/>
          <w:sz w:val="20"/>
          <w:szCs w:val="22"/>
        </w:rPr>
        <w:t>(a)</w:t>
      </w:r>
    </w:p>
    <w:p w14:paraId="7D4EF78A" w14:textId="41F26B3F" w:rsidR="004D2796" w:rsidRDefault="00BC18C0" w:rsidP="007F58F4">
      <w:pPr>
        <w:pStyle w:val="Corpodeltesto1"/>
        <w:spacing w:after="120"/>
        <w:jc w:val="left"/>
        <w:rPr>
          <w:rFonts w:ascii="Arial Narrow" w:hAnsi="Arial Narrow" w:cs="Arial"/>
          <w:b w:val="0"/>
          <w:color w:val="5F5F5F"/>
          <w:kern w:val="28"/>
          <w:sz w:val="20"/>
          <w:szCs w:val="20"/>
        </w:rPr>
      </w:pPr>
      <w:r>
        <w:rPr>
          <w:noProof/>
        </w:rPr>
        <w:drawing>
          <wp:inline distT="0" distB="0" distL="0" distR="0" wp14:anchorId="0C093438" wp14:editId="29134B4C">
            <wp:extent cx="6660000" cy="2160000"/>
            <wp:effectExtent l="0" t="0" r="7620" b="0"/>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7B6211" w14:textId="77777777" w:rsidR="0025622B" w:rsidRDefault="0025622B" w:rsidP="006D02F3">
      <w:pPr>
        <w:pStyle w:val="Corpodeltesto1"/>
        <w:jc w:val="left"/>
        <w:rPr>
          <w:rFonts w:ascii="Arial Narrow" w:hAnsi="Arial Narrow" w:cs="Arial"/>
          <w:bCs/>
          <w:color w:val="E42618"/>
          <w:kern w:val="28"/>
          <w:sz w:val="22"/>
          <w:szCs w:val="22"/>
        </w:rPr>
      </w:pPr>
    </w:p>
    <w:p w14:paraId="6D6E069B" w14:textId="77777777" w:rsidR="006D02F3" w:rsidRDefault="006D02F3" w:rsidP="006D02F3">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Pr>
          <w:rFonts w:ascii="Arial Narrow" w:hAnsi="Arial Narrow" w:cs="Arial"/>
          <w:bCs/>
          <w:color w:val="E42618"/>
          <w:kern w:val="28"/>
          <w:sz w:val="22"/>
          <w:szCs w:val="22"/>
        </w:rPr>
        <w:t>7</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C25C1A"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ALL’IMPORT</w:t>
      </w:r>
    </w:p>
    <w:p w14:paraId="31005FBF" w14:textId="3FD45DE5" w:rsidR="00DD774B" w:rsidRDefault="00024474" w:rsidP="00DD774B">
      <w:pPr>
        <w:pStyle w:val="Corpodeltesto1"/>
        <w:spacing w:after="120"/>
        <w:jc w:val="left"/>
        <w:rPr>
          <w:rFonts w:ascii="Arial Narrow" w:hAnsi="Arial Narrow" w:cs="Arial"/>
          <w:b w:val="0"/>
          <w:bCs/>
          <w:color w:val="5F5F5F"/>
          <w:kern w:val="28"/>
          <w:sz w:val="20"/>
          <w:szCs w:val="22"/>
        </w:rPr>
      </w:pPr>
      <w:r>
        <w:rPr>
          <w:rFonts w:ascii="Arial Narrow" w:hAnsi="Arial Narrow" w:cs="Arial"/>
          <w:b w:val="0"/>
          <w:color w:val="5F5F5F"/>
          <w:kern w:val="28"/>
          <w:sz w:val="20"/>
          <w:szCs w:val="20"/>
        </w:rPr>
        <w:t>Ottobre</w:t>
      </w:r>
      <w:r w:rsidR="005F4885" w:rsidRPr="005F4885">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w:t>
      </w:r>
      <w:r w:rsidR="00592CBA" w:rsidRPr="005C343A">
        <w:rPr>
          <w:rFonts w:ascii="Arial Narrow" w:hAnsi="Arial Narrow" w:cs="Arial"/>
          <w:b w:val="0"/>
          <w:color w:val="5F5F5F"/>
          <w:kern w:val="28"/>
          <w:sz w:val="20"/>
          <w:szCs w:val="20"/>
        </w:rPr>
        <w:t>entuali e vari</w:t>
      </w:r>
      <w:r w:rsidR="00592CBA">
        <w:rPr>
          <w:rFonts w:ascii="Arial Narrow" w:hAnsi="Arial Narrow" w:cs="Arial"/>
          <w:b w:val="0"/>
          <w:color w:val="5F5F5F"/>
          <w:kern w:val="28"/>
          <w:sz w:val="20"/>
          <w:szCs w:val="20"/>
        </w:rPr>
        <w:t>azioni</w:t>
      </w:r>
      <w:r w:rsidR="00592CBA" w:rsidRPr="005C343A">
        <w:rPr>
          <w:rFonts w:ascii="Arial Narrow" w:hAnsi="Arial Narrow" w:cs="Arial"/>
          <w:b w:val="0"/>
          <w:color w:val="5F5F5F"/>
          <w:kern w:val="28"/>
          <w:sz w:val="20"/>
          <w:szCs w:val="20"/>
        </w:rPr>
        <w:t xml:space="preserve"> percentuali tendenziali</w:t>
      </w:r>
      <w:r w:rsidR="00592CBA">
        <w:rPr>
          <w:rFonts w:ascii="Arial Narrow" w:hAnsi="Arial Narrow" w:cs="Arial"/>
          <w:b w:val="0"/>
          <w:color w:val="5F5F5F"/>
          <w:kern w:val="28"/>
          <w:sz w:val="20"/>
          <w:szCs w:val="20"/>
        </w:rPr>
        <w:t xml:space="preserve"> </w:t>
      </w:r>
      <w:r w:rsidR="00DD774B">
        <w:rPr>
          <w:rFonts w:ascii="Arial Narrow" w:hAnsi="Arial Narrow" w:cs="Arial"/>
          <w:b w:val="0"/>
          <w:bCs/>
          <w:color w:val="5F5F5F"/>
          <w:kern w:val="28"/>
          <w:sz w:val="20"/>
          <w:szCs w:val="22"/>
        </w:rPr>
        <w:t>(a)</w:t>
      </w:r>
    </w:p>
    <w:p w14:paraId="62220090" w14:textId="267563FE" w:rsidR="00BC59CE" w:rsidRDefault="00BC18C0" w:rsidP="00DD774B">
      <w:pPr>
        <w:pStyle w:val="Corpodeltesto1"/>
        <w:spacing w:after="120"/>
        <w:jc w:val="left"/>
        <w:rPr>
          <w:rFonts w:ascii="Arial Narrow" w:hAnsi="Arial Narrow" w:cs="Arial"/>
          <w:b w:val="0"/>
          <w:bCs/>
          <w:color w:val="5F5F5F"/>
          <w:kern w:val="28"/>
          <w:sz w:val="20"/>
          <w:szCs w:val="22"/>
        </w:rPr>
      </w:pPr>
      <w:r>
        <w:rPr>
          <w:noProof/>
        </w:rPr>
        <w:drawing>
          <wp:inline distT="0" distB="0" distL="0" distR="0" wp14:anchorId="0089D906" wp14:editId="42564278">
            <wp:extent cx="6660000" cy="2160000"/>
            <wp:effectExtent l="0" t="0" r="7620" b="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E3AD43" w14:textId="478B2528" w:rsidR="00282F5A" w:rsidRDefault="00282F5A" w:rsidP="00282F5A">
      <w:pPr>
        <w:spacing w:after="120"/>
        <w:jc w:val="both"/>
        <w:rPr>
          <w:rFonts w:ascii="Arial Narrow" w:hAnsi="Arial Narrow" w:cs="Calibri"/>
          <w:sz w:val="15"/>
          <w:szCs w:val="15"/>
        </w:rPr>
      </w:pPr>
      <w:r w:rsidRPr="009F2C56">
        <w:rPr>
          <w:rFonts w:ascii="Arial Narrow" w:hAnsi="Arial Narrow" w:cs="Calibri"/>
          <w:sz w:val="15"/>
          <w:szCs w:val="15"/>
        </w:rPr>
        <w:t xml:space="preserve">(a) </w:t>
      </w:r>
      <w:r w:rsidRPr="00AC09DF">
        <w:rPr>
          <w:rFonts w:ascii="Arial Narrow" w:hAnsi="Arial Narrow" w:cs="Calibri"/>
          <w:sz w:val="15"/>
          <w:szCs w:val="15"/>
        </w:rPr>
        <w:t>Limitatamente ai settori la cui quota sull’export (import) per l’anno 20</w:t>
      </w:r>
      <w:r w:rsidR="001E77DD">
        <w:rPr>
          <w:rFonts w:ascii="Arial Narrow" w:hAnsi="Arial Narrow" w:cs="Calibri"/>
          <w:sz w:val="15"/>
          <w:szCs w:val="15"/>
        </w:rPr>
        <w:t>2</w:t>
      </w:r>
      <w:r w:rsidR="0075218A">
        <w:rPr>
          <w:rFonts w:ascii="Arial Narrow" w:hAnsi="Arial Narrow" w:cs="Calibri"/>
          <w:sz w:val="15"/>
          <w:szCs w:val="15"/>
        </w:rPr>
        <w:t>1</w:t>
      </w:r>
      <w:r w:rsidRPr="00AC09DF">
        <w:rPr>
          <w:rFonts w:ascii="Arial Narrow" w:hAnsi="Arial Narrow" w:cs="Calibri"/>
          <w:sz w:val="15"/>
          <w:szCs w:val="15"/>
        </w:rPr>
        <w:t xml:space="preserve"> è superiore all’1,5%.</w:t>
      </w:r>
    </w:p>
    <w:p w14:paraId="3F7ACA5E" w14:textId="534E6710" w:rsidR="00971A17" w:rsidRDefault="00971A17" w:rsidP="00E224CF">
      <w:pPr>
        <w:spacing w:after="120"/>
        <w:jc w:val="both"/>
        <w:rPr>
          <w:rFonts w:ascii="Arial" w:hAnsi="Arial"/>
          <w:sz w:val="21"/>
          <w:szCs w:val="21"/>
        </w:rPr>
      </w:pPr>
      <w:r w:rsidRPr="009F2C56">
        <w:rPr>
          <w:rFonts w:ascii="Arial Narrow" w:hAnsi="Arial Narrow" w:cs="Calibri"/>
          <w:sz w:val="15"/>
          <w:szCs w:val="15"/>
        </w:rPr>
        <w:t>Abbreviazioni</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Metalli</w:t>
      </w:r>
      <w:r w:rsidRPr="004D645B">
        <w:rPr>
          <w:rFonts w:ascii="Arial Narrow" w:hAnsi="Arial Narrow" w:cs="Calibri"/>
          <w:sz w:val="15"/>
          <w:szCs w:val="15"/>
        </w:rPr>
        <w:t>=</w:t>
      </w:r>
      <w:r w:rsidRPr="00456679">
        <w:rPr>
          <w:rFonts w:ascii="Arial Narrow" w:hAnsi="Arial Narrow" w:cs="Calibri"/>
          <w:sz w:val="15"/>
          <w:szCs w:val="15"/>
        </w:rPr>
        <w:t>Metalli di base e prodotti in metallo, esclusi macchine e impianti</w:t>
      </w:r>
      <w:r w:rsidRPr="004D645B">
        <w:rPr>
          <w:rFonts w:ascii="Arial Narrow" w:hAnsi="Arial Narrow" w:cs="Calibri"/>
          <w:sz w:val="15"/>
          <w:szCs w:val="15"/>
        </w:rPr>
        <w:t xml:space="preserve">; </w:t>
      </w:r>
      <w:r w:rsidRPr="00456679">
        <w:rPr>
          <w:rFonts w:ascii="Arial Narrow" w:hAnsi="Arial Narrow" w:cs="Calibri"/>
          <w:sz w:val="15"/>
          <w:szCs w:val="15"/>
        </w:rPr>
        <w:t>Altri m</w:t>
      </w:r>
      <w:r w:rsidR="00A61899">
        <w:rPr>
          <w:rFonts w:ascii="Arial Narrow" w:hAnsi="Arial Narrow" w:cs="Calibri"/>
          <w:sz w:val="15"/>
          <w:szCs w:val="15"/>
        </w:rPr>
        <w:t>ezzi</w:t>
      </w:r>
      <w:r w:rsidRPr="00456679">
        <w:rPr>
          <w:rFonts w:ascii="Arial Narrow" w:hAnsi="Arial Narrow" w:cs="Calibri"/>
          <w:sz w:val="15"/>
          <w:szCs w:val="15"/>
        </w:rPr>
        <w:t xml:space="preserve"> trasp</w:t>
      </w:r>
      <w:r w:rsidR="00A61899">
        <w:rPr>
          <w:rFonts w:ascii="Arial Narrow" w:hAnsi="Arial Narrow" w:cs="Calibri"/>
          <w:sz w:val="15"/>
          <w:szCs w:val="15"/>
        </w:rPr>
        <w:t>orto</w:t>
      </w:r>
      <w:r w:rsidRPr="004D645B">
        <w:rPr>
          <w:rFonts w:ascii="Arial Narrow" w:hAnsi="Arial Narrow" w:cs="Calibri"/>
          <w:sz w:val="15"/>
          <w:szCs w:val="15"/>
        </w:rPr>
        <w:t>=</w:t>
      </w:r>
      <w:r w:rsidRPr="00456679">
        <w:rPr>
          <w:rFonts w:ascii="Arial Narrow" w:hAnsi="Arial Narrow" w:cs="Calibri"/>
          <w:sz w:val="15"/>
          <w:szCs w:val="15"/>
        </w:rPr>
        <w:t>Mezzi di trasporto (escl. autoveicoli)</w:t>
      </w:r>
      <w:r w:rsidRPr="004D645B">
        <w:rPr>
          <w:rFonts w:ascii="Arial Narrow" w:hAnsi="Arial Narrow" w:cs="Calibri"/>
          <w:sz w:val="15"/>
          <w:szCs w:val="15"/>
        </w:rPr>
        <w:t xml:space="preserve">; </w:t>
      </w:r>
      <w:r w:rsidRPr="00456679">
        <w:rPr>
          <w:rFonts w:ascii="Arial Narrow" w:hAnsi="Arial Narrow" w:cs="Calibri"/>
          <w:sz w:val="15"/>
          <w:szCs w:val="15"/>
        </w:rPr>
        <w:t>Macchinari</w:t>
      </w:r>
      <w:r w:rsidRPr="004D645B">
        <w:rPr>
          <w:rFonts w:ascii="Arial Narrow" w:hAnsi="Arial Narrow" w:cs="Calibri"/>
          <w:sz w:val="15"/>
          <w:szCs w:val="15"/>
        </w:rPr>
        <w:t>=</w:t>
      </w:r>
      <w:r w:rsidR="008D0F0F">
        <w:rPr>
          <w:rFonts w:ascii="Arial Narrow" w:hAnsi="Arial Narrow" w:cs="Calibri"/>
          <w:sz w:val="15"/>
          <w:szCs w:val="15"/>
        </w:rPr>
        <w:t>Macchinari</w:t>
      </w:r>
      <w:r w:rsidRPr="00456679">
        <w:rPr>
          <w:rFonts w:ascii="Arial Narrow" w:hAnsi="Arial Narrow" w:cs="Calibri"/>
          <w:sz w:val="15"/>
          <w:szCs w:val="15"/>
        </w:rPr>
        <w:t xml:space="preserve"> e apparecchi n.c.a.</w:t>
      </w:r>
      <w:r w:rsidRPr="004D645B">
        <w:rPr>
          <w:rFonts w:ascii="Arial Narrow" w:hAnsi="Arial Narrow" w:cs="Calibri"/>
          <w:sz w:val="15"/>
          <w:szCs w:val="15"/>
        </w:rPr>
        <w:t xml:space="preserve">; </w:t>
      </w:r>
      <w:r w:rsidRPr="00456679">
        <w:rPr>
          <w:rFonts w:ascii="Arial Narrow" w:hAnsi="Arial Narrow" w:cs="Calibri"/>
          <w:sz w:val="15"/>
          <w:szCs w:val="15"/>
        </w:rPr>
        <w:t>Carta-stampa</w:t>
      </w:r>
      <w:r w:rsidRPr="004D645B">
        <w:rPr>
          <w:rFonts w:ascii="Arial Narrow" w:hAnsi="Arial Narrow" w:cs="Calibri"/>
          <w:sz w:val="15"/>
          <w:szCs w:val="15"/>
        </w:rPr>
        <w:t>=</w:t>
      </w:r>
      <w:r w:rsidRPr="00456679">
        <w:rPr>
          <w:rFonts w:ascii="Arial Narrow" w:hAnsi="Arial Narrow" w:cs="Calibri"/>
          <w:sz w:val="15"/>
          <w:szCs w:val="15"/>
        </w:rPr>
        <w:t>Carta e prodotti di carta; prodotti della stampa e della riproduzione di supporti registrati</w:t>
      </w:r>
      <w:r w:rsidRPr="004D645B">
        <w:rPr>
          <w:rFonts w:ascii="Arial Narrow" w:hAnsi="Arial Narrow" w:cs="Calibri"/>
          <w:sz w:val="15"/>
          <w:szCs w:val="15"/>
        </w:rPr>
        <w:t xml:space="preserve">; </w:t>
      </w:r>
      <w:r w:rsidRPr="00456679">
        <w:rPr>
          <w:rFonts w:ascii="Arial Narrow" w:hAnsi="Arial Narrow" w:cs="Calibri"/>
          <w:sz w:val="15"/>
          <w:szCs w:val="15"/>
        </w:rPr>
        <w:t>Chimica</w:t>
      </w:r>
      <w:r w:rsidRPr="004D645B">
        <w:rPr>
          <w:rFonts w:ascii="Arial Narrow" w:hAnsi="Arial Narrow" w:cs="Calibri"/>
          <w:sz w:val="15"/>
          <w:szCs w:val="15"/>
        </w:rPr>
        <w:t>=</w:t>
      </w:r>
      <w:r w:rsidRPr="00456679">
        <w:rPr>
          <w:rFonts w:ascii="Arial Narrow" w:hAnsi="Arial Narrow" w:cs="Calibri"/>
          <w:sz w:val="15"/>
          <w:szCs w:val="15"/>
        </w:rPr>
        <w:t>Sostanze e prodotti chimici</w:t>
      </w:r>
      <w:r w:rsidRPr="004D645B">
        <w:rPr>
          <w:rFonts w:ascii="Arial Narrow" w:hAnsi="Arial Narrow" w:cs="Calibri"/>
          <w:sz w:val="15"/>
          <w:szCs w:val="15"/>
        </w:rPr>
        <w:t xml:space="preserve">; </w:t>
      </w:r>
      <w:r w:rsidR="00A61899">
        <w:rPr>
          <w:rFonts w:ascii="Arial Narrow" w:hAnsi="Arial Narrow" w:cs="Calibri"/>
          <w:sz w:val="15"/>
          <w:szCs w:val="15"/>
        </w:rPr>
        <w:t>Minerali non metalliferi</w:t>
      </w:r>
      <w:r w:rsidRPr="004D645B">
        <w:rPr>
          <w:rFonts w:ascii="Arial Narrow" w:hAnsi="Arial Narrow" w:cs="Calibri"/>
          <w:sz w:val="15"/>
          <w:szCs w:val="15"/>
        </w:rPr>
        <w:t>=</w:t>
      </w:r>
      <w:r w:rsidRPr="00456679">
        <w:rPr>
          <w:rFonts w:ascii="Arial Narrow" w:hAnsi="Arial Narrow" w:cs="Calibri"/>
          <w:sz w:val="15"/>
          <w:szCs w:val="15"/>
        </w:rPr>
        <w:t>Altri prodotti della lavorazione di minerali non metalliferi</w:t>
      </w:r>
      <w:r w:rsidRPr="004D645B">
        <w:rPr>
          <w:rFonts w:ascii="Arial Narrow" w:hAnsi="Arial Narrow" w:cs="Calibri"/>
          <w:sz w:val="15"/>
          <w:szCs w:val="15"/>
        </w:rPr>
        <w:t xml:space="preserve">; </w:t>
      </w:r>
      <w:r w:rsidR="00A61899">
        <w:rPr>
          <w:rFonts w:ascii="Arial Narrow" w:hAnsi="Arial Narrow" w:cs="Calibri"/>
          <w:sz w:val="15"/>
          <w:szCs w:val="15"/>
        </w:rPr>
        <w:t>Altra</w:t>
      </w:r>
      <w:r w:rsidRPr="00456679">
        <w:rPr>
          <w:rFonts w:ascii="Arial Narrow" w:hAnsi="Arial Narrow" w:cs="Calibri"/>
          <w:sz w:val="15"/>
          <w:szCs w:val="15"/>
        </w:rPr>
        <w:t xml:space="preserve"> manif</w:t>
      </w:r>
      <w:r w:rsidR="00A61899">
        <w:rPr>
          <w:rFonts w:ascii="Arial Narrow" w:hAnsi="Arial Narrow" w:cs="Calibri"/>
          <w:sz w:val="15"/>
          <w:szCs w:val="15"/>
        </w:rPr>
        <w:t>attura</w:t>
      </w:r>
      <w:r w:rsidRPr="004D645B">
        <w:rPr>
          <w:rFonts w:ascii="Arial Narrow" w:hAnsi="Arial Narrow" w:cs="Calibri"/>
          <w:sz w:val="15"/>
          <w:szCs w:val="15"/>
        </w:rPr>
        <w:t>=</w:t>
      </w:r>
      <w:r w:rsidR="00A61899" w:rsidRPr="00A61899">
        <w:rPr>
          <w:rFonts w:ascii="Arial Narrow" w:hAnsi="Arial Narrow" w:cs="Calibri"/>
          <w:sz w:val="15"/>
          <w:szCs w:val="15"/>
        </w:rPr>
        <w:t>Articoli sportivi, giochi, strum. musicali, preziosi, strum. medici e altri prodotti n.c.a.</w:t>
      </w:r>
      <w:r w:rsidRPr="004D645B">
        <w:rPr>
          <w:rFonts w:ascii="Arial Narrow" w:hAnsi="Arial Narrow" w:cs="Calibri"/>
          <w:sz w:val="15"/>
          <w:szCs w:val="15"/>
        </w:rPr>
        <w:t xml:space="preserve">; </w:t>
      </w:r>
      <w:r w:rsidRPr="00456679">
        <w:rPr>
          <w:rFonts w:ascii="Arial Narrow" w:hAnsi="Arial Narrow" w:cs="Calibri"/>
          <w:sz w:val="15"/>
          <w:szCs w:val="15"/>
        </w:rPr>
        <w:t>Gomma-plastica</w:t>
      </w:r>
      <w:r w:rsidRPr="004D645B">
        <w:rPr>
          <w:rFonts w:ascii="Arial Narrow" w:hAnsi="Arial Narrow" w:cs="Calibri"/>
          <w:sz w:val="15"/>
          <w:szCs w:val="15"/>
        </w:rPr>
        <w:t>=</w:t>
      </w:r>
      <w:r w:rsidRPr="00456679">
        <w:rPr>
          <w:rFonts w:ascii="Arial Narrow" w:hAnsi="Arial Narrow" w:cs="Calibri"/>
          <w:sz w:val="15"/>
          <w:szCs w:val="15"/>
        </w:rPr>
        <w:t>Articoli in gomma e materie plastiche</w:t>
      </w:r>
      <w:r w:rsidRPr="004D645B">
        <w:rPr>
          <w:rFonts w:ascii="Arial Narrow" w:hAnsi="Arial Narrow" w:cs="Calibri"/>
          <w:sz w:val="15"/>
          <w:szCs w:val="15"/>
        </w:rPr>
        <w:t xml:space="preserve">; </w:t>
      </w:r>
      <w:r w:rsidRPr="00456679">
        <w:rPr>
          <w:rFonts w:ascii="Arial Narrow" w:hAnsi="Arial Narrow" w:cs="Calibri"/>
          <w:sz w:val="15"/>
          <w:szCs w:val="15"/>
        </w:rPr>
        <w:t>Pelletteria</w:t>
      </w:r>
      <w:r w:rsidRPr="004D645B">
        <w:rPr>
          <w:rFonts w:ascii="Arial Narrow" w:hAnsi="Arial Narrow" w:cs="Calibri"/>
          <w:sz w:val="15"/>
          <w:szCs w:val="15"/>
        </w:rPr>
        <w:t>=A</w:t>
      </w:r>
      <w:r w:rsidRPr="00456679">
        <w:rPr>
          <w:rFonts w:ascii="Arial Narrow" w:hAnsi="Arial Narrow" w:cs="Calibri"/>
          <w:sz w:val="15"/>
          <w:szCs w:val="15"/>
        </w:rPr>
        <w:t>rticoli in pelle (escluso abbigliamento) e simili</w:t>
      </w:r>
      <w:r w:rsidRPr="004D645B">
        <w:rPr>
          <w:rFonts w:ascii="Arial Narrow" w:hAnsi="Arial Narrow" w:cs="Calibri"/>
          <w:sz w:val="15"/>
          <w:szCs w:val="15"/>
        </w:rPr>
        <w:t xml:space="preserve">; </w:t>
      </w:r>
      <w:r w:rsidRPr="00456679">
        <w:rPr>
          <w:rFonts w:ascii="Arial Narrow" w:hAnsi="Arial Narrow" w:cs="Calibri"/>
          <w:sz w:val="15"/>
          <w:szCs w:val="15"/>
        </w:rPr>
        <w:t>Abbigliamento</w:t>
      </w:r>
      <w:r w:rsidRPr="004D645B">
        <w:rPr>
          <w:rFonts w:ascii="Arial Narrow" w:hAnsi="Arial Narrow" w:cs="Calibri"/>
          <w:sz w:val="15"/>
          <w:szCs w:val="15"/>
        </w:rPr>
        <w:t>=</w:t>
      </w:r>
      <w:r w:rsidRPr="00456679">
        <w:rPr>
          <w:rFonts w:ascii="Arial Narrow" w:hAnsi="Arial Narrow" w:cs="Calibri"/>
          <w:sz w:val="15"/>
          <w:szCs w:val="15"/>
        </w:rPr>
        <w:t>Articoli di abbigliamento (anche in pelle e in pelliccia)</w:t>
      </w:r>
      <w:r w:rsidRPr="004D645B">
        <w:rPr>
          <w:rFonts w:ascii="Arial Narrow" w:hAnsi="Arial Narrow" w:cs="Calibri"/>
          <w:sz w:val="15"/>
          <w:szCs w:val="15"/>
        </w:rPr>
        <w:t xml:space="preserve">; </w:t>
      </w:r>
      <w:r w:rsidRPr="00456679">
        <w:rPr>
          <w:rFonts w:ascii="Arial Narrow" w:hAnsi="Arial Narrow" w:cs="Calibri"/>
          <w:sz w:val="15"/>
          <w:szCs w:val="15"/>
        </w:rPr>
        <w:t>Tessili</w:t>
      </w:r>
      <w:r w:rsidRPr="004D645B">
        <w:rPr>
          <w:rFonts w:ascii="Arial Narrow" w:hAnsi="Arial Narrow" w:cs="Calibri"/>
          <w:sz w:val="15"/>
          <w:szCs w:val="15"/>
        </w:rPr>
        <w:t>=</w:t>
      </w:r>
      <w:r w:rsidRPr="00456679">
        <w:rPr>
          <w:rFonts w:ascii="Arial Narrow" w:hAnsi="Arial Narrow" w:cs="Calibri"/>
          <w:sz w:val="15"/>
          <w:szCs w:val="15"/>
        </w:rPr>
        <w:t>Prodotti tessili</w:t>
      </w:r>
      <w:r w:rsidRPr="004D645B">
        <w:rPr>
          <w:rFonts w:ascii="Arial Narrow" w:hAnsi="Arial Narrow" w:cs="Calibri"/>
          <w:sz w:val="15"/>
          <w:szCs w:val="15"/>
        </w:rPr>
        <w:t xml:space="preserve">; </w:t>
      </w:r>
      <w:r w:rsidRPr="00456679">
        <w:rPr>
          <w:rFonts w:ascii="Arial Narrow" w:hAnsi="Arial Narrow" w:cs="Calibri"/>
          <w:sz w:val="15"/>
          <w:szCs w:val="15"/>
        </w:rPr>
        <w:t>Agricoltura</w:t>
      </w:r>
      <w:r w:rsidRPr="004D645B">
        <w:rPr>
          <w:rFonts w:ascii="Arial Narrow" w:hAnsi="Arial Narrow" w:cs="Calibri"/>
          <w:sz w:val="15"/>
          <w:szCs w:val="15"/>
        </w:rPr>
        <w:t>=</w:t>
      </w:r>
      <w:r w:rsidRPr="00456679">
        <w:rPr>
          <w:rFonts w:ascii="Arial Narrow" w:hAnsi="Arial Narrow" w:cs="Calibri"/>
          <w:sz w:val="15"/>
          <w:szCs w:val="15"/>
        </w:rPr>
        <w:t>Prodotti dell'agricoltura, della silvicoltura e della pesca</w:t>
      </w:r>
      <w:r w:rsidRPr="004D645B">
        <w:rPr>
          <w:rFonts w:ascii="Arial Narrow" w:hAnsi="Arial Narrow" w:cs="Calibri"/>
          <w:sz w:val="15"/>
          <w:szCs w:val="15"/>
        </w:rPr>
        <w:t xml:space="preserve">; </w:t>
      </w:r>
      <w:r w:rsidRPr="00456679">
        <w:rPr>
          <w:rFonts w:ascii="Arial Narrow" w:hAnsi="Arial Narrow" w:cs="Calibri"/>
          <w:sz w:val="15"/>
          <w:szCs w:val="15"/>
        </w:rPr>
        <w:t>Elettronica</w:t>
      </w:r>
      <w:r w:rsidRPr="004D645B">
        <w:rPr>
          <w:rFonts w:ascii="Arial Narrow" w:hAnsi="Arial Narrow" w:cs="Calibri"/>
          <w:sz w:val="15"/>
          <w:szCs w:val="15"/>
        </w:rPr>
        <w:t>=</w:t>
      </w:r>
      <w:r w:rsidRPr="00456679">
        <w:rPr>
          <w:rFonts w:ascii="Arial Narrow" w:hAnsi="Arial Narrow" w:cs="Calibri"/>
          <w:sz w:val="15"/>
          <w:szCs w:val="15"/>
        </w:rPr>
        <w:t>Computer, apparecchi elettronici e ottici</w:t>
      </w:r>
      <w:r w:rsidRPr="004D645B">
        <w:rPr>
          <w:rFonts w:ascii="Arial Narrow" w:hAnsi="Arial Narrow" w:cs="Calibri"/>
          <w:sz w:val="15"/>
          <w:szCs w:val="15"/>
        </w:rPr>
        <w:t xml:space="preserve">; </w:t>
      </w:r>
      <w:r w:rsidRPr="00456679">
        <w:rPr>
          <w:rFonts w:ascii="Arial Narrow" w:hAnsi="Arial Narrow" w:cs="Calibri"/>
          <w:sz w:val="15"/>
          <w:szCs w:val="15"/>
        </w:rPr>
        <w:t>Raffinazione</w:t>
      </w:r>
      <w:r w:rsidRPr="004D645B">
        <w:rPr>
          <w:rFonts w:ascii="Arial Narrow" w:hAnsi="Arial Narrow" w:cs="Calibri"/>
          <w:sz w:val="15"/>
          <w:szCs w:val="15"/>
        </w:rPr>
        <w:t>=</w:t>
      </w:r>
      <w:r w:rsidRPr="00456679">
        <w:rPr>
          <w:rFonts w:ascii="Arial Narrow" w:hAnsi="Arial Narrow" w:cs="Calibri"/>
          <w:sz w:val="15"/>
          <w:szCs w:val="15"/>
        </w:rPr>
        <w:t>Coke e prodotti petroliferi raffinati</w:t>
      </w:r>
      <w:r w:rsidRPr="004D645B">
        <w:rPr>
          <w:rFonts w:ascii="Arial Narrow" w:hAnsi="Arial Narrow" w:cs="Calibri"/>
          <w:sz w:val="15"/>
          <w:szCs w:val="15"/>
        </w:rPr>
        <w:t xml:space="preserve">; </w:t>
      </w:r>
      <w:r w:rsidRPr="00456679">
        <w:rPr>
          <w:rFonts w:ascii="Arial Narrow" w:hAnsi="Arial Narrow" w:cs="Calibri"/>
          <w:sz w:val="15"/>
          <w:szCs w:val="15"/>
        </w:rPr>
        <w:t>Alimentari</w:t>
      </w:r>
      <w:r w:rsidRPr="004D645B">
        <w:rPr>
          <w:rFonts w:ascii="Arial Narrow" w:hAnsi="Arial Narrow" w:cs="Calibri"/>
          <w:sz w:val="15"/>
          <w:szCs w:val="15"/>
        </w:rPr>
        <w:t>=</w:t>
      </w:r>
      <w:r w:rsidRPr="00456679">
        <w:rPr>
          <w:rFonts w:ascii="Arial Narrow" w:hAnsi="Arial Narrow" w:cs="Calibri"/>
          <w:sz w:val="15"/>
          <w:szCs w:val="15"/>
        </w:rPr>
        <w:t>Prodotti alimentari, bevande e tabacco</w:t>
      </w:r>
      <w:r w:rsidRPr="004D645B">
        <w:rPr>
          <w:rFonts w:ascii="Arial Narrow" w:hAnsi="Arial Narrow" w:cs="Calibri"/>
          <w:sz w:val="15"/>
          <w:szCs w:val="15"/>
        </w:rPr>
        <w:t xml:space="preserve">; </w:t>
      </w:r>
      <w:r w:rsidRPr="00456679">
        <w:rPr>
          <w:rFonts w:ascii="Arial Narrow" w:hAnsi="Arial Narrow" w:cs="Calibri"/>
          <w:sz w:val="15"/>
          <w:szCs w:val="15"/>
        </w:rPr>
        <w:t>Farmaceutica</w:t>
      </w:r>
      <w:r w:rsidRPr="004D645B">
        <w:rPr>
          <w:rFonts w:ascii="Arial Narrow" w:hAnsi="Arial Narrow" w:cs="Calibri"/>
          <w:sz w:val="15"/>
          <w:szCs w:val="15"/>
        </w:rPr>
        <w:t>=</w:t>
      </w:r>
      <w:r w:rsidRPr="00456679">
        <w:rPr>
          <w:rFonts w:ascii="Arial Narrow" w:hAnsi="Arial Narrow" w:cs="Calibri"/>
          <w:sz w:val="15"/>
          <w:szCs w:val="15"/>
        </w:rPr>
        <w:t>Articoli farmaceutici, chimico-medicinali e botanici</w:t>
      </w:r>
      <w:r>
        <w:rPr>
          <w:rFonts w:ascii="Arial Narrow" w:hAnsi="Arial Narrow" w:cs="Calibri"/>
          <w:sz w:val="15"/>
          <w:szCs w:val="15"/>
        </w:rPr>
        <w:t>.</w:t>
      </w:r>
    </w:p>
    <w:p w14:paraId="64B2489F" w14:textId="77777777" w:rsidR="00C6666F" w:rsidRDefault="00C6666F" w:rsidP="00BC4705">
      <w:pPr>
        <w:spacing w:after="60"/>
        <w:jc w:val="both"/>
        <w:rPr>
          <w:rFonts w:ascii="Arial" w:hAnsi="Arial"/>
          <w:sz w:val="21"/>
          <w:szCs w:val="21"/>
        </w:rPr>
      </w:pPr>
    </w:p>
    <w:p w14:paraId="50C0012F" w14:textId="77777777" w:rsidR="00660BD3" w:rsidRDefault="00660BD3" w:rsidP="0020174D">
      <w:pPr>
        <w:spacing w:after="120"/>
        <w:jc w:val="both"/>
        <w:rPr>
          <w:rFonts w:ascii="Arial" w:hAnsi="Arial"/>
          <w:sz w:val="21"/>
          <w:szCs w:val="21"/>
        </w:rPr>
      </w:pPr>
    </w:p>
    <w:p w14:paraId="70FA5431" w14:textId="77777777" w:rsidR="00CC2949" w:rsidRPr="00067430" w:rsidRDefault="0025622B" w:rsidP="00CC2949">
      <w:pPr>
        <w:pStyle w:val="001TitoloBolocco"/>
        <w:spacing w:after="0" w:line="240" w:lineRule="auto"/>
        <w:rPr>
          <w:rFonts w:ascii="Arial Narrow" w:hAnsi="Arial Narrow"/>
          <w:bCs w:val="0"/>
          <w:caps w:val="0"/>
          <w:sz w:val="22"/>
        </w:rPr>
      </w:pPr>
      <w:r>
        <w:rPr>
          <w:bCs w:val="0"/>
          <w:caps w:val="0"/>
        </w:rPr>
        <w:br w:type="page"/>
      </w:r>
    </w:p>
    <w:p w14:paraId="4E7CE020" w14:textId="77777777" w:rsidR="00ED1109" w:rsidRPr="00ED1109" w:rsidRDefault="00ED1109" w:rsidP="00ED1109">
      <w:pPr>
        <w:pStyle w:val="Corpodeltesto1"/>
        <w:jc w:val="left"/>
        <w:rPr>
          <w:rFonts w:ascii="Arial Narrow" w:hAnsi="Arial Narrow"/>
          <w:bCs/>
          <w:caps/>
          <w:sz w:val="22"/>
        </w:rPr>
      </w:pPr>
    </w:p>
    <w:p w14:paraId="27AEFD13" w14:textId="77777777" w:rsidR="00BF702B" w:rsidRDefault="00BF702B" w:rsidP="00BF702B">
      <w:pPr>
        <w:pStyle w:val="001TitoloBolocco"/>
        <w:spacing w:after="120" w:line="240" w:lineRule="auto"/>
      </w:pPr>
      <w:r>
        <w:rPr>
          <w:bCs w:val="0"/>
          <w:caps w:val="0"/>
        </w:rPr>
        <w:t>P</w:t>
      </w:r>
      <w:r w:rsidR="002A153A">
        <w:rPr>
          <w:bCs w:val="0"/>
          <w:caps w:val="0"/>
        </w:rPr>
        <w:t>A</w:t>
      </w:r>
      <w:r>
        <w:rPr>
          <w:bCs w:val="0"/>
          <w:caps w:val="0"/>
        </w:rPr>
        <w:t>E</w:t>
      </w:r>
      <w:r w:rsidR="002A153A">
        <w:rPr>
          <w:bCs w:val="0"/>
          <w:caps w:val="0"/>
        </w:rPr>
        <w:t>SI PARTNER NEL COMMERCIO ESTERO</w:t>
      </w:r>
    </w:p>
    <w:p w14:paraId="7F2F8662" w14:textId="77777777" w:rsidR="00D40C17" w:rsidRPr="00D40C17" w:rsidRDefault="002A153A" w:rsidP="00D40C17">
      <w:pPr>
        <w:pStyle w:val="Corpodeltesto1"/>
        <w:jc w:val="left"/>
        <w:rPr>
          <w:rFonts w:ascii="Arial Narrow" w:hAnsi="Arial Narrow" w:cs="Arial"/>
          <w:bCs/>
          <w:color w:val="E42618"/>
          <w:kern w:val="28"/>
          <w:sz w:val="22"/>
          <w:szCs w:val="22"/>
        </w:rPr>
      </w:pPr>
      <w:r w:rsidRPr="00D40C17">
        <w:rPr>
          <w:rFonts w:ascii="Arial Narrow" w:hAnsi="Arial Narrow" w:cs="Arial"/>
          <w:bCs/>
          <w:color w:val="E42618"/>
          <w:kern w:val="28"/>
          <w:sz w:val="22"/>
          <w:szCs w:val="22"/>
        </w:rPr>
        <w:t xml:space="preserve">FIGURA </w:t>
      </w:r>
      <w:r w:rsidR="00864908" w:rsidRPr="00D40C17">
        <w:rPr>
          <w:rFonts w:ascii="Arial Narrow" w:hAnsi="Arial Narrow" w:cs="Arial"/>
          <w:bCs/>
          <w:color w:val="E42618"/>
          <w:kern w:val="28"/>
          <w:sz w:val="22"/>
          <w:szCs w:val="22"/>
        </w:rPr>
        <w:t>8</w:t>
      </w:r>
      <w:r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 xml:space="preserve">EXPORT  </w:t>
      </w:r>
      <w:r w:rsidR="00D40C17" w:rsidRPr="00D40C17">
        <w:rPr>
          <w:rFonts w:ascii="Arial Narrow" w:hAnsi="Arial Narrow" w:cs="Arial"/>
          <w:bCs/>
          <w:color w:val="E42618"/>
          <w:kern w:val="28"/>
          <w:sz w:val="22"/>
          <w:szCs w:val="22"/>
        </w:rPr>
        <w:t xml:space="preserve">  </w:t>
      </w:r>
    </w:p>
    <w:p w14:paraId="5D435E8D" w14:textId="6EF47C57" w:rsidR="00041D56" w:rsidRDefault="00024474" w:rsidP="00041D56">
      <w:pPr>
        <w:pStyle w:val="Corpodeltesto1"/>
        <w:spacing w:after="120"/>
        <w:jc w:val="left"/>
        <w:rPr>
          <w:noProof/>
        </w:rPr>
      </w:pPr>
      <w:r>
        <w:rPr>
          <w:rFonts w:ascii="Arial Narrow" w:hAnsi="Arial Narrow" w:cs="Arial"/>
          <w:b w:val="0"/>
          <w:color w:val="5F5F5F"/>
          <w:kern w:val="28"/>
          <w:sz w:val="20"/>
          <w:szCs w:val="20"/>
        </w:rPr>
        <w:t>Ottobre</w:t>
      </w:r>
      <w:r w:rsidR="005F4885" w:rsidRPr="005F4885">
        <w:rPr>
          <w:rFonts w:ascii="Arial Narrow" w:hAnsi="Arial Narrow" w:cs="Arial"/>
          <w:b w:val="0"/>
          <w:color w:val="5F5F5F"/>
          <w:kern w:val="28"/>
          <w:sz w:val="20"/>
          <w:szCs w:val="20"/>
        </w:rPr>
        <w:t xml:space="preserve"> </w:t>
      </w:r>
      <w:r w:rsidR="00756458" w:rsidRPr="00756458">
        <w:rPr>
          <w:rFonts w:ascii="Arial Narrow" w:hAnsi="Arial Narrow" w:cs="Arial"/>
          <w:b w:val="0"/>
          <w:color w:val="5F5F5F"/>
          <w:kern w:val="28"/>
          <w:sz w:val="20"/>
          <w:szCs w:val="20"/>
        </w:rPr>
        <w:t>202</w:t>
      </w:r>
      <w:r w:rsidR="00470B67">
        <w:rPr>
          <w:rFonts w:ascii="Arial Narrow" w:hAnsi="Arial Narrow" w:cs="Arial"/>
          <w:b w:val="0"/>
          <w:color w:val="5F5F5F"/>
          <w:kern w:val="28"/>
          <w:sz w:val="20"/>
          <w:szCs w:val="20"/>
        </w:rPr>
        <w:t>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7C8F3849" w14:textId="741A65C2" w:rsidR="00147CB5" w:rsidRDefault="00BC18C0"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33BEC21C" wp14:editId="7F8BE560">
            <wp:extent cx="6660000" cy="2160000"/>
            <wp:effectExtent l="0" t="0" r="7620" b="0"/>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6F4C65" w14:textId="77777777" w:rsidR="009D29C9" w:rsidRDefault="009D29C9" w:rsidP="00763EB2">
      <w:pPr>
        <w:pStyle w:val="Corpodeltesto1"/>
        <w:rPr>
          <w:rFonts w:ascii="Arial Narrow" w:hAnsi="Arial Narrow" w:cs="Arial"/>
          <w:color w:val="E42618"/>
          <w:kern w:val="28"/>
          <w:sz w:val="22"/>
          <w:szCs w:val="22"/>
        </w:rPr>
      </w:pPr>
    </w:p>
    <w:p w14:paraId="51D28C8B" w14:textId="77777777" w:rsidR="00B145A1" w:rsidRDefault="00B145A1" w:rsidP="00763EB2">
      <w:pPr>
        <w:pStyle w:val="Corpodeltesto1"/>
        <w:rPr>
          <w:rFonts w:ascii="Arial Narrow" w:hAnsi="Arial Narrow" w:cs="Arial"/>
          <w:bCs/>
          <w:color w:val="5F5F5F"/>
          <w:kern w:val="28"/>
          <w:sz w:val="22"/>
          <w:szCs w:val="22"/>
        </w:rPr>
      </w:pPr>
      <w:r w:rsidRPr="002A153A">
        <w:rPr>
          <w:rFonts w:ascii="Arial Narrow" w:hAnsi="Arial Narrow" w:cs="Arial"/>
          <w:color w:val="E42618"/>
          <w:kern w:val="28"/>
          <w:sz w:val="22"/>
          <w:szCs w:val="22"/>
        </w:rPr>
        <w:t xml:space="preserve">FIGURA </w:t>
      </w:r>
      <w:r>
        <w:rPr>
          <w:rFonts w:ascii="Arial Narrow" w:hAnsi="Arial Narrow" w:cs="Arial"/>
          <w:color w:val="E42618"/>
          <w:kern w:val="28"/>
          <w:sz w:val="22"/>
          <w:szCs w:val="22"/>
        </w:rPr>
        <w:t>9</w:t>
      </w:r>
      <w:r w:rsidRPr="002A153A">
        <w:rPr>
          <w:rFonts w:ascii="Arial Narrow" w:hAnsi="Arial Narrow" w:cs="Arial"/>
          <w:color w:val="E42618"/>
          <w:kern w:val="28"/>
          <w:sz w:val="22"/>
          <w:szCs w:val="22"/>
        </w:rPr>
        <w:t>.</w:t>
      </w:r>
      <w:r w:rsidRPr="00B37F7D">
        <w:rPr>
          <w:rFonts w:ascii="Arial Narrow" w:hAnsi="Arial Narrow" w:cs="Arial"/>
          <w:color w:val="5F5F5F"/>
          <w:spacing w:val="-8"/>
          <w:sz w:val="20"/>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Pr>
          <w:rFonts w:ascii="Arial Narrow" w:hAnsi="Arial Narrow" w:cs="Arial"/>
          <w:bCs/>
          <w:color w:val="5F5F5F"/>
          <w:kern w:val="28"/>
          <w:sz w:val="22"/>
          <w:szCs w:val="22"/>
        </w:rPr>
        <w:t>IM</w:t>
      </w:r>
      <w:r w:rsidR="00D40C17" w:rsidRPr="00D40C17">
        <w:rPr>
          <w:rFonts w:ascii="Arial Narrow" w:hAnsi="Arial Narrow" w:cs="Arial"/>
          <w:bCs/>
          <w:color w:val="5F5F5F"/>
          <w:kern w:val="28"/>
          <w:sz w:val="22"/>
          <w:szCs w:val="22"/>
        </w:rPr>
        <w:t xml:space="preserve">PORT  </w:t>
      </w:r>
      <w:r w:rsidR="00D40C17" w:rsidRPr="00D40C17">
        <w:rPr>
          <w:rFonts w:ascii="Arial Narrow" w:hAnsi="Arial Narrow" w:cs="Arial"/>
          <w:bCs/>
          <w:color w:val="E42618"/>
          <w:kern w:val="28"/>
          <w:sz w:val="22"/>
          <w:szCs w:val="22"/>
        </w:rPr>
        <w:t xml:space="preserve">  </w:t>
      </w:r>
    </w:p>
    <w:p w14:paraId="15667FC6" w14:textId="680C7B76" w:rsidR="00041D56" w:rsidRDefault="00024474" w:rsidP="00041D56">
      <w:pPr>
        <w:pStyle w:val="Corpodeltesto1"/>
        <w:spacing w:after="120"/>
        <w:jc w:val="left"/>
        <w:rPr>
          <w:noProof/>
        </w:rPr>
      </w:pPr>
      <w:r>
        <w:rPr>
          <w:rFonts w:ascii="Arial Narrow" w:hAnsi="Arial Narrow" w:cs="Arial"/>
          <w:b w:val="0"/>
          <w:color w:val="5F5F5F"/>
          <w:kern w:val="28"/>
          <w:sz w:val="20"/>
          <w:szCs w:val="20"/>
        </w:rPr>
        <w:t>Ottobre</w:t>
      </w:r>
      <w:r w:rsidR="005F4885" w:rsidRPr="005F4885">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18408927" w14:textId="41AA2F1F" w:rsidR="00403189" w:rsidRDefault="00BC18C0"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38DEA056" wp14:editId="7EC22444">
            <wp:extent cx="6660000" cy="2160000"/>
            <wp:effectExtent l="0" t="0" r="7620" b="0"/>
            <wp:docPr id="33" name="Gra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DA55CF" w14:textId="4D3D29C9" w:rsidR="00C22E24" w:rsidRDefault="00C0323B" w:rsidP="00C22E24">
      <w:pPr>
        <w:spacing w:before="60"/>
        <w:jc w:val="both"/>
        <w:rPr>
          <w:rFonts w:ascii="Arial Narrow" w:hAnsi="Arial Narrow" w:cs="Calibri"/>
          <w:sz w:val="15"/>
          <w:szCs w:val="15"/>
        </w:rPr>
      </w:pPr>
      <w:r w:rsidRPr="009F2C56">
        <w:rPr>
          <w:rFonts w:ascii="Arial Narrow" w:hAnsi="Arial Narrow" w:cs="Calibri"/>
          <w:sz w:val="15"/>
          <w:szCs w:val="15"/>
        </w:rPr>
        <w:t xml:space="preserve">(a) </w:t>
      </w:r>
      <w:r w:rsidRPr="00C97A46">
        <w:rPr>
          <w:rFonts w:ascii="Arial Narrow" w:hAnsi="Arial Narrow" w:cs="Calibri"/>
          <w:sz w:val="15"/>
          <w:szCs w:val="15"/>
        </w:rPr>
        <w:t>Limitatamente ai paesi la cui quota sull</w:t>
      </w:r>
      <w:r w:rsidR="00B67619">
        <w:rPr>
          <w:rFonts w:ascii="Arial Narrow" w:hAnsi="Arial Narrow" w:cs="Calibri"/>
          <w:sz w:val="15"/>
          <w:szCs w:val="15"/>
        </w:rPr>
        <w:t>’export (import)</w:t>
      </w:r>
      <w:r w:rsidR="001E77DD">
        <w:rPr>
          <w:rFonts w:ascii="Arial Narrow" w:hAnsi="Arial Narrow" w:cs="Calibri"/>
          <w:sz w:val="15"/>
          <w:szCs w:val="15"/>
        </w:rPr>
        <w:t xml:space="preserve"> per l’anno 202</w:t>
      </w:r>
      <w:r w:rsidR="0075218A">
        <w:rPr>
          <w:rFonts w:ascii="Arial Narrow" w:hAnsi="Arial Narrow" w:cs="Calibri"/>
          <w:sz w:val="15"/>
          <w:szCs w:val="15"/>
        </w:rPr>
        <w:t>1</w:t>
      </w:r>
      <w:r w:rsidRPr="00C97A46">
        <w:rPr>
          <w:rFonts w:ascii="Arial Narrow" w:hAnsi="Arial Narrow" w:cs="Calibri"/>
          <w:sz w:val="15"/>
          <w:szCs w:val="15"/>
        </w:rPr>
        <w:t xml:space="preserve"> è superiore all’1%.</w:t>
      </w:r>
    </w:p>
    <w:p w14:paraId="191AF2B1" w14:textId="77777777" w:rsidR="00C0323B" w:rsidRDefault="00C0323B" w:rsidP="00E74CD4">
      <w:pPr>
        <w:spacing w:before="60"/>
        <w:jc w:val="both"/>
        <w:rPr>
          <w:rFonts w:ascii="Arial Narrow" w:hAnsi="Arial Narrow" w:cs="Calibri"/>
          <w:sz w:val="15"/>
          <w:szCs w:val="15"/>
        </w:rPr>
      </w:pPr>
    </w:p>
    <w:p w14:paraId="39DD39F5" w14:textId="77777777" w:rsidR="008D59B2" w:rsidRPr="008D59B2" w:rsidRDefault="008D59B2" w:rsidP="008D59B2">
      <w:pPr>
        <w:spacing w:after="120"/>
        <w:jc w:val="both"/>
        <w:rPr>
          <w:rFonts w:ascii="Arial" w:hAnsi="Arial"/>
          <w:sz w:val="21"/>
          <w:szCs w:val="21"/>
        </w:rPr>
      </w:pPr>
    </w:p>
    <w:p w14:paraId="770534AE" w14:textId="77777777" w:rsidR="00833A77" w:rsidRPr="00055CB6" w:rsidRDefault="00525F9A" w:rsidP="00E84E4F">
      <w:pPr>
        <w:pStyle w:val="001TitoloBolocco"/>
        <w:spacing w:after="120" w:line="240" w:lineRule="auto"/>
      </w:pPr>
      <w:r w:rsidRPr="00055CB6">
        <w:rPr>
          <w:bCs w:val="0"/>
          <w:caps w:val="0"/>
        </w:rPr>
        <w:t>A</w:t>
      </w:r>
      <w:r w:rsidR="00885870" w:rsidRPr="00055CB6">
        <w:rPr>
          <w:bCs w:val="0"/>
          <w:caps w:val="0"/>
        </w:rPr>
        <w:t>NALISI PER PRODOTTO E PAESE</w:t>
      </w:r>
    </w:p>
    <w:p w14:paraId="5E23DD54" w14:textId="0BC76C8F" w:rsidR="00DE12CB" w:rsidRPr="008F437C" w:rsidRDefault="00DE12CB" w:rsidP="00DE12CB">
      <w:pPr>
        <w:pStyle w:val="Corpotesto1"/>
        <w:spacing w:after="120"/>
        <w:rPr>
          <w:rFonts w:ascii="Arial" w:hAnsi="Arial"/>
          <w:b w:val="0"/>
          <w:sz w:val="21"/>
          <w:szCs w:val="21"/>
          <w:lang w:val="it-IT" w:eastAsia="it-IT"/>
        </w:rPr>
      </w:pPr>
      <w:r w:rsidRPr="008F437C">
        <w:rPr>
          <w:rFonts w:ascii="Arial" w:hAnsi="Arial"/>
          <w:b w:val="0"/>
          <w:sz w:val="21"/>
          <w:szCs w:val="21"/>
          <w:lang w:val="it-IT" w:eastAsia="it-IT"/>
        </w:rPr>
        <w:t>Sulla base delle elaborazioni allegate al presente comunicato nel file “Grafici aggiuntivi co</w:t>
      </w:r>
      <w:r w:rsidR="00462336" w:rsidRPr="008F437C">
        <w:rPr>
          <w:rFonts w:ascii="Arial" w:hAnsi="Arial"/>
          <w:b w:val="0"/>
          <w:sz w:val="21"/>
          <w:szCs w:val="21"/>
          <w:lang w:val="it-IT" w:eastAsia="it-IT"/>
        </w:rPr>
        <w:t xml:space="preserve">mmercio estero”, risulta che la </w:t>
      </w:r>
      <w:r w:rsidRPr="008F437C">
        <w:rPr>
          <w:rFonts w:ascii="Arial" w:hAnsi="Arial"/>
          <w:b w:val="0"/>
          <w:sz w:val="21"/>
          <w:szCs w:val="21"/>
          <w:lang w:val="it-IT" w:eastAsia="it-IT"/>
        </w:rPr>
        <w:t>crescita tendenzi</w:t>
      </w:r>
      <w:r w:rsidR="00462336" w:rsidRPr="008F437C">
        <w:rPr>
          <w:rFonts w:ascii="Arial" w:hAnsi="Arial"/>
          <w:b w:val="0"/>
          <w:sz w:val="21"/>
          <w:szCs w:val="21"/>
          <w:lang w:val="it-IT" w:eastAsia="it-IT"/>
        </w:rPr>
        <w:t>ale dell’export è spiegata per 1</w:t>
      </w:r>
      <w:r w:rsidRPr="008F437C">
        <w:rPr>
          <w:rFonts w:ascii="Arial" w:hAnsi="Arial"/>
          <w:b w:val="0"/>
          <w:sz w:val="21"/>
          <w:szCs w:val="21"/>
          <w:lang w:val="it-IT" w:eastAsia="it-IT"/>
        </w:rPr>
        <w:t>,</w:t>
      </w:r>
      <w:r w:rsidR="00462336" w:rsidRPr="008F437C">
        <w:rPr>
          <w:rFonts w:ascii="Arial" w:hAnsi="Arial"/>
          <w:b w:val="0"/>
          <w:sz w:val="21"/>
          <w:szCs w:val="21"/>
          <w:lang w:val="it-IT" w:eastAsia="it-IT"/>
        </w:rPr>
        <w:t>6</w:t>
      </w:r>
      <w:r w:rsidRPr="008F437C">
        <w:rPr>
          <w:rFonts w:ascii="Arial" w:hAnsi="Arial"/>
          <w:b w:val="0"/>
          <w:sz w:val="21"/>
          <w:szCs w:val="21"/>
          <w:lang w:val="it-IT" w:eastAsia="it-IT"/>
        </w:rPr>
        <w:t xml:space="preserve"> punti percentuali dall’incremento delle vendite di articoli farmaceutici, chimico-medicinali e botanici verso </w:t>
      </w:r>
      <w:r w:rsidR="00456900" w:rsidRPr="008F437C">
        <w:rPr>
          <w:rFonts w:ascii="Arial" w:hAnsi="Arial"/>
          <w:b w:val="0"/>
          <w:sz w:val="21"/>
          <w:szCs w:val="21"/>
          <w:lang w:val="it-IT" w:eastAsia="it-IT"/>
        </w:rPr>
        <w:t>Stati Uniti</w:t>
      </w:r>
      <w:r w:rsidR="00462336" w:rsidRPr="008F437C">
        <w:rPr>
          <w:rFonts w:ascii="Arial" w:hAnsi="Arial"/>
          <w:b w:val="0"/>
          <w:sz w:val="21"/>
          <w:szCs w:val="21"/>
          <w:lang w:val="it-IT" w:eastAsia="it-IT"/>
        </w:rPr>
        <w:t xml:space="preserve"> e Svizzera</w:t>
      </w:r>
      <w:r w:rsidRPr="008F437C">
        <w:rPr>
          <w:rFonts w:ascii="Arial" w:hAnsi="Arial"/>
          <w:b w:val="0"/>
          <w:sz w:val="21"/>
          <w:szCs w:val="21"/>
          <w:lang w:val="it-IT" w:eastAsia="it-IT"/>
        </w:rPr>
        <w:t xml:space="preserve">. Un ulteriore contributo positivo di </w:t>
      </w:r>
      <w:r w:rsidR="00462336" w:rsidRPr="008F437C">
        <w:rPr>
          <w:rFonts w:ascii="Arial" w:hAnsi="Arial"/>
          <w:b w:val="0"/>
          <w:sz w:val="21"/>
          <w:szCs w:val="21"/>
          <w:lang w:val="it-IT" w:eastAsia="it-IT"/>
        </w:rPr>
        <w:t>1,2</w:t>
      </w:r>
      <w:r w:rsidR="0004409E" w:rsidRPr="008F437C">
        <w:rPr>
          <w:rFonts w:ascii="Arial" w:hAnsi="Arial"/>
          <w:b w:val="0"/>
          <w:sz w:val="21"/>
          <w:szCs w:val="21"/>
          <w:lang w:val="it-IT" w:eastAsia="it-IT"/>
        </w:rPr>
        <w:t xml:space="preserve"> punti percentuali</w:t>
      </w:r>
      <w:r w:rsidRPr="008F437C">
        <w:rPr>
          <w:rFonts w:ascii="Arial" w:hAnsi="Arial"/>
          <w:b w:val="0"/>
          <w:sz w:val="21"/>
          <w:szCs w:val="21"/>
          <w:lang w:val="it-IT" w:eastAsia="it-IT"/>
        </w:rPr>
        <w:t xml:space="preserve"> deriva dall’incremento delle vendite </w:t>
      </w:r>
      <w:r w:rsidR="008C346A" w:rsidRPr="008F437C">
        <w:rPr>
          <w:rFonts w:ascii="Arial" w:hAnsi="Arial"/>
          <w:b w:val="0"/>
          <w:sz w:val="21"/>
          <w:szCs w:val="21"/>
          <w:lang w:val="it-IT" w:eastAsia="it-IT"/>
        </w:rPr>
        <w:t>di</w:t>
      </w:r>
      <w:r w:rsidR="00462336" w:rsidRPr="008F437C">
        <w:rPr>
          <w:rFonts w:ascii="Arial" w:hAnsi="Arial"/>
          <w:b w:val="0"/>
          <w:sz w:val="21"/>
          <w:szCs w:val="21"/>
          <w:lang w:val="it-IT" w:eastAsia="it-IT"/>
        </w:rPr>
        <w:t xml:space="preserve"> metalli di base e prodotti in metallo, esclusi macchine e impianti</w:t>
      </w:r>
      <w:r w:rsidR="008C346A" w:rsidRPr="008F437C">
        <w:rPr>
          <w:rFonts w:ascii="Arial" w:hAnsi="Arial"/>
          <w:b w:val="0"/>
          <w:sz w:val="21"/>
          <w:szCs w:val="21"/>
          <w:lang w:val="it-IT" w:eastAsia="it-IT"/>
        </w:rPr>
        <w:t xml:space="preserve"> </w:t>
      </w:r>
      <w:r w:rsidRPr="008F437C">
        <w:rPr>
          <w:rFonts w:ascii="Arial" w:hAnsi="Arial"/>
          <w:b w:val="0"/>
          <w:sz w:val="21"/>
          <w:szCs w:val="21"/>
          <w:lang w:val="it-IT" w:eastAsia="it-IT"/>
        </w:rPr>
        <w:t>verso</w:t>
      </w:r>
      <w:r w:rsidR="00456900" w:rsidRPr="008F437C">
        <w:rPr>
          <w:rFonts w:ascii="Arial" w:hAnsi="Arial"/>
          <w:b w:val="0"/>
          <w:sz w:val="21"/>
          <w:szCs w:val="21"/>
          <w:lang w:val="it-IT" w:eastAsia="it-IT"/>
        </w:rPr>
        <w:t xml:space="preserve"> </w:t>
      </w:r>
      <w:r w:rsidR="00462336" w:rsidRPr="008F437C">
        <w:rPr>
          <w:rFonts w:ascii="Arial" w:hAnsi="Arial"/>
          <w:b w:val="0"/>
          <w:sz w:val="21"/>
          <w:szCs w:val="21"/>
          <w:lang w:val="it-IT" w:eastAsia="it-IT"/>
        </w:rPr>
        <w:t xml:space="preserve">Turchia e Stati Uniti </w:t>
      </w:r>
      <w:r w:rsidR="0004409E" w:rsidRPr="008F437C">
        <w:rPr>
          <w:rFonts w:ascii="Arial" w:hAnsi="Arial"/>
          <w:b w:val="0"/>
          <w:sz w:val="21"/>
          <w:szCs w:val="21"/>
          <w:lang w:val="it-IT" w:eastAsia="it-IT"/>
        </w:rPr>
        <w:t xml:space="preserve">e di </w:t>
      </w:r>
      <w:r w:rsidR="00462336" w:rsidRPr="008F437C">
        <w:rPr>
          <w:rFonts w:ascii="Arial" w:hAnsi="Arial"/>
          <w:b w:val="0"/>
          <w:sz w:val="21"/>
          <w:szCs w:val="21"/>
          <w:lang w:val="it-IT" w:eastAsia="it-IT"/>
        </w:rPr>
        <w:t>autoveicoli</w:t>
      </w:r>
      <w:r w:rsidR="0004409E" w:rsidRPr="008F437C">
        <w:rPr>
          <w:rFonts w:ascii="Arial" w:hAnsi="Arial"/>
          <w:b w:val="0"/>
          <w:sz w:val="21"/>
          <w:szCs w:val="21"/>
          <w:lang w:val="it-IT" w:eastAsia="it-IT"/>
        </w:rPr>
        <w:t xml:space="preserve"> verso</w:t>
      </w:r>
      <w:r w:rsidR="00456900" w:rsidRPr="008F437C">
        <w:rPr>
          <w:rFonts w:ascii="Arial" w:hAnsi="Arial"/>
          <w:b w:val="0"/>
          <w:sz w:val="21"/>
          <w:szCs w:val="21"/>
          <w:lang w:val="it-IT" w:eastAsia="it-IT"/>
        </w:rPr>
        <w:t xml:space="preserve"> </w:t>
      </w:r>
      <w:r w:rsidR="00462336" w:rsidRPr="008F437C">
        <w:rPr>
          <w:rFonts w:ascii="Arial" w:hAnsi="Arial"/>
          <w:b w:val="0"/>
          <w:sz w:val="21"/>
          <w:szCs w:val="21"/>
          <w:lang w:val="it-IT" w:eastAsia="it-IT"/>
        </w:rPr>
        <w:t xml:space="preserve">la </w:t>
      </w:r>
      <w:r w:rsidR="00456900" w:rsidRPr="008F437C">
        <w:rPr>
          <w:rFonts w:ascii="Arial" w:hAnsi="Arial"/>
          <w:b w:val="0"/>
          <w:sz w:val="21"/>
          <w:szCs w:val="21"/>
          <w:lang w:val="it-IT" w:eastAsia="it-IT"/>
        </w:rPr>
        <w:t>Germania</w:t>
      </w:r>
      <w:r w:rsidRPr="008F437C">
        <w:rPr>
          <w:rFonts w:ascii="Arial" w:hAnsi="Arial"/>
          <w:b w:val="0"/>
          <w:sz w:val="21"/>
          <w:szCs w:val="21"/>
          <w:lang w:val="it-IT" w:eastAsia="it-IT"/>
        </w:rPr>
        <w:t xml:space="preserve">. All’opposto, il calo delle vendite di </w:t>
      </w:r>
      <w:r w:rsidR="00456900" w:rsidRPr="008F437C">
        <w:rPr>
          <w:rFonts w:ascii="Arial" w:hAnsi="Arial"/>
          <w:b w:val="0"/>
          <w:sz w:val="21"/>
          <w:szCs w:val="21"/>
          <w:lang w:val="it-IT" w:eastAsia="it-IT"/>
        </w:rPr>
        <w:t>articoli farmaceutici, chimico-medicinali e bo</w:t>
      </w:r>
      <w:r w:rsidR="008C346A" w:rsidRPr="008F437C">
        <w:rPr>
          <w:rFonts w:ascii="Arial" w:hAnsi="Arial"/>
          <w:b w:val="0"/>
          <w:sz w:val="21"/>
          <w:szCs w:val="21"/>
          <w:lang w:val="it-IT" w:eastAsia="it-IT"/>
        </w:rPr>
        <w:t xml:space="preserve">tanici verso </w:t>
      </w:r>
      <w:r w:rsidR="008F437C">
        <w:rPr>
          <w:rFonts w:ascii="Arial" w:hAnsi="Arial"/>
          <w:b w:val="0"/>
          <w:sz w:val="21"/>
          <w:szCs w:val="21"/>
          <w:lang w:val="it-IT" w:eastAsia="it-IT"/>
        </w:rPr>
        <w:t xml:space="preserve">il </w:t>
      </w:r>
      <w:r w:rsidR="008C346A" w:rsidRPr="008F437C">
        <w:rPr>
          <w:rFonts w:ascii="Arial" w:hAnsi="Arial"/>
          <w:b w:val="0"/>
          <w:sz w:val="21"/>
          <w:szCs w:val="21"/>
          <w:lang w:val="it-IT" w:eastAsia="it-IT"/>
        </w:rPr>
        <w:t>B</w:t>
      </w:r>
      <w:r w:rsidR="00456900" w:rsidRPr="008F437C">
        <w:rPr>
          <w:rFonts w:ascii="Arial" w:hAnsi="Arial"/>
          <w:b w:val="0"/>
          <w:sz w:val="21"/>
          <w:szCs w:val="21"/>
          <w:lang w:val="it-IT" w:eastAsia="it-IT"/>
        </w:rPr>
        <w:t>elgio</w:t>
      </w:r>
      <w:r w:rsidR="00462336" w:rsidRPr="008F437C">
        <w:rPr>
          <w:rFonts w:ascii="Arial" w:hAnsi="Arial"/>
          <w:b w:val="0"/>
          <w:sz w:val="21"/>
          <w:szCs w:val="21"/>
          <w:lang w:val="it-IT" w:eastAsia="it-IT"/>
        </w:rPr>
        <w:t>,</w:t>
      </w:r>
      <w:r w:rsidR="00456900" w:rsidRPr="008F437C">
        <w:rPr>
          <w:rFonts w:ascii="Arial" w:hAnsi="Arial"/>
          <w:b w:val="0"/>
          <w:sz w:val="21"/>
          <w:szCs w:val="21"/>
          <w:lang w:val="it-IT" w:eastAsia="it-IT"/>
        </w:rPr>
        <w:t xml:space="preserve"> di macchinari e apparecchi n.c.a. verso Russia e Cina </w:t>
      </w:r>
      <w:r w:rsidR="00462336" w:rsidRPr="008F437C">
        <w:rPr>
          <w:rFonts w:ascii="Arial" w:hAnsi="Arial"/>
          <w:b w:val="0"/>
          <w:sz w:val="21"/>
          <w:szCs w:val="21"/>
          <w:lang w:val="it-IT" w:eastAsia="it-IT"/>
        </w:rPr>
        <w:t xml:space="preserve">e di prodotti alimentari, bevande e tabacco verso il Giappone </w:t>
      </w:r>
      <w:r w:rsidRPr="008F437C">
        <w:rPr>
          <w:rFonts w:ascii="Arial" w:hAnsi="Arial"/>
          <w:b w:val="0"/>
          <w:sz w:val="21"/>
          <w:szCs w:val="21"/>
          <w:lang w:val="it-IT" w:eastAsia="it-IT"/>
        </w:rPr>
        <w:t xml:space="preserve">apporta un contributo negativo di </w:t>
      </w:r>
      <w:r w:rsidR="00462336" w:rsidRPr="008F437C">
        <w:rPr>
          <w:rFonts w:ascii="Arial" w:hAnsi="Arial"/>
          <w:b w:val="0"/>
          <w:sz w:val="21"/>
          <w:szCs w:val="21"/>
          <w:lang w:val="it-IT" w:eastAsia="it-IT"/>
        </w:rPr>
        <w:t>0,7</w:t>
      </w:r>
      <w:r w:rsidR="00456900" w:rsidRPr="008F437C">
        <w:rPr>
          <w:rFonts w:ascii="Arial" w:hAnsi="Arial"/>
          <w:b w:val="0"/>
          <w:sz w:val="21"/>
          <w:szCs w:val="21"/>
          <w:lang w:val="it-IT" w:eastAsia="it-IT"/>
        </w:rPr>
        <w:t xml:space="preserve"> </w:t>
      </w:r>
      <w:r w:rsidR="00CB137B" w:rsidRPr="008F437C">
        <w:rPr>
          <w:rFonts w:ascii="Arial" w:hAnsi="Arial"/>
          <w:b w:val="0"/>
          <w:sz w:val="21"/>
          <w:szCs w:val="21"/>
          <w:lang w:val="it-IT" w:eastAsia="it-IT"/>
        </w:rPr>
        <w:t>punt</w:t>
      </w:r>
      <w:r w:rsidR="00456900" w:rsidRPr="008F437C">
        <w:rPr>
          <w:rFonts w:ascii="Arial" w:hAnsi="Arial"/>
          <w:b w:val="0"/>
          <w:sz w:val="21"/>
          <w:szCs w:val="21"/>
          <w:lang w:val="it-IT" w:eastAsia="it-IT"/>
        </w:rPr>
        <w:t>i</w:t>
      </w:r>
      <w:r w:rsidR="00CB137B" w:rsidRPr="008F437C">
        <w:rPr>
          <w:rFonts w:ascii="Arial" w:hAnsi="Arial"/>
          <w:b w:val="0"/>
          <w:sz w:val="21"/>
          <w:szCs w:val="21"/>
          <w:lang w:val="it-IT" w:eastAsia="it-IT"/>
        </w:rPr>
        <w:t xml:space="preserve"> </w:t>
      </w:r>
      <w:r w:rsidRPr="008F437C">
        <w:rPr>
          <w:rFonts w:ascii="Arial" w:hAnsi="Arial"/>
          <w:b w:val="0"/>
          <w:sz w:val="21"/>
          <w:szCs w:val="21"/>
          <w:lang w:val="it-IT" w:eastAsia="it-IT"/>
        </w:rPr>
        <w:t>percentual</w:t>
      </w:r>
      <w:r w:rsidR="00456900" w:rsidRPr="008F437C">
        <w:rPr>
          <w:rFonts w:ascii="Arial" w:hAnsi="Arial"/>
          <w:b w:val="0"/>
          <w:sz w:val="21"/>
          <w:szCs w:val="21"/>
          <w:lang w:val="it-IT" w:eastAsia="it-IT"/>
        </w:rPr>
        <w:t>i</w:t>
      </w:r>
      <w:r w:rsidRPr="008F437C">
        <w:rPr>
          <w:rFonts w:ascii="Arial" w:hAnsi="Arial"/>
          <w:b w:val="0"/>
          <w:sz w:val="21"/>
          <w:szCs w:val="21"/>
          <w:lang w:val="it-IT" w:eastAsia="it-IT"/>
        </w:rPr>
        <w:t xml:space="preserve">. </w:t>
      </w:r>
    </w:p>
    <w:p w14:paraId="09F6B42A" w14:textId="1E7076BB" w:rsidR="0075218A" w:rsidRDefault="00DE12CB" w:rsidP="00DE12CB">
      <w:pPr>
        <w:pStyle w:val="Corpotesto1"/>
        <w:spacing w:after="120"/>
        <w:rPr>
          <w:rFonts w:ascii="Arial" w:hAnsi="Arial"/>
          <w:b w:val="0"/>
          <w:sz w:val="21"/>
          <w:szCs w:val="21"/>
          <w:lang w:val="it-IT" w:eastAsia="it-IT"/>
        </w:rPr>
      </w:pPr>
      <w:r w:rsidRPr="008F437C">
        <w:rPr>
          <w:rFonts w:ascii="Arial" w:hAnsi="Arial"/>
          <w:b w:val="0"/>
          <w:sz w:val="21"/>
          <w:szCs w:val="21"/>
          <w:lang w:val="it-IT" w:eastAsia="it-IT"/>
        </w:rPr>
        <w:t xml:space="preserve">L’incremento degli acquisti di gas naturale </w:t>
      </w:r>
      <w:r w:rsidR="008F437C" w:rsidRPr="008F437C">
        <w:rPr>
          <w:rFonts w:ascii="Arial" w:hAnsi="Arial"/>
          <w:b w:val="0"/>
          <w:sz w:val="21"/>
          <w:szCs w:val="21"/>
          <w:lang w:val="it-IT" w:eastAsia="it-IT"/>
        </w:rPr>
        <w:t xml:space="preserve">e prodotti petroliferi </w:t>
      </w:r>
      <w:r w:rsidR="008F437C" w:rsidRPr="00064F58">
        <w:rPr>
          <w:rFonts w:ascii="Arial" w:hAnsi="Arial"/>
          <w:b w:val="0"/>
          <w:sz w:val="21"/>
          <w:szCs w:val="21"/>
          <w:lang w:val="it-IT" w:eastAsia="it-IT"/>
        </w:rPr>
        <w:t xml:space="preserve">raffinati </w:t>
      </w:r>
      <w:r w:rsidRPr="00064F58">
        <w:rPr>
          <w:rFonts w:ascii="Arial" w:hAnsi="Arial"/>
          <w:b w:val="0"/>
          <w:sz w:val="21"/>
          <w:szCs w:val="21"/>
          <w:lang w:val="it-IT" w:eastAsia="it-IT"/>
        </w:rPr>
        <w:t>da</w:t>
      </w:r>
      <w:r w:rsidR="00456900" w:rsidRPr="00064F58">
        <w:rPr>
          <w:rFonts w:ascii="Arial" w:hAnsi="Arial"/>
          <w:b w:val="0"/>
          <w:sz w:val="21"/>
          <w:szCs w:val="21"/>
          <w:lang w:val="it-IT" w:eastAsia="it-IT"/>
        </w:rPr>
        <w:t>i</w:t>
      </w:r>
      <w:r w:rsidRPr="00064F58">
        <w:rPr>
          <w:rFonts w:ascii="Arial" w:hAnsi="Arial"/>
          <w:b w:val="0"/>
          <w:sz w:val="21"/>
          <w:szCs w:val="21"/>
          <w:lang w:val="it-IT" w:eastAsia="it-IT"/>
        </w:rPr>
        <w:t xml:space="preserve"> paesi OPEC</w:t>
      </w:r>
      <w:r w:rsidR="0068550B" w:rsidRPr="00064F58">
        <w:rPr>
          <w:rFonts w:ascii="Arial" w:hAnsi="Arial"/>
          <w:b w:val="0"/>
          <w:sz w:val="21"/>
          <w:szCs w:val="21"/>
          <w:lang w:val="it-IT" w:eastAsia="it-IT"/>
        </w:rPr>
        <w:t xml:space="preserve"> e </w:t>
      </w:r>
      <w:r w:rsidRPr="00064F58">
        <w:rPr>
          <w:rFonts w:ascii="Arial" w:hAnsi="Arial"/>
          <w:b w:val="0"/>
          <w:sz w:val="21"/>
          <w:szCs w:val="21"/>
          <w:lang w:val="it-IT" w:eastAsia="it-IT"/>
        </w:rPr>
        <w:t xml:space="preserve">petrolio greggio </w:t>
      </w:r>
      <w:r w:rsidR="00456900" w:rsidRPr="00064F58">
        <w:rPr>
          <w:rFonts w:ascii="Arial" w:hAnsi="Arial"/>
          <w:b w:val="0"/>
          <w:sz w:val="21"/>
          <w:szCs w:val="21"/>
          <w:lang w:val="it-IT" w:eastAsia="it-IT"/>
        </w:rPr>
        <w:t>dalla Russi</w:t>
      </w:r>
      <w:r w:rsidR="002F1834" w:rsidRPr="00064F58">
        <w:rPr>
          <w:rFonts w:ascii="Arial" w:hAnsi="Arial"/>
          <w:b w:val="0"/>
          <w:sz w:val="21"/>
          <w:szCs w:val="21"/>
          <w:lang w:val="it-IT" w:eastAsia="it-IT"/>
        </w:rPr>
        <w:t xml:space="preserve">a </w:t>
      </w:r>
      <w:r w:rsidRPr="00064F58">
        <w:rPr>
          <w:rFonts w:ascii="Arial" w:hAnsi="Arial"/>
          <w:b w:val="0"/>
          <w:sz w:val="21"/>
          <w:szCs w:val="21"/>
          <w:lang w:val="it-IT" w:eastAsia="it-IT"/>
        </w:rPr>
        <w:t xml:space="preserve">spiega per </w:t>
      </w:r>
      <w:r w:rsidR="0068550B" w:rsidRPr="00064F58">
        <w:rPr>
          <w:rFonts w:ascii="Arial" w:hAnsi="Arial"/>
          <w:b w:val="0"/>
          <w:sz w:val="21"/>
          <w:szCs w:val="21"/>
          <w:lang w:val="it-IT" w:eastAsia="it-IT"/>
        </w:rPr>
        <w:t>4,2</w:t>
      </w:r>
      <w:r w:rsidRPr="00064F58">
        <w:rPr>
          <w:rFonts w:ascii="Arial" w:hAnsi="Arial"/>
          <w:b w:val="0"/>
          <w:sz w:val="21"/>
          <w:szCs w:val="21"/>
          <w:lang w:val="it-IT" w:eastAsia="it-IT"/>
        </w:rPr>
        <w:t xml:space="preserve"> punti percentuali la crescita tendenziale dell’import.</w:t>
      </w:r>
      <w:r w:rsidR="00E20B71" w:rsidRPr="00064F58">
        <w:rPr>
          <w:rFonts w:ascii="Arial" w:hAnsi="Arial"/>
          <w:b w:val="0"/>
          <w:sz w:val="21"/>
          <w:szCs w:val="21"/>
          <w:lang w:val="it-IT" w:eastAsia="it-IT"/>
        </w:rPr>
        <w:t xml:space="preserve"> </w:t>
      </w:r>
      <w:r w:rsidR="00CB137B" w:rsidRPr="00064F58">
        <w:rPr>
          <w:rFonts w:ascii="Arial" w:hAnsi="Arial"/>
          <w:b w:val="0"/>
          <w:sz w:val="21"/>
          <w:szCs w:val="21"/>
          <w:lang w:val="it-IT" w:eastAsia="it-IT"/>
        </w:rPr>
        <w:t xml:space="preserve">All’opposto, il calo degli acquisti di </w:t>
      </w:r>
      <w:r w:rsidR="00456900" w:rsidRPr="00064F58">
        <w:rPr>
          <w:rFonts w:ascii="Arial" w:hAnsi="Arial"/>
          <w:b w:val="0"/>
          <w:sz w:val="21"/>
          <w:szCs w:val="21"/>
          <w:lang w:val="it-IT" w:eastAsia="it-IT"/>
        </w:rPr>
        <w:t>gas naturale</w:t>
      </w:r>
      <w:r w:rsidR="00CB137B" w:rsidRPr="00064F58">
        <w:rPr>
          <w:rFonts w:ascii="Arial" w:hAnsi="Arial"/>
          <w:b w:val="0"/>
          <w:sz w:val="21"/>
          <w:szCs w:val="21"/>
          <w:lang w:val="it-IT" w:eastAsia="it-IT"/>
        </w:rPr>
        <w:t xml:space="preserve"> da</w:t>
      </w:r>
      <w:r w:rsidR="00456900" w:rsidRPr="00064F58">
        <w:rPr>
          <w:rFonts w:ascii="Arial" w:hAnsi="Arial"/>
          <w:b w:val="0"/>
          <w:sz w:val="21"/>
          <w:szCs w:val="21"/>
          <w:lang w:val="it-IT" w:eastAsia="it-IT"/>
        </w:rPr>
        <w:t>lla</w:t>
      </w:r>
      <w:r w:rsidR="00CB137B" w:rsidRPr="00064F58">
        <w:rPr>
          <w:rFonts w:ascii="Arial" w:hAnsi="Arial"/>
          <w:b w:val="0"/>
          <w:sz w:val="21"/>
          <w:szCs w:val="21"/>
          <w:lang w:val="it-IT" w:eastAsia="it-IT"/>
        </w:rPr>
        <w:t xml:space="preserve"> Russia apporta un contributo negativo di </w:t>
      </w:r>
      <w:r w:rsidR="002F1834" w:rsidRPr="00064F58">
        <w:rPr>
          <w:rFonts w:ascii="Arial" w:hAnsi="Arial"/>
          <w:b w:val="0"/>
          <w:sz w:val="21"/>
          <w:szCs w:val="21"/>
          <w:lang w:val="it-IT" w:eastAsia="it-IT"/>
        </w:rPr>
        <w:t>2</w:t>
      </w:r>
      <w:r w:rsidR="00456900" w:rsidRPr="00064F58">
        <w:rPr>
          <w:rFonts w:ascii="Arial" w:hAnsi="Arial"/>
          <w:b w:val="0"/>
          <w:sz w:val="21"/>
          <w:szCs w:val="21"/>
          <w:lang w:val="it-IT" w:eastAsia="it-IT"/>
        </w:rPr>
        <w:t>,</w:t>
      </w:r>
      <w:r w:rsidR="002F1834" w:rsidRPr="00064F58">
        <w:rPr>
          <w:rFonts w:ascii="Arial" w:hAnsi="Arial"/>
          <w:b w:val="0"/>
          <w:sz w:val="21"/>
          <w:szCs w:val="21"/>
          <w:lang w:val="it-IT" w:eastAsia="it-IT"/>
        </w:rPr>
        <w:t>8</w:t>
      </w:r>
      <w:r w:rsidR="00456900" w:rsidRPr="00064F58">
        <w:rPr>
          <w:rFonts w:ascii="Arial" w:hAnsi="Arial"/>
          <w:b w:val="0"/>
          <w:sz w:val="21"/>
          <w:szCs w:val="21"/>
          <w:lang w:val="it-IT" w:eastAsia="it-IT"/>
        </w:rPr>
        <w:t xml:space="preserve"> punti</w:t>
      </w:r>
      <w:r w:rsidR="00D47C3A" w:rsidRPr="008F437C">
        <w:rPr>
          <w:rFonts w:ascii="Arial" w:hAnsi="Arial"/>
          <w:b w:val="0"/>
          <w:sz w:val="21"/>
          <w:szCs w:val="21"/>
          <w:lang w:val="it-IT" w:eastAsia="it-IT"/>
        </w:rPr>
        <w:t>.</w:t>
      </w:r>
      <w:r w:rsidR="005018C8" w:rsidRPr="008F437C">
        <w:rPr>
          <w:rFonts w:ascii="Arial" w:hAnsi="Arial"/>
          <w:b w:val="0"/>
          <w:sz w:val="21"/>
          <w:szCs w:val="21"/>
          <w:lang w:val="it-IT" w:eastAsia="it-IT"/>
        </w:rPr>
        <w:t xml:space="preserve"> Un ulteriore contributo negativo di 1,3 punti percentuali deriva dal calo degli acquisti di metalli di base e prodotti in metallo, esclusi macchine e impianti da India, Turchia e Russia.</w:t>
      </w:r>
      <w:r w:rsidR="005018C8">
        <w:rPr>
          <w:rFonts w:ascii="Arial" w:hAnsi="Arial"/>
          <w:b w:val="0"/>
          <w:sz w:val="21"/>
          <w:szCs w:val="21"/>
          <w:lang w:val="it-IT" w:eastAsia="it-IT"/>
        </w:rPr>
        <w:t xml:space="preserve"> </w:t>
      </w:r>
    </w:p>
    <w:p w14:paraId="2E046C2D" w14:textId="77777777" w:rsidR="0075218A" w:rsidRPr="008F0E70" w:rsidRDefault="0075218A" w:rsidP="00B83BC7">
      <w:pPr>
        <w:pStyle w:val="Corpotesto1"/>
        <w:rPr>
          <w:rFonts w:ascii="Arial" w:hAnsi="Arial"/>
          <w:b w:val="0"/>
          <w:sz w:val="21"/>
          <w:szCs w:val="21"/>
          <w:lang w:val="it-IT" w:eastAsia="it-IT"/>
        </w:rPr>
      </w:pPr>
    </w:p>
    <w:p w14:paraId="7D2AB499" w14:textId="52A00457" w:rsidR="00833A77" w:rsidRPr="00D078CE" w:rsidRDefault="002B3BA3" w:rsidP="00D422DA">
      <w:pPr>
        <w:pStyle w:val="001TitoloBolocco"/>
        <w:spacing w:after="100" w:line="240" w:lineRule="auto"/>
      </w:pPr>
      <w:r>
        <w:lastRenderedPageBreak/>
        <w:t>VALORI MEDI UNITA</w:t>
      </w:r>
      <w:r w:rsidR="006F2133">
        <w:t>RI E VOLUMI ALL’EXPORT E ALL’IMPORT</w:t>
      </w:r>
    </w:p>
    <w:p w14:paraId="6A5F4E56" w14:textId="16893D1B" w:rsidR="006F2133" w:rsidRDefault="006F2133" w:rsidP="006F2133">
      <w:pPr>
        <w:pStyle w:val="Corpodeltesto1"/>
        <w:spacing w:after="120"/>
        <w:jc w:val="left"/>
        <w:rPr>
          <w:rFonts w:ascii="Arial Narrow" w:hAnsi="Arial Narrow" w:cs="Arial"/>
          <w:b w:val="0"/>
          <w:color w:val="5F5F5F"/>
          <w:kern w:val="28"/>
          <w:sz w:val="20"/>
          <w:szCs w:val="20"/>
        </w:rPr>
      </w:pPr>
      <w:r w:rsidRPr="006F2133">
        <w:rPr>
          <w:rFonts w:ascii="Arial Narrow" w:hAnsi="Arial Narrow" w:cs="Arial"/>
          <w:color w:val="E42618"/>
          <w:kern w:val="28"/>
          <w:sz w:val="22"/>
          <w:szCs w:val="22"/>
        </w:rPr>
        <w:t xml:space="preserve">FIGURA </w:t>
      </w:r>
      <w:r w:rsidR="00B145A1">
        <w:rPr>
          <w:rFonts w:ascii="Arial Narrow" w:hAnsi="Arial Narrow" w:cs="Arial"/>
          <w:color w:val="E42618"/>
          <w:kern w:val="28"/>
          <w:sz w:val="22"/>
          <w:szCs w:val="22"/>
        </w:rPr>
        <w:t>10</w:t>
      </w:r>
      <w:r w:rsidRPr="006F2133">
        <w:rPr>
          <w:rFonts w:ascii="Arial Narrow" w:hAnsi="Arial Narrow" w:cs="Arial"/>
          <w:color w:val="E42618"/>
          <w:kern w:val="28"/>
          <w:sz w:val="22"/>
          <w:szCs w:val="22"/>
        </w:rPr>
        <w:t xml:space="preserve">. </w:t>
      </w:r>
      <w:r w:rsidRPr="006F2133">
        <w:rPr>
          <w:rFonts w:ascii="Arial Narrow" w:hAnsi="Arial Narrow" w:cs="Arial"/>
          <w:color w:val="5F5F5F"/>
          <w:kern w:val="28"/>
          <w:sz w:val="22"/>
          <w:szCs w:val="22"/>
        </w:rPr>
        <w:t>VALORI MEDI UNITARI E VOLUMI</w:t>
      </w:r>
      <w:r w:rsidR="00147CB5">
        <w:rPr>
          <w:rFonts w:ascii="Arial Narrow" w:hAnsi="Arial Narrow" w:cs="Arial"/>
          <w:color w:val="5F5F5F"/>
          <w:kern w:val="28"/>
          <w:sz w:val="22"/>
          <w:szCs w:val="22"/>
        </w:rPr>
        <w:t xml:space="preserve"> </w:t>
      </w:r>
      <w:r>
        <w:rPr>
          <w:rFonts w:ascii="Arial Narrow" w:hAnsi="Arial Narrow" w:cs="Arial"/>
          <w:b w:val="0"/>
          <w:bCs/>
          <w:sz w:val="19"/>
          <w:szCs w:val="19"/>
        </w:rPr>
        <w:br/>
      </w:r>
      <w:r w:rsidR="00403189" w:rsidRPr="00367843">
        <w:rPr>
          <w:rFonts w:ascii="Arial Narrow" w:hAnsi="Arial Narrow" w:cs="Arial"/>
          <w:b w:val="0"/>
          <w:color w:val="5F5F5F"/>
          <w:kern w:val="28"/>
          <w:sz w:val="20"/>
          <w:szCs w:val="20"/>
        </w:rPr>
        <w:t>Gennaio 201</w:t>
      </w:r>
      <w:r w:rsidR="00470B67">
        <w:rPr>
          <w:rFonts w:ascii="Arial Narrow" w:hAnsi="Arial Narrow" w:cs="Arial"/>
          <w:b w:val="0"/>
          <w:color w:val="5F5F5F"/>
          <w:kern w:val="28"/>
          <w:sz w:val="20"/>
          <w:szCs w:val="20"/>
        </w:rPr>
        <w:t>8</w:t>
      </w:r>
      <w:r w:rsidR="00784638">
        <w:rPr>
          <w:rFonts w:ascii="Arial Narrow" w:hAnsi="Arial Narrow" w:cs="Arial"/>
          <w:b w:val="0"/>
          <w:color w:val="5F5F5F"/>
          <w:kern w:val="28"/>
          <w:sz w:val="20"/>
          <w:szCs w:val="20"/>
        </w:rPr>
        <w:t xml:space="preserve"> </w:t>
      </w:r>
      <w:r w:rsidR="00024474">
        <w:rPr>
          <w:rFonts w:ascii="Arial Narrow" w:hAnsi="Arial Narrow" w:cs="Arial"/>
          <w:b w:val="0"/>
          <w:color w:val="5F5F5F"/>
          <w:kern w:val="28"/>
          <w:sz w:val="20"/>
          <w:szCs w:val="20"/>
        </w:rPr>
        <w:t>–</w:t>
      </w:r>
      <w:r w:rsidR="00EA029A" w:rsidRPr="00EA029A">
        <w:t xml:space="preserve"> </w:t>
      </w:r>
      <w:r w:rsidR="00024474">
        <w:rPr>
          <w:rFonts w:ascii="Arial Narrow" w:hAnsi="Arial Narrow" w:cs="Arial"/>
          <w:b w:val="0"/>
          <w:color w:val="5F5F5F"/>
          <w:kern w:val="28"/>
          <w:sz w:val="20"/>
          <w:szCs w:val="20"/>
        </w:rPr>
        <w:t>ottobre</w:t>
      </w:r>
      <w:r w:rsidR="00EA029A" w:rsidRPr="00EA029A">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403189" w:rsidRPr="00367843">
        <w:rPr>
          <w:rFonts w:ascii="Arial Narrow" w:hAnsi="Arial Narrow" w:cs="Arial"/>
          <w:b w:val="0"/>
          <w:color w:val="5F5F5F"/>
          <w:kern w:val="28"/>
          <w:sz w:val="20"/>
          <w:szCs w:val="20"/>
        </w:rPr>
        <w:t xml:space="preserve">, variazioni percentuali </w:t>
      </w:r>
      <w:r w:rsidR="00147CB5" w:rsidRPr="00367843">
        <w:rPr>
          <w:rFonts w:ascii="Arial Narrow" w:hAnsi="Arial Narrow" w:cs="Arial"/>
          <w:b w:val="0"/>
          <w:color w:val="5F5F5F"/>
          <w:kern w:val="28"/>
          <w:sz w:val="20"/>
          <w:szCs w:val="20"/>
        </w:rPr>
        <w:t xml:space="preserve">tendenziali </w:t>
      </w:r>
      <w:r w:rsidR="00403189" w:rsidRPr="00367843">
        <w:rPr>
          <w:rFonts w:ascii="Arial Narrow" w:hAnsi="Arial Narrow" w:cs="Arial"/>
          <w:b w:val="0"/>
          <w:color w:val="5F5F5F"/>
          <w:kern w:val="28"/>
          <w:sz w:val="20"/>
          <w:szCs w:val="20"/>
        </w:rPr>
        <w:t>(</w:t>
      </w:r>
      <w:r w:rsidR="00B145A1" w:rsidRPr="00367843">
        <w:rPr>
          <w:rFonts w:ascii="Arial Narrow" w:hAnsi="Arial Narrow" w:cs="Arial"/>
          <w:b w:val="0"/>
          <w:color w:val="5F5F5F"/>
          <w:kern w:val="28"/>
          <w:sz w:val="20"/>
          <w:szCs w:val="20"/>
        </w:rPr>
        <w:t>base 2015</w:t>
      </w:r>
      <w:r w:rsidRPr="00367843">
        <w:rPr>
          <w:rFonts w:ascii="Arial Narrow" w:hAnsi="Arial Narrow" w:cs="Arial"/>
          <w:b w:val="0"/>
          <w:color w:val="5F5F5F"/>
          <w:kern w:val="28"/>
          <w:sz w:val="20"/>
          <w:szCs w:val="20"/>
        </w:rPr>
        <w:t>=100</w:t>
      </w:r>
      <w:r w:rsidR="00403189" w:rsidRPr="00367843">
        <w:rPr>
          <w:rFonts w:ascii="Arial Narrow" w:hAnsi="Arial Narrow" w:cs="Arial"/>
          <w:b w:val="0"/>
          <w:color w:val="5F5F5F"/>
          <w:kern w:val="28"/>
          <w:sz w:val="20"/>
          <w:szCs w:val="20"/>
        </w:rPr>
        <w:t>)</w:t>
      </w:r>
    </w:p>
    <w:p w14:paraId="654D23B7" w14:textId="30E3443A" w:rsidR="00403189" w:rsidRDefault="00BC18C0" w:rsidP="00975B97">
      <w:pPr>
        <w:pStyle w:val="Corpodeltesto1"/>
        <w:spacing w:after="160"/>
        <w:jc w:val="left"/>
        <w:rPr>
          <w:rFonts w:ascii="Arial Narrow" w:hAnsi="Arial Narrow" w:cs="Arial"/>
          <w:b w:val="0"/>
          <w:color w:val="5F5F5F"/>
          <w:kern w:val="28"/>
          <w:sz w:val="20"/>
          <w:szCs w:val="20"/>
        </w:rPr>
      </w:pPr>
      <w:r>
        <w:rPr>
          <w:noProof/>
        </w:rPr>
        <w:drawing>
          <wp:inline distT="0" distB="0" distL="0" distR="0" wp14:anchorId="19BD2343" wp14:editId="7F97ECC5">
            <wp:extent cx="3150000" cy="2160000"/>
            <wp:effectExtent l="0" t="0" r="0" b="0"/>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4C355529" wp14:editId="02634E49">
            <wp:extent cx="3150000" cy="2160000"/>
            <wp:effectExtent l="0" t="0" r="0" b="0"/>
            <wp:docPr id="35" name="Gra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4CE579" w14:textId="7B4AF7F8" w:rsidR="00740689" w:rsidRPr="007C052D" w:rsidRDefault="004133BF" w:rsidP="00740689">
      <w:pPr>
        <w:pStyle w:val="Corpotesto1"/>
        <w:spacing w:before="40" w:after="140"/>
        <w:rPr>
          <w:rFonts w:ascii="Arial" w:hAnsi="Arial"/>
          <w:b w:val="0"/>
          <w:kern w:val="28"/>
          <w:sz w:val="21"/>
          <w:szCs w:val="21"/>
          <w:lang w:val="it-IT" w:eastAsia="it-IT"/>
        </w:rPr>
      </w:pPr>
      <w:r w:rsidRPr="00B35896">
        <w:rPr>
          <w:rFonts w:ascii="Arial" w:hAnsi="Arial"/>
          <w:b w:val="0"/>
          <w:kern w:val="28"/>
          <w:sz w:val="21"/>
          <w:szCs w:val="21"/>
          <w:lang w:val="it-IT" w:eastAsia="it-IT"/>
        </w:rPr>
        <w:t>A</w:t>
      </w:r>
      <w:r w:rsidR="00252584" w:rsidRPr="00B35896">
        <w:rPr>
          <w:rFonts w:ascii="Arial" w:hAnsi="Arial"/>
          <w:b w:val="0"/>
          <w:kern w:val="28"/>
          <w:sz w:val="21"/>
          <w:szCs w:val="21"/>
          <w:lang w:val="it-IT" w:eastAsia="it-IT"/>
        </w:rPr>
        <w:t xml:space="preserve"> </w:t>
      </w:r>
      <w:r w:rsidR="000D2CA8" w:rsidRPr="00B35896">
        <w:rPr>
          <w:rFonts w:ascii="Arial" w:hAnsi="Arial"/>
          <w:b w:val="0"/>
          <w:kern w:val="28"/>
          <w:sz w:val="21"/>
          <w:szCs w:val="21"/>
          <w:lang w:val="it-IT" w:eastAsia="it-IT"/>
        </w:rPr>
        <w:t>ottobre</w:t>
      </w:r>
      <w:r w:rsidRPr="00B35896">
        <w:rPr>
          <w:rFonts w:ascii="Arial" w:hAnsi="Arial"/>
          <w:b w:val="0"/>
          <w:kern w:val="28"/>
          <w:sz w:val="21"/>
          <w:szCs w:val="21"/>
          <w:lang w:val="it-IT" w:eastAsia="it-IT"/>
        </w:rPr>
        <w:t xml:space="preserve"> 2022, si registra un ampio aumento tendenziale dei valori me</w:t>
      </w:r>
      <w:r w:rsidR="000D2CA8" w:rsidRPr="00B35896">
        <w:rPr>
          <w:rFonts w:ascii="Arial" w:hAnsi="Arial"/>
          <w:b w:val="0"/>
          <w:kern w:val="28"/>
          <w:sz w:val="21"/>
          <w:szCs w:val="21"/>
          <w:lang w:val="it-IT" w:eastAsia="it-IT"/>
        </w:rPr>
        <w:t>di unitari sia all’export (+20</w:t>
      </w:r>
      <w:r w:rsidR="009A0434" w:rsidRPr="00B35896">
        <w:rPr>
          <w:rFonts w:ascii="Arial" w:hAnsi="Arial"/>
          <w:b w:val="0"/>
          <w:kern w:val="28"/>
          <w:sz w:val="21"/>
          <w:szCs w:val="21"/>
          <w:lang w:val="it-IT" w:eastAsia="it-IT"/>
        </w:rPr>
        <w:t>,</w:t>
      </w:r>
      <w:r w:rsidR="000D2CA8" w:rsidRPr="00B35896">
        <w:rPr>
          <w:rFonts w:ascii="Arial" w:hAnsi="Arial"/>
          <w:b w:val="0"/>
          <w:kern w:val="28"/>
          <w:sz w:val="21"/>
          <w:szCs w:val="21"/>
          <w:lang w:val="it-IT" w:eastAsia="it-IT"/>
        </w:rPr>
        <w:t>8%) sia all’import (+27</w:t>
      </w:r>
      <w:r w:rsidRPr="00B35896">
        <w:rPr>
          <w:rFonts w:ascii="Arial" w:hAnsi="Arial"/>
          <w:b w:val="0"/>
          <w:kern w:val="28"/>
          <w:sz w:val="21"/>
          <w:szCs w:val="21"/>
          <w:lang w:val="it-IT" w:eastAsia="it-IT"/>
        </w:rPr>
        <w:t>,</w:t>
      </w:r>
      <w:r w:rsidR="000D2CA8" w:rsidRPr="00B35896">
        <w:rPr>
          <w:rFonts w:ascii="Arial" w:hAnsi="Arial"/>
          <w:b w:val="0"/>
          <w:kern w:val="28"/>
          <w:sz w:val="21"/>
          <w:szCs w:val="21"/>
          <w:lang w:val="it-IT" w:eastAsia="it-IT"/>
        </w:rPr>
        <w:t>5</w:t>
      </w:r>
      <w:r w:rsidR="00252584" w:rsidRPr="00B35896">
        <w:rPr>
          <w:rFonts w:ascii="Arial" w:hAnsi="Arial"/>
          <w:b w:val="0"/>
          <w:kern w:val="28"/>
          <w:sz w:val="21"/>
          <w:szCs w:val="21"/>
          <w:lang w:val="it-IT" w:eastAsia="it-IT"/>
        </w:rPr>
        <w:t>%</w:t>
      </w:r>
      <w:r w:rsidRPr="00B35896">
        <w:rPr>
          <w:rFonts w:ascii="Arial" w:hAnsi="Arial"/>
          <w:b w:val="0"/>
          <w:kern w:val="28"/>
          <w:sz w:val="21"/>
          <w:szCs w:val="21"/>
          <w:lang w:val="it-IT" w:eastAsia="it-IT"/>
        </w:rPr>
        <w:t xml:space="preserve">). I volumi scambiati </w:t>
      </w:r>
      <w:r w:rsidR="000D2CA8" w:rsidRPr="00B35896">
        <w:rPr>
          <w:rFonts w:ascii="Arial" w:hAnsi="Arial"/>
          <w:b w:val="0"/>
          <w:kern w:val="28"/>
          <w:sz w:val="21"/>
          <w:szCs w:val="21"/>
          <w:lang w:val="it-IT" w:eastAsia="it-IT"/>
        </w:rPr>
        <w:t xml:space="preserve">diminuiscono </w:t>
      </w:r>
      <w:r w:rsidR="00252584" w:rsidRPr="00B35896">
        <w:rPr>
          <w:rFonts w:ascii="Arial" w:hAnsi="Arial"/>
          <w:b w:val="0"/>
          <w:kern w:val="28"/>
          <w:sz w:val="21"/>
          <w:szCs w:val="21"/>
          <w:lang w:val="it-IT" w:eastAsia="it-IT"/>
        </w:rPr>
        <w:t>del 2</w:t>
      </w:r>
      <w:r w:rsidRPr="00B35896">
        <w:rPr>
          <w:rFonts w:ascii="Arial" w:hAnsi="Arial"/>
          <w:b w:val="0"/>
          <w:kern w:val="28"/>
          <w:sz w:val="21"/>
          <w:szCs w:val="21"/>
          <w:lang w:val="it-IT" w:eastAsia="it-IT"/>
        </w:rPr>
        <w:t>,</w:t>
      </w:r>
      <w:r w:rsidR="000D2CA8" w:rsidRPr="00B35896">
        <w:rPr>
          <w:rFonts w:ascii="Arial" w:hAnsi="Arial"/>
          <w:b w:val="0"/>
          <w:kern w:val="28"/>
          <w:sz w:val="21"/>
          <w:szCs w:val="21"/>
          <w:lang w:val="it-IT" w:eastAsia="it-IT"/>
        </w:rPr>
        <w:t>7</w:t>
      </w:r>
      <w:r w:rsidRPr="00B35896">
        <w:rPr>
          <w:rFonts w:ascii="Arial" w:hAnsi="Arial"/>
          <w:b w:val="0"/>
          <w:kern w:val="28"/>
          <w:sz w:val="21"/>
          <w:szCs w:val="21"/>
          <w:lang w:val="it-IT" w:eastAsia="it-IT"/>
        </w:rPr>
        <w:t>%</w:t>
      </w:r>
      <w:r w:rsidR="00D65709" w:rsidRPr="00B35896">
        <w:rPr>
          <w:rFonts w:ascii="Arial" w:hAnsi="Arial"/>
          <w:b w:val="0"/>
          <w:kern w:val="28"/>
          <w:sz w:val="21"/>
          <w:szCs w:val="21"/>
          <w:lang w:val="it-IT" w:eastAsia="it-IT"/>
        </w:rPr>
        <w:t xml:space="preserve"> per le esportazioni e </w:t>
      </w:r>
      <w:r w:rsidR="000D2CA8" w:rsidRPr="00B35896">
        <w:rPr>
          <w:rFonts w:ascii="Arial" w:hAnsi="Arial"/>
          <w:b w:val="0"/>
          <w:kern w:val="28"/>
          <w:sz w:val="21"/>
          <w:szCs w:val="21"/>
          <w:lang w:val="it-IT" w:eastAsia="it-IT"/>
        </w:rPr>
        <w:t xml:space="preserve">crescono </w:t>
      </w:r>
      <w:r w:rsidR="00D65709" w:rsidRPr="00B35896">
        <w:rPr>
          <w:rFonts w:ascii="Arial" w:hAnsi="Arial"/>
          <w:b w:val="0"/>
          <w:kern w:val="28"/>
          <w:sz w:val="21"/>
          <w:szCs w:val="21"/>
          <w:lang w:val="it-IT" w:eastAsia="it-IT"/>
        </w:rPr>
        <w:t>del</w:t>
      </w:r>
      <w:r w:rsidR="00252584" w:rsidRPr="00B35896">
        <w:rPr>
          <w:rFonts w:ascii="Arial" w:hAnsi="Arial"/>
          <w:b w:val="0"/>
          <w:kern w:val="28"/>
          <w:sz w:val="21"/>
          <w:szCs w:val="21"/>
          <w:lang w:val="it-IT" w:eastAsia="it-IT"/>
        </w:rPr>
        <w:t>lo</w:t>
      </w:r>
      <w:r w:rsidR="00D65709" w:rsidRPr="00B35896">
        <w:rPr>
          <w:rFonts w:ascii="Arial" w:hAnsi="Arial"/>
          <w:b w:val="0"/>
          <w:kern w:val="28"/>
          <w:sz w:val="21"/>
          <w:szCs w:val="21"/>
          <w:lang w:val="it-IT" w:eastAsia="it-IT"/>
        </w:rPr>
        <w:t xml:space="preserve"> </w:t>
      </w:r>
      <w:r w:rsidR="00252584" w:rsidRPr="00B35896">
        <w:rPr>
          <w:rFonts w:ascii="Arial" w:hAnsi="Arial"/>
          <w:b w:val="0"/>
          <w:kern w:val="28"/>
          <w:sz w:val="21"/>
          <w:szCs w:val="21"/>
          <w:lang w:val="it-IT" w:eastAsia="it-IT"/>
        </w:rPr>
        <w:t>0</w:t>
      </w:r>
      <w:r w:rsidR="00D65709" w:rsidRPr="00B35896">
        <w:rPr>
          <w:rFonts w:ascii="Arial" w:hAnsi="Arial"/>
          <w:b w:val="0"/>
          <w:kern w:val="28"/>
          <w:sz w:val="21"/>
          <w:szCs w:val="21"/>
          <w:lang w:val="it-IT" w:eastAsia="it-IT"/>
        </w:rPr>
        <w:t>,</w:t>
      </w:r>
      <w:r w:rsidR="000D2CA8" w:rsidRPr="00B35896">
        <w:rPr>
          <w:rFonts w:ascii="Arial" w:hAnsi="Arial"/>
          <w:b w:val="0"/>
          <w:kern w:val="28"/>
          <w:sz w:val="21"/>
          <w:szCs w:val="21"/>
          <w:lang w:val="it-IT" w:eastAsia="it-IT"/>
        </w:rPr>
        <w:t>6</w:t>
      </w:r>
      <w:r w:rsidR="00D65709" w:rsidRPr="00B35896">
        <w:rPr>
          <w:rFonts w:ascii="Arial" w:hAnsi="Arial"/>
          <w:b w:val="0"/>
          <w:kern w:val="28"/>
          <w:sz w:val="21"/>
          <w:szCs w:val="21"/>
          <w:lang w:val="it-IT" w:eastAsia="it-IT"/>
        </w:rPr>
        <w:t>% per le importazioni.</w:t>
      </w:r>
    </w:p>
    <w:p w14:paraId="0D29DD18" w14:textId="03F6418A" w:rsidR="00A03714" w:rsidRPr="006304A5" w:rsidRDefault="00A03714" w:rsidP="009308ED">
      <w:pPr>
        <w:pStyle w:val="Corpodeltesto1"/>
        <w:spacing w:after="100"/>
        <w:jc w:val="left"/>
        <w:rPr>
          <w:rFonts w:ascii="Arial Narrow" w:hAnsi="Arial Narrow" w:cs="Arial"/>
          <w:b w:val="0"/>
          <w:bCs/>
          <w:sz w:val="19"/>
          <w:szCs w:val="19"/>
        </w:rPr>
      </w:pPr>
      <w:r w:rsidRPr="007C052D">
        <w:rPr>
          <w:rFonts w:ascii="Arial Narrow" w:hAnsi="Arial Narrow" w:cs="Arial"/>
          <w:color w:val="E42618"/>
          <w:kern w:val="28"/>
          <w:sz w:val="22"/>
          <w:szCs w:val="22"/>
        </w:rPr>
        <w:t xml:space="preserve">PROSPETTO 3. </w:t>
      </w:r>
      <w:r w:rsidRPr="007C052D">
        <w:rPr>
          <w:rFonts w:ascii="Arial Narrow" w:hAnsi="Arial Narrow" w:cs="Arial"/>
          <w:color w:val="5F5F5F"/>
          <w:kern w:val="28"/>
          <w:sz w:val="22"/>
          <w:szCs w:val="22"/>
        </w:rPr>
        <w:t>VALORI MEDI UNITARI E VOLUMI PER AREA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EXTRA UE</w:t>
      </w:r>
      <w:r w:rsidR="00C90F76" w:rsidRPr="007C052D">
        <w:rPr>
          <w:rFonts w:ascii="Arial Narrow" w:hAnsi="Arial Narrow" w:cs="Arial"/>
          <w:color w:val="5F5F5F"/>
          <w:kern w:val="28"/>
          <w:sz w:val="22"/>
          <w:szCs w:val="22"/>
        </w:rPr>
        <w:t>27</w:t>
      </w:r>
      <w:r w:rsidRPr="007C052D">
        <w:rPr>
          <w:rFonts w:ascii="Arial Narrow" w:hAnsi="Arial Narrow" w:cs="Arial"/>
          <w:color w:val="5F5F5F"/>
          <w:kern w:val="28"/>
          <w:sz w:val="22"/>
          <w:szCs w:val="22"/>
        </w:rPr>
        <w:t xml:space="preserve"> E MONDO</w:t>
      </w:r>
      <w:r w:rsidRPr="007C052D">
        <w:rPr>
          <w:rFonts w:ascii="Arial Narrow" w:hAnsi="Arial Narrow" w:cs="Arial Narrow"/>
          <w:color w:val="5F5F5F"/>
          <w:sz w:val="20"/>
        </w:rPr>
        <w:br/>
      </w:r>
      <w:r w:rsidR="00024474">
        <w:rPr>
          <w:rFonts w:ascii="Arial Narrow" w:hAnsi="Arial Narrow" w:cs="Arial"/>
          <w:b w:val="0"/>
          <w:color w:val="5F5F5F"/>
          <w:kern w:val="28"/>
          <w:sz w:val="20"/>
          <w:szCs w:val="20"/>
        </w:rPr>
        <w:t>Ottobre</w:t>
      </w:r>
      <w:r w:rsidR="005F4885" w:rsidRPr="005F4885">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Pr="007C052D">
        <w:rPr>
          <w:rFonts w:ascii="Arial Narrow" w:hAnsi="Arial Narrow" w:cs="Arial"/>
          <w:b w:val="0"/>
          <w:color w:val="5F5F5F"/>
          <w:kern w:val="28"/>
          <w:sz w:val="20"/>
          <w:szCs w:val="20"/>
        </w:rPr>
        <w:t xml:space="preserve">, </w:t>
      </w:r>
      <w:r w:rsidR="00C03605" w:rsidRPr="007C052D">
        <w:rPr>
          <w:rFonts w:ascii="Arial Narrow" w:hAnsi="Arial Narrow" w:cs="Arial"/>
          <w:b w:val="0"/>
          <w:color w:val="5F5F5F"/>
          <w:kern w:val="28"/>
          <w:sz w:val="20"/>
          <w:szCs w:val="20"/>
        </w:rPr>
        <w:t xml:space="preserve">variazioni percentuali </w:t>
      </w:r>
      <w:r w:rsidR="00147CB5" w:rsidRPr="007C052D">
        <w:rPr>
          <w:rFonts w:ascii="Arial Narrow" w:hAnsi="Arial Narrow" w:cs="Arial"/>
          <w:b w:val="0"/>
          <w:color w:val="5F5F5F"/>
          <w:kern w:val="28"/>
          <w:sz w:val="20"/>
          <w:szCs w:val="20"/>
        </w:rPr>
        <w:t xml:space="preserve">tendenziali </w:t>
      </w:r>
      <w:r w:rsidR="00C03605" w:rsidRPr="007C052D">
        <w:rPr>
          <w:rFonts w:ascii="Arial Narrow" w:hAnsi="Arial Narrow" w:cs="Arial"/>
          <w:b w:val="0"/>
          <w:color w:val="5F5F5F"/>
          <w:kern w:val="28"/>
          <w:sz w:val="20"/>
          <w:szCs w:val="20"/>
        </w:rPr>
        <w:t>(</w:t>
      </w:r>
      <w:r w:rsidR="00B145A1" w:rsidRPr="007C052D">
        <w:rPr>
          <w:rFonts w:ascii="Arial Narrow" w:hAnsi="Arial Narrow" w:cs="Arial"/>
          <w:b w:val="0"/>
          <w:color w:val="5F5F5F"/>
          <w:kern w:val="28"/>
          <w:sz w:val="20"/>
          <w:szCs w:val="20"/>
        </w:rPr>
        <w:t>base 2015</w:t>
      </w:r>
      <w:r w:rsidRPr="007C052D">
        <w:rPr>
          <w:rFonts w:ascii="Arial Narrow" w:hAnsi="Arial Narrow" w:cs="Arial"/>
          <w:b w:val="0"/>
          <w:color w:val="5F5F5F"/>
          <w:kern w:val="28"/>
          <w:sz w:val="20"/>
          <w:szCs w:val="20"/>
        </w:rPr>
        <w:t>=</w:t>
      </w:r>
      <w:r w:rsidRPr="00273960">
        <w:rPr>
          <w:rFonts w:ascii="Arial Narrow" w:hAnsi="Arial Narrow" w:cs="Arial"/>
          <w:b w:val="0"/>
          <w:color w:val="5F5F5F"/>
          <w:kern w:val="28"/>
          <w:sz w:val="20"/>
          <w:szCs w:val="20"/>
        </w:rPr>
        <w:t>100</w:t>
      </w:r>
      <w:r w:rsidR="00C03605" w:rsidRPr="00273960">
        <w:rPr>
          <w:rFonts w:ascii="Arial Narrow" w:hAnsi="Arial Narrow" w:cs="Arial"/>
          <w:b w:val="0"/>
          <w:color w:val="5F5F5F"/>
          <w:kern w:val="28"/>
          <w:sz w:val="20"/>
          <w:szCs w:val="20"/>
        </w:rPr>
        <w:t>)</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75218A" w:rsidRPr="006304A5" w14:paraId="168C3C36" w14:textId="77777777" w:rsidTr="0075218A">
        <w:trPr>
          <w:trHeight w:val="255"/>
        </w:trPr>
        <w:tc>
          <w:tcPr>
            <w:tcW w:w="1647" w:type="dxa"/>
            <w:vMerge w:val="restart"/>
            <w:tcBorders>
              <w:top w:val="single" w:sz="4" w:space="0" w:color="auto"/>
              <w:left w:val="nil"/>
              <w:right w:val="nil"/>
            </w:tcBorders>
            <w:noWrap/>
            <w:vAlign w:val="center"/>
          </w:tcPr>
          <w:p w14:paraId="771580B8" w14:textId="77777777" w:rsidR="0075218A" w:rsidRDefault="0075218A" w:rsidP="0075218A">
            <w:pPr>
              <w:spacing w:before="40" w:after="20"/>
              <w:jc w:val="center"/>
              <w:rPr>
                <w:rFonts w:ascii="Arial Narrow" w:hAnsi="Arial Narrow" w:cs="Arial"/>
                <w:b/>
                <w:sz w:val="18"/>
                <w:szCs w:val="18"/>
              </w:rPr>
            </w:pPr>
            <w:r w:rsidRPr="006304A5">
              <w:rPr>
                <w:rFonts w:ascii="Arial Narrow" w:hAnsi="Arial Narrow" w:cs="Arial"/>
                <w:b/>
                <w:sz w:val="18"/>
                <w:szCs w:val="18"/>
              </w:rPr>
              <w:t xml:space="preserve">PRINCIPALI AREE </w:t>
            </w:r>
          </w:p>
          <w:p w14:paraId="0EF80FE7" w14:textId="77777777" w:rsidR="0075218A" w:rsidRPr="006304A5" w:rsidRDefault="0075218A" w:rsidP="0075218A">
            <w:pPr>
              <w:spacing w:before="40" w:after="20"/>
              <w:jc w:val="center"/>
              <w:rPr>
                <w:rFonts w:ascii="Arial Narrow" w:hAnsi="Arial Narrow" w:cs="Arial"/>
                <w:b/>
                <w:sz w:val="18"/>
                <w:szCs w:val="18"/>
              </w:rPr>
            </w:pPr>
            <w:r w:rsidRPr="006304A5">
              <w:rPr>
                <w:rFonts w:ascii="Arial Narrow" w:hAnsi="Arial Narrow" w:cs="Arial"/>
                <w:b/>
                <w:sz w:val="18"/>
                <w:szCs w:val="18"/>
              </w:rPr>
              <w:t>DI INTERSCAMBIO</w:t>
            </w:r>
          </w:p>
        </w:tc>
        <w:tc>
          <w:tcPr>
            <w:tcW w:w="4279" w:type="dxa"/>
            <w:gridSpan w:val="4"/>
            <w:tcBorders>
              <w:top w:val="single" w:sz="4" w:space="0" w:color="auto"/>
              <w:left w:val="nil"/>
              <w:bottom w:val="single" w:sz="4" w:space="0" w:color="auto"/>
              <w:right w:val="nil"/>
            </w:tcBorders>
            <w:shd w:val="clear" w:color="auto" w:fill="D9D9D9"/>
            <w:noWrap/>
            <w:vAlign w:val="center"/>
          </w:tcPr>
          <w:p w14:paraId="5D86CA89" w14:textId="77777777" w:rsidR="0075218A" w:rsidRPr="006304A5" w:rsidRDefault="0075218A" w:rsidP="0075218A">
            <w:pPr>
              <w:spacing w:before="40" w:after="20"/>
              <w:jc w:val="center"/>
              <w:rPr>
                <w:rFonts w:ascii="Arial Narrow" w:hAnsi="Arial Narrow"/>
                <w:b/>
                <w:bCs/>
                <w:sz w:val="18"/>
                <w:szCs w:val="18"/>
              </w:rPr>
            </w:pPr>
            <w:r w:rsidRPr="006304A5">
              <w:rPr>
                <w:rFonts w:ascii="Arial Narrow" w:hAnsi="Arial Narrow" w:cs="Arial"/>
                <w:b/>
                <w:bCs/>
                <w:sz w:val="18"/>
                <w:szCs w:val="18"/>
              </w:rPr>
              <w:t>VALORI MEDI UNITARI</w:t>
            </w:r>
          </w:p>
        </w:tc>
        <w:tc>
          <w:tcPr>
            <w:tcW w:w="4280" w:type="dxa"/>
            <w:gridSpan w:val="4"/>
            <w:tcBorders>
              <w:top w:val="single" w:sz="4" w:space="0" w:color="auto"/>
              <w:left w:val="nil"/>
              <w:bottom w:val="single" w:sz="4" w:space="0" w:color="auto"/>
              <w:right w:val="nil"/>
            </w:tcBorders>
            <w:shd w:val="clear" w:color="auto" w:fill="auto"/>
            <w:noWrap/>
            <w:vAlign w:val="center"/>
          </w:tcPr>
          <w:p w14:paraId="1714DDC3" w14:textId="77777777" w:rsidR="0075218A" w:rsidRPr="006304A5" w:rsidRDefault="0075218A" w:rsidP="0075218A">
            <w:pPr>
              <w:spacing w:before="40" w:after="20"/>
              <w:jc w:val="center"/>
              <w:rPr>
                <w:rFonts w:ascii="Arial Narrow" w:hAnsi="Arial Narrow"/>
                <w:b/>
                <w:bCs/>
                <w:sz w:val="18"/>
                <w:szCs w:val="18"/>
              </w:rPr>
            </w:pPr>
            <w:r w:rsidRPr="006304A5">
              <w:rPr>
                <w:rFonts w:ascii="Arial Narrow" w:hAnsi="Arial Narrow" w:cs="Arial"/>
                <w:b/>
                <w:bCs/>
                <w:sz w:val="18"/>
                <w:szCs w:val="18"/>
              </w:rPr>
              <w:t>VOLUMI</w:t>
            </w:r>
          </w:p>
        </w:tc>
      </w:tr>
      <w:tr w:rsidR="0075218A" w:rsidRPr="006304A5" w14:paraId="45601B5E" w14:textId="77777777" w:rsidTr="0075218A">
        <w:trPr>
          <w:trHeight w:val="255"/>
        </w:trPr>
        <w:tc>
          <w:tcPr>
            <w:tcW w:w="1647" w:type="dxa"/>
            <w:vMerge/>
            <w:tcBorders>
              <w:left w:val="nil"/>
              <w:right w:val="nil"/>
            </w:tcBorders>
            <w:noWrap/>
            <w:vAlign w:val="bottom"/>
          </w:tcPr>
          <w:p w14:paraId="1CEEAA34" w14:textId="77777777" w:rsidR="0075218A" w:rsidRPr="006304A5"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right w:val="nil"/>
            </w:tcBorders>
            <w:shd w:val="clear" w:color="auto" w:fill="D9D9D9"/>
            <w:vAlign w:val="center"/>
          </w:tcPr>
          <w:p w14:paraId="0B04446B"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3DC160D6"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c>
          <w:tcPr>
            <w:tcW w:w="2140" w:type="dxa"/>
            <w:gridSpan w:val="2"/>
            <w:tcBorders>
              <w:top w:val="single" w:sz="4" w:space="0" w:color="auto"/>
              <w:left w:val="nil"/>
              <w:bottom w:val="single" w:sz="4" w:space="0" w:color="auto"/>
              <w:right w:val="nil"/>
            </w:tcBorders>
            <w:shd w:val="clear" w:color="auto" w:fill="D9D9D9"/>
            <w:vAlign w:val="center"/>
          </w:tcPr>
          <w:p w14:paraId="3EACD2C6"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Esportazioni</w:t>
            </w:r>
          </w:p>
        </w:tc>
        <w:tc>
          <w:tcPr>
            <w:tcW w:w="2140" w:type="dxa"/>
            <w:gridSpan w:val="2"/>
            <w:tcBorders>
              <w:top w:val="single" w:sz="4" w:space="0" w:color="auto"/>
              <w:left w:val="nil"/>
              <w:bottom w:val="single" w:sz="4" w:space="0" w:color="auto"/>
              <w:right w:val="nil"/>
            </w:tcBorders>
            <w:vAlign w:val="center"/>
          </w:tcPr>
          <w:p w14:paraId="071ED864" w14:textId="77777777" w:rsidR="0075218A" w:rsidRPr="0063317A" w:rsidRDefault="0075218A" w:rsidP="0075218A">
            <w:pPr>
              <w:spacing w:before="40" w:after="20"/>
              <w:jc w:val="center"/>
              <w:rPr>
                <w:rFonts w:ascii="Arial Narrow" w:hAnsi="Arial Narrow" w:cs="Arial"/>
                <w:b/>
                <w:bCs/>
                <w:sz w:val="18"/>
                <w:szCs w:val="18"/>
              </w:rPr>
            </w:pPr>
            <w:r w:rsidRPr="0063317A">
              <w:rPr>
                <w:rFonts w:ascii="Arial Narrow" w:hAnsi="Arial Narrow" w:cs="Arial"/>
                <w:b/>
                <w:bCs/>
                <w:sz w:val="18"/>
                <w:szCs w:val="18"/>
              </w:rPr>
              <w:t>Importazioni</w:t>
            </w:r>
          </w:p>
        </w:tc>
      </w:tr>
      <w:tr w:rsidR="0075218A" w:rsidRPr="006304A5" w14:paraId="1C922A06" w14:textId="77777777" w:rsidTr="0075218A">
        <w:trPr>
          <w:trHeight w:val="255"/>
        </w:trPr>
        <w:tc>
          <w:tcPr>
            <w:tcW w:w="1647" w:type="dxa"/>
            <w:vMerge/>
            <w:tcBorders>
              <w:left w:val="nil"/>
              <w:right w:val="nil"/>
            </w:tcBorders>
            <w:noWrap/>
            <w:vAlign w:val="bottom"/>
          </w:tcPr>
          <w:p w14:paraId="1306B0FB" w14:textId="77777777" w:rsidR="0075218A" w:rsidRPr="006304A5"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right w:val="nil"/>
            </w:tcBorders>
            <w:shd w:val="clear" w:color="auto" w:fill="auto"/>
            <w:vAlign w:val="center"/>
          </w:tcPr>
          <w:p w14:paraId="02C039C5" w14:textId="77777777" w:rsidR="0075218A" w:rsidRPr="00C03605" w:rsidRDefault="0075218A" w:rsidP="0075218A">
            <w:pPr>
              <w:spacing w:before="40" w:after="20"/>
              <w:jc w:val="center"/>
              <w:rPr>
                <w:rFonts w:ascii="Arial Narrow" w:hAnsi="Arial Narrow"/>
                <w:sz w:val="18"/>
                <w:szCs w:val="18"/>
                <w:lang w:val="en-US"/>
              </w:rPr>
            </w:pPr>
            <w:r w:rsidRPr="00C90F76">
              <w:rPr>
                <w:rFonts w:ascii="Arial Narrow" w:hAnsi="Arial Narrow"/>
                <w:sz w:val="18"/>
                <w:szCs w:val="18"/>
              </w:rPr>
              <w:t xml:space="preserve">Variazioni </w:t>
            </w:r>
            <w:r w:rsidRPr="00C03605">
              <w:rPr>
                <w:rFonts w:ascii="Arial Narrow" w:hAnsi="Arial Narrow"/>
                <w:sz w:val="18"/>
                <w:szCs w:val="18"/>
                <w:lang w:val="en-US"/>
              </w:rPr>
              <w:t>tendenziali</w:t>
            </w:r>
          </w:p>
        </w:tc>
        <w:tc>
          <w:tcPr>
            <w:tcW w:w="2140" w:type="dxa"/>
            <w:gridSpan w:val="2"/>
            <w:tcBorders>
              <w:top w:val="single" w:sz="4" w:space="0" w:color="auto"/>
              <w:left w:val="nil"/>
              <w:right w:val="nil"/>
            </w:tcBorders>
            <w:shd w:val="clear" w:color="auto" w:fill="auto"/>
            <w:vAlign w:val="center"/>
          </w:tcPr>
          <w:p w14:paraId="2374F0F7" w14:textId="77777777" w:rsidR="0075218A" w:rsidRPr="00C03605" w:rsidRDefault="0075218A" w:rsidP="0075218A">
            <w:pPr>
              <w:spacing w:before="40" w:after="20"/>
              <w:jc w:val="center"/>
              <w:rPr>
                <w:rFonts w:ascii="Arial Narrow" w:hAnsi="Arial Narrow"/>
                <w:sz w:val="18"/>
                <w:szCs w:val="18"/>
                <w:u w:val="single"/>
                <w:lang w:val="en-US"/>
              </w:rPr>
            </w:pPr>
            <w:r w:rsidRPr="00C03605">
              <w:rPr>
                <w:rFonts w:ascii="Arial Narrow" w:hAnsi="Arial Narrow"/>
                <w:sz w:val="18"/>
                <w:szCs w:val="18"/>
                <w:lang w:val="en-US"/>
              </w:rPr>
              <w:t>Variazioni tendenziali</w:t>
            </w:r>
          </w:p>
        </w:tc>
        <w:tc>
          <w:tcPr>
            <w:tcW w:w="2140" w:type="dxa"/>
            <w:gridSpan w:val="2"/>
            <w:tcBorders>
              <w:top w:val="single" w:sz="4" w:space="0" w:color="auto"/>
              <w:left w:val="nil"/>
              <w:right w:val="nil"/>
            </w:tcBorders>
            <w:shd w:val="clear" w:color="auto" w:fill="auto"/>
            <w:vAlign w:val="center"/>
          </w:tcPr>
          <w:p w14:paraId="584D08A0" w14:textId="77777777" w:rsidR="0075218A" w:rsidRPr="00C03605" w:rsidRDefault="0075218A" w:rsidP="0075218A">
            <w:pPr>
              <w:spacing w:before="40" w:after="20"/>
              <w:jc w:val="center"/>
              <w:rPr>
                <w:rFonts w:ascii="Arial Narrow" w:hAnsi="Arial Narrow"/>
                <w:sz w:val="18"/>
                <w:szCs w:val="18"/>
                <w:u w:val="single"/>
                <w:lang w:val="en-US"/>
              </w:rPr>
            </w:pPr>
            <w:r w:rsidRPr="00C03605">
              <w:rPr>
                <w:rFonts w:ascii="Arial Narrow" w:hAnsi="Arial Narrow"/>
                <w:sz w:val="18"/>
                <w:szCs w:val="18"/>
                <w:lang w:val="en-US"/>
              </w:rPr>
              <w:t>Variazioni tendenziali</w:t>
            </w:r>
          </w:p>
        </w:tc>
        <w:tc>
          <w:tcPr>
            <w:tcW w:w="2140" w:type="dxa"/>
            <w:gridSpan w:val="2"/>
            <w:tcBorders>
              <w:top w:val="single" w:sz="4" w:space="0" w:color="auto"/>
              <w:left w:val="nil"/>
              <w:right w:val="nil"/>
            </w:tcBorders>
            <w:shd w:val="clear" w:color="auto" w:fill="auto"/>
            <w:vAlign w:val="center"/>
          </w:tcPr>
          <w:p w14:paraId="1E50CB40" w14:textId="77777777" w:rsidR="0075218A" w:rsidRPr="00C03605" w:rsidRDefault="0075218A" w:rsidP="0075218A">
            <w:pPr>
              <w:spacing w:before="40" w:after="20"/>
              <w:jc w:val="center"/>
              <w:rPr>
                <w:rFonts w:ascii="Arial Narrow" w:hAnsi="Arial Narrow"/>
                <w:sz w:val="18"/>
                <w:szCs w:val="18"/>
                <w:u w:val="single"/>
                <w:lang w:val="en-US"/>
              </w:rPr>
            </w:pPr>
            <w:r w:rsidRPr="00C03605">
              <w:rPr>
                <w:rFonts w:ascii="Arial Narrow" w:hAnsi="Arial Narrow"/>
                <w:sz w:val="18"/>
                <w:szCs w:val="18"/>
                <w:lang w:val="en-US"/>
              </w:rPr>
              <w:t>Variazioni tendenziali</w:t>
            </w:r>
          </w:p>
        </w:tc>
      </w:tr>
      <w:tr w:rsidR="00024474" w:rsidRPr="006304A5" w14:paraId="2B0880B8" w14:textId="77777777" w:rsidTr="0075218A">
        <w:trPr>
          <w:trHeight w:val="255"/>
        </w:trPr>
        <w:tc>
          <w:tcPr>
            <w:tcW w:w="1647" w:type="dxa"/>
            <w:vMerge/>
            <w:tcBorders>
              <w:left w:val="nil"/>
              <w:right w:val="nil"/>
            </w:tcBorders>
            <w:noWrap/>
            <w:vAlign w:val="bottom"/>
          </w:tcPr>
          <w:p w14:paraId="2E62DE81" w14:textId="77777777" w:rsidR="00024474" w:rsidRPr="006304A5" w:rsidRDefault="00024474" w:rsidP="00024474">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21FEC8CA" w14:textId="3F78B4F0"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4669C3A0" w14:textId="41209F28"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316" w:type="dxa"/>
            <w:tcBorders>
              <w:top w:val="single" w:sz="4" w:space="0" w:color="auto"/>
              <w:left w:val="nil"/>
              <w:right w:val="nil"/>
            </w:tcBorders>
            <w:shd w:val="clear" w:color="auto" w:fill="auto"/>
            <w:vAlign w:val="center"/>
          </w:tcPr>
          <w:p w14:paraId="6282AD96" w14:textId="338CACED"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4A4A32E0" w14:textId="02FFDCA4"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823" w:type="dxa"/>
            <w:tcBorders>
              <w:top w:val="single" w:sz="4" w:space="0" w:color="auto"/>
              <w:left w:val="nil"/>
              <w:right w:val="nil"/>
            </w:tcBorders>
            <w:shd w:val="clear" w:color="auto" w:fill="auto"/>
            <w:vAlign w:val="center"/>
          </w:tcPr>
          <w:p w14:paraId="518EF451"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494F8185" w14:textId="743F9712"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317" w:type="dxa"/>
            <w:tcBorders>
              <w:top w:val="single" w:sz="4" w:space="0" w:color="auto"/>
              <w:left w:val="nil"/>
              <w:right w:val="nil"/>
            </w:tcBorders>
            <w:shd w:val="clear" w:color="auto" w:fill="auto"/>
            <w:vAlign w:val="center"/>
          </w:tcPr>
          <w:p w14:paraId="262D1E49"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56BEC566" w14:textId="2BEFA618"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823" w:type="dxa"/>
            <w:tcBorders>
              <w:top w:val="single" w:sz="4" w:space="0" w:color="auto"/>
              <w:left w:val="nil"/>
              <w:right w:val="nil"/>
            </w:tcBorders>
            <w:shd w:val="clear" w:color="auto" w:fill="auto"/>
            <w:vAlign w:val="center"/>
          </w:tcPr>
          <w:p w14:paraId="0959A739"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0F0F10FB" w14:textId="4F70F59F"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317" w:type="dxa"/>
            <w:tcBorders>
              <w:top w:val="single" w:sz="4" w:space="0" w:color="auto"/>
              <w:left w:val="nil"/>
              <w:right w:val="nil"/>
            </w:tcBorders>
            <w:shd w:val="clear" w:color="auto" w:fill="auto"/>
            <w:vAlign w:val="center"/>
          </w:tcPr>
          <w:p w14:paraId="785CFFA0"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555B4BCA" w14:textId="22C7832E"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823" w:type="dxa"/>
            <w:tcBorders>
              <w:top w:val="single" w:sz="4" w:space="0" w:color="auto"/>
              <w:left w:val="nil"/>
              <w:right w:val="nil"/>
            </w:tcBorders>
            <w:shd w:val="clear" w:color="auto" w:fill="auto"/>
            <w:vAlign w:val="center"/>
          </w:tcPr>
          <w:p w14:paraId="1C545AD9"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43B39C5B" w14:textId="6B2DF984"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317" w:type="dxa"/>
            <w:tcBorders>
              <w:top w:val="single" w:sz="4" w:space="0" w:color="auto"/>
              <w:left w:val="nil"/>
              <w:right w:val="nil"/>
            </w:tcBorders>
            <w:shd w:val="clear" w:color="auto" w:fill="auto"/>
            <w:vAlign w:val="center"/>
          </w:tcPr>
          <w:p w14:paraId="30A4CFC8"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0ABDB655" w14:textId="3DC4002D"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gen-ott 21</w:t>
            </w:r>
          </w:p>
        </w:tc>
      </w:tr>
      <w:tr w:rsidR="00BC18C0" w:rsidRPr="008C0651" w14:paraId="66852D06" w14:textId="77777777" w:rsidTr="00BC18C0">
        <w:trPr>
          <w:trHeight w:val="255"/>
        </w:trPr>
        <w:tc>
          <w:tcPr>
            <w:tcW w:w="1647" w:type="dxa"/>
            <w:tcBorders>
              <w:top w:val="single" w:sz="4" w:space="0" w:color="auto"/>
              <w:left w:val="nil"/>
              <w:bottom w:val="single" w:sz="4" w:space="0" w:color="auto"/>
            </w:tcBorders>
            <w:noWrap/>
            <w:vAlign w:val="bottom"/>
          </w:tcPr>
          <w:p w14:paraId="003EE246" w14:textId="77777777" w:rsidR="00BC18C0" w:rsidRPr="007C052D" w:rsidRDefault="00BC18C0" w:rsidP="00BC18C0">
            <w:pPr>
              <w:spacing w:before="40" w:after="20"/>
              <w:rPr>
                <w:rFonts w:ascii="Arial Narrow" w:hAnsi="Arial Narrow" w:cs="Arial"/>
                <w:sz w:val="18"/>
                <w:szCs w:val="18"/>
              </w:rPr>
            </w:pPr>
            <w:r w:rsidRPr="007C052D">
              <w:rPr>
                <w:rFonts w:ascii="Arial Narrow" w:hAnsi="Arial Narrow" w:cs="Arial"/>
                <w:sz w:val="18"/>
                <w:szCs w:val="18"/>
              </w:rPr>
              <w:t>Paesi Ue27</w:t>
            </w:r>
          </w:p>
        </w:tc>
        <w:tc>
          <w:tcPr>
            <w:tcW w:w="823" w:type="dxa"/>
            <w:tcBorders>
              <w:top w:val="single" w:sz="4" w:space="0" w:color="auto"/>
              <w:bottom w:val="single" w:sz="4" w:space="0" w:color="auto"/>
            </w:tcBorders>
            <w:shd w:val="clear" w:color="auto" w:fill="D9D9D9"/>
            <w:vAlign w:val="center"/>
          </w:tcPr>
          <w:p w14:paraId="077B393A" w14:textId="30845583" w:rsidR="00BC18C0" w:rsidRDefault="00BC18C0" w:rsidP="00BC18C0">
            <w:pPr>
              <w:jc w:val="center"/>
              <w:rPr>
                <w:rFonts w:ascii="Arial Narrow" w:hAnsi="Arial Narrow"/>
                <w:sz w:val="18"/>
                <w:szCs w:val="18"/>
              </w:rPr>
            </w:pPr>
            <w:r>
              <w:rPr>
                <w:rFonts w:ascii="Arial Narrow" w:hAnsi="Arial Narrow"/>
                <w:sz w:val="18"/>
                <w:szCs w:val="18"/>
              </w:rPr>
              <w:t>+20,7</w:t>
            </w:r>
          </w:p>
        </w:tc>
        <w:tc>
          <w:tcPr>
            <w:tcW w:w="1316" w:type="dxa"/>
            <w:tcBorders>
              <w:top w:val="single" w:sz="4" w:space="0" w:color="auto"/>
              <w:bottom w:val="single" w:sz="4" w:space="0" w:color="auto"/>
            </w:tcBorders>
            <w:shd w:val="clear" w:color="auto" w:fill="D9D9D9"/>
            <w:vAlign w:val="center"/>
          </w:tcPr>
          <w:p w14:paraId="1D4F167A" w14:textId="79DD0748" w:rsidR="00BC18C0" w:rsidRDefault="00BC18C0" w:rsidP="00BC18C0">
            <w:pPr>
              <w:jc w:val="center"/>
              <w:rPr>
                <w:rFonts w:ascii="Arial Narrow" w:hAnsi="Arial Narrow"/>
                <w:sz w:val="18"/>
                <w:szCs w:val="18"/>
              </w:rPr>
            </w:pPr>
            <w:r>
              <w:rPr>
                <w:rFonts w:ascii="Arial Narrow" w:hAnsi="Arial Narrow"/>
                <w:sz w:val="18"/>
                <w:szCs w:val="18"/>
              </w:rPr>
              <w:t>+20,7</w:t>
            </w:r>
          </w:p>
        </w:tc>
        <w:tc>
          <w:tcPr>
            <w:tcW w:w="823" w:type="dxa"/>
            <w:tcBorders>
              <w:top w:val="single" w:sz="4" w:space="0" w:color="auto"/>
              <w:bottom w:val="single" w:sz="4" w:space="0" w:color="auto"/>
            </w:tcBorders>
            <w:vAlign w:val="center"/>
          </w:tcPr>
          <w:p w14:paraId="7E1E1535" w14:textId="0FE9622D" w:rsidR="00BC18C0" w:rsidRDefault="00BC18C0" w:rsidP="00BC18C0">
            <w:pPr>
              <w:jc w:val="center"/>
              <w:rPr>
                <w:rFonts w:ascii="Arial Narrow" w:hAnsi="Arial Narrow"/>
                <w:sz w:val="18"/>
                <w:szCs w:val="18"/>
              </w:rPr>
            </w:pPr>
            <w:r>
              <w:rPr>
                <w:rFonts w:ascii="Arial Narrow" w:hAnsi="Arial Narrow"/>
                <w:sz w:val="18"/>
                <w:szCs w:val="18"/>
              </w:rPr>
              <w:t>+14,5</w:t>
            </w:r>
          </w:p>
        </w:tc>
        <w:tc>
          <w:tcPr>
            <w:tcW w:w="1317" w:type="dxa"/>
            <w:tcBorders>
              <w:top w:val="single" w:sz="4" w:space="0" w:color="auto"/>
              <w:bottom w:val="single" w:sz="4" w:space="0" w:color="auto"/>
            </w:tcBorders>
            <w:vAlign w:val="center"/>
          </w:tcPr>
          <w:p w14:paraId="63208D79" w14:textId="3DD10CDE" w:rsidR="00BC18C0" w:rsidRDefault="00BC18C0" w:rsidP="00BC18C0">
            <w:pPr>
              <w:jc w:val="center"/>
              <w:rPr>
                <w:rFonts w:ascii="Arial Narrow" w:hAnsi="Arial Narrow"/>
                <w:sz w:val="18"/>
                <w:szCs w:val="18"/>
              </w:rPr>
            </w:pPr>
            <w:r>
              <w:rPr>
                <w:rFonts w:ascii="Arial Narrow" w:hAnsi="Arial Narrow"/>
                <w:sz w:val="18"/>
                <w:szCs w:val="18"/>
              </w:rPr>
              <w:t>+22,9</w:t>
            </w:r>
          </w:p>
        </w:tc>
        <w:tc>
          <w:tcPr>
            <w:tcW w:w="823" w:type="dxa"/>
            <w:tcBorders>
              <w:top w:val="single" w:sz="4" w:space="0" w:color="auto"/>
              <w:bottom w:val="single" w:sz="4" w:space="0" w:color="auto"/>
            </w:tcBorders>
            <w:shd w:val="clear" w:color="auto" w:fill="D9D9D9"/>
            <w:vAlign w:val="center"/>
          </w:tcPr>
          <w:p w14:paraId="72E03CE3" w14:textId="26054293" w:rsidR="00BC18C0" w:rsidRDefault="00BC18C0" w:rsidP="00BC18C0">
            <w:pPr>
              <w:jc w:val="center"/>
              <w:rPr>
                <w:rFonts w:ascii="Arial Narrow" w:hAnsi="Arial Narrow"/>
                <w:sz w:val="18"/>
                <w:szCs w:val="18"/>
              </w:rPr>
            </w:pPr>
            <w:r>
              <w:rPr>
                <w:rFonts w:ascii="Arial Narrow" w:hAnsi="Arial Narrow"/>
                <w:sz w:val="18"/>
                <w:szCs w:val="18"/>
              </w:rPr>
              <w:t>-2,1</w:t>
            </w:r>
          </w:p>
        </w:tc>
        <w:tc>
          <w:tcPr>
            <w:tcW w:w="1317" w:type="dxa"/>
            <w:tcBorders>
              <w:top w:val="single" w:sz="4" w:space="0" w:color="auto"/>
              <w:bottom w:val="single" w:sz="4" w:space="0" w:color="auto"/>
            </w:tcBorders>
            <w:shd w:val="clear" w:color="auto" w:fill="D9D9D9"/>
            <w:vAlign w:val="center"/>
          </w:tcPr>
          <w:p w14:paraId="1F8CB9D1" w14:textId="1D5ED292" w:rsidR="00BC18C0" w:rsidRDefault="00BC18C0" w:rsidP="00BC18C0">
            <w:pPr>
              <w:jc w:val="center"/>
              <w:rPr>
                <w:rFonts w:ascii="Arial Narrow" w:hAnsi="Arial Narrow"/>
                <w:sz w:val="18"/>
                <w:szCs w:val="18"/>
              </w:rPr>
            </w:pPr>
            <w:r>
              <w:rPr>
                <w:rFonts w:ascii="Arial Narrow" w:hAnsi="Arial Narrow"/>
                <w:sz w:val="18"/>
                <w:szCs w:val="18"/>
              </w:rPr>
              <w:t>+0,6</w:t>
            </w:r>
          </w:p>
        </w:tc>
        <w:tc>
          <w:tcPr>
            <w:tcW w:w="823" w:type="dxa"/>
            <w:tcBorders>
              <w:top w:val="single" w:sz="4" w:space="0" w:color="auto"/>
              <w:bottom w:val="single" w:sz="4" w:space="0" w:color="auto"/>
            </w:tcBorders>
            <w:vAlign w:val="center"/>
          </w:tcPr>
          <w:p w14:paraId="74C14962" w14:textId="57C91841" w:rsidR="00BC18C0" w:rsidRDefault="00BC18C0" w:rsidP="00BC18C0">
            <w:pPr>
              <w:jc w:val="center"/>
              <w:rPr>
                <w:rFonts w:ascii="Arial Narrow" w:hAnsi="Arial Narrow"/>
                <w:sz w:val="18"/>
                <w:szCs w:val="18"/>
              </w:rPr>
            </w:pPr>
            <w:r>
              <w:rPr>
                <w:rFonts w:ascii="Arial Narrow" w:hAnsi="Arial Narrow"/>
                <w:sz w:val="18"/>
                <w:szCs w:val="18"/>
              </w:rPr>
              <w:t>+3,9</w:t>
            </w:r>
          </w:p>
        </w:tc>
        <w:tc>
          <w:tcPr>
            <w:tcW w:w="1317" w:type="dxa"/>
            <w:tcBorders>
              <w:top w:val="single" w:sz="4" w:space="0" w:color="auto"/>
              <w:bottom w:val="single" w:sz="4" w:space="0" w:color="auto"/>
            </w:tcBorders>
            <w:vAlign w:val="center"/>
          </w:tcPr>
          <w:p w14:paraId="3629393A" w14:textId="17928FBD" w:rsidR="00BC18C0" w:rsidRDefault="00BC18C0" w:rsidP="00BC18C0">
            <w:pPr>
              <w:jc w:val="center"/>
              <w:rPr>
                <w:rFonts w:ascii="Arial Narrow" w:hAnsi="Arial Narrow"/>
                <w:sz w:val="18"/>
                <w:szCs w:val="18"/>
              </w:rPr>
            </w:pPr>
            <w:r>
              <w:rPr>
                <w:rFonts w:ascii="Arial Narrow" w:hAnsi="Arial Narrow"/>
                <w:sz w:val="18"/>
                <w:szCs w:val="18"/>
              </w:rPr>
              <w:t>+2,4</w:t>
            </w:r>
          </w:p>
        </w:tc>
      </w:tr>
      <w:tr w:rsidR="00BC18C0" w:rsidRPr="008C0651" w14:paraId="530D5F0F" w14:textId="77777777" w:rsidTr="00BC18C0">
        <w:trPr>
          <w:trHeight w:val="255"/>
        </w:trPr>
        <w:tc>
          <w:tcPr>
            <w:tcW w:w="1647" w:type="dxa"/>
            <w:tcBorders>
              <w:top w:val="single" w:sz="4" w:space="0" w:color="auto"/>
              <w:left w:val="nil"/>
              <w:bottom w:val="single" w:sz="4" w:space="0" w:color="auto"/>
            </w:tcBorders>
            <w:noWrap/>
            <w:vAlign w:val="bottom"/>
          </w:tcPr>
          <w:p w14:paraId="1E1D3FE9" w14:textId="77777777" w:rsidR="00BC18C0" w:rsidRPr="007C052D" w:rsidRDefault="00BC18C0" w:rsidP="00BC18C0">
            <w:pPr>
              <w:spacing w:before="40" w:after="20"/>
              <w:rPr>
                <w:rFonts w:ascii="Arial Narrow" w:hAnsi="Arial Narrow" w:cs="Arial"/>
                <w:sz w:val="18"/>
                <w:szCs w:val="18"/>
              </w:rPr>
            </w:pPr>
            <w:r w:rsidRPr="007C052D">
              <w:rPr>
                <w:rFonts w:ascii="Arial Narrow" w:hAnsi="Arial Narrow" w:cs="Arial"/>
                <w:sz w:val="18"/>
                <w:szCs w:val="18"/>
              </w:rPr>
              <w:t>Paesi extra Ue27</w:t>
            </w:r>
          </w:p>
        </w:tc>
        <w:tc>
          <w:tcPr>
            <w:tcW w:w="823" w:type="dxa"/>
            <w:tcBorders>
              <w:top w:val="single" w:sz="4" w:space="0" w:color="auto"/>
              <w:bottom w:val="single" w:sz="4" w:space="0" w:color="auto"/>
            </w:tcBorders>
            <w:shd w:val="clear" w:color="auto" w:fill="D9D9D9"/>
            <w:vAlign w:val="center"/>
          </w:tcPr>
          <w:p w14:paraId="6329835E" w14:textId="78CFCADF" w:rsidR="00BC18C0" w:rsidRDefault="00BC18C0" w:rsidP="00BC18C0">
            <w:pPr>
              <w:jc w:val="center"/>
              <w:rPr>
                <w:rFonts w:ascii="Arial Narrow" w:hAnsi="Arial Narrow"/>
                <w:sz w:val="18"/>
                <w:szCs w:val="18"/>
              </w:rPr>
            </w:pPr>
            <w:r>
              <w:rPr>
                <w:rFonts w:ascii="Arial Narrow" w:hAnsi="Arial Narrow"/>
                <w:sz w:val="18"/>
                <w:szCs w:val="18"/>
              </w:rPr>
              <w:t>+20,9</w:t>
            </w:r>
          </w:p>
        </w:tc>
        <w:tc>
          <w:tcPr>
            <w:tcW w:w="1316" w:type="dxa"/>
            <w:tcBorders>
              <w:top w:val="single" w:sz="4" w:space="0" w:color="auto"/>
              <w:bottom w:val="single" w:sz="4" w:space="0" w:color="auto"/>
            </w:tcBorders>
            <w:shd w:val="clear" w:color="auto" w:fill="D9D9D9"/>
            <w:vAlign w:val="center"/>
          </w:tcPr>
          <w:p w14:paraId="4AA1900E" w14:textId="57ED8ACC" w:rsidR="00BC18C0" w:rsidRDefault="00BC18C0" w:rsidP="00BC18C0">
            <w:pPr>
              <w:jc w:val="center"/>
              <w:rPr>
                <w:rFonts w:ascii="Arial Narrow" w:hAnsi="Arial Narrow"/>
                <w:sz w:val="18"/>
                <w:szCs w:val="18"/>
              </w:rPr>
            </w:pPr>
            <w:r>
              <w:rPr>
                <w:rFonts w:ascii="Arial Narrow" w:hAnsi="Arial Narrow"/>
                <w:sz w:val="18"/>
                <w:szCs w:val="18"/>
              </w:rPr>
              <w:t>+19,9</w:t>
            </w:r>
          </w:p>
        </w:tc>
        <w:tc>
          <w:tcPr>
            <w:tcW w:w="823" w:type="dxa"/>
            <w:tcBorders>
              <w:top w:val="single" w:sz="4" w:space="0" w:color="auto"/>
              <w:bottom w:val="single" w:sz="4" w:space="0" w:color="auto"/>
            </w:tcBorders>
            <w:vAlign w:val="center"/>
          </w:tcPr>
          <w:p w14:paraId="332039EF" w14:textId="49989C52" w:rsidR="00BC18C0" w:rsidRDefault="00BC18C0" w:rsidP="00BC18C0">
            <w:pPr>
              <w:jc w:val="center"/>
              <w:rPr>
                <w:rFonts w:ascii="Arial Narrow" w:hAnsi="Arial Narrow"/>
                <w:sz w:val="18"/>
                <w:szCs w:val="18"/>
              </w:rPr>
            </w:pPr>
            <w:r>
              <w:rPr>
                <w:rFonts w:ascii="Arial Narrow" w:hAnsi="Arial Narrow"/>
                <w:sz w:val="18"/>
                <w:szCs w:val="18"/>
              </w:rPr>
              <w:t>+39,8</w:t>
            </w:r>
          </w:p>
        </w:tc>
        <w:tc>
          <w:tcPr>
            <w:tcW w:w="1317" w:type="dxa"/>
            <w:tcBorders>
              <w:top w:val="single" w:sz="4" w:space="0" w:color="auto"/>
              <w:bottom w:val="single" w:sz="4" w:space="0" w:color="auto"/>
            </w:tcBorders>
            <w:vAlign w:val="center"/>
          </w:tcPr>
          <w:p w14:paraId="765B5F49" w14:textId="071AFDCB" w:rsidR="00BC18C0" w:rsidRDefault="00BC18C0" w:rsidP="00BC18C0">
            <w:pPr>
              <w:jc w:val="center"/>
              <w:rPr>
                <w:rFonts w:ascii="Arial Narrow" w:hAnsi="Arial Narrow"/>
                <w:sz w:val="18"/>
                <w:szCs w:val="18"/>
              </w:rPr>
            </w:pPr>
            <w:r>
              <w:rPr>
                <w:rFonts w:ascii="Arial Narrow" w:hAnsi="Arial Narrow"/>
                <w:sz w:val="18"/>
                <w:szCs w:val="18"/>
              </w:rPr>
              <w:t>+59,5</w:t>
            </w:r>
          </w:p>
        </w:tc>
        <w:tc>
          <w:tcPr>
            <w:tcW w:w="823" w:type="dxa"/>
            <w:tcBorders>
              <w:top w:val="single" w:sz="4" w:space="0" w:color="auto"/>
              <w:bottom w:val="single" w:sz="4" w:space="0" w:color="auto"/>
            </w:tcBorders>
            <w:shd w:val="clear" w:color="auto" w:fill="D9D9D9"/>
            <w:vAlign w:val="center"/>
          </w:tcPr>
          <w:p w14:paraId="2A636F14" w14:textId="238FCD2D" w:rsidR="00BC18C0" w:rsidRDefault="00BC18C0" w:rsidP="00BC18C0">
            <w:pPr>
              <w:jc w:val="center"/>
              <w:rPr>
                <w:rFonts w:ascii="Arial Narrow" w:hAnsi="Arial Narrow"/>
                <w:sz w:val="18"/>
                <w:szCs w:val="18"/>
              </w:rPr>
            </w:pPr>
            <w:r>
              <w:rPr>
                <w:rFonts w:ascii="Arial Narrow" w:hAnsi="Arial Narrow"/>
                <w:sz w:val="18"/>
                <w:szCs w:val="18"/>
              </w:rPr>
              <w:t>-3,4</w:t>
            </w:r>
          </w:p>
        </w:tc>
        <w:tc>
          <w:tcPr>
            <w:tcW w:w="1317" w:type="dxa"/>
            <w:tcBorders>
              <w:top w:val="single" w:sz="4" w:space="0" w:color="auto"/>
              <w:bottom w:val="single" w:sz="4" w:space="0" w:color="auto"/>
            </w:tcBorders>
            <w:shd w:val="clear" w:color="auto" w:fill="D9D9D9"/>
            <w:vAlign w:val="center"/>
          </w:tcPr>
          <w:p w14:paraId="43A919F9" w14:textId="5EF29EEC" w:rsidR="00BC18C0" w:rsidRDefault="00BC18C0" w:rsidP="00BC18C0">
            <w:pPr>
              <w:jc w:val="center"/>
              <w:rPr>
                <w:rFonts w:ascii="Arial Narrow" w:hAnsi="Arial Narrow"/>
                <w:sz w:val="18"/>
                <w:szCs w:val="18"/>
              </w:rPr>
            </w:pPr>
            <w:r>
              <w:rPr>
                <w:rFonts w:ascii="Arial Narrow" w:hAnsi="Arial Narrow"/>
                <w:sz w:val="18"/>
                <w:szCs w:val="18"/>
              </w:rPr>
              <w:t>+0,2</w:t>
            </w:r>
          </w:p>
        </w:tc>
        <w:tc>
          <w:tcPr>
            <w:tcW w:w="823" w:type="dxa"/>
            <w:tcBorders>
              <w:top w:val="single" w:sz="4" w:space="0" w:color="auto"/>
              <w:bottom w:val="single" w:sz="4" w:space="0" w:color="auto"/>
            </w:tcBorders>
            <w:vAlign w:val="center"/>
          </w:tcPr>
          <w:p w14:paraId="495638C7" w14:textId="35FCA823" w:rsidR="00BC18C0" w:rsidRDefault="00BC18C0" w:rsidP="00BC18C0">
            <w:pPr>
              <w:jc w:val="center"/>
              <w:rPr>
                <w:rFonts w:ascii="Arial Narrow" w:hAnsi="Arial Narrow"/>
                <w:sz w:val="18"/>
                <w:szCs w:val="18"/>
              </w:rPr>
            </w:pPr>
            <w:r>
              <w:rPr>
                <w:rFonts w:ascii="Arial Narrow" w:hAnsi="Arial Narrow"/>
                <w:sz w:val="18"/>
                <w:szCs w:val="18"/>
              </w:rPr>
              <w:t>-0,3</w:t>
            </w:r>
          </w:p>
        </w:tc>
        <w:tc>
          <w:tcPr>
            <w:tcW w:w="1317" w:type="dxa"/>
            <w:tcBorders>
              <w:top w:val="single" w:sz="4" w:space="0" w:color="auto"/>
              <w:bottom w:val="single" w:sz="4" w:space="0" w:color="auto"/>
            </w:tcBorders>
            <w:vAlign w:val="center"/>
          </w:tcPr>
          <w:p w14:paraId="0BCD0389" w14:textId="62E3824F" w:rsidR="00BC18C0" w:rsidRDefault="00BC18C0" w:rsidP="00BC18C0">
            <w:pPr>
              <w:jc w:val="center"/>
              <w:rPr>
                <w:rFonts w:ascii="Arial Narrow" w:hAnsi="Arial Narrow"/>
                <w:sz w:val="18"/>
                <w:szCs w:val="18"/>
              </w:rPr>
            </w:pPr>
            <w:r>
              <w:rPr>
                <w:rFonts w:ascii="Arial Narrow" w:hAnsi="Arial Narrow"/>
                <w:sz w:val="18"/>
                <w:szCs w:val="18"/>
              </w:rPr>
              <w:t>+2,2</w:t>
            </w:r>
          </w:p>
        </w:tc>
      </w:tr>
      <w:tr w:rsidR="00BC18C0" w:rsidRPr="002662C0" w14:paraId="1FE047BB" w14:textId="77777777" w:rsidTr="00BC18C0">
        <w:trPr>
          <w:trHeight w:val="255"/>
        </w:trPr>
        <w:tc>
          <w:tcPr>
            <w:tcW w:w="1647" w:type="dxa"/>
            <w:tcBorders>
              <w:top w:val="single" w:sz="4" w:space="0" w:color="auto"/>
              <w:left w:val="nil"/>
              <w:bottom w:val="single" w:sz="4" w:space="0" w:color="auto"/>
            </w:tcBorders>
            <w:shd w:val="clear" w:color="auto" w:fill="FF0000"/>
            <w:noWrap/>
            <w:vAlign w:val="bottom"/>
          </w:tcPr>
          <w:p w14:paraId="43049672" w14:textId="77777777" w:rsidR="00BC18C0" w:rsidRPr="002662C0" w:rsidRDefault="00BC18C0" w:rsidP="00BC18C0">
            <w:pPr>
              <w:spacing w:before="40" w:after="20"/>
              <w:rPr>
                <w:rFonts w:ascii="Arial Narrow" w:hAnsi="Arial Narrow" w:cs="Arial"/>
                <w:b/>
                <w:color w:val="FFFFFF" w:themeColor="background1"/>
                <w:sz w:val="18"/>
                <w:szCs w:val="18"/>
              </w:rPr>
            </w:pPr>
            <w:r w:rsidRPr="002662C0">
              <w:rPr>
                <w:rFonts w:ascii="Arial Narrow" w:hAnsi="Arial Narrow" w:cs="Arial"/>
                <w:b/>
                <w:color w:val="FFFFFF" w:themeColor="background1"/>
                <w:sz w:val="18"/>
                <w:szCs w:val="18"/>
              </w:rPr>
              <w:t>Mondo</w:t>
            </w:r>
          </w:p>
        </w:tc>
        <w:tc>
          <w:tcPr>
            <w:tcW w:w="823" w:type="dxa"/>
            <w:tcBorders>
              <w:top w:val="single" w:sz="4" w:space="0" w:color="auto"/>
              <w:bottom w:val="single" w:sz="4" w:space="0" w:color="auto"/>
            </w:tcBorders>
            <w:shd w:val="clear" w:color="auto" w:fill="FF0000"/>
            <w:vAlign w:val="center"/>
          </w:tcPr>
          <w:p w14:paraId="220C5EA5" w14:textId="39BFE02E"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+20,8</w:t>
            </w:r>
          </w:p>
        </w:tc>
        <w:tc>
          <w:tcPr>
            <w:tcW w:w="1316" w:type="dxa"/>
            <w:tcBorders>
              <w:top w:val="single" w:sz="4" w:space="0" w:color="auto"/>
              <w:bottom w:val="single" w:sz="4" w:space="0" w:color="auto"/>
            </w:tcBorders>
            <w:shd w:val="clear" w:color="auto" w:fill="FF0000"/>
            <w:vAlign w:val="center"/>
          </w:tcPr>
          <w:p w14:paraId="4F97A181" w14:textId="7FDF1503"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+20,4</w:t>
            </w:r>
          </w:p>
        </w:tc>
        <w:tc>
          <w:tcPr>
            <w:tcW w:w="823" w:type="dxa"/>
            <w:tcBorders>
              <w:top w:val="single" w:sz="4" w:space="0" w:color="auto"/>
              <w:bottom w:val="single" w:sz="4" w:space="0" w:color="auto"/>
            </w:tcBorders>
            <w:shd w:val="clear" w:color="auto" w:fill="FF0000"/>
            <w:vAlign w:val="center"/>
          </w:tcPr>
          <w:p w14:paraId="071BA93C" w14:textId="305C6283"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+27,5</w:t>
            </w:r>
          </w:p>
        </w:tc>
        <w:tc>
          <w:tcPr>
            <w:tcW w:w="1317" w:type="dxa"/>
            <w:tcBorders>
              <w:top w:val="single" w:sz="4" w:space="0" w:color="auto"/>
              <w:bottom w:val="single" w:sz="4" w:space="0" w:color="auto"/>
            </w:tcBorders>
            <w:shd w:val="clear" w:color="auto" w:fill="FF0000"/>
            <w:vAlign w:val="center"/>
          </w:tcPr>
          <w:p w14:paraId="4B380E54" w14:textId="13680AA0"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+40,1</w:t>
            </w:r>
          </w:p>
        </w:tc>
        <w:tc>
          <w:tcPr>
            <w:tcW w:w="823" w:type="dxa"/>
            <w:tcBorders>
              <w:top w:val="single" w:sz="4" w:space="0" w:color="auto"/>
              <w:bottom w:val="single" w:sz="4" w:space="0" w:color="auto"/>
            </w:tcBorders>
            <w:shd w:val="clear" w:color="auto" w:fill="FF0000"/>
            <w:vAlign w:val="center"/>
          </w:tcPr>
          <w:p w14:paraId="408A9ACF" w14:textId="6EFF4D08"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-2,7</w:t>
            </w:r>
          </w:p>
        </w:tc>
        <w:tc>
          <w:tcPr>
            <w:tcW w:w="1317" w:type="dxa"/>
            <w:tcBorders>
              <w:top w:val="single" w:sz="4" w:space="0" w:color="auto"/>
              <w:bottom w:val="single" w:sz="4" w:space="0" w:color="auto"/>
            </w:tcBorders>
            <w:shd w:val="clear" w:color="auto" w:fill="FF0000"/>
            <w:vAlign w:val="center"/>
          </w:tcPr>
          <w:p w14:paraId="2061DF6D" w14:textId="1EDEAE18"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+0,3</w:t>
            </w:r>
          </w:p>
        </w:tc>
        <w:tc>
          <w:tcPr>
            <w:tcW w:w="823" w:type="dxa"/>
            <w:tcBorders>
              <w:top w:val="single" w:sz="4" w:space="0" w:color="auto"/>
              <w:bottom w:val="single" w:sz="4" w:space="0" w:color="auto"/>
            </w:tcBorders>
            <w:shd w:val="clear" w:color="auto" w:fill="FF0000"/>
            <w:vAlign w:val="center"/>
          </w:tcPr>
          <w:p w14:paraId="65C52579" w14:textId="50EDA5D3"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+0,6</w:t>
            </w:r>
          </w:p>
        </w:tc>
        <w:tc>
          <w:tcPr>
            <w:tcW w:w="1317" w:type="dxa"/>
            <w:tcBorders>
              <w:top w:val="single" w:sz="4" w:space="0" w:color="auto"/>
              <w:bottom w:val="single" w:sz="4" w:space="0" w:color="auto"/>
            </w:tcBorders>
            <w:shd w:val="clear" w:color="auto" w:fill="FF0000"/>
            <w:vAlign w:val="center"/>
          </w:tcPr>
          <w:p w14:paraId="573B7ABB" w14:textId="30478CDD"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+1,2</w:t>
            </w:r>
          </w:p>
        </w:tc>
      </w:tr>
    </w:tbl>
    <w:p w14:paraId="7B232AB5" w14:textId="77777777" w:rsidR="00A03714" w:rsidRPr="00F214EE" w:rsidRDefault="00A03714" w:rsidP="00A03714">
      <w:pPr>
        <w:pStyle w:val="Corpodeltesto1"/>
        <w:spacing w:after="60"/>
        <w:jc w:val="left"/>
        <w:rPr>
          <w:rFonts w:ascii="Arial Narrow" w:hAnsi="Arial Narrow" w:cs="Arial Narrow"/>
          <w:color w:val="5F5F5F"/>
          <w:sz w:val="8"/>
          <w:szCs w:val="8"/>
        </w:rPr>
      </w:pPr>
    </w:p>
    <w:p w14:paraId="0F2A66E8" w14:textId="77777777" w:rsidR="00147CB5" w:rsidRDefault="00A03714" w:rsidP="00A127A9">
      <w:pPr>
        <w:pStyle w:val="Corpodeltesto1"/>
        <w:spacing w:before="120"/>
        <w:rPr>
          <w:rFonts w:ascii="Arial Narrow" w:hAnsi="Arial Narrow" w:cs="Arial"/>
          <w:b w:val="0"/>
          <w:bCs/>
          <w:sz w:val="19"/>
          <w:szCs w:val="19"/>
        </w:rPr>
      </w:pPr>
      <w:r w:rsidRPr="00A03714">
        <w:rPr>
          <w:rFonts w:ascii="Arial Narrow" w:hAnsi="Arial Narrow" w:cs="Arial"/>
          <w:color w:val="E42618"/>
          <w:kern w:val="28"/>
          <w:sz w:val="22"/>
          <w:szCs w:val="22"/>
        </w:rPr>
        <w:t xml:space="preserve">PROSPETTO </w:t>
      </w:r>
      <w:r>
        <w:rPr>
          <w:rFonts w:ascii="Arial Narrow" w:hAnsi="Arial Narrow" w:cs="Arial"/>
          <w:color w:val="E42618"/>
          <w:kern w:val="28"/>
          <w:sz w:val="22"/>
          <w:szCs w:val="22"/>
        </w:rPr>
        <w:t>4</w:t>
      </w:r>
      <w:r w:rsidRPr="00A03714">
        <w:rPr>
          <w:rFonts w:ascii="Arial Narrow" w:hAnsi="Arial Narrow" w:cs="Arial"/>
          <w:color w:val="E42618"/>
          <w:kern w:val="28"/>
          <w:sz w:val="22"/>
          <w:szCs w:val="22"/>
        </w:rPr>
        <w:t>.</w:t>
      </w:r>
      <w:r w:rsidRPr="006304A5">
        <w:rPr>
          <w:rFonts w:ascii="Arial Narrow" w:hAnsi="Arial Narrow" w:cs="Arial Narrow"/>
          <w:color w:val="5F5F5F"/>
          <w:sz w:val="20"/>
        </w:rPr>
        <w:t xml:space="preserve"> </w:t>
      </w:r>
      <w:r w:rsidRPr="00147CB5">
        <w:rPr>
          <w:rFonts w:ascii="Arial Narrow" w:hAnsi="Arial Narrow" w:cs="Arial"/>
          <w:color w:val="5F5F5F"/>
          <w:kern w:val="28"/>
          <w:sz w:val="22"/>
          <w:szCs w:val="22"/>
        </w:rPr>
        <w:t>VALORI MEDI UNITARI E VOLUMI SECONDO I RAGGRUPPAMENTI PRINCIPALI</w:t>
      </w:r>
      <w:r w:rsidR="00C03605" w:rsidRPr="00147CB5">
        <w:rPr>
          <w:rFonts w:ascii="Arial Narrow" w:hAnsi="Arial Narrow" w:cs="Arial"/>
          <w:color w:val="5F5F5F"/>
          <w:kern w:val="28"/>
          <w:sz w:val="22"/>
          <w:szCs w:val="22"/>
        </w:rPr>
        <w:t xml:space="preserve"> </w:t>
      </w:r>
      <w:r w:rsidRPr="00147CB5">
        <w:rPr>
          <w:rFonts w:ascii="Arial Narrow" w:hAnsi="Arial Narrow" w:cs="Arial"/>
          <w:color w:val="5F5F5F"/>
          <w:kern w:val="28"/>
          <w:sz w:val="22"/>
          <w:szCs w:val="22"/>
        </w:rPr>
        <w:t>DI INDUSTRIE</w:t>
      </w:r>
    </w:p>
    <w:p w14:paraId="68BA7D37" w14:textId="75CF0AF9" w:rsidR="00537BEB" w:rsidRPr="006304A5" w:rsidRDefault="00024474" w:rsidP="009308ED">
      <w:pPr>
        <w:pStyle w:val="Corpodeltesto1"/>
        <w:spacing w:after="100"/>
        <w:jc w:val="left"/>
        <w:rPr>
          <w:rFonts w:ascii="Arial Narrow" w:hAnsi="Arial Narrow" w:cs="Arial"/>
          <w:b w:val="0"/>
          <w:bCs/>
          <w:sz w:val="19"/>
          <w:szCs w:val="19"/>
        </w:rPr>
      </w:pPr>
      <w:r>
        <w:rPr>
          <w:rFonts w:ascii="Arial Narrow" w:hAnsi="Arial Narrow" w:cs="Arial"/>
          <w:b w:val="0"/>
          <w:color w:val="5F5F5F"/>
          <w:kern w:val="28"/>
          <w:sz w:val="20"/>
          <w:szCs w:val="20"/>
        </w:rPr>
        <w:t>Ottobre</w:t>
      </w:r>
      <w:r w:rsidR="005F4885" w:rsidRPr="005F4885">
        <w:rPr>
          <w:rFonts w:ascii="Arial Narrow" w:hAnsi="Arial Narrow" w:cs="Arial"/>
          <w:b w:val="0"/>
          <w:color w:val="5F5F5F"/>
          <w:kern w:val="28"/>
          <w:sz w:val="20"/>
          <w:szCs w:val="20"/>
        </w:rPr>
        <w:t xml:space="preserve"> </w:t>
      </w:r>
      <w:r w:rsidR="00470B67">
        <w:rPr>
          <w:rFonts w:ascii="Arial Narrow" w:hAnsi="Arial Narrow" w:cs="Arial"/>
          <w:b w:val="0"/>
          <w:color w:val="5F5F5F"/>
          <w:kern w:val="28"/>
          <w:sz w:val="20"/>
          <w:szCs w:val="20"/>
        </w:rPr>
        <w:t>2022</w:t>
      </w:r>
      <w:r w:rsidR="00537BEB" w:rsidRPr="003705A2">
        <w:rPr>
          <w:rFonts w:ascii="Arial Narrow" w:hAnsi="Arial Narrow" w:cs="Arial"/>
          <w:b w:val="0"/>
          <w:color w:val="5F5F5F"/>
          <w:kern w:val="28"/>
          <w:sz w:val="20"/>
          <w:szCs w:val="20"/>
        </w:rPr>
        <w:t>, variazioni percentuali tendenziali (base 2015=100)</w:t>
      </w:r>
    </w:p>
    <w:tbl>
      <w:tblPr>
        <w:tblW w:w="10206" w:type="dxa"/>
        <w:tblInd w:w="70" w:type="dxa"/>
        <w:tblLayout w:type="fixed"/>
        <w:tblCellMar>
          <w:left w:w="70" w:type="dxa"/>
          <w:right w:w="70" w:type="dxa"/>
        </w:tblCellMar>
        <w:tblLook w:val="0000" w:firstRow="0" w:lastRow="0" w:firstColumn="0" w:lastColumn="0" w:noHBand="0" w:noVBand="0"/>
      </w:tblPr>
      <w:tblGrid>
        <w:gridCol w:w="1647"/>
        <w:gridCol w:w="823"/>
        <w:gridCol w:w="1316"/>
        <w:gridCol w:w="823"/>
        <w:gridCol w:w="1317"/>
        <w:gridCol w:w="823"/>
        <w:gridCol w:w="1317"/>
        <w:gridCol w:w="823"/>
        <w:gridCol w:w="1317"/>
      </w:tblGrid>
      <w:tr w:rsidR="0075218A" w:rsidRPr="00B076CD" w14:paraId="0C3E0E5F" w14:textId="77777777" w:rsidTr="0075218A">
        <w:trPr>
          <w:trHeight w:val="255"/>
        </w:trPr>
        <w:tc>
          <w:tcPr>
            <w:tcW w:w="1647" w:type="dxa"/>
            <w:vMerge w:val="restart"/>
            <w:tcBorders>
              <w:top w:val="single" w:sz="4" w:space="0" w:color="auto"/>
              <w:left w:val="nil"/>
              <w:right w:val="nil"/>
            </w:tcBorders>
            <w:shd w:val="clear" w:color="auto" w:fill="FFFFFF"/>
            <w:vAlign w:val="center"/>
          </w:tcPr>
          <w:p w14:paraId="56852810" w14:textId="77777777" w:rsidR="0075218A" w:rsidRPr="00B076CD" w:rsidRDefault="0075218A" w:rsidP="0075218A">
            <w:pPr>
              <w:spacing w:before="40" w:after="20"/>
              <w:rPr>
                <w:rFonts w:ascii="Arial Narrow" w:hAnsi="Arial Narrow" w:cs="Arial"/>
                <w:sz w:val="18"/>
                <w:szCs w:val="18"/>
              </w:rPr>
            </w:pPr>
            <w:r w:rsidRPr="00B076CD">
              <w:rPr>
                <w:rFonts w:ascii="Arial Narrow" w:hAnsi="Arial Narrow" w:cs="Arial"/>
                <w:b/>
                <w:sz w:val="18"/>
                <w:szCs w:val="18"/>
              </w:rPr>
              <w:t>RAGGRUPPAMENTI PRINCIPALI DI INDUSTRIE</w:t>
            </w:r>
          </w:p>
        </w:tc>
        <w:tc>
          <w:tcPr>
            <w:tcW w:w="4279" w:type="dxa"/>
            <w:gridSpan w:val="4"/>
            <w:tcBorders>
              <w:top w:val="single" w:sz="4" w:space="0" w:color="auto"/>
              <w:left w:val="nil"/>
              <w:right w:val="nil"/>
            </w:tcBorders>
            <w:shd w:val="clear" w:color="auto" w:fill="D9D9D9"/>
            <w:vAlign w:val="center"/>
          </w:tcPr>
          <w:p w14:paraId="4D5EC4A7" w14:textId="77777777" w:rsidR="0075218A" w:rsidRPr="00B076CD" w:rsidRDefault="0075218A" w:rsidP="0075218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VALORI MEDI UNITARI</w:t>
            </w:r>
          </w:p>
        </w:tc>
        <w:tc>
          <w:tcPr>
            <w:tcW w:w="4280" w:type="dxa"/>
            <w:gridSpan w:val="4"/>
            <w:tcBorders>
              <w:top w:val="single" w:sz="4" w:space="0" w:color="auto"/>
              <w:left w:val="nil"/>
              <w:right w:val="nil"/>
            </w:tcBorders>
            <w:shd w:val="clear" w:color="auto" w:fill="auto"/>
            <w:vAlign w:val="center"/>
          </w:tcPr>
          <w:p w14:paraId="47AB2883" w14:textId="77777777" w:rsidR="0075218A" w:rsidRPr="00B076CD" w:rsidRDefault="0075218A" w:rsidP="0075218A">
            <w:pPr>
              <w:spacing w:before="40" w:after="20"/>
              <w:jc w:val="center"/>
              <w:rPr>
                <w:rFonts w:ascii="Arial Narrow" w:hAnsi="Arial Narrow" w:cs="Arial"/>
                <w:b/>
                <w:bCs/>
                <w:color w:val="000000"/>
                <w:sz w:val="18"/>
                <w:szCs w:val="18"/>
              </w:rPr>
            </w:pPr>
            <w:r w:rsidRPr="00B076CD">
              <w:rPr>
                <w:rFonts w:ascii="Arial Narrow" w:hAnsi="Arial Narrow" w:cs="Arial"/>
                <w:b/>
                <w:bCs/>
                <w:color w:val="000000"/>
                <w:sz w:val="18"/>
                <w:szCs w:val="18"/>
              </w:rPr>
              <w:t>VOLUMI</w:t>
            </w:r>
          </w:p>
        </w:tc>
      </w:tr>
      <w:tr w:rsidR="0075218A" w:rsidRPr="00B076CD" w14:paraId="62A65489" w14:textId="77777777" w:rsidTr="0075218A">
        <w:trPr>
          <w:trHeight w:val="255"/>
        </w:trPr>
        <w:tc>
          <w:tcPr>
            <w:tcW w:w="1647" w:type="dxa"/>
            <w:vMerge/>
            <w:tcBorders>
              <w:left w:val="nil"/>
              <w:right w:val="nil"/>
            </w:tcBorders>
            <w:shd w:val="clear" w:color="auto" w:fill="FFFFFF"/>
            <w:vAlign w:val="center"/>
          </w:tcPr>
          <w:p w14:paraId="43BA11C0" w14:textId="77777777" w:rsidR="0075218A" w:rsidRPr="00B076CD"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5447D847"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bottom w:val="single" w:sz="4" w:space="0" w:color="auto"/>
            </w:tcBorders>
            <w:vAlign w:val="center"/>
          </w:tcPr>
          <w:p w14:paraId="6340FA5A"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c>
          <w:tcPr>
            <w:tcW w:w="2140" w:type="dxa"/>
            <w:gridSpan w:val="2"/>
            <w:tcBorders>
              <w:top w:val="single" w:sz="4" w:space="0" w:color="auto"/>
              <w:bottom w:val="single" w:sz="4" w:space="0" w:color="auto"/>
            </w:tcBorders>
            <w:shd w:val="clear" w:color="auto" w:fill="D9D9D9"/>
            <w:vAlign w:val="center"/>
          </w:tcPr>
          <w:p w14:paraId="4ED13160"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Esportazioni</w:t>
            </w:r>
          </w:p>
        </w:tc>
        <w:tc>
          <w:tcPr>
            <w:tcW w:w="2140" w:type="dxa"/>
            <w:gridSpan w:val="2"/>
            <w:tcBorders>
              <w:top w:val="single" w:sz="4" w:space="0" w:color="auto"/>
              <w:left w:val="nil"/>
              <w:bottom w:val="single" w:sz="4" w:space="0" w:color="auto"/>
              <w:right w:val="nil"/>
            </w:tcBorders>
            <w:vAlign w:val="center"/>
          </w:tcPr>
          <w:p w14:paraId="4A60122E" w14:textId="77777777" w:rsidR="0075218A" w:rsidRPr="0063317A" w:rsidRDefault="0075218A" w:rsidP="0075218A">
            <w:pPr>
              <w:spacing w:before="40" w:after="20"/>
              <w:jc w:val="center"/>
              <w:rPr>
                <w:rFonts w:ascii="Arial Narrow" w:hAnsi="Arial Narrow" w:cs="Arial"/>
                <w:b/>
                <w:color w:val="000000"/>
                <w:sz w:val="18"/>
                <w:szCs w:val="18"/>
              </w:rPr>
            </w:pPr>
            <w:r w:rsidRPr="0063317A">
              <w:rPr>
                <w:rFonts w:ascii="Arial Narrow" w:hAnsi="Arial Narrow" w:cs="Arial"/>
                <w:b/>
                <w:color w:val="000000"/>
                <w:sz w:val="18"/>
                <w:szCs w:val="18"/>
              </w:rPr>
              <w:t>Importazioni</w:t>
            </w:r>
          </w:p>
        </w:tc>
      </w:tr>
      <w:tr w:rsidR="0075218A" w:rsidRPr="00B076CD" w14:paraId="633BC6BA" w14:textId="77777777" w:rsidTr="0075218A">
        <w:trPr>
          <w:trHeight w:val="255"/>
        </w:trPr>
        <w:tc>
          <w:tcPr>
            <w:tcW w:w="1647" w:type="dxa"/>
            <w:vMerge/>
            <w:tcBorders>
              <w:left w:val="nil"/>
              <w:right w:val="nil"/>
            </w:tcBorders>
            <w:shd w:val="clear" w:color="auto" w:fill="FFFFFF"/>
            <w:vAlign w:val="center"/>
          </w:tcPr>
          <w:p w14:paraId="22060634" w14:textId="77777777" w:rsidR="0075218A" w:rsidRPr="00B076CD" w:rsidRDefault="0075218A" w:rsidP="0075218A">
            <w:pPr>
              <w:spacing w:before="40" w:after="20"/>
              <w:rPr>
                <w:rFonts w:ascii="Arial Narrow" w:hAnsi="Arial Narrow" w:cs="Arial"/>
                <w:sz w:val="18"/>
                <w:szCs w:val="18"/>
              </w:rPr>
            </w:pPr>
          </w:p>
        </w:tc>
        <w:tc>
          <w:tcPr>
            <w:tcW w:w="2139" w:type="dxa"/>
            <w:gridSpan w:val="2"/>
            <w:tcBorders>
              <w:top w:val="single" w:sz="4" w:space="0" w:color="auto"/>
              <w:left w:val="nil"/>
              <w:bottom w:val="single" w:sz="4" w:space="0" w:color="auto"/>
            </w:tcBorders>
            <w:shd w:val="clear" w:color="auto" w:fill="D9D9D9"/>
            <w:vAlign w:val="center"/>
          </w:tcPr>
          <w:p w14:paraId="5C28CB16" w14:textId="77777777" w:rsidR="0075218A" w:rsidRPr="00C03605" w:rsidRDefault="0075218A" w:rsidP="0075218A">
            <w:pPr>
              <w:spacing w:before="40" w:after="20"/>
              <w:jc w:val="center"/>
              <w:rPr>
                <w:rFonts w:ascii="Arial Narrow" w:hAnsi="Arial Narrow" w:cs="Arial"/>
                <w:b/>
                <w:color w:val="000000"/>
                <w:sz w:val="18"/>
                <w:szCs w:val="18"/>
              </w:rPr>
            </w:pPr>
            <w:r w:rsidRPr="00C03605">
              <w:rPr>
                <w:rFonts w:ascii="Arial Narrow" w:hAnsi="Arial Narrow"/>
                <w:sz w:val="18"/>
                <w:szCs w:val="18"/>
                <w:lang w:val="en-US"/>
              </w:rPr>
              <w:t>Variazioni tendenziali</w:t>
            </w:r>
          </w:p>
        </w:tc>
        <w:tc>
          <w:tcPr>
            <w:tcW w:w="2140" w:type="dxa"/>
            <w:gridSpan w:val="2"/>
            <w:tcBorders>
              <w:top w:val="single" w:sz="4" w:space="0" w:color="auto"/>
              <w:bottom w:val="single" w:sz="4" w:space="0" w:color="auto"/>
            </w:tcBorders>
            <w:vAlign w:val="center"/>
          </w:tcPr>
          <w:p w14:paraId="2403EECC" w14:textId="77777777" w:rsidR="0075218A" w:rsidRPr="00C03605" w:rsidRDefault="0075218A" w:rsidP="0075218A">
            <w:pPr>
              <w:spacing w:before="40" w:after="20"/>
              <w:jc w:val="center"/>
              <w:rPr>
                <w:rFonts w:ascii="Arial Narrow" w:hAnsi="Arial Narrow"/>
                <w:sz w:val="18"/>
                <w:szCs w:val="18"/>
                <w:lang w:val="en-US"/>
              </w:rPr>
            </w:pPr>
            <w:r w:rsidRPr="00C03605">
              <w:rPr>
                <w:rFonts w:ascii="Arial Narrow" w:hAnsi="Arial Narrow"/>
                <w:sz w:val="18"/>
                <w:szCs w:val="18"/>
                <w:lang w:val="en-US"/>
              </w:rPr>
              <w:t>Variazioni tendenziali</w:t>
            </w:r>
          </w:p>
        </w:tc>
        <w:tc>
          <w:tcPr>
            <w:tcW w:w="2140" w:type="dxa"/>
            <w:gridSpan w:val="2"/>
            <w:tcBorders>
              <w:top w:val="single" w:sz="4" w:space="0" w:color="auto"/>
              <w:bottom w:val="single" w:sz="4" w:space="0" w:color="auto"/>
            </w:tcBorders>
            <w:shd w:val="clear" w:color="auto" w:fill="D9D9D9"/>
            <w:vAlign w:val="center"/>
          </w:tcPr>
          <w:p w14:paraId="45ECDFDA" w14:textId="77777777" w:rsidR="0075218A" w:rsidRPr="00C03605" w:rsidRDefault="0075218A" w:rsidP="0075218A">
            <w:pPr>
              <w:spacing w:before="40" w:after="20"/>
              <w:jc w:val="center"/>
              <w:rPr>
                <w:rFonts w:ascii="Arial Narrow" w:hAnsi="Arial Narrow"/>
                <w:sz w:val="18"/>
                <w:szCs w:val="18"/>
                <w:lang w:val="en-US"/>
              </w:rPr>
            </w:pPr>
            <w:r w:rsidRPr="00C03605">
              <w:rPr>
                <w:rFonts w:ascii="Arial Narrow" w:hAnsi="Arial Narrow"/>
                <w:sz w:val="18"/>
                <w:szCs w:val="18"/>
                <w:lang w:val="en-US"/>
              </w:rPr>
              <w:t>Variazioni tendenziali</w:t>
            </w:r>
          </w:p>
        </w:tc>
        <w:tc>
          <w:tcPr>
            <w:tcW w:w="2140" w:type="dxa"/>
            <w:gridSpan w:val="2"/>
            <w:tcBorders>
              <w:top w:val="single" w:sz="4" w:space="0" w:color="auto"/>
              <w:left w:val="nil"/>
              <w:bottom w:val="single" w:sz="4" w:space="0" w:color="auto"/>
              <w:right w:val="nil"/>
            </w:tcBorders>
            <w:vAlign w:val="center"/>
          </w:tcPr>
          <w:p w14:paraId="2B547C92" w14:textId="77777777" w:rsidR="0075218A" w:rsidRPr="00C03605" w:rsidRDefault="0075218A" w:rsidP="0075218A">
            <w:pPr>
              <w:spacing w:before="40" w:after="20"/>
              <w:jc w:val="center"/>
              <w:rPr>
                <w:rFonts w:ascii="Arial Narrow" w:hAnsi="Arial Narrow"/>
                <w:sz w:val="18"/>
                <w:szCs w:val="18"/>
                <w:lang w:val="en-US"/>
              </w:rPr>
            </w:pPr>
            <w:r w:rsidRPr="00C03605">
              <w:rPr>
                <w:rFonts w:ascii="Arial Narrow" w:hAnsi="Arial Narrow"/>
                <w:sz w:val="18"/>
                <w:szCs w:val="18"/>
                <w:lang w:val="en-US"/>
              </w:rPr>
              <w:t>Variazioni tendenziali</w:t>
            </w:r>
          </w:p>
        </w:tc>
      </w:tr>
      <w:tr w:rsidR="00024474" w:rsidRPr="00B076CD" w14:paraId="57CB1BBB" w14:textId="77777777" w:rsidTr="0075218A">
        <w:trPr>
          <w:trHeight w:val="255"/>
        </w:trPr>
        <w:tc>
          <w:tcPr>
            <w:tcW w:w="1647" w:type="dxa"/>
            <w:vMerge/>
            <w:tcBorders>
              <w:left w:val="nil"/>
              <w:right w:val="nil"/>
            </w:tcBorders>
            <w:shd w:val="clear" w:color="auto" w:fill="FFFFFF"/>
            <w:vAlign w:val="center"/>
          </w:tcPr>
          <w:p w14:paraId="0743B7AC" w14:textId="77777777" w:rsidR="00024474" w:rsidRPr="00B076CD" w:rsidRDefault="00024474" w:rsidP="00024474">
            <w:pPr>
              <w:spacing w:before="40" w:after="20"/>
              <w:rPr>
                <w:rFonts w:ascii="Arial Narrow" w:hAnsi="Arial Narrow" w:cs="Arial"/>
                <w:sz w:val="18"/>
                <w:szCs w:val="18"/>
              </w:rPr>
            </w:pPr>
          </w:p>
        </w:tc>
        <w:tc>
          <w:tcPr>
            <w:tcW w:w="823" w:type="dxa"/>
            <w:tcBorders>
              <w:top w:val="single" w:sz="4" w:space="0" w:color="auto"/>
              <w:left w:val="nil"/>
              <w:right w:val="nil"/>
            </w:tcBorders>
            <w:shd w:val="clear" w:color="auto" w:fill="auto"/>
            <w:vAlign w:val="center"/>
          </w:tcPr>
          <w:p w14:paraId="680D11C1"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6A924596" w14:textId="586F05AF"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316" w:type="dxa"/>
            <w:tcBorders>
              <w:top w:val="single" w:sz="4" w:space="0" w:color="auto"/>
              <w:left w:val="nil"/>
              <w:right w:val="nil"/>
            </w:tcBorders>
            <w:shd w:val="clear" w:color="auto" w:fill="auto"/>
            <w:vAlign w:val="center"/>
          </w:tcPr>
          <w:p w14:paraId="671EDB1E"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5EE1C97E" w14:textId="25C8ED0F"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823" w:type="dxa"/>
            <w:tcBorders>
              <w:top w:val="single" w:sz="4" w:space="0" w:color="auto"/>
              <w:left w:val="nil"/>
              <w:right w:val="nil"/>
            </w:tcBorders>
            <w:shd w:val="clear" w:color="auto" w:fill="auto"/>
            <w:vAlign w:val="center"/>
          </w:tcPr>
          <w:p w14:paraId="00336782"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53979304" w14:textId="4F16A8B0"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317" w:type="dxa"/>
            <w:tcBorders>
              <w:top w:val="single" w:sz="4" w:space="0" w:color="auto"/>
              <w:left w:val="nil"/>
              <w:right w:val="nil"/>
            </w:tcBorders>
            <w:shd w:val="clear" w:color="auto" w:fill="auto"/>
            <w:vAlign w:val="center"/>
          </w:tcPr>
          <w:p w14:paraId="765BE7B8"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26176F97" w14:textId="3ED56BD7"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823" w:type="dxa"/>
            <w:tcBorders>
              <w:top w:val="single" w:sz="4" w:space="0" w:color="auto"/>
              <w:left w:val="nil"/>
              <w:right w:val="nil"/>
            </w:tcBorders>
            <w:shd w:val="clear" w:color="auto" w:fill="auto"/>
            <w:vAlign w:val="center"/>
          </w:tcPr>
          <w:p w14:paraId="63A0DCDD"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3F2A123C" w14:textId="2D45F090"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317" w:type="dxa"/>
            <w:tcBorders>
              <w:top w:val="single" w:sz="4" w:space="0" w:color="auto"/>
              <w:left w:val="nil"/>
              <w:right w:val="nil"/>
            </w:tcBorders>
            <w:shd w:val="clear" w:color="auto" w:fill="auto"/>
            <w:vAlign w:val="center"/>
          </w:tcPr>
          <w:p w14:paraId="50A8F3D9"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473EE5A4" w14:textId="7C9FB1F5"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gen-ott 21</w:t>
            </w:r>
          </w:p>
        </w:tc>
        <w:tc>
          <w:tcPr>
            <w:tcW w:w="823" w:type="dxa"/>
            <w:tcBorders>
              <w:top w:val="single" w:sz="4" w:space="0" w:color="auto"/>
              <w:left w:val="nil"/>
              <w:right w:val="nil"/>
            </w:tcBorders>
            <w:shd w:val="clear" w:color="auto" w:fill="auto"/>
            <w:vAlign w:val="center"/>
          </w:tcPr>
          <w:p w14:paraId="28ED7324"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 22</w:t>
            </w:r>
          </w:p>
          <w:p w14:paraId="43475EA9" w14:textId="3866F8F5"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ott 21</w:t>
            </w:r>
          </w:p>
        </w:tc>
        <w:tc>
          <w:tcPr>
            <w:tcW w:w="1317" w:type="dxa"/>
            <w:tcBorders>
              <w:top w:val="single" w:sz="4" w:space="0" w:color="auto"/>
              <w:left w:val="nil"/>
              <w:right w:val="nil"/>
            </w:tcBorders>
            <w:shd w:val="clear" w:color="auto" w:fill="auto"/>
            <w:vAlign w:val="center"/>
          </w:tcPr>
          <w:p w14:paraId="29D6224D" w14:textId="77777777" w:rsidR="00024474" w:rsidRPr="0069402A" w:rsidRDefault="00024474" w:rsidP="00024474">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gen-ott 22</w:t>
            </w:r>
          </w:p>
          <w:p w14:paraId="472B00D1" w14:textId="16EEBE1D" w:rsidR="00024474" w:rsidRPr="003C7722" w:rsidRDefault="00024474" w:rsidP="00024474">
            <w:pPr>
              <w:spacing w:before="40" w:after="20"/>
              <w:jc w:val="center"/>
              <w:rPr>
                <w:rFonts w:ascii="Arial Narrow" w:hAnsi="Arial Narrow"/>
                <w:sz w:val="18"/>
                <w:szCs w:val="18"/>
                <w:lang w:val="en-US"/>
              </w:rPr>
            </w:pPr>
            <w:r>
              <w:rPr>
                <w:rFonts w:ascii="Arial Narrow" w:hAnsi="Arial Narrow"/>
                <w:sz w:val="18"/>
                <w:szCs w:val="18"/>
                <w:lang w:val="en-US"/>
              </w:rPr>
              <w:t>gen-ott 21</w:t>
            </w:r>
          </w:p>
        </w:tc>
      </w:tr>
      <w:tr w:rsidR="00BC18C0" w:rsidRPr="008C0651" w14:paraId="0CF6E2EB" w14:textId="77777777" w:rsidTr="00BC18C0">
        <w:trPr>
          <w:trHeight w:val="255"/>
        </w:trPr>
        <w:tc>
          <w:tcPr>
            <w:tcW w:w="1647" w:type="dxa"/>
            <w:tcBorders>
              <w:top w:val="single" w:sz="4" w:space="0" w:color="auto"/>
              <w:left w:val="nil"/>
              <w:bottom w:val="single" w:sz="4" w:space="0" w:color="auto"/>
            </w:tcBorders>
            <w:vAlign w:val="center"/>
          </w:tcPr>
          <w:p w14:paraId="25F3AB8D" w14:textId="77777777" w:rsidR="00BC18C0" w:rsidRPr="00B076CD" w:rsidRDefault="00BC18C0" w:rsidP="00BC18C0">
            <w:pPr>
              <w:spacing w:before="40" w:after="20"/>
              <w:rPr>
                <w:rFonts w:ascii="Arial Narrow" w:hAnsi="Arial Narrow" w:cs="Arial"/>
                <w:sz w:val="18"/>
                <w:szCs w:val="18"/>
              </w:rPr>
            </w:pPr>
            <w:r w:rsidRPr="00B076CD">
              <w:rPr>
                <w:rFonts w:ascii="Arial Narrow" w:hAnsi="Arial Narrow" w:cs="Arial"/>
                <w:sz w:val="18"/>
                <w:szCs w:val="18"/>
              </w:rPr>
              <w:t>Beni di consumo</w:t>
            </w:r>
          </w:p>
        </w:tc>
        <w:tc>
          <w:tcPr>
            <w:tcW w:w="823" w:type="dxa"/>
            <w:tcBorders>
              <w:top w:val="single" w:sz="4" w:space="0" w:color="auto"/>
              <w:bottom w:val="single" w:sz="4" w:space="0" w:color="auto"/>
            </w:tcBorders>
            <w:shd w:val="clear" w:color="auto" w:fill="D9D9D9"/>
            <w:vAlign w:val="center"/>
          </w:tcPr>
          <w:p w14:paraId="1009192A" w14:textId="07F31B1D" w:rsidR="00BC18C0" w:rsidRDefault="00BC18C0" w:rsidP="00BC18C0">
            <w:pPr>
              <w:jc w:val="center"/>
              <w:rPr>
                <w:rFonts w:ascii="Arial Narrow" w:hAnsi="Arial Narrow"/>
                <w:sz w:val="18"/>
                <w:szCs w:val="18"/>
              </w:rPr>
            </w:pPr>
            <w:r>
              <w:rPr>
                <w:rFonts w:ascii="Arial Narrow" w:hAnsi="Arial Narrow"/>
                <w:sz w:val="18"/>
                <w:szCs w:val="18"/>
              </w:rPr>
              <w:t>+22,7</w:t>
            </w:r>
          </w:p>
        </w:tc>
        <w:tc>
          <w:tcPr>
            <w:tcW w:w="1316" w:type="dxa"/>
            <w:tcBorders>
              <w:top w:val="single" w:sz="4" w:space="0" w:color="auto"/>
              <w:bottom w:val="single" w:sz="4" w:space="0" w:color="auto"/>
            </w:tcBorders>
            <w:shd w:val="clear" w:color="auto" w:fill="D9D9D9"/>
            <w:vAlign w:val="center"/>
          </w:tcPr>
          <w:p w14:paraId="48172B09" w14:textId="5720728B" w:rsidR="00BC18C0" w:rsidRDefault="00BC18C0" w:rsidP="00BC18C0">
            <w:pPr>
              <w:jc w:val="center"/>
              <w:rPr>
                <w:rFonts w:ascii="Arial Narrow" w:hAnsi="Arial Narrow"/>
                <w:sz w:val="18"/>
                <w:szCs w:val="18"/>
              </w:rPr>
            </w:pPr>
            <w:r>
              <w:rPr>
                <w:rFonts w:ascii="Arial Narrow" w:hAnsi="Arial Narrow"/>
                <w:sz w:val="18"/>
                <w:szCs w:val="18"/>
              </w:rPr>
              <w:t>+15,5</w:t>
            </w:r>
          </w:p>
        </w:tc>
        <w:tc>
          <w:tcPr>
            <w:tcW w:w="823" w:type="dxa"/>
            <w:tcBorders>
              <w:top w:val="single" w:sz="4" w:space="0" w:color="auto"/>
              <w:bottom w:val="single" w:sz="4" w:space="0" w:color="auto"/>
            </w:tcBorders>
            <w:vAlign w:val="center"/>
          </w:tcPr>
          <w:p w14:paraId="3BDADCC0" w14:textId="639CC488" w:rsidR="00BC18C0" w:rsidRDefault="00BC18C0" w:rsidP="00BC18C0">
            <w:pPr>
              <w:jc w:val="center"/>
              <w:rPr>
                <w:rFonts w:ascii="Arial Narrow" w:hAnsi="Arial Narrow"/>
                <w:sz w:val="18"/>
                <w:szCs w:val="18"/>
              </w:rPr>
            </w:pPr>
            <w:r>
              <w:rPr>
                <w:rFonts w:ascii="Arial Narrow" w:hAnsi="Arial Narrow"/>
                <w:sz w:val="18"/>
                <w:szCs w:val="18"/>
              </w:rPr>
              <w:t>+22,1</w:t>
            </w:r>
          </w:p>
        </w:tc>
        <w:tc>
          <w:tcPr>
            <w:tcW w:w="1317" w:type="dxa"/>
            <w:tcBorders>
              <w:top w:val="single" w:sz="4" w:space="0" w:color="auto"/>
              <w:bottom w:val="single" w:sz="4" w:space="0" w:color="auto"/>
            </w:tcBorders>
            <w:vAlign w:val="center"/>
          </w:tcPr>
          <w:p w14:paraId="56537B7A" w14:textId="140DB18D" w:rsidR="00BC18C0" w:rsidRDefault="00BC18C0" w:rsidP="00BC18C0">
            <w:pPr>
              <w:jc w:val="center"/>
              <w:rPr>
                <w:rFonts w:ascii="Arial Narrow" w:hAnsi="Arial Narrow"/>
                <w:sz w:val="18"/>
                <w:szCs w:val="18"/>
              </w:rPr>
            </w:pPr>
            <w:r>
              <w:rPr>
                <w:rFonts w:ascii="Arial Narrow" w:hAnsi="Arial Narrow"/>
                <w:sz w:val="18"/>
                <w:szCs w:val="18"/>
              </w:rPr>
              <w:t>+20,5</w:t>
            </w:r>
          </w:p>
        </w:tc>
        <w:tc>
          <w:tcPr>
            <w:tcW w:w="823" w:type="dxa"/>
            <w:tcBorders>
              <w:top w:val="single" w:sz="4" w:space="0" w:color="auto"/>
              <w:bottom w:val="single" w:sz="4" w:space="0" w:color="auto"/>
            </w:tcBorders>
            <w:shd w:val="clear" w:color="auto" w:fill="D9D9D9"/>
            <w:vAlign w:val="center"/>
          </w:tcPr>
          <w:p w14:paraId="5BB4ED55" w14:textId="691F561D" w:rsidR="00BC18C0" w:rsidRDefault="00BC18C0" w:rsidP="00BC18C0">
            <w:pPr>
              <w:jc w:val="center"/>
              <w:rPr>
                <w:rFonts w:ascii="Arial Narrow" w:hAnsi="Arial Narrow"/>
                <w:sz w:val="18"/>
                <w:szCs w:val="18"/>
              </w:rPr>
            </w:pPr>
            <w:r>
              <w:rPr>
                <w:rFonts w:ascii="Arial Narrow" w:hAnsi="Arial Narrow"/>
                <w:sz w:val="18"/>
                <w:szCs w:val="18"/>
              </w:rPr>
              <w:t>-6,2</w:t>
            </w:r>
          </w:p>
        </w:tc>
        <w:tc>
          <w:tcPr>
            <w:tcW w:w="1317" w:type="dxa"/>
            <w:tcBorders>
              <w:top w:val="single" w:sz="4" w:space="0" w:color="auto"/>
              <w:bottom w:val="single" w:sz="4" w:space="0" w:color="auto"/>
            </w:tcBorders>
            <w:shd w:val="clear" w:color="auto" w:fill="D9D9D9"/>
            <w:vAlign w:val="center"/>
          </w:tcPr>
          <w:p w14:paraId="4701B2F1" w14:textId="5868304C" w:rsidR="00BC18C0" w:rsidRDefault="00BC18C0" w:rsidP="00BC18C0">
            <w:pPr>
              <w:jc w:val="center"/>
              <w:rPr>
                <w:rFonts w:ascii="Arial Narrow" w:hAnsi="Arial Narrow"/>
                <w:sz w:val="18"/>
                <w:szCs w:val="18"/>
              </w:rPr>
            </w:pPr>
            <w:r>
              <w:rPr>
                <w:rFonts w:ascii="Arial Narrow" w:hAnsi="Arial Narrow"/>
                <w:sz w:val="18"/>
                <w:szCs w:val="18"/>
              </w:rPr>
              <w:t>+4,8</w:t>
            </w:r>
          </w:p>
        </w:tc>
        <w:tc>
          <w:tcPr>
            <w:tcW w:w="823" w:type="dxa"/>
            <w:tcBorders>
              <w:top w:val="single" w:sz="4" w:space="0" w:color="auto"/>
              <w:bottom w:val="single" w:sz="4" w:space="0" w:color="auto"/>
            </w:tcBorders>
            <w:vAlign w:val="center"/>
          </w:tcPr>
          <w:p w14:paraId="273A91F5" w14:textId="34A1BF23" w:rsidR="00BC18C0" w:rsidRDefault="00BC18C0" w:rsidP="00BC18C0">
            <w:pPr>
              <w:jc w:val="center"/>
              <w:rPr>
                <w:rFonts w:ascii="Arial Narrow" w:hAnsi="Arial Narrow"/>
                <w:sz w:val="18"/>
                <w:szCs w:val="18"/>
              </w:rPr>
            </w:pPr>
            <w:r>
              <w:rPr>
                <w:rFonts w:ascii="Arial Narrow" w:hAnsi="Arial Narrow"/>
                <w:sz w:val="18"/>
                <w:szCs w:val="18"/>
              </w:rPr>
              <w:t>+2,7</w:t>
            </w:r>
          </w:p>
        </w:tc>
        <w:tc>
          <w:tcPr>
            <w:tcW w:w="1317" w:type="dxa"/>
            <w:tcBorders>
              <w:top w:val="single" w:sz="4" w:space="0" w:color="auto"/>
              <w:bottom w:val="single" w:sz="4" w:space="0" w:color="auto"/>
            </w:tcBorders>
            <w:vAlign w:val="center"/>
          </w:tcPr>
          <w:p w14:paraId="0CFE25A5" w14:textId="5A6FB47C" w:rsidR="00BC18C0" w:rsidRDefault="00BC18C0" w:rsidP="00BC18C0">
            <w:pPr>
              <w:jc w:val="center"/>
              <w:rPr>
                <w:rFonts w:ascii="Arial Narrow" w:hAnsi="Arial Narrow"/>
                <w:sz w:val="18"/>
                <w:szCs w:val="18"/>
              </w:rPr>
            </w:pPr>
            <w:r>
              <w:rPr>
                <w:rFonts w:ascii="Arial Narrow" w:hAnsi="Arial Narrow"/>
                <w:sz w:val="18"/>
                <w:szCs w:val="18"/>
              </w:rPr>
              <w:t>+5,5</w:t>
            </w:r>
          </w:p>
        </w:tc>
      </w:tr>
      <w:tr w:rsidR="00BC18C0" w:rsidRPr="008C0651" w14:paraId="0AA49F05" w14:textId="77777777" w:rsidTr="00BC18C0">
        <w:trPr>
          <w:trHeight w:val="255"/>
        </w:trPr>
        <w:tc>
          <w:tcPr>
            <w:tcW w:w="1647" w:type="dxa"/>
            <w:tcBorders>
              <w:top w:val="single" w:sz="4" w:space="0" w:color="auto"/>
              <w:left w:val="nil"/>
              <w:bottom w:val="single" w:sz="4" w:space="0" w:color="auto"/>
            </w:tcBorders>
            <w:vAlign w:val="center"/>
          </w:tcPr>
          <w:p w14:paraId="766BF8C8" w14:textId="77777777" w:rsidR="00BC18C0" w:rsidRPr="00353F86" w:rsidRDefault="00BC18C0" w:rsidP="00BC18C0">
            <w:pPr>
              <w:spacing w:before="40" w:after="20"/>
              <w:rPr>
                <w:rFonts w:ascii="Arial Narrow" w:hAnsi="Arial Narrow" w:cs="Arial"/>
                <w:sz w:val="18"/>
                <w:szCs w:val="18"/>
              </w:rPr>
            </w:pPr>
            <w:r w:rsidRPr="00353F86">
              <w:rPr>
                <w:rFonts w:ascii="Arial Narrow" w:hAnsi="Arial Narrow" w:cs="Arial"/>
                <w:sz w:val="18"/>
                <w:szCs w:val="18"/>
              </w:rPr>
              <w:t>durevoli</w:t>
            </w:r>
          </w:p>
        </w:tc>
        <w:tc>
          <w:tcPr>
            <w:tcW w:w="823" w:type="dxa"/>
            <w:tcBorders>
              <w:top w:val="single" w:sz="4" w:space="0" w:color="auto"/>
              <w:bottom w:val="single" w:sz="4" w:space="0" w:color="auto"/>
            </w:tcBorders>
            <w:shd w:val="clear" w:color="auto" w:fill="D9D9D9"/>
            <w:vAlign w:val="center"/>
          </w:tcPr>
          <w:p w14:paraId="2733FF54" w14:textId="69B37006" w:rsidR="00BC18C0" w:rsidRDefault="00BC18C0" w:rsidP="00BC18C0">
            <w:pPr>
              <w:jc w:val="center"/>
              <w:rPr>
                <w:rFonts w:ascii="Arial Narrow" w:hAnsi="Arial Narrow"/>
                <w:sz w:val="18"/>
                <w:szCs w:val="18"/>
              </w:rPr>
            </w:pPr>
            <w:r>
              <w:rPr>
                <w:rFonts w:ascii="Arial Narrow" w:hAnsi="Arial Narrow"/>
                <w:sz w:val="18"/>
                <w:szCs w:val="18"/>
              </w:rPr>
              <w:t>+17,8</w:t>
            </w:r>
          </w:p>
        </w:tc>
        <w:tc>
          <w:tcPr>
            <w:tcW w:w="1316" w:type="dxa"/>
            <w:tcBorders>
              <w:top w:val="single" w:sz="4" w:space="0" w:color="auto"/>
              <w:bottom w:val="single" w:sz="4" w:space="0" w:color="auto"/>
            </w:tcBorders>
            <w:shd w:val="clear" w:color="auto" w:fill="D9D9D9"/>
            <w:vAlign w:val="center"/>
          </w:tcPr>
          <w:p w14:paraId="10D6F7EF" w14:textId="07073D77" w:rsidR="00BC18C0" w:rsidRDefault="00BC18C0" w:rsidP="00BC18C0">
            <w:pPr>
              <w:jc w:val="center"/>
              <w:rPr>
                <w:rFonts w:ascii="Arial Narrow" w:hAnsi="Arial Narrow"/>
                <w:sz w:val="18"/>
                <w:szCs w:val="18"/>
              </w:rPr>
            </w:pPr>
            <w:r>
              <w:rPr>
                <w:rFonts w:ascii="Arial Narrow" w:hAnsi="Arial Narrow"/>
                <w:sz w:val="18"/>
                <w:szCs w:val="18"/>
              </w:rPr>
              <w:t>+14,6</w:t>
            </w:r>
          </w:p>
        </w:tc>
        <w:tc>
          <w:tcPr>
            <w:tcW w:w="823" w:type="dxa"/>
            <w:tcBorders>
              <w:top w:val="single" w:sz="4" w:space="0" w:color="auto"/>
              <w:bottom w:val="single" w:sz="4" w:space="0" w:color="auto"/>
            </w:tcBorders>
            <w:vAlign w:val="center"/>
          </w:tcPr>
          <w:p w14:paraId="21F24B11" w14:textId="5FF01E5A" w:rsidR="00BC18C0" w:rsidRDefault="00BC18C0" w:rsidP="00BC18C0">
            <w:pPr>
              <w:jc w:val="center"/>
              <w:rPr>
                <w:rFonts w:ascii="Arial Narrow" w:hAnsi="Arial Narrow"/>
                <w:sz w:val="18"/>
                <w:szCs w:val="18"/>
              </w:rPr>
            </w:pPr>
            <w:r>
              <w:rPr>
                <w:rFonts w:ascii="Arial Narrow" w:hAnsi="Arial Narrow"/>
                <w:sz w:val="18"/>
                <w:szCs w:val="18"/>
              </w:rPr>
              <w:t>+14,1</w:t>
            </w:r>
          </w:p>
        </w:tc>
        <w:tc>
          <w:tcPr>
            <w:tcW w:w="1317" w:type="dxa"/>
            <w:tcBorders>
              <w:top w:val="single" w:sz="4" w:space="0" w:color="auto"/>
              <w:bottom w:val="single" w:sz="4" w:space="0" w:color="auto"/>
            </w:tcBorders>
            <w:vAlign w:val="center"/>
          </w:tcPr>
          <w:p w14:paraId="67368A57" w14:textId="5A23CE6C" w:rsidR="00BC18C0" w:rsidRDefault="00BC18C0" w:rsidP="00BC18C0">
            <w:pPr>
              <w:jc w:val="center"/>
              <w:rPr>
                <w:rFonts w:ascii="Arial Narrow" w:hAnsi="Arial Narrow"/>
                <w:sz w:val="18"/>
                <w:szCs w:val="18"/>
              </w:rPr>
            </w:pPr>
            <w:r>
              <w:rPr>
                <w:rFonts w:ascii="Arial Narrow" w:hAnsi="Arial Narrow"/>
                <w:sz w:val="18"/>
                <w:szCs w:val="18"/>
              </w:rPr>
              <w:t>+15,2</w:t>
            </w:r>
          </w:p>
        </w:tc>
        <w:tc>
          <w:tcPr>
            <w:tcW w:w="823" w:type="dxa"/>
            <w:tcBorders>
              <w:top w:val="single" w:sz="4" w:space="0" w:color="auto"/>
              <w:bottom w:val="single" w:sz="4" w:space="0" w:color="auto"/>
            </w:tcBorders>
            <w:shd w:val="clear" w:color="auto" w:fill="D9D9D9"/>
            <w:vAlign w:val="center"/>
          </w:tcPr>
          <w:p w14:paraId="32660A2B" w14:textId="2A61365F" w:rsidR="00BC18C0" w:rsidRDefault="00BC18C0" w:rsidP="00BC18C0">
            <w:pPr>
              <w:jc w:val="center"/>
              <w:rPr>
                <w:rFonts w:ascii="Arial Narrow" w:hAnsi="Arial Narrow"/>
                <w:sz w:val="18"/>
                <w:szCs w:val="18"/>
              </w:rPr>
            </w:pPr>
            <w:r>
              <w:rPr>
                <w:rFonts w:ascii="Arial Narrow" w:hAnsi="Arial Narrow"/>
                <w:sz w:val="18"/>
                <w:szCs w:val="18"/>
              </w:rPr>
              <w:t>-11,1</w:t>
            </w:r>
          </w:p>
        </w:tc>
        <w:tc>
          <w:tcPr>
            <w:tcW w:w="1317" w:type="dxa"/>
            <w:tcBorders>
              <w:top w:val="single" w:sz="4" w:space="0" w:color="auto"/>
              <w:bottom w:val="single" w:sz="4" w:space="0" w:color="auto"/>
            </w:tcBorders>
            <w:shd w:val="clear" w:color="auto" w:fill="D9D9D9"/>
            <w:vAlign w:val="center"/>
          </w:tcPr>
          <w:p w14:paraId="0FA0CFF1" w14:textId="4A56212F" w:rsidR="00BC18C0" w:rsidRDefault="00BC18C0" w:rsidP="00BC18C0">
            <w:pPr>
              <w:jc w:val="center"/>
              <w:rPr>
                <w:rFonts w:ascii="Arial Narrow" w:hAnsi="Arial Narrow"/>
                <w:sz w:val="18"/>
                <w:szCs w:val="18"/>
              </w:rPr>
            </w:pPr>
            <w:r>
              <w:rPr>
                <w:rFonts w:ascii="Arial Narrow" w:hAnsi="Arial Narrow"/>
                <w:sz w:val="18"/>
                <w:szCs w:val="18"/>
              </w:rPr>
              <w:t>+0,4</w:t>
            </w:r>
          </w:p>
        </w:tc>
        <w:tc>
          <w:tcPr>
            <w:tcW w:w="823" w:type="dxa"/>
            <w:tcBorders>
              <w:top w:val="single" w:sz="4" w:space="0" w:color="auto"/>
              <w:bottom w:val="single" w:sz="4" w:space="0" w:color="auto"/>
            </w:tcBorders>
            <w:vAlign w:val="center"/>
          </w:tcPr>
          <w:p w14:paraId="27560C7F" w14:textId="7786A7F4" w:rsidR="00BC18C0" w:rsidRDefault="00BC18C0" w:rsidP="00BC18C0">
            <w:pPr>
              <w:jc w:val="center"/>
              <w:rPr>
                <w:rFonts w:ascii="Arial Narrow" w:hAnsi="Arial Narrow"/>
                <w:sz w:val="18"/>
                <w:szCs w:val="18"/>
              </w:rPr>
            </w:pPr>
            <w:r>
              <w:rPr>
                <w:rFonts w:ascii="Arial Narrow" w:hAnsi="Arial Narrow"/>
                <w:sz w:val="18"/>
                <w:szCs w:val="18"/>
              </w:rPr>
              <w:t>-7,9</w:t>
            </w:r>
          </w:p>
        </w:tc>
        <w:tc>
          <w:tcPr>
            <w:tcW w:w="1317" w:type="dxa"/>
            <w:tcBorders>
              <w:top w:val="single" w:sz="4" w:space="0" w:color="auto"/>
              <w:bottom w:val="single" w:sz="4" w:space="0" w:color="auto"/>
            </w:tcBorders>
            <w:vAlign w:val="center"/>
          </w:tcPr>
          <w:p w14:paraId="2B2A239A" w14:textId="31C96845" w:rsidR="00BC18C0" w:rsidRDefault="00BC18C0" w:rsidP="00BC18C0">
            <w:pPr>
              <w:jc w:val="center"/>
              <w:rPr>
                <w:rFonts w:ascii="Arial Narrow" w:hAnsi="Arial Narrow"/>
                <w:sz w:val="18"/>
                <w:szCs w:val="18"/>
              </w:rPr>
            </w:pPr>
            <w:r>
              <w:rPr>
                <w:rFonts w:ascii="Arial Narrow" w:hAnsi="Arial Narrow"/>
                <w:sz w:val="18"/>
                <w:szCs w:val="18"/>
              </w:rPr>
              <w:t>-3,2</w:t>
            </w:r>
          </w:p>
        </w:tc>
      </w:tr>
      <w:tr w:rsidR="00BC18C0" w:rsidRPr="008C0651" w14:paraId="01F6E9DF" w14:textId="77777777" w:rsidTr="00BC18C0">
        <w:trPr>
          <w:trHeight w:val="255"/>
        </w:trPr>
        <w:tc>
          <w:tcPr>
            <w:tcW w:w="1647" w:type="dxa"/>
            <w:tcBorders>
              <w:top w:val="single" w:sz="4" w:space="0" w:color="auto"/>
              <w:left w:val="nil"/>
              <w:bottom w:val="single" w:sz="4" w:space="0" w:color="auto"/>
            </w:tcBorders>
            <w:vAlign w:val="center"/>
          </w:tcPr>
          <w:p w14:paraId="68752EA6" w14:textId="77777777" w:rsidR="00BC18C0" w:rsidRPr="00353F86" w:rsidRDefault="00BC18C0" w:rsidP="00BC18C0">
            <w:pPr>
              <w:spacing w:before="40" w:after="20"/>
              <w:rPr>
                <w:rFonts w:ascii="Arial Narrow" w:hAnsi="Arial Narrow" w:cs="Arial"/>
                <w:sz w:val="18"/>
                <w:szCs w:val="18"/>
              </w:rPr>
            </w:pPr>
            <w:r w:rsidRPr="00353F86">
              <w:rPr>
                <w:rFonts w:ascii="Arial Narrow" w:hAnsi="Arial Narrow" w:cs="Arial"/>
                <w:sz w:val="18"/>
                <w:szCs w:val="18"/>
              </w:rPr>
              <w:t>non durevoli</w:t>
            </w:r>
          </w:p>
        </w:tc>
        <w:tc>
          <w:tcPr>
            <w:tcW w:w="823" w:type="dxa"/>
            <w:tcBorders>
              <w:top w:val="single" w:sz="4" w:space="0" w:color="auto"/>
              <w:bottom w:val="single" w:sz="4" w:space="0" w:color="auto"/>
            </w:tcBorders>
            <w:shd w:val="clear" w:color="auto" w:fill="D9D9D9"/>
            <w:vAlign w:val="center"/>
          </w:tcPr>
          <w:p w14:paraId="728B7A1B" w14:textId="42DDA284" w:rsidR="00BC18C0" w:rsidRDefault="00BC18C0" w:rsidP="00BC18C0">
            <w:pPr>
              <w:jc w:val="center"/>
              <w:rPr>
                <w:rFonts w:ascii="Arial Narrow" w:hAnsi="Arial Narrow"/>
                <w:sz w:val="18"/>
                <w:szCs w:val="18"/>
              </w:rPr>
            </w:pPr>
            <w:r>
              <w:rPr>
                <w:rFonts w:ascii="Arial Narrow" w:hAnsi="Arial Narrow"/>
                <w:sz w:val="18"/>
                <w:szCs w:val="18"/>
              </w:rPr>
              <w:t>+24,0</w:t>
            </w:r>
          </w:p>
        </w:tc>
        <w:tc>
          <w:tcPr>
            <w:tcW w:w="1316" w:type="dxa"/>
            <w:tcBorders>
              <w:top w:val="single" w:sz="4" w:space="0" w:color="auto"/>
              <w:bottom w:val="single" w:sz="4" w:space="0" w:color="auto"/>
            </w:tcBorders>
            <w:shd w:val="clear" w:color="auto" w:fill="D9D9D9"/>
            <w:vAlign w:val="center"/>
          </w:tcPr>
          <w:p w14:paraId="6BD85BE9" w14:textId="4CEE87E4" w:rsidR="00BC18C0" w:rsidRDefault="00BC18C0" w:rsidP="00BC18C0">
            <w:pPr>
              <w:jc w:val="center"/>
              <w:rPr>
                <w:rFonts w:ascii="Arial Narrow" w:hAnsi="Arial Narrow"/>
                <w:sz w:val="18"/>
                <w:szCs w:val="18"/>
              </w:rPr>
            </w:pPr>
            <w:r>
              <w:rPr>
                <w:rFonts w:ascii="Arial Narrow" w:hAnsi="Arial Narrow"/>
                <w:sz w:val="18"/>
                <w:szCs w:val="18"/>
              </w:rPr>
              <w:t>+15,8</w:t>
            </w:r>
          </w:p>
        </w:tc>
        <w:tc>
          <w:tcPr>
            <w:tcW w:w="823" w:type="dxa"/>
            <w:tcBorders>
              <w:top w:val="single" w:sz="4" w:space="0" w:color="auto"/>
              <w:bottom w:val="single" w:sz="4" w:space="0" w:color="auto"/>
            </w:tcBorders>
            <w:vAlign w:val="center"/>
          </w:tcPr>
          <w:p w14:paraId="664AEE75" w14:textId="311635AA" w:rsidR="00BC18C0" w:rsidRDefault="00BC18C0" w:rsidP="00BC18C0">
            <w:pPr>
              <w:jc w:val="center"/>
              <w:rPr>
                <w:rFonts w:ascii="Arial Narrow" w:hAnsi="Arial Narrow"/>
                <w:sz w:val="18"/>
                <w:szCs w:val="18"/>
              </w:rPr>
            </w:pPr>
            <w:r>
              <w:rPr>
                <w:rFonts w:ascii="Arial Narrow" w:hAnsi="Arial Narrow"/>
                <w:sz w:val="18"/>
                <w:szCs w:val="18"/>
              </w:rPr>
              <w:t>+23,6</w:t>
            </w:r>
          </w:p>
        </w:tc>
        <w:tc>
          <w:tcPr>
            <w:tcW w:w="1317" w:type="dxa"/>
            <w:tcBorders>
              <w:top w:val="single" w:sz="4" w:space="0" w:color="auto"/>
              <w:bottom w:val="single" w:sz="4" w:space="0" w:color="auto"/>
            </w:tcBorders>
            <w:vAlign w:val="center"/>
          </w:tcPr>
          <w:p w14:paraId="63AADF3C" w14:textId="1F9FA989" w:rsidR="00BC18C0" w:rsidRDefault="00BC18C0" w:rsidP="00BC18C0">
            <w:pPr>
              <w:jc w:val="center"/>
              <w:rPr>
                <w:rFonts w:ascii="Arial Narrow" w:hAnsi="Arial Narrow"/>
                <w:sz w:val="18"/>
                <w:szCs w:val="18"/>
              </w:rPr>
            </w:pPr>
            <w:r>
              <w:rPr>
                <w:rFonts w:ascii="Arial Narrow" w:hAnsi="Arial Narrow"/>
                <w:sz w:val="18"/>
                <w:szCs w:val="18"/>
              </w:rPr>
              <w:t>+21,6</w:t>
            </w:r>
          </w:p>
        </w:tc>
        <w:tc>
          <w:tcPr>
            <w:tcW w:w="823" w:type="dxa"/>
            <w:tcBorders>
              <w:top w:val="single" w:sz="4" w:space="0" w:color="auto"/>
              <w:bottom w:val="single" w:sz="4" w:space="0" w:color="auto"/>
            </w:tcBorders>
            <w:shd w:val="clear" w:color="auto" w:fill="D9D9D9"/>
            <w:vAlign w:val="center"/>
          </w:tcPr>
          <w:p w14:paraId="2D42EDBE" w14:textId="348EEE92" w:rsidR="00BC18C0" w:rsidRDefault="00BC18C0" w:rsidP="00BC18C0">
            <w:pPr>
              <w:jc w:val="center"/>
              <w:rPr>
                <w:rFonts w:ascii="Arial Narrow" w:hAnsi="Arial Narrow"/>
                <w:sz w:val="18"/>
                <w:szCs w:val="18"/>
              </w:rPr>
            </w:pPr>
            <w:r>
              <w:rPr>
                <w:rFonts w:ascii="Arial Narrow" w:hAnsi="Arial Narrow"/>
                <w:sz w:val="18"/>
                <w:szCs w:val="18"/>
              </w:rPr>
              <w:t>-5,3</w:t>
            </w:r>
          </w:p>
        </w:tc>
        <w:tc>
          <w:tcPr>
            <w:tcW w:w="1317" w:type="dxa"/>
            <w:tcBorders>
              <w:top w:val="single" w:sz="4" w:space="0" w:color="auto"/>
              <w:bottom w:val="single" w:sz="4" w:space="0" w:color="auto"/>
            </w:tcBorders>
            <w:shd w:val="clear" w:color="auto" w:fill="D9D9D9"/>
            <w:vAlign w:val="center"/>
          </w:tcPr>
          <w:p w14:paraId="7BA76FE8" w14:textId="79378657" w:rsidR="00BC18C0" w:rsidRDefault="00BC18C0" w:rsidP="00BC18C0">
            <w:pPr>
              <w:jc w:val="center"/>
              <w:rPr>
                <w:rFonts w:ascii="Arial Narrow" w:hAnsi="Arial Narrow"/>
                <w:sz w:val="18"/>
                <w:szCs w:val="18"/>
              </w:rPr>
            </w:pPr>
            <w:r>
              <w:rPr>
                <w:rFonts w:ascii="Arial Narrow" w:hAnsi="Arial Narrow"/>
                <w:sz w:val="18"/>
                <w:szCs w:val="18"/>
              </w:rPr>
              <w:t>+5,7</w:t>
            </w:r>
          </w:p>
        </w:tc>
        <w:tc>
          <w:tcPr>
            <w:tcW w:w="823" w:type="dxa"/>
            <w:tcBorders>
              <w:top w:val="single" w:sz="4" w:space="0" w:color="auto"/>
              <w:bottom w:val="single" w:sz="4" w:space="0" w:color="auto"/>
            </w:tcBorders>
            <w:vAlign w:val="center"/>
          </w:tcPr>
          <w:p w14:paraId="617D07F9" w14:textId="73F0A3CA" w:rsidR="00BC18C0" w:rsidRDefault="00BC18C0" w:rsidP="00BC18C0">
            <w:pPr>
              <w:jc w:val="center"/>
              <w:rPr>
                <w:rFonts w:ascii="Arial Narrow" w:hAnsi="Arial Narrow"/>
                <w:sz w:val="18"/>
                <w:szCs w:val="18"/>
              </w:rPr>
            </w:pPr>
            <w:r>
              <w:rPr>
                <w:rFonts w:ascii="Arial Narrow" w:hAnsi="Arial Narrow"/>
                <w:sz w:val="18"/>
                <w:szCs w:val="18"/>
              </w:rPr>
              <w:t>+4,2</w:t>
            </w:r>
          </w:p>
        </w:tc>
        <w:tc>
          <w:tcPr>
            <w:tcW w:w="1317" w:type="dxa"/>
            <w:tcBorders>
              <w:top w:val="single" w:sz="4" w:space="0" w:color="auto"/>
              <w:bottom w:val="single" w:sz="4" w:space="0" w:color="auto"/>
            </w:tcBorders>
            <w:vAlign w:val="center"/>
          </w:tcPr>
          <w:p w14:paraId="14A7BC7E" w14:textId="3357B88E" w:rsidR="00BC18C0" w:rsidRDefault="00BC18C0" w:rsidP="00BC18C0">
            <w:pPr>
              <w:jc w:val="center"/>
              <w:rPr>
                <w:rFonts w:ascii="Arial Narrow" w:hAnsi="Arial Narrow"/>
                <w:sz w:val="18"/>
                <w:szCs w:val="18"/>
              </w:rPr>
            </w:pPr>
            <w:r>
              <w:rPr>
                <w:rFonts w:ascii="Arial Narrow" w:hAnsi="Arial Narrow"/>
                <w:sz w:val="18"/>
                <w:szCs w:val="18"/>
              </w:rPr>
              <w:t>+6,6</w:t>
            </w:r>
          </w:p>
        </w:tc>
      </w:tr>
      <w:tr w:rsidR="00BC18C0" w:rsidRPr="008C0651" w14:paraId="66B73643" w14:textId="77777777" w:rsidTr="00BC18C0">
        <w:trPr>
          <w:trHeight w:val="255"/>
        </w:trPr>
        <w:tc>
          <w:tcPr>
            <w:tcW w:w="1647" w:type="dxa"/>
            <w:tcBorders>
              <w:top w:val="single" w:sz="4" w:space="0" w:color="auto"/>
              <w:left w:val="nil"/>
              <w:bottom w:val="single" w:sz="4" w:space="0" w:color="auto"/>
            </w:tcBorders>
            <w:vAlign w:val="center"/>
          </w:tcPr>
          <w:p w14:paraId="7876B70C" w14:textId="77777777" w:rsidR="00BC18C0" w:rsidRPr="00B076CD" w:rsidRDefault="00BC18C0" w:rsidP="00BC18C0">
            <w:pPr>
              <w:spacing w:before="40" w:after="20"/>
              <w:rPr>
                <w:rFonts w:ascii="Arial Narrow" w:hAnsi="Arial Narrow" w:cs="Arial"/>
                <w:sz w:val="18"/>
                <w:szCs w:val="18"/>
              </w:rPr>
            </w:pPr>
            <w:r w:rsidRPr="00B076CD">
              <w:rPr>
                <w:rFonts w:ascii="Arial Narrow" w:hAnsi="Arial Narrow" w:cs="Arial"/>
                <w:sz w:val="18"/>
                <w:szCs w:val="18"/>
              </w:rPr>
              <w:t>Beni strumentali</w:t>
            </w:r>
          </w:p>
        </w:tc>
        <w:tc>
          <w:tcPr>
            <w:tcW w:w="823" w:type="dxa"/>
            <w:tcBorders>
              <w:top w:val="single" w:sz="4" w:space="0" w:color="auto"/>
              <w:bottom w:val="single" w:sz="4" w:space="0" w:color="auto"/>
            </w:tcBorders>
            <w:shd w:val="clear" w:color="auto" w:fill="D9D9D9"/>
            <w:vAlign w:val="center"/>
          </w:tcPr>
          <w:p w14:paraId="7D59398D" w14:textId="5E2CC9CA" w:rsidR="00BC18C0" w:rsidRDefault="00BC18C0" w:rsidP="00BC18C0">
            <w:pPr>
              <w:jc w:val="center"/>
              <w:rPr>
                <w:rFonts w:ascii="Arial Narrow" w:hAnsi="Arial Narrow"/>
                <w:sz w:val="18"/>
                <w:szCs w:val="18"/>
              </w:rPr>
            </w:pPr>
            <w:r>
              <w:rPr>
                <w:rFonts w:ascii="Arial Narrow" w:hAnsi="Arial Narrow"/>
                <w:sz w:val="18"/>
                <w:szCs w:val="18"/>
              </w:rPr>
              <w:t>+14,7</w:t>
            </w:r>
          </w:p>
        </w:tc>
        <w:tc>
          <w:tcPr>
            <w:tcW w:w="1316" w:type="dxa"/>
            <w:tcBorders>
              <w:top w:val="single" w:sz="4" w:space="0" w:color="auto"/>
              <w:bottom w:val="single" w:sz="4" w:space="0" w:color="auto"/>
            </w:tcBorders>
            <w:shd w:val="clear" w:color="auto" w:fill="D9D9D9"/>
            <w:vAlign w:val="center"/>
          </w:tcPr>
          <w:p w14:paraId="6301C03F" w14:textId="5D82FB5B" w:rsidR="00BC18C0" w:rsidRDefault="00BC18C0" w:rsidP="00BC18C0">
            <w:pPr>
              <w:jc w:val="center"/>
              <w:rPr>
                <w:rFonts w:ascii="Arial Narrow" w:hAnsi="Arial Narrow"/>
                <w:sz w:val="18"/>
                <w:szCs w:val="18"/>
              </w:rPr>
            </w:pPr>
            <w:r>
              <w:rPr>
                <w:rFonts w:ascii="Arial Narrow" w:hAnsi="Arial Narrow"/>
                <w:sz w:val="18"/>
                <w:szCs w:val="18"/>
              </w:rPr>
              <w:t>+13,7</w:t>
            </w:r>
          </w:p>
        </w:tc>
        <w:tc>
          <w:tcPr>
            <w:tcW w:w="823" w:type="dxa"/>
            <w:tcBorders>
              <w:top w:val="single" w:sz="4" w:space="0" w:color="auto"/>
              <w:bottom w:val="single" w:sz="4" w:space="0" w:color="auto"/>
            </w:tcBorders>
            <w:vAlign w:val="center"/>
          </w:tcPr>
          <w:p w14:paraId="55390BA0" w14:textId="460BEBD9" w:rsidR="00BC18C0" w:rsidRDefault="00BC18C0" w:rsidP="00BC18C0">
            <w:pPr>
              <w:jc w:val="center"/>
              <w:rPr>
                <w:rFonts w:ascii="Arial Narrow" w:hAnsi="Arial Narrow"/>
                <w:sz w:val="18"/>
                <w:szCs w:val="18"/>
              </w:rPr>
            </w:pPr>
            <w:r>
              <w:rPr>
                <w:rFonts w:ascii="Arial Narrow" w:hAnsi="Arial Narrow"/>
                <w:sz w:val="18"/>
                <w:szCs w:val="18"/>
              </w:rPr>
              <w:t>+12,8</w:t>
            </w:r>
          </w:p>
        </w:tc>
        <w:tc>
          <w:tcPr>
            <w:tcW w:w="1317" w:type="dxa"/>
            <w:tcBorders>
              <w:top w:val="single" w:sz="4" w:space="0" w:color="auto"/>
              <w:bottom w:val="single" w:sz="4" w:space="0" w:color="auto"/>
            </w:tcBorders>
            <w:vAlign w:val="center"/>
          </w:tcPr>
          <w:p w14:paraId="087FD1B2" w14:textId="576A816A" w:rsidR="00BC18C0" w:rsidRDefault="00BC18C0" w:rsidP="00BC18C0">
            <w:pPr>
              <w:jc w:val="center"/>
              <w:rPr>
                <w:rFonts w:ascii="Arial Narrow" w:hAnsi="Arial Narrow"/>
                <w:sz w:val="18"/>
                <w:szCs w:val="18"/>
              </w:rPr>
            </w:pPr>
            <w:r>
              <w:rPr>
                <w:rFonts w:ascii="Arial Narrow" w:hAnsi="Arial Narrow"/>
                <w:sz w:val="18"/>
                <w:szCs w:val="18"/>
              </w:rPr>
              <w:t>+13,0</w:t>
            </w:r>
          </w:p>
        </w:tc>
        <w:tc>
          <w:tcPr>
            <w:tcW w:w="823" w:type="dxa"/>
            <w:tcBorders>
              <w:top w:val="single" w:sz="4" w:space="0" w:color="auto"/>
              <w:bottom w:val="single" w:sz="4" w:space="0" w:color="auto"/>
            </w:tcBorders>
            <w:shd w:val="clear" w:color="auto" w:fill="D9D9D9"/>
            <w:vAlign w:val="center"/>
          </w:tcPr>
          <w:p w14:paraId="2A9C419A" w14:textId="3C79AF8E" w:rsidR="00BC18C0" w:rsidRDefault="00BC18C0" w:rsidP="00BC18C0">
            <w:pPr>
              <w:jc w:val="center"/>
              <w:rPr>
                <w:rFonts w:ascii="Arial Narrow" w:hAnsi="Arial Narrow"/>
                <w:sz w:val="18"/>
                <w:szCs w:val="18"/>
              </w:rPr>
            </w:pPr>
            <w:r>
              <w:rPr>
                <w:rFonts w:ascii="Arial Narrow" w:hAnsi="Arial Narrow"/>
                <w:sz w:val="18"/>
                <w:szCs w:val="18"/>
              </w:rPr>
              <w:t>-2,0</w:t>
            </w:r>
          </w:p>
        </w:tc>
        <w:tc>
          <w:tcPr>
            <w:tcW w:w="1317" w:type="dxa"/>
            <w:tcBorders>
              <w:top w:val="single" w:sz="4" w:space="0" w:color="auto"/>
              <w:bottom w:val="single" w:sz="4" w:space="0" w:color="auto"/>
            </w:tcBorders>
            <w:shd w:val="clear" w:color="auto" w:fill="D9D9D9"/>
            <w:vAlign w:val="center"/>
          </w:tcPr>
          <w:p w14:paraId="478D83AA" w14:textId="6918576D" w:rsidR="00BC18C0" w:rsidRDefault="00BC18C0" w:rsidP="00BC18C0">
            <w:pPr>
              <w:jc w:val="center"/>
              <w:rPr>
                <w:rFonts w:ascii="Arial Narrow" w:hAnsi="Arial Narrow"/>
                <w:sz w:val="18"/>
                <w:szCs w:val="18"/>
              </w:rPr>
            </w:pPr>
            <w:r>
              <w:rPr>
                <w:rFonts w:ascii="Arial Narrow" w:hAnsi="Arial Narrow"/>
                <w:sz w:val="18"/>
                <w:szCs w:val="18"/>
              </w:rPr>
              <w:t>-2,6</w:t>
            </w:r>
          </w:p>
        </w:tc>
        <w:tc>
          <w:tcPr>
            <w:tcW w:w="823" w:type="dxa"/>
            <w:tcBorders>
              <w:top w:val="single" w:sz="4" w:space="0" w:color="auto"/>
              <w:bottom w:val="single" w:sz="4" w:space="0" w:color="auto"/>
            </w:tcBorders>
            <w:vAlign w:val="center"/>
          </w:tcPr>
          <w:p w14:paraId="1B00FEFB" w14:textId="2F8776AC" w:rsidR="00BC18C0" w:rsidRDefault="00BC18C0" w:rsidP="00BC18C0">
            <w:pPr>
              <w:jc w:val="center"/>
              <w:rPr>
                <w:rFonts w:ascii="Arial Narrow" w:hAnsi="Arial Narrow"/>
                <w:sz w:val="18"/>
                <w:szCs w:val="18"/>
              </w:rPr>
            </w:pPr>
            <w:r>
              <w:rPr>
                <w:rFonts w:ascii="Arial Narrow" w:hAnsi="Arial Narrow"/>
                <w:sz w:val="18"/>
                <w:szCs w:val="18"/>
              </w:rPr>
              <w:t>+13,8</w:t>
            </w:r>
          </w:p>
        </w:tc>
        <w:tc>
          <w:tcPr>
            <w:tcW w:w="1317" w:type="dxa"/>
            <w:tcBorders>
              <w:top w:val="single" w:sz="4" w:space="0" w:color="auto"/>
              <w:bottom w:val="single" w:sz="4" w:space="0" w:color="auto"/>
            </w:tcBorders>
            <w:vAlign w:val="center"/>
          </w:tcPr>
          <w:p w14:paraId="10429E15" w14:textId="0D1C78B6" w:rsidR="00BC18C0" w:rsidRDefault="00BC18C0" w:rsidP="00BC18C0">
            <w:pPr>
              <w:jc w:val="center"/>
              <w:rPr>
                <w:rFonts w:ascii="Arial Narrow" w:hAnsi="Arial Narrow"/>
                <w:sz w:val="18"/>
                <w:szCs w:val="18"/>
              </w:rPr>
            </w:pPr>
            <w:r>
              <w:rPr>
                <w:rFonts w:ascii="Arial Narrow" w:hAnsi="Arial Narrow"/>
                <w:sz w:val="18"/>
                <w:szCs w:val="18"/>
              </w:rPr>
              <w:t>+2,6</w:t>
            </w:r>
          </w:p>
        </w:tc>
      </w:tr>
      <w:tr w:rsidR="00BC18C0" w:rsidRPr="008C0651" w14:paraId="220FC730" w14:textId="77777777" w:rsidTr="00BC18C0">
        <w:trPr>
          <w:trHeight w:val="255"/>
        </w:trPr>
        <w:tc>
          <w:tcPr>
            <w:tcW w:w="1647" w:type="dxa"/>
            <w:tcBorders>
              <w:top w:val="single" w:sz="4" w:space="0" w:color="auto"/>
              <w:left w:val="nil"/>
              <w:bottom w:val="single" w:sz="4" w:space="0" w:color="auto"/>
            </w:tcBorders>
            <w:vAlign w:val="center"/>
          </w:tcPr>
          <w:p w14:paraId="1DA98FBE" w14:textId="77777777" w:rsidR="00BC18C0" w:rsidRPr="00B076CD" w:rsidRDefault="00BC18C0" w:rsidP="00BC18C0">
            <w:pPr>
              <w:spacing w:before="40" w:after="20"/>
              <w:rPr>
                <w:rFonts w:ascii="Arial Narrow" w:hAnsi="Arial Narrow" w:cs="Arial"/>
                <w:sz w:val="18"/>
                <w:szCs w:val="18"/>
              </w:rPr>
            </w:pPr>
            <w:r w:rsidRPr="00B076CD">
              <w:rPr>
                <w:rFonts w:ascii="Arial Narrow" w:hAnsi="Arial Narrow" w:cs="Arial"/>
                <w:sz w:val="18"/>
                <w:szCs w:val="18"/>
              </w:rPr>
              <w:t>Beni intermedi</w:t>
            </w:r>
          </w:p>
        </w:tc>
        <w:tc>
          <w:tcPr>
            <w:tcW w:w="823" w:type="dxa"/>
            <w:tcBorders>
              <w:top w:val="single" w:sz="4" w:space="0" w:color="auto"/>
              <w:bottom w:val="single" w:sz="4" w:space="0" w:color="auto"/>
            </w:tcBorders>
            <w:shd w:val="clear" w:color="auto" w:fill="D9D9D9"/>
            <w:vAlign w:val="center"/>
          </w:tcPr>
          <w:p w14:paraId="0CFC38FA" w14:textId="42FB1E93" w:rsidR="00BC18C0" w:rsidRDefault="00BC18C0" w:rsidP="00BC18C0">
            <w:pPr>
              <w:jc w:val="center"/>
              <w:rPr>
                <w:rFonts w:ascii="Arial Narrow" w:hAnsi="Arial Narrow"/>
                <w:sz w:val="18"/>
                <w:szCs w:val="18"/>
              </w:rPr>
            </w:pPr>
            <w:r>
              <w:rPr>
                <w:rFonts w:ascii="Arial Narrow" w:hAnsi="Arial Narrow"/>
                <w:sz w:val="18"/>
                <w:szCs w:val="18"/>
              </w:rPr>
              <w:t>+20,6</w:t>
            </w:r>
          </w:p>
        </w:tc>
        <w:tc>
          <w:tcPr>
            <w:tcW w:w="1316" w:type="dxa"/>
            <w:tcBorders>
              <w:top w:val="single" w:sz="4" w:space="0" w:color="auto"/>
              <w:bottom w:val="single" w:sz="4" w:space="0" w:color="auto"/>
            </w:tcBorders>
            <w:shd w:val="clear" w:color="auto" w:fill="D9D9D9"/>
            <w:vAlign w:val="center"/>
          </w:tcPr>
          <w:p w14:paraId="43229734" w14:textId="04611137" w:rsidR="00BC18C0" w:rsidRDefault="00BC18C0" w:rsidP="00BC18C0">
            <w:pPr>
              <w:jc w:val="center"/>
              <w:rPr>
                <w:rFonts w:ascii="Arial Narrow" w:hAnsi="Arial Narrow"/>
                <w:sz w:val="18"/>
                <w:szCs w:val="18"/>
              </w:rPr>
            </w:pPr>
            <w:r>
              <w:rPr>
                <w:rFonts w:ascii="Arial Narrow" w:hAnsi="Arial Narrow"/>
                <w:sz w:val="18"/>
                <w:szCs w:val="18"/>
              </w:rPr>
              <w:t>+25,0</w:t>
            </w:r>
          </w:p>
        </w:tc>
        <w:tc>
          <w:tcPr>
            <w:tcW w:w="823" w:type="dxa"/>
            <w:tcBorders>
              <w:top w:val="single" w:sz="4" w:space="0" w:color="auto"/>
              <w:bottom w:val="single" w:sz="4" w:space="0" w:color="auto"/>
            </w:tcBorders>
            <w:vAlign w:val="center"/>
          </w:tcPr>
          <w:p w14:paraId="210F6B34" w14:textId="54B0D248" w:rsidR="00BC18C0" w:rsidRDefault="00BC18C0" w:rsidP="00BC18C0">
            <w:pPr>
              <w:jc w:val="center"/>
              <w:rPr>
                <w:rFonts w:ascii="Arial Narrow" w:hAnsi="Arial Narrow"/>
                <w:sz w:val="18"/>
                <w:szCs w:val="18"/>
              </w:rPr>
            </w:pPr>
            <w:r>
              <w:rPr>
                <w:rFonts w:ascii="Arial Narrow" w:hAnsi="Arial Narrow"/>
                <w:sz w:val="18"/>
                <w:szCs w:val="18"/>
              </w:rPr>
              <w:t>+14,4</w:t>
            </w:r>
          </w:p>
        </w:tc>
        <w:tc>
          <w:tcPr>
            <w:tcW w:w="1317" w:type="dxa"/>
            <w:tcBorders>
              <w:top w:val="single" w:sz="4" w:space="0" w:color="auto"/>
              <w:bottom w:val="single" w:sz="4" w:space="0" w:color="auto"/>
            </w:tcBorders>
            <w:vAlign w:val="center"/>
          </w:tcPr>
          <w:p w14:paraId="67905E0A" w14:textId="2D025F80" w:rsidR="00BC18C0" w:rsidRDefault="00BC18C0" w:rsidP="00BC18C0">
            <w:pPr>
              <w:jc w:val="center"/>
              <w:rPr>
                <w:rFonts w:ascii="Arial Narrow" w:hAnsi="Arial Narrow"/>
                <w:sz w:val="18"/>
                <w:szCs w:val="18"/>
              </w:rPr>
            </w:pPr>
            <w:r>
              <w:rPr>
                <w:rFonts w:ascii="Arial Narrow" w:hAnsi="Arial Narrow"/>
                <w:sz w:val="18"/>
                <w:szCs w:val="18"/>
              </w:rPr>
              <w:t>+25,5</w:t>
            </w:r>
          </w:p>
        </w:tc>
        <w:tc>
          <w:tcPr>
            <w:tcW w:w="823" w:type="dxa"/>
            <w:tcBorders>
              <w:top w:val="single" w:sz="4" w:space="0" w:color="auto"/>
              <w:bottom w:val="single" w:sz="4" w:space="0" w:color="auto"/>
            </w:tcBorders>
            <w:shd w:val="clear" w:color="auto" w:fill="D9D9D9"/>
            <w:vAlign w:val="center"/>
          </w:tcPr>
          <w:p w14:paraId="28748FA8" w14:textId="2BF57C6C" w:rsidR="00BC18C0" w:rsidRDefault="00BC18C0" w:rsidP="00BC18C0">
            <w:pPr>
              <w:jc w:val="center"/>
              <w:rPr>
                <w:rFonts w:ascii="Arial Narrow" w:hAnsi="Arial Narrow"/>
                <w:sz w:val="18"/>
                <w:szCs w:val="18"/>
              </w:rPr>
            </w:pPr>
            <w:r>
              <w:rPr>
                <w:rFonts w:ascii="Arial Narrow" w:hAnsi="Arial Narrow"/>
                <w:sz w:val="18"/>
                <w:szCs w:val="18"/>
              </w:rPr>
              <w:t>-2,2</w:t>
            </w:r>
          </w:p>
        </w:tc>
        <w:tc>
          <w:tcPr>
            <w:tcW w:w="1317" w:type="dxa"/>
            <w:tcBorders>
              <w:top w:val="single" w:sz="4" w:space="0" w:color="auto"/>
              <w:bottom w:val="single" w:sz="4" w:space="0" w:color="auto"/>
            </w:tcBorders>
            <w:shd w:val="clear" w:color="auto" w:fill="D9D9D9"/>
            <w:vAlign w:val="center"/>
          </w:tcPr>
          <w:p w14:paraId="1AB7FAB2" w14:textId="047C36C6" w:rsidR="00BC18C0" w:rsidRDefault="00BC18C0" w:rsidP="00BC18C0">
            <w:pPr>
              <w:jc w:val="center"/>
              <w:rPr>
                <w:rFonts w:ascii="Arial Narrow" w:hAnsi="Arial Narrow"/>
                <w:sz w:val="18"/>
                <w:szCs w:val="18"/>
              </w:rPr>
            </w:pPr>
            <w:r>
              <w:rPr>
                <w:rFonts w:ascii="Arial Narrow" w:hAnsi="Arial Narrow"/>
                <w:sz w:val="18"/>
                <w:szCs w:val="18"/>
              </w:rPr>
              <w:t>-1,9</w:t>
            </w:r>
          </w:p>
        </w:tc>
        <w:tc>
          <w:tcPr>
            <w:tcW w:w="823" w:type="dxa"/>
            <w:tcBorders>
              <w:top w:val="single" w:sz="4" w:space="0" w:color="auto"/>
              <w:bottom w:val="single" w:sz="4" w:space="0" w:color="auto"/>
            </w:tcBorders>
            <w:vAlign w:val="center"/>
          </w:tcPr>
          <w:p w14:paraId="1F195043" w14:textId="463BD93F" w:rsidR="00BC18C0" w:rsidRDefault="00BC18C0" w:rsidP="00BC18C0">
            <w:pPr>
              <w:jc w:val="center"/>
              <w:rPr>
                <w:rFonts w:ascii="Arial Narrow" w:hAnsi="Arial Narrow"/>
                <w:sz w:val="18"/>
                <w:szCs w:val="18"/>
              </w:rPr>
            </w:pPr>
            <w:r>
              <w:rPr>
                <w:rFonts w:ascii="Arial Narrow" w:hAnsi="Arial Narrow"/>
                <w:sz w:val="18"/>
                <w:szCs w:val="18"/>
              </w:rPr>
              <w:t>+2,2</w:t>
            </w:r>
          </w:p>
        </w:tc>
        <w:tc>
          <w:tcPr>
            <w:tcW w:w="1317" w:type="dxa"/>
            <w:tcBorders>
              <w:top w:val="single" w:sz="4" w:space="0" w:color="auto"/>
              <w:bottom w:val="single" w:sz="4" w:space="0" w:color="auto"/>
            </w:tcBorders>
            <w:vAlign w:val="center"/>
          </w:tcPr>
          <w:p w14:paraId="2928ECC3" w14:textId="7E1F20D7" w:rsidR="00BC18C0" w:rsidRDefault="00BC18C0" w:rsidP="00BC18C0">
            <w:pPr>
              <w:jc w:val="center"/>
              <w:rPr>
                <w:rFonts w:ascii="Arial Narrow" w:hAnsi="Arial Narrow"/>
                <w:sz w:val="18"/>
                <w:szCs w:val="18"/>
              </w:rPr>
            </w:pPr>
            <w:r>
              <w:rPr>
                <w:rFonts w:ascii="Arial Narrow" w:hAnsi="Arial Narrow"/>
                <w:sz w:val="18"/>
                <w:szCs w:val="18"/>
              </w:rPr>
              <w:t>+6,1</w:t>
            </w:r>
          </w:p>
        </w:tc>
      </w:tr>
      <w:tr w:rsidR="00BC18C0" w:rsidRPr="008C0651" w14:paraId="1F8F7598" w14:textId="77777777" w:rsidTr="00BC18C0">
        <w:trPr>
          <w:trHeight w:val="255"/>
        </w:trPr>
        <w:tc>
          <w:tcPr>
            <w:tcW w:w="1647" w:type="dxa"/>
            <w:tcBorders>
              <w:top w:val="single" w:sz="4" w:space="0" w:color="auto"/>
              <w:left w:val="nil"/>
              <w:bottom w:val="single" w:sz="4" w:space="0" w:color="auto"/>
            </w:tcBorders>
            <w:vAlign w:val="center"/>
          </w:tcPr>
          <w:p w14:paraId="525947D1" w14:textId="77777777" w:rsidR="00BC18C0" w:rsidRPr="00B076CD" w:rsidRDefault="00BC18C0" w:rsidP="00BC18C0">
            <w:pPr>
              <w:spacing w:before="40" w:after="20"/>
              <w:rPr>
                <w:rFonts w:ascii="Arial Narrow" w:hAnsi="Arial Narrow" w:cs="Arial"/>
                <w:sz w:val="18"/>
                <w:szCs w:val="18"/>
              </w:rPr>
            </w:pPr>
            <w:r w:rsidRPr="00B076CD">
              <w:rPr>
                <w:rFonts w:ascii="Arial Narrow" w:hAnsi="Arial Narrow" w:cs="Arial"/>
                <w:sz w:val="18"/>
                <w:szCs w:val="18"/>
              </w:rPr>
              <w:t>Energia</w:t>
            </w:r>
          </w:p>
        </w:tc>
        <w:tc>
          <w:tcPr>
            <w:tcW w:w="823" w:type="dxa"/>
            <w:tcBorders>
              <w:top w:val="single" w:sz="4" w:space="0" w:color="auto"/>
              <w:bottom w:val="single" w:sz="4" w:space="0" w:color="auto"/>
            </w:tcBorders>
            <w:shd w:val="clear" w:color="auto" w:fill="D9D9D9"/>
            <w:vAlign w:val="center"/>
          </w:tcPr>
          <w:p w14:paraId="4624EC6D" w14:textId="112E3444" w:rsidR="00BC18C0" w:rsidRDefault="00BC18C0" w:rsidP="00BC18C0">
            <w:pPr>
              <w:jc w:val="center"/>
              <w:rPr>
                <w:rFonts w:ascii="Arial Narrow" w:hAnsi="Arial Narrow"/>
                <w:sz w:val="18"/>
                <w:szCs w:val="18"/>
              </w:rPr>
            </w:pPr>
            <w:r>
              <w:rPr>
                <w:rFonts w:ascii="Arial Narrow" w:hAnsi="Arial Narrow"/>
                <w:sz w:val="18"/>
                <w:szCs w:val="18"/>
              </w:rPr>
              <w:t>+41,8</w:t>
            </w:r>
          </w:p>
        </w:tc>
        <w:tc>
          <w:tcPr>
            <w:tcW w:w="1316" w:type="dxa"/>
            <w:tcBorders>
              <w:top w:val="single" w:sz="4" w:space="0" w:color="auto"/>
              <w:bottom w:val="single" w:sz="4" w:space="0" w:color="auto"/>
            </w:tcBorders>
            <w:shd w:val="clear" w:color="auto" w:fill="D9D9D9"/>
            <w:vAlign w:val="center"/>
          </w:tcPr>
          <w:p w14:paraId="118EE0BA" w14:textId="3E013D38" w:rsidR="00BC18C0" w:rsidRDefault="00BC18C0" w:rsidP="00BC18C0">
            <w:pPr>
              <w:jc w:val="center"/>
              <w:rPr>
                <w:rFonts w:ascii="Arial Narrow" w:hAnsi="Arial Narrow"/>
                <w:sz w:val="18"/>
                <w:szCs w:val="18"/>
              </w:rPr>
            </w:pPr>
            <w:r>
              <w:rPr>
                <w:rFonts w:ascii="Arial Narrow" w:hAnsi="Arial Narrow"/>
                <w:sz w:val="18"/>
                <w:szCs w:val="18"/>
              </w:rPr>
              <w:t>+74,5</w:t>
            </w:r>
          </w:p>
        </w:tc>
        <w:tc>
          <w:tcPr>
            <w:tcW w:w="823" w:type="dxa"/>
            <w:tcBorders>
              <w:top w:val="single" w:sz="4" w:space="0" w:color="auto"/>
              <w:bottom w:val="single" w:sz="4" w:space="0" w:color="auto"/>
            </w:tcBorders>
            <w:vAlign w:val="center"/>
          </w:tcPr>
          <w:p w14:paraId="314FEBDB" w14:textId="3520E653" w:rsidR="00BC18C0" w:rsidRDefault="00BC18C0" w:rsidP="00BC18C0">
            <w:pPr>
              <w:jc w:val="center"/>
              <w:rPr>
                <w:rFonts w:ascii="Arial Narrow" w:hAnsi="Arial Narrow"/>
                <w:sz w:val="18"/>
                <w:szCs w:val="18"/>
              </w:rPr>
            </w:pPr>
            <w:r>
              <w:rPr>
                <w:rFonts w:ascii="Arial Narrow" w:hAnsi="Arial Narrow"/>
                <w:sz w:val="18"/>
                <w:szCs w:val="18"/>
              </w:rPr>
              <w:t>+67,1</w:t>
            </w:r>
          </w:p>
        </w:tc>
        <w:tc>
          <w:tcPr>
            <w:tcW w:w="1317" w:type="dxa"/>
            <w:tcBorders>
              <w:top w:val="single" w:sz="4" w:space="0" w:color="auto"/>
              <w:bottom w:val="single" w:sz="4" w:space="0" w:color="auto"/>
            </w:tcBorders>
            <w:vAlign w:val="center"/>
          </w:tcPr>
          <w:p w14:paraId="6217F172" w14:textId="4DBE69BF" w:rsidR="00BC18C0" w:rsidRDefault="00BC18C0" w:rsidP="00BC18C0">
            <w:pPr>
              <w:jc w:val="center"/>
              <w:rPr>
                <w:rFonts w:ascii="Arial Narrow" w:hAnsi="Arial Narrow"/>
                <w:sz w:val="18"/>
                <w:szCs w:val="18"/>
              </w:rPr>
            </w:pPr>
            <w:r>
              <w:rPr>
                <w:rFonts w:ascii="Arial Narrow" w:hAnsi="Arial Narrow"/>
                <w:sz w:val="18"/>
                <w:szCs w:val="18"/>
              </w:rPr>
              <w:t>+144,5</w:t>
            </w:r>
          </w:p>
        </w:tc>
        <w:tc>
          <w:tcPr>
            <w:tcW w:w="823" w:type="dxa"/>
            <w:tcBorders>
              <w:top w:val="single" w:sz="4" w:space="0" w:color="auto"/>
              <w:bottom w:val="single" w:sz="4" w:space="0" w:color="auto"/>
            </w:tcBorders>
            <w:shd w:val="clear" w:color="auto" w:fill="D9D9D9"/>
            <w:vAlign w:val="center"/>
          </w:tcPr>
          <w:p w14:paraId="4B9687CB" w14:textId="19B6DF7D" w:rsidR="00BC18C0" w:rsidRDefault="00BC18C0" w:rsidP="00BC18C0">
            <w:pPr>
              <w:jc w:val="center"/>
              <w:rPr>
                <w:rFonts w:ascii="Arial Narrow" w:hAnsi="Arial Narrow"/>
                <w:sz w:val="18"/>
                <w:szCs w:val="18"/>
              </w:rPr>
            </w:pPr>
            <w:r>
              <w:rPr>
                <w:rFonts w:ascii="Arial Narrow" w:hAnsi="Arial Narrow"/>
                <w:sz w:val="18"/>
                <w:szCs w:val="18"/>
              </w:rPr>
              <w:t>+32,1</w:t>
            </w:r>
          </w:p>
        </w:tc>
        <w:tc>
          <w:tcPr>
            <w:tcW w:w="1317" w:type="dxa"/>
            <w:tcBorders>
              <w:top w:val="single" w:sz="4" w:space="0" w:color="auto"/>
              <w:bottom w:val="single" w:sz="4" w:space="0" w:color="auto"/>
            </w:tcBorders>
            <w:shd w:val="clear" w:color="auto" w:fill="D9D9D9"/>
            <w:vAlign w:val="center"/>
          </w:tcPr>
          <w:p w14:paraId="68E4475E" w14:textId="384A936B" w:rsidR="00BC18C0" w:rsidRDefault="00BC18C0" w:rsidP="00BC18C0">
            <w:pPr>
              <w:jc w:val="center"/>
              <w:rPr>
                <w:rFonts w:ascii="Arial Narrow" w:hAnsi="Arial Narrow"/>
                <w:sz w:val="18"/>
                <w:szCs w:val="18"/>
              </w:rPr>
            </w:pPr>
            <w:r>
              <w:rPr>
                <w:rFonts w:ascii="Arial Narrow" w:hAnsi="Arial Narrow"/>
                <w:sz w:val="18"/>
                <w:szCs w:val="18"/>
              </w:rPr>
              <w:t>+20,2</w:t>
            </w:r>
          </w:p>
        </w:tc>
        <w:tc>
          <w:tcPr>
            <w:tcW w:w="823" w:type="dxa"/>
            <w:tcBorders>
              <w:top w:val="single" w:sz="4" w:space="0" w:color="auto"/>
              <w:bottom w:val="single" w:sz="4" w:space="0" w:color="auto"/>
            </w:tcBorders>
            <w:vAlign w:val="center"/>
          </w:tcPr>
          <w:p w14:paraId="1892CC13" w14:textId="288967DB" w:rsidR="00BC18C0" w:rsidRDefault="00BC18C0" w:rsidP="00BC18C0">
            <w:pPr>
              <w:jc w:val="center"/>
              <w:rPr>
                <w:rFonts w:ascii="Arial Narrow" w:hAnsi="Arial Narrow"/>
                <w:sz w:val="18"/>
                <w:szCs w:val="18"/>
              </w:rPr>
            </w:pPr>
            <w:r>
              <w:rPr>
                <w:rFonts w:ascii="Arial Narrow" w:hAnsi="Arial Narrow"/>
                <w:sz w:val="18"/>
                <w:szCs w:val="18"/>
              </w:rPr>
              <w:t>-5,8</w:t>
            </w:r>
          </w:p>
        </w:tc>
        <w:tc>
          <w:tcPr>
            <w:tcW w:w="1317" w:type="dxa"/>
            <w:tcBorders>
              <w:top w:val="single" w:sz="4" w:space="0" w:color="auto"/>
              <w:bottom w:val="single" w:sz="4" w:space="0" w:color="auto"/>
            </w:tcBorders>
            <w:vAlign w:val="center"/>
          </w:tcPr>
          <w:p w14:paraId="52ABB018" w14:textId="5EA088A2" w:rsidR="00BC18C0" w:rsidRDefault="00BC18C0" w:rsidP="00BC18C0">
            <w:pPr>
              <w:jc w:val="center"/>
              <w:rPr>
                <w:rFonts w:ascii="Arial Narrow" w:hAnsi="Arial Narrow"/>
                <w:sz w:val="18"/>
                <w:szCs w:val="18"/>
              </w:rPr>
            </w:pPr>
            <w:r>
              <w:rPr>
                <w:rFonts w:ascii="Arial Narrow" w:hAnsi="Arial Narrow"/>
                <w:sz w:val="18"/>
                <w:szCs w:val="18"/>
              </w:rPr>
              <w:t>+2,9</w:t>
            </w:r>
          </w:p>
        </w:tc>
      </w:tr>
      <w:tr w:rsidR="00BC18C0" w:rsidRPr="008C0651" w14:paraId="3C81DF4C" w14:textId="77777777" w:rsidTr="00BC18C0">
        <w:trPr>
          <w:trHeight w:val="255"/>
        </w:trPr>
        <w:tc>
          <w:tcPr>
            <w:tcW w:w="1647" w:type="dxa"/>
            <w:tcBorders>
              <w:top w:val="single" w:sz="4" w:space="0" w:color="auto"/>
              <w:left w:val="nil"/>
              <w:bottom w:val="single" w:sz="4" w:space="0" w:color="auto"/>
            </w:tcBorders>
            <w:vAlign w:val="center"/>
          </w:tcPr>
          <w:p w14:paraId="5D9EF8C5" w14:textId="77777777" w:rsidR="00BC18C0" w:rsidRPr="00B076CD" w:rsidRDefault="00BC18C0" w:rsidP="00BC18C0">
            <w:pPr>
              <w:spacing w:before="40" w:after="20"/>
              <w:rPr>
                <w:rFonts w:ascii="Arial Narrow" w:hAnsi="Arial Narrow" w:cs="Arial"/>
                <w:sz w:val="18"/>
                <w:szCs w:val="18"/>
              </w:rPr>
            </w:pPr>
            <w:r w:rsidRPr="00B076CD">
              <w:rPr>
                <w:rFonts w:ascii="Arial Narrow" w:hAnsi="Arial Narrow" w:cs="Arial"/>
                <w:sz w:val="18"/>
                <w:szCs w:val="18"/>
              </w:rPr>
              <w:t>Totale al netto dell’energia</w:t>
            </w:r>
          </w:p>
        </w:tc>
        <w:tc>
          <w:tcPr>
            <w:tcW w:w="823" w:type="dxa"/>
            <w:tcBorders>
              <w:top w:val="single" w:sz="4" w:space="0" w:color="auto"/>
              <w:bottom w:val="single" w:sz="4" w:space="0" w:color="auto"/>
            </w:tcBorders>
            <w:shd w:val="clear" w:color="auto" w:fill="D9D9D9"/>
            <w:vAlign w:val="center"/>
          </w:tcPr>
          <w:p w14:paraId="36BA9261" w14:textId="43FED2A7" w:rsidR="00BC18C0" w:rsidRDefault="00BC18C0" w:rsidP="00BC18C0">
            <w:pPr>
              <w:jc w:val="center"/>
              <w:rPr>
                <w:rFonts w:ascii="Arial Narrow" w:hAnsi="Arial Narrow"/>
                <w:sz w:val="18"/>
                <w:szCs w:val="18"/>
              </w:rPr>
            </w:pPr>
            <w:r>
              <w:rPr>
                <w:rFonts w:ascii="Arial Narrow" w:hAnsi="Arial Narrow"/>
                <w:sz w:val="18"/>
                <w:szCs w:val="18"/>
              </w:rPr>
              <w:t>+19,6</w:t>
            </w:r>
          </w:p>
        </w:tc>
        <w:tc>
          <w:tcPr>
            <w:tcW w:w="1316" w:type="dxa"/>
            <w:tcBorders>
              <w:top w:val="single" w:sz="4" w:space="0" w:color="auto"/>
              <w:bottom w:val="single" w:sz="4" w:space="0" w:color="auto"/>
            </w:tcBorders>
            <w:shd w:val="clear" w:color="auto" w:fill="D9D9D9"/>
            <w:vAlign w:val="center"/>
          </w:tcPr>
          <w:p w14:paraId="2E8E73E6" w14:textId="48CF73F1" w:rsidR="00BC18C0" w:rsidRDefault="00BC18C0" w:rsidP="00BC18C0">
            <w:pPr>
              <w:jc w:val="center"/>
              <w:rPr>
                <w:rFonts w:ascii="Arial Narrow" w:hAnsi="Arial Narrow"/>
                <w:sz w:val="18"/>
                <w:szCs w:val="18"/>
              </w:rPr>
            </w:pPr>
            <w:r>
              <w:rPr>
                <w:rFonts w:ascii="Arial Narrow" w:hAnsi="Arial Narrow"/>
                <w:sz w:val="18"/>
                <w:szCs w:val="18"/>
              </w:rPr>
              <w:t>+18,1</w:t>
            </w:r>
          </w:p>
        </w:tc>
        <w:tc>
          <w:tcPr>
            <w:tcW w:w="823" w:type="dxa"/>
            <w:tcBorders>
              <w:top w:val="single" w:sz="4" w:space="0" w:color="auto"/>
              <w:bottom w:val="single" w:sz="4" w:space="0" w:color="auto"/>
            </w:tcBorders>
            <w:vAlign w:val="center"/>
          </w:tcPr>
          <w:p w14:paraId="2A00FE2C" w14:textId="615D683B" w:rsidR="00BC18C0" w:rsidRDefault="00BC18C0" w:rsidP="00BC18C0">
            <w:pPr>
              <w:jc w:val="center"/>
              <w:rPr>
                <w:rFonts w:ascii="Arial Narrow" w:hAnsi="Arial Narrow"/>
                <w:sz w:val="18"/>
                <w:szCs w:val="18"/>
              </w:rPr>
            </w:pPr>
            <w:r>
              <w:rPr>
                <w:rFonts w:ascii="Arial Narrow" w:hAnsi="Arial Narrow"/>
                <w:sz w:val="18"/>
                <w:szCs w:val="18"/>
              </w:rPr>
              <w:t>+16,1</w:t>
            </w:r>
          </w:p>
        </w:tc>
        <w:tc>
          <w:tcPr>
            <w:tcW w:w="1317" w:type="dxa"/>
            <w:tcBorders>
              <w:top w:val="single" w:sz="4" w:space="0" w:color="auto"/>
              <w:bottom w:val="single" w:sz="4" w:space="0" w:color="auto"/>
            </w:tcBorders>
            <w:vAlign w:val="center"/>
          </w:tcPr>
          <w:p w14:paraId="032399A2" w14:textId="2B969602" w:rsidR="00BC18C0" w:rsidRDefault="00BC18C0" w:rsidP="00BC18C0">
            <w:pPr>
              <w:jc w:val="center"/>
              <w:rPr>
                <w:rFonts w:ascii="Arial Narrow" w:hAnsi="Arial Narrow"/>
                <w:sz w:val="18"/>
                <w:szCs w:val="18"/>
              </w:rPr>
            </w:pPr>
            <w:r>
              <w:rPr>
                <w:rFonts w:ascii="Arial Narrow" w:hAnsi="Arial Narrow"/>
                <w:sz w:val="18"/>
                <w:szCs w:val="18"/>
              </w:rPr>
              <w:t>+20,5</w:t>
            </w:r>
          </w:p>
        </w:tc>
        <w:tc>
          <w:tcPr>
            <w:tcW w:w="823" w:type="dxa"/>
            <w:tcBorders>
              <w:top w:val="single" w:sz="4" w:space="0" w:color="auto"/>
              <w:bottom w:val="single" w:sz="4" w:space="0" w:color="auto"/>
            </w:tcBorders>
            <w:shd w:val="clear" w:color="auto" w:fill="D9D9D9"/>
            <w:vAlign w:val="center"/>
          </w:tcPr>
          <w:p w14:paraId="07C97F72" w14:textId="2E627012" w:rsidR="00BC18C0" w:rsidRDefault="00BC18C0" w:rsidP="00BC18C0">
            <w:pPr>
              <w:jc w:val="center"/>
              <w:rPr>
                <w:rFonts w:ascii="Arial Narrow" w:hAnsi="Arial Narrow"/>
                <w:sz w:val="18"/>
                <w:szCs w:val="18"/>
              </w:rPr>
            </w:pPr>
            <w:r>
              <w:rPr>
                <w:rFonts w:ascii="Arial Narrow" w:hAnsi="Arial Narrow"/>
                <w:sz w:val="18"/>
                <w:szCs w:val="18"/>
              </w:rPr>
              <w:t>-3,7</w:t>
            </w:r>
          </w:p>
        </w:tc>
        <w:tc>
          <w:tcPr>
            <w:tcW w:w="1317" w:type="dxa"/>
            <w:tcBorders>
              <w:top w:val="single" w:sz="4" w:space="0" w:color="auto"/>
              <w:bottom w:val="single" w:sz="4" w:space="0" w:color="auto"/>
            </w:tcBorders>
            <w:shd w:val="clear" w:color="auto" w:fill="D9D9D9"/>
            <w:vAlign w:val="center"/>
          </w:tcPr>
          <w:p w14:paraId="582AF69B" w14:textId="645E1F9C" w:rsidR="00BC18C0" w:rsidRDefault="00BC18C0" w:rsidP="00BC18C0">
            <w:pPr>
              <w:jc w:val="center"/>
              <w:rPr>
                <w:rFonts w:ascii="Arial Narrow" w:hAnsi="Arial Narrow"/>
                <w:sz w:val="18"/>
                <w:szCs w:val="18"/>
              </w:rPr>
            </w:pPr>
            <w:r>
              <w:rPr>
                <w:rFonts w:ascii="Arial Narrow" w:hAnsi="Arial Narrow"/>
                <w:sz w:val="18"/>
                <w:szCs w:val="18"/>
              </w:rPr>
              <w:t>+0,2</w:t>
            </w:r>
          </w:p>
        </w:tc>
        <w:tc>
          <w:tcPr>
            <w:tcW w:w="823" w:type="dxa"/>
            <w:tcBorders>
              <w:top w:val="single" w:sz="4" w:space="0" w:color="auto"/>
              <w:bottom w:val="single" w:sz="4" w:space="0" w:color="auto"/>
            </w:tcBorders>
            <w:vAlign w:val="center"/>
          </w:tcPr>
          <w:p w14:paraId="03438001" w14:textId="46975AC4" w:rsidR="00BC18C0" w:rsidRDefault="00BC18C0" w:rsidP="00BC18C0">
            <w:pPr>
              <w:jc w:val="center"/>
              <w:rPr>
                <w:rFonts w:ascii="Arial Narrow" w:hAnsi="Arial Narrow"/>
                <w:sz w:val="18"/>
                <w:szCs w:val="18"/>
              </w:rPr>
            </w:pPr>
            <w:r>
              <w:rPr>
                <w:rFonts w:ascii="Arial Narrow" w:hAnsi="Arial Narrow"/>
                <w:sz w:val="18"/>
                <w:szCs w:val="18"/>
              </w:rPr>
              <w:t>+5,4</w:t>
            </w:r>
          </w:p>
        </w:tc>
        <w:tc>
          <w:tcPr>
            <w:tcW w:w="1317" w:type="dxa"/>
            <w:tcBorders>
              <w:top w:val="single" w:sz="4" w:space="0" w:color="auto"/>
              <w:bottom w:val="single" w:sz="4" w:space="0" w:color="auto"/>
            </w:tcBorders>
            <w:vAlign w:val="center"/>
          </w:tcPr>
          <w:p w14:paraId="4F92598A" w14:textId="0F172BAE" w:rsidR="00BC18C0" w:rsidRDefault="00BC18C0" w:rsidP="00BC18C0">
            <w:pPr>
              <w:jc w:val="center"/>
              <w:rPr>
                <w:rFonts w:ascii="Arial Narrow" w:hAnsi="Arial Narrow"/>
                <w:sz w:val="18"/>
                <w:szCs w:val="18"/>
              </w:rPr>
            </w:pPr>
            <w:r>
              <w:rPr>
                <w:rFonts w:ascii="Arial Narrow" w:hAnsi="Arial Narrow"/>
                <w:sz w:val="18"/>
                <w:szCs w:val="18"/>
              </w:rPr>
              <w:t>+5,2</w:t>
            </w:r>
          </w:p>
        </w:tc>
      </w:tr>
      <w:tr w:rsidR="00BC18C0" w:rsidRPr="002662C0" w14:paraId="34545F88" w14:textId="77777777" w:rsidTr="00BC18C0">
        <w:trPr>
          <w:trHeight w:val="255"/>
        </w:trPr>
        <w:tc>
          <w:tcPr>
            <w:tcW w:w="1647" w:type="dxa"/>
            <w:tcBorders>
              <w:top w:val="single" w:sz="4" w:space="0" w:color="auto"/>
              <w:left w:val="nil"/>
              <w:bottom w:val="single" w:sz="4" w:space="0" w:color="auto"/>
            </w:tcBorders>
            <w:shd w:val="clear" w:color="auto" w:fill="FF0000"/>
            <w:vAlign w:val="center"/>
          </w:tcPr>
          <w:p w14:paraId="5D60411F" w14:textId="77777777" w:rsidR="00BC18C0" w:rsidRPr="002662C0" w:rsidRDefault="00BC18C0" w:rsidP="00BC18C0">
            <w:pPr>
              <w:spacing w:before="40" w:after="20"/>
              <w:rPr>
                <w:rFonts w:ascii="Arial Narrow" w:hAnsi="Arial Narrow" w:cs="Arial"/>
                <w:b/>
                <w:color w:val="FFFFFF" w:themeColor="background1"/>
                <w:sz w:val="18"/>
                <w:szCs w:val="18"/>
              </w:rPr>
            </w:pPr>
            <w:r w:rsidRPr="002662C0">
              <w:rPr>
                <w:rFonts w:ascii="Arial Narrow" w:hAnsi="Arial Narrow" w:cs="Arial"/>
                <w:b/>
                <w:color w:val="FFFFFF" w:themeColor="background1"/>
                <w:sz w:val="18"/>
                <w:szCs w:val="18"/>
              </w:rPr>
              <w:t>Totale</w:t>
            </w:r>
          </w:p>
        </w:tc>
        <w:tc>
          <w:tcPr>
            <w:tcW w:w="823" w:type="dxa"/>
            <w:tcBorders>
              <w:top w:val="single" w:sz="4" w:space="0" w:color="auto"/>
              <w:bottom w:val="single" w:sz="4" w:space="0" w:color="auto"/>
            </w:tcBorders>
            <w:shd w:val="clear" w:color="auto" w:fill="FF0000"/>
            <w:vAlign w:val="center"/>
          </w:tcPr>
          <w:p w14:paraId="50AF2C49" w14:textId="41BF0C0D"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+20,8</w:t>
            </w:r>
          </w:p>
        </w:tc>
        <w:tc>
          <w:tcPr>
            <w:tcW w:w="1316" w:type="dxa"/>
            <w:tcBorders>
              <w:top w:val="single" w:sz="4" w:space="0" w:color="auto"/>
              <w:bottom w:val="single" w:sz="4" w:space="0" w:color="auto"/>
            </w:tcBorders>
            <w:shd w:val="clear" w:color="auto" w:fill="FF0000"/>
            <w:vAlign w:val="center"/>
          </w:tcPr>
          <w:p w14:paraId="6B42C72E" w14:textId="3FACD93C"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+20,4</w:t>
            </w:r>
          </w:p>
        </w:tc>
        <w:tc>
          <w:tcPr>
            <w:tcW w:w="823" w:type="dxa"/>
            <w:tcBorders>
              <w:top w:val="single" w:sz="4" w:space="0" w:color="auto"/>
              <w:bottom w:val="single" w:sz="4" w:space="0" w:color="auto"/>
            </w:tcBorders>
            <w:shd w:val="clear" w:color="auto" w:fill="FF0000"/>
            <w:vAlign w:val="center"/>
          </w:tcPr>
          <w:p w14:paraId="7BE027AB" w14:textId="33D544C6"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+27,5</w:t>
            </w:r>
          </w:p>
        </w:tc>
        <w:tc>
          <w:tcPr>
            <w:tcW w:w="1317" w:type="dxa"/>
            <w:tcBorders>
              <w:top w:val="single" w:sz="4" w:space="0" w:color="auto"/>
              <w:bottom w:val="single" w:sz="4" w:space="0" w:color="auto"/>
            </w:tcBorders>
            <w:shd w:val="clear" w:color="auto" w:fill="FF0000"/>
            <w:vAlign w:val="center"/>
          </w:tcPr>
          <w:p w14:paraId="615EC3FB" w14:textId="28D08575"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+40,1</w:t>
            </w:r>
          </w:p>
        </w:tc>
        <w:tc>
          <w:tcPr>
            <w:tcW w:w="823" w:type="dxa"/>
            <w:tcBorders>
              <w:top w:val="single" w:sz="4" w:space="0" w:color="auto"/>
              <w:bottom w:val="single" w:sz="4" w:space="0" w:color="auto"/>
            </w:tcBorders>
            <w:shd w:val="clear" w:color="auto" w:fill="FF0000"/>
            <w:vAlign w:val="center"/>
          </w:tcPr>
          <w:p w14:paraId="0B914D94" w14:textId="303A2CE9"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-2,7</w:t>
            </w:r>
          </w:p>
        </w:tc>
        <w:tc>
          <w:tcPr>
            <w:tcW w:w="1317" w:type="dxa"/>
            <w:tcBorders>
              <w:top w:val="single" w:sz="4" w:space="0" w:color="auto"/>
              <w:bottom w:val="single" w:sz="4" w:space="0" w:color="auto"/>
            </w:tcBorders>
            <w:shd w:val="clear" w:color="auto" w:fill="FF0000"/>
            <w:vAlign w:val="center"/>
          </w:tcPr>
          <w:p w14:paraId="6059CEA0" w14:textId="340B25A1"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+0,3</w:t>
            </w:r>
          </w:p>
        </w:tc>
        <w:tc>
          <w:tcPr>
            <w:tcW w:w="823" w:type="dxa"/>
            <w:tcBorders>
              <w:top w:val="single" w:sz="4" w:space="0" w:color="auto"/>
              <w:bottom w:val="single" w:sz="4" w:space="0" w:color="auto"/>
            </w:tcBorders>
            <w:shd w:val="clear" w:color="auto" w:fill="FF0000"/>
            <w:vAlign w:val="center"/>
          </w:tcPr>
          <w:p w14:paraId="7058C23D" w14:textId="24C3FD90"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+0,6</w:t>
            </w:r>
          </w:p>
        </w:tc>
        <w:tc>
          <w:tcPr>
            <w:tcW w:w="1317" w:type="dxa"/>
            <w:tcBorders>
              <w:top w:val="single" w:sz="4" w:space="0" w:color="auto"/>
              <w:bottom w:val="single" w:sz="4" w:space="0" w:color="auto"/>
            </w:tcBorders>
            <w:shd w:val="clear" w:color="auto" w:fill="FF0000"/>
            <w:vAlign w:val="center"/>
          </w:tcPr>
          <w:p w14:paraId="18209081" w14:textId="631DC129" w:rsidR="00BC18C0" w:rsidRPr="00BC18C0" w:rsidRDefault="00BC18C0" w:rsidP="00BC18C0">
            <w:pPr>
              <w:jc w:val="center"/>
              <w:rPr>
                <w:rFonts w:ascii="Arial Narrow" w:hAnsi="Arial Narrow"/>
                <w:b/>
                <w:color w:val="FFFFFF" w:themeColor="background1"/>
                <w:sz w:val="18"/>
                <w:szCs w:val="18"/>
              </w:rPr>
            </w:pPr>
            <w:r w:rsidRPr="00BC18C0">
              <w:rPr>
                <w:rFonts w:ascii="Arial Narrow" w:hAnsi="Arial Narrow"/>
                <w:b/>
                <w:color w:val="FFFFFF" w:themeColor="background1"/>
                <w:sz w:val="18"/>
                <w:szCs w:val="18"/>
              </w:rPr>
              <w:t>+1,2</w:t>
            </w:r>
          </w:p>
        </w:tc>
      </w:tr>
    </w:tbl>
    <w:p w14:paraId="20693870" w14:textId="31C945EF" w:rsidR="002B3371" w:rsidRPr="009960AB" w:rsidRDefault="004F2DC7" w:rsidP="00870A39">
      <w:pPr>
        <w:pStyle w:val="Corpotesto1"/>
        <w:spacing w:before="120"/>
        <w:rPr>
          <w:rFonts w:ascii="Arial" w:hAnsi="Arial"/>
          <w:b w:val="0"/>
          <w:kern w:val="28"/>
          <w:sz w:val="21"/>
          <w:szCs w:val="21"/>
          <w:lang w:val="it-IT" w:eastAsia="it-IT"/>
        </w:rPr>
      </w:pPr>
      <w:r w:rsidRPr="00C572CB">
        <w:rPr>
          <w:rFonts w:ascii="Arial" w:hAnsi="Arial"/>
          <w:b w:val="0"/>
          <w:kern w:val="28"/>
          <w:sz w:val="21"/>
          <w:szCs w:val="21"/>
          <w:lang w:val="it-IT" w:eastAsia="it-IT"/>
        </w:rPr>
        <w:t xml:space="preserve">L’export registra un aumento tendenziale dei valori medi unitari con incrementi di analoga entità verso </w:t>
      </w:r>
      <w:r w:rsidR="00377094" w:rsidRPr="00C572CB">
        <w:rPr>
          <w:rFonts w:ascii="Arial" w:hAnsi="Arial"/>
          <w:b w:val="0"/>
          <w:kern w:val="28"/>
          <w:sz w:val="21"/>
          <w:szCs w:val="21"/>
          <w:lang w:val="it-IT" w:eastAsia="it-IT"/>
        </w:rPr>
        <w:t>ambedue</w:t>
      </w:r>
      <w:r w:rsidRPr="00C572CB">
        <w:rPr>
          <w:rFonts w:ascii="Arial" w:hAnsi="Arial"/>
          <w:b w:val="0"/>
          <w:kern w:val="28"/>
          <w:sz w:val="21"/>
          <w:szCs w:val="21"/>
          <w:lang w:val="it-IT" w:eastAsia="it-IT"/>
        </w:rPr>
        <w:t xml:space="preserve"> i principali mercati di sbocco, Ue (+20,7%) ed extra Ue (+20,9%); </w:t>
      </w:r>
      <w:r w:rsidR="00A67E4C" w:rsidRPr="00C572CB">
        <w:rPr>
          <w:rFonts w:ascii="Arial" w:hAnsi="Arial"/>
          <w:b w:val="0"/>
          <w:kern w:val="28"/>
          <w:sz w:val="21"/>
          <w:szCs w:val="21"/>
          <w:lang w:val="it-IT" w:eastAsia="it-IT"/>
        </w:rPr>
        <w:t xml:space="preserve">per l’import, pur </w:t>
      </w:r>
      <w:r w:rsidR="0020342C">
        <w:rPr>
          <w:rFonts w:ascii="Arial" w:hAnsi="Arial"/>
          <w:b w:val="0"/>
          <w:kern w:val="28"/>
          <w:sz w:val="21"/>
          <w:szCs w:val="21"/>
          <w:lang w:val="it-IT" w:eastAsia="it-IT"/>
        </w:rPr>
        <w:t>riguardando</w:t>
      </w:r>
      <w:r w:rsidR="00A67E4C" w:rsidRPr="00C572CB">
        <w:rPr>
          <w:rFonts w:ascii="Arial" w:hAnsi="Arial"/>
          <w:b w:val="0"/>
          <w:kern w:val="28"/>
          <w:sz w:val="21"/>
          <w:szCs w:val="21"/>
          <w:lang w:val="it-IT" w:eastAsia="it-IT"/>
        </w:rPr>
        <w:t xml:space="preserve"> entrambi i mercati, l’aumento è molto più</w:t>
      </w:r>
      <w:r w:rsidR="0020342C">
        <w:rPr>
          <w:rFonts w:ascii="Arial" w:hAnsi="Arial"/>
          <w:b w:val="0"/>
          <w:kern w:val="28"/>
          <w:sz w:val="21"/>
          <w:szCs w:val="21"/>
          <w:lang w:val="it-IT" w:eastAsia="it-IT"/>
        </w:rPr>
        <w:t xml:space="preserve"> elevato</w:t>
      </w:r>
      <w:r w:rsidR="00A67E4C" w:rsidRPr="00C572CB">
        <w:rPr>
          <w:rFonts w:ascii="Arial" w:hAnsi="Arial"/>
          <w:b w:val="0"/>
          <w:kern w:val="28"/>
          <w:sz w:val="21"/>
          <w:szCs w:val="21"/>
          <w:lang w:val="it-IT" w:eastAsia="it-IT"/>
        </w:rPr>
        <w:t xml:space="preserve"> per gli acquisti dai paesi extra Ue (+39,8%). La crescita su base annua dei valori medi unitari dei prodotti energetici, </w:t>
      </w:r>
      <w:r w:rsidR="00541190">
        <w:rPr>
          <w:rFonts w:ascii="Arial" w:hAnsi="Arial"/>
          <w:b w:val="0"/>
          <w:kern w:val="28"/>
          <w:sz w:val="21"/>
          <w:szCs w:val="21"/>
          <w:lang w:val="it-IT" w:eastAsia="it-IT"/>
        </w:rPr>
        <w:t xml:space="preserve">ancora </w:t>
      </w:r>
      <w:r w:rsidR="00A67E4C" w:rsidRPr="00C572CB">
        <w:rPr>
          <w:rFonts w:ascii="Arial" w:hAnsi="Arial"/>
          <w:b w:val="0"/>
          <w:kern w:val="28"/>
          <w:sz w:val="21"/>
          <w:szCs w:val="21"/>
          <w:lang w:val="it-IT" w:eastAsia="it-IT"/>
        </w:rPr>
        <w:t>molto sostenuta sia all’export (+41,8%) sia all’import (+67,1%)</w:t>
      </w:r>
      <w:r w:rsidR="00541190">
        <w:rPr>
          <w:rFonts w:ascii="Arial" w:hAnsi="Arial"/>
          <w:b w:val="0"/>
          <w:kern w:val="28"/>
          <w:sz w:val="21"/>
          <w:szCs w:val="21"/>
          <w:lang w:val="it-IT" w:eastAsia="it-IT"/>
        </w:rPr>
        <w:t>, è in netto rallentamento</w:t>
      </w:r>
      <w:r w:rsidR="00A67E4C" w:rsidRPr="00C572CB">
        <w:rPr>
          <w:rFonts w:ascii="Arial" w:hAnsi="Arial"/>
          <w:b w:val="0"/>
          <w:kern w:val="28"/>
          <w:sz w:val="21"/>
          <w:szCs w:val="21"/>
          <w:lang w:val="it-IT" w:eastAsia="it-IT"/>
        </w:rPr>
        <w:t>.</w:t>
      </w:r>
    </w:p>
    <w:p w14:paraId="09A486A4" w14:textId="49965B6A" w:rsidR="002B3BA3" w:rsidRPr="007801C1" w:rsidRDefault="00B13FB7" w:rsidP="001A424B">
      <w:pPr>
        <w:pStyle w:val="Rientrocorpodeltesto"/>
        <w:spacing w:before="240"/>
        <w:ind w:left="0" w:right="84"/>
        <w:rPr>
          <w:rFonts w:ascii="Calibri" w:hAnsi="Calibri" w:cs="Calibri"/>
          <w:color w:val="E42618"/>
          <w:sz w:val="36"/>
          <w:szCs w:val="36"/>
        </w:rPr>
      </w:pPr>
      <w:r w:rsidRPr="007801C1">
        <w:rPr>
          <w:rFonts w:ascii="Calibri" w:hAnsi="Calibri" w:cs="Calibri"/>
          <w:color w:val="E42618"/>
          <w:sz w:val="36"/>
          <w:szCs w:val="36"/>
        </w:rPr>
        <w:lastRenderedPageBreak/>
        <w:t>Prezzi all’importazione</w:t>
      </w:r>
    </w:p>
    <w:p w14:paraId="07CDF0DD" w14:textId="77777777" w:rsidR="00147CB5" w:rsidRPr="007801C1" w:rsidRDefault="002B3BA3" w:rsidP="00147CB5">
      <w:pPr>
        <w:jc w:val="both"/>
        <w:rPr>
          <w:rFonts w:ascii="Arial Narrow" w:hAnsi="Arial Narrow" w:cs="Arial"/>
          <w:b/>
          <w:color w:val="5F5F5F"/>
          <w:sz w:val="22"/>
          <w:szCs w:val="22"/>
        </w:rPr>
      </w:pPr>
      <w:r w:rsidRPr="007801C1">
        <w:rPr>
          <w:rFonts w:ascii="Arial Narrow" w:hAnsi="Arial Narrow" w:cs="Arial"/>
          <w:b/>
          <w:color w:val="E42618"/>
          <w:sz w:val="22"/>
          <w:szCs w:val="22"/>
        </w:rPr>
        <w:t xml:space="preserve">PROSPETTO </w:t>
      </w:r>
      <w:r w:rsidR="00B076CD" w:rsidRPr="007801C1">
        <w:rPr>
          <w:rFonts w:ascii="Arial Narrow" w:hAnsi="Arial Narrow" w:cs="Arial"/>
          <w:b/>
          <w:color w:val="E42618"/>
          <w:sz w:val="22"/>
          <w:szCs w:val="22"/>
        </w:rPr>
        <w:t>5</w:t>
      </w:r>
      <w:r w:rsidRPr="007801C1">
        <w:rPr>
          <w:rFonts w:ascii="Arial Narrow" w:hAnsi="Arial Narrow" w:cs="Arial"/>
          <w:b/>
          <w:color w:val="E42618"/>
          <w:sz w:val="22"/>
          <w:szCs w:val="22"/>
        </w:rPr>
        <w:t>.</w:t>
      </w:r>
      <w:r w:rsidRPr="007801C1">
        <w:rPr>
          <w:rFonts w:ascii="Arial Narrow" w:hAnsi="Arial Narrow" w:cs="Arial"/>
          <w:b/>
          <w:color w:val="5F5F5F"/>
        </w:rPr>
        <w:t xml:space="preserve"> </w:t>
      </w:r>
      <w:r w:rsidRPr="007801C1">
        <w:rPr>
          <w:rFonts w:ascii="Arial Narrow" w:hAnsi="Arial Narrow" w:cs="Arial"/>
          <w:b/>
          <w:color w:val="5F5F5F"/>
          <w:sz w:val="22"/>
          <w:szCs w:val="22"/>
        </w:rPr>
        <w:t>INDICI DEI PREZZI ALL’IMPORTAZIONE PER RAGGRUPPAMENTO PRINCIPALE DI INDUSTRIE</w:t>
      </w:r>
    </w:p>
    <w:p w14:paraId="029DF301" w14:textId="586DB01D" w:rsidR="00537BEB" w:rsidRDefault="00024474" w:rsidP="00537BEB">
      <w:pPr>
        <w:pStyle w:val="Corpodeltesto1"/>
        <w:spacing w:after="12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Ottobre</w:t>
      </w:r>
      <w:r w:rsidR="00127273" w:rsidRPr="007801C1">
        <w:rPr>
          <w:rFonts w:ascii="Arial Narrow" w:hAnsi="Arial Narrow" w:cs="Arial"/>
          <w:b w:val="0"/>
          <w:color w:val="5F5F5F"/>
          <w:kern w:val="28"/>
          <w:sz w:val="20"/>
          <w:szCs w:val="20"/>
        </w:rPr>
        <w:t xml:space="preserve"> 2022</w:t>
      </w:r>
      <w:r w:rsidR="00537BEB" w:rsidRPr="007801C1">
        <w:rPr>
          <w:rFonts w:ascii="Arial Narrow" w:hAnsi="Arial Narrow" w:cs="Arial"/>
          <w:b w:val="0"/>
          <w:color w:val="5F5F5F"/>
          <w:kern w:val="28"/>
          <w:sz w:val="20"/>
          <w:szCs w:val="20"/>
        </w:rPr>
        <w:t>, variazioni percentuali congiunturali e tendenziali (base 2015=100)</w:t>
      </w:r>
    </w:p>
    <w:tbl>
      <w:tblPr>
        <w:tblW w:w="10206" w:type="dxa"/>
        <w:tblBorders>
          <w:top w:val="single" w:sz="4" w:space="0" w:color="333333"/>
          <w:bottom w:val="single" w:sz="4" w:space="0" w:color="333333"/>
          <w:insideH w:val="single" w:sz="4" w:space="0" w:color="333333"/>
        </w:tblBorders>
        <w:tblLayout w:type="fixed"/>
        <w:tblCellMar>
          <w:left w:w="68" w:type="dxa"/>
          <w:right w:w="68" w:type="dxa"/>
        </w:tblCellMar>
        <w:tblLook w:val="0000" w:firstRow="0" w:lastRow="0" w:firstColumn="0" w:lastColumn="0" w:noHBand="0" w:noVBand="0"/>
      </w:tblPr>
      <w:tblGrid>
        <w:gridCol w:w="2317"/>
        <w:gridCol w:w="1157"/>
        <w:gridCol w:w="1334"/>
        <w:gridCol w:w="1346"/>
        <w:gridCol w:w="1349"/>
        <w:gridCol w:w="1345"/>
        <w:gridCol w:w="1346"/>
        <w:gridCol w:w="12"/>
      </w:tblGrid>
      <w:tr w:rsidR="00A84F05" w:rsidRPr="005E4472" w14:paraId="7414EFA2" w14:textId="77777777" w:rsidTr="007815EF">
        <w:trPr>
          <w:cantSplit/>
          <w:trHeight w:val="255"/>
        </w:trPr>
        <w:tc>
          <w:tcPr>
            <w:tcW w:w="2317" w:type="dxa"/>
            <w:vMerge w:val="restart"/>
            <w:shd w:val="clear" w:color="auto" w:fill="auto"/>
            <w:tcMar>
              <w:left w:w="0" w:type="dxa"/>
              <w:right w:w="0" w:type="dxa"/>
            </w:tcMar>
            <w:vAlign w:val="center"/>
          </w:tcPr>
          <w:p w14:paraId="0901ECAC" w14:textId="77777777" w:rsidR="00A84F05" w:rsidRPr="005E4472" w:rsidRDefault="00A84F05" w:rsidP="007815EF">
            <w:pPr>
              <w:tabs>
                <w:tab w:val="left" w:pos="-4253"/>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rPr>
                <w:rFonts w:ascii="Arial Narrow" w:hAnsi="Arial Narrow" w:cs="Arial"/>
                <w:b/>
                <w:sz w:val="18"/>
                <w:szCs w:val="18"/>
              </w:rPr>
            </w:pPr>
            <w:r w:rsidRPr="005E4472">
              <w:rPr>
                <w:rFonts w:ascii="Arial Narrow" w:hAnsi="Arial Narrow" w:cs="Arial"/>
                <w:b/>
                <w:sz w:val="18"/>
                <w:szCs w:val="18"/>
              </w:rPr>
              <w:t xml:space="preserve">RAGGRUPPAMENTI </w:t>
            </w:r>
            <w:r>
              <w:rPr>
                <w:rFonts w:ascii="Arial Narrow" w:hAnsi="Arial Narrow" w:cs="Arial"/>
                <w:b/>
                <w:sz w:val="18"/>
                <w:szCs w:val="18"/>
              </w:rPr>
              <w:br/>
            </w:r>
            <w:r w:rsidRPr="005E4472">
              <w:rPr>
                <w:rFonts w:ascii="Arial Narrow" w:hAnsi="Arial Narrow" w:cs="Arial"/>
                <w:b/>
                <w:sz w:val="18"/>
                <w:szCs w:val="18"/>
              </w:rPr>
              <w:t>PRINCIPALI DI INDUSTRIE</w:t>
            </w:r>
          </w:p>
        </w:tc>
        <w:tc>
          <w:tcPr>
            <w:tcW w:w="2491" w:type="dxa"/>
            <w:gridSpan w:val="2"/>
            <w:shd w:val="clear" w:color="auto" w:fill="D9D9D9"/>
            <w:tcMar>
              <w:left w:w="0" w:type="dxa"/>
              <w:right w:w="0" w:type="dxa"/>
            </w:tcMar>
            <w:vAlign w:val="center"/>
          </w:tcPr>
          <w:p w14:paraId="29E12687"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sidRPr="005E4472">
              <w:rPr>
                <w:rFonts w:ascii="Arial Narrow" w:hAnsi="Arial Narrow" w:cs="Arial"/>
                <w:b/>
                <w:sz w:val="18"/>
                <w:szCs w:val="18"/>
              </w:rPr>
              <w:t>Totale</w:t>
            </w:r>
          </w:p>
        </w:tc>
        <w:tc>
          <w:tcPr>
            <w:tcW w:w="2695" w:type="dxa"/>
            <w:gridSpan w:val="2"/>
            <w:shd w:val="clear" w:color="auto" w:fill="auto"/>
            <w:vAlign w:val="center"/>
          </w:tcPr>
          <w:p w14:paraId="3D8FCAAE"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euro</w:t>
            </w:r>
          </w:p>
        </w:tc>
        <w:tc>
          <w:tcPr>
            <w:tcW w:w="2703" w:type="dxa"/>
            <w:gridSpan w:val="3"/>
            <w:shd w:val="clear" w:color="auto" w:fill="D9D9D9"/>
            <w:tcMar>
              <w:left w:w="0" w:type="dxa"/>
              <w:right w:w="0" w:type="dxa"/>
            </w:tcMar>
            <w:vAlign w:val="center"/>
          </w:tcPr>
          <w:p w14:paraId="505F538C" w14:textId="77777777" w:rsidR="00A84F05" w:rsidRPr="005E4472" w:rsidRDefault="00A84F05" w:rsidP="007815EF">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non euro</w:t>
            </w:r>
          </w:p>
        </w:tc>
      </w:tr>
      <w:tr w:rsidR="00A84F05" w:rsidRPr="005E4472" w14:paraId="40DD1C61" w14:textId="77777777" w:rsidTr="007815EF">
        <w:trPr>
          <w:gridAfter w:val="1"/>
          <w:wAfter w:w="12" w:type="dxa"/>
          <w:cantSplit/>
          <w:trHeight w:val="255"/>
        </w:trPr>
        <w:tc>
          <w:tcPr>
            <w:tcW w:w="2317" w:type="dxa"/>
            <w:vMerge/>
            <w:shd w:val="clear" w:color="auto" w:fill="auto"/>
            <w:vAlign w:val="center"/>
          </w:tcPr>
          <w:p w14:paraId="623A0885" w14:textId="77777777" w:rsidR="00A84F05" w:rsidRPr="005E4472" w:rsidRDefault="00A84F05" w:rsidP="007815EF">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FFFFFF"/>
            <w:vAlign w:val="center"/>
          </w:tcPr>
          <w:p w14:paraId="6765BB18"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44C76D52"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34" w:type="dxa"/>
            <w:shd w:val="clear" w:color="auto" w:fill="FFFFFF"/>
            <w:vAlign w:val="center"/>
          </w:tcPr>
          <w:p w14:paraId="31B9C851"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3F46A9FC" w14:textId="7C4FBDE8" w:rsidR="00A84F05" w:rsidRPr="00BA36DD" w:rsidRDefault="008A2ECE" w:rsidP="007815EF">
            <w:pPr>
              <w:spacing w:before="40" w:after="20"/>
              <w:jc w:val="center"/>
              <w:rPr>
                <w:rFonts w:ascii="Arial Narrow" w:hAnsi="Arial Narrow"/>
                <w:sz w:val="18"/>
                <w:szCs w:val="18"/>
              </w:rPr>
            </w:pPr>
            <w:r>
              <w:rPr>
                <w:rFonts w:ascii="Arial Narrow" w:hAnsi="Arial Narrow"/>
                <w:sz w:val="18"/>
                <w:szCs w:val="18"/>
              </w:rPr>
              <w:t>T</w:t>
            </w:r>
            <w:r w:rsidR="00A84F05" w:rsidRPr="00BA36DD">
              <w:rPr>
                <w:rFonts w:ascii="Arial Narrow" w:hAnsi="Arial Narrow"/>
                <w:sz w:val="18"/>
                <w:szCs w:val="18"/>
              </w:rPr>
              <w:t>endenziali</w:t>
            </w:r>
          </w:p>
        </w:tc>
        <w:tc>
          <w:tcPr>
            <w:tcW w:w="1346" w:type="dxa"/>
            <w:shd w:val="clear" w:color="auto" w:fill="FFFFFF"/>
            <w:vAlign w:val="center"/>
          </w:tcPr>
          <w:p w14:paraId="14F40B3B"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715F9260"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9" w:type="dxa"/>
            <w:shd w:val="clear" w:color="auto" w:fill="FFFFFF"/>
            <w:vAlign w:val="center"/>
          </w:tcPr>
          <w:p w14:paraId="7A7F52B3"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0194978A"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c>
          <w:tcPr>
            <w:tcW w:w="1345" w:type="dxa"/>
            <w:shd w:val="clear" w:color="auto" w:fill="FFFFFF"/>
            <w:vAlign w:val="center"/>
          </w:tcPr>
          <w:p w14:paraId="3C863C02"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04B8FF62"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Pr>
                <w:rFonts w:ascii="Arial Narrow" w:hAnsi="Arial Narrow"/>
                <w:sz w:val="18"/>
                <w:szCs w:val="18"/>
              </w:rPr>
              <w:t>r</w:t>
            </w:r>
            <w:r w:rsidRPr="00BA36DD">
              <w:rPr>
                <w:rFonts w:ascii="Arial Narrow" w:hAnsi="Arial Narrow"/>
                <w:sz w:val="18"/>
                <w:szCs w:val="18"/>
              </w:rPr>
              <w:t>ali</w:t>
            </w:r>
          </w:p>
        </w:tc>
        <w:tc>
          <w:tcPr>
            <w:tcW w:w="1346" w:type="dxa"/>
            <w:shd w:val="clear" w:color="auto" w:fill="FFFFFF"/>
            <w:vAlign w:val="center"/>
          </w:tcPr>
          <w:p w14:paraId="482A0BB2" w14:textId="77777777" w:rsidR="00A84F05" w:rsidRDefault="00A84F05" w:rsidP="007815EF">
            <w:pPr>
              <w:spacing w:before="40" w:after="20"/>
              <w:jc w:val="center"/>
              <w:rPr>
                <w:rFonts w:ascii="Arial Narrow" w:hAnsi="Arial Narrow"/>
                <w:sz w:val="18"/>
                <w:szCs w:val="18"/>
              </w:rPr>
            </w:pPr>
            <w:r>
              <w:rPr>
                <w:rFonts w:ascii="Arial Narrow" w:hAnsi="Arial Narrow"/>
                <w:sz w:val="18"/>
                <w:szCs w:val="18"/>
              </w:rPr>
              <w:t>Variazioni</w:t>
            </w:r>
          </w:p>
          <w:p w14:paraId="100F953E" w14:textId="77777777" w:rsidR="00A84F05" w:rsidRPr="00BA36DD" w:rsidRDefault="00A84F05" w:rsidP="007815EF">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r>
      <w:tr w:rsidR="00271F9E" w:rsidRPr="005E4472" w14:paraId="644A4192" w14:textId="77777777" w:rsidTr="007815EF">
        <w:trPr>
          <w:gridAfter w:val="1"/>
          <w:wAfter w:w="12" w:type="dxa"/>
          <w:cantSplit/>
          <w:trHeight w:val="255"/>
        </w:trPr>
        <w:tc>
          <w:tcPr>
            <w:tcW w:w="2317" w:type="dxa"/>
            <w:vMerge/>
            <w:shd w:val="clear" w:color="auto" w:fill="auto"/>
            <w:vAlign w:val="center"/>
          </w:tcPr>
          <w:p w14:paraId="7D967932" w14:textId="77777777" w:rsidR="00271F9E" w:rsidRPr="005E4472" w:rsidRDefault="00271F9E" w:rsidP="00271F9E">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D9D9D9"/>
            <w:vAlign w:val="center"/>
          </w:tcPr>
          <w:p w14:paraId="10B469B4" w14:textId="11FB33D0" w:rsidR="00271F9E" w:rsidRPr="0069402A" w:rsidRDefault="00024474"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w:t>
            </w:r>
            <w:r w:rsidR="00271F9E">
              <w:rPr>
                <w:rFonts w:ascii="Arial Narrow" w:hAnsi="Arial Narrow"/>
                <w:sz w:val="18"/>
                <w:szCs w:val="18"/>
                <w:u w:val="single"/>
                <w:lang w:val="en-US"/>
              </w:rPr>
              <w:t xml:space="preserve"> 22</w:t>
            </w:r>
          </w:p>
          <w:p w14:paraId="7447DFA6" w14:textId="3F13D031" w:rsidR="00271F9E" w:rsidRPr="00BA36DD" w:rsidRDefault="00024474" w:rsidP="00271F9E">
            <w:pPr>
              <w:spacing w:before="40" w:after="20"/>
              <w:jc w:val="center"/>
              <w:rPr>
                <w:rFonts w:ascii="Arial Narrow" w:hAnsi="Arial Narrow"/>
                <w:sz w:val="18"/>
                <w:szCs w:val="18"/>
              </w:rPr>
            </w:pPr>
            <w:r>
              <w:rPr>
                <w:rFonts w:ascii="Arial Narrow" w:hAnsi="Arial Narrow"/>
                <w:sz w:val="18"/>
                <w:szCs w:val="18"/>
                <w:lang w:val="en-US"/>
              </w:rPr>
              <w:t>set</w:t>
            </w:r>
            <w:r w:rsidR="00271F9E">
              <w:rPr>
                <w:rFonts w:ascii="Arial Narrow" w:hAnsi="Arial Narrow"/>
                <w:sz w:val="18"/>
                <w:szCs w:val="18"/>
                <w:lang w:val="en-US"/>
              </w:rPr>
              <w:t xml:space="preserve"> 22</w:t>
            </w:r>
          </w:p>
        </w:tc>
        <w:tc>
          <w:tcPr>
            <w:tcW w:w="1334" w:type="dxa"/>
            <w:shd w:val="clear" w:color="auto" w:fill="FFFFFF"/>
            <w:vAlign w:val="center"/>
          </w:tcPr>
          <w:p w14:paraId="045BEB87" w14:textId="06BBBFCF" w:rsidR="00271F9E" w:rsidRPr="0069402A" w:rsidRDefault="00024474"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w:t>
            </w:r>
            <w:r w:rsidR="00271F9E">
              <w:rPr>
                <w:rFonts w:ascii="Arial Narrow" w:hAnsi="Arial Narrow"/>
                <w:sz w:val="18"/>
                <w:szCs w:val="18"/>
                <w:u w:val="single"/>
                <w:lang w:val="en-US"/>
              </w:rPr>
              <w:t xml:space="preserve"> 22</w:t>
            </w:r>
          </w:p>
          <w:p w14:paraId="55675636" w14:textId="73291EAA" w:rsidR="00271F9E" w:rsidRPr="00BA36DD" w:rsidRDefault="00024474" w:rsidP="00271F9E">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ott</w:t>
            </w:r>
            <w:r w:rsidR="00271F9E">
              <w:rPr>
                <w:rFonts w:ascii="Arial Narrow" w:hAnsi="Arial Narrow"/>
                <w:sz w:val="18"/>
                <w:szCs w:val="18"/>
                <w:lang w:val="en-US"/>
              </w:rPr>
              <w:t xml:space="preserve"> 21</w:t>
            </w:r>
          </w:p>
        </w:tc>
        <w:tc>
          <w:tcPr>
            <w:tcW w:w="1346" w:type="dxa"/>
            <w:shd w:val="clear" w:color="auto" w:fill="D9D9D9"/>
            <w:vAlign w:val="center"/>
          </w:tcPr>
          <w:p w14:paraId="6902B41F" w14:textId="6B440C13" w:rsidR="00271F9E" w:rsidRPr="0069402A" w:rsidRDefault="00024474"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w:t>
            </w:r>
            <w:r w:rsidR="00271F9E">
              <w:rPr>
                <w:rFonts w:ascii="Arial Narrow" w:hAnsi="Arial Narrow"/>
                <w:sz w:val="18"/>
                <w:szCs w:val="18"/>
                <w:u w:val="single"/>
                <w:lang w:val="en-US"/>
              </w:rPr>
              <w:t xml:space="preserve"> 22</w:t>
            </w:r>
          </w:p>
          <w:p w14:paraId="0F4E969F" w14:textId="1D7D9B33" w:rsidR="00271F9E" w:rsidRPr="00BA36DD" w:rsidRDefault="00024474" w:rsidP="00271F9E">
            <w:pPr>
              <w:spacing w:before="40" w:after="20"/>
              <w:jc w:val="center"/>
              <w:rPr>
                <w:rFonts w:ascii="Arial Narrow" w:hAnsi="Arial Narrow"/>
                <w:sz w:val="18"/>
                <w:szCs w:val="18"/>
              </w:rPr>
            </w:pPr>
            <w:r>
              <w:rPr>
                <w:rFonts w:ascii="Arial Narrow" w:hAnsi="Arial Narrow"/>
                <w:sz w:val="18"/>
                <w:szCs w:val="18"/>
                <w:lang w:val="en-US"/>
              </w:rPr>
              <w:t>set</w:t>
            </w:r>
            <w:r w:rsidR="00271F9E">
              <w:rPr>
                <w:rFonts w:ascii="Arial Narrow" w:hAnsi="Arial Narrow"/>
                <w:sz w:val="18"/>
                <w:szCs w:val="18"/>
                <w:lang w:val="en-US"/>
              </w:rPr>
              <w:t xml:space="preserve"> 22</w:t>
            </w:r>
          </w:p>
        </w:tc>
        <w:tc>
          <w:tcPr>
            <w:tcW w:w="1349" w:type="dxa"/>
            <w:shd w:val="clear" w:color="auto" w:fill="FFFFFF"/>
            <w:vAlign w:val="center"/>
          </w:tcPr>
          <w:p w14:paraId="392E1652" w14:textId="3FFBD428" w:rsidR="00271F9E" w:rsidRPr="0069402A" w:rsidRDefault="00024474"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w:t>
            </w:r>
            <w:r w:rsidR="00271F9E">
              <w:rPr>
                <w:rFonts w:ascii="Arial Narrow" w:hAnsi="Arial Narrow"/>
                <w:sz w:val="18"/>
                <w:szCs w:val="18"/>
                <w:u w:val="single"/>
                <w:lang w:val="en-US"/>
              </w:rPr>
              <w:t xml:space="preserve"> 22</w:t>
            </w:r>
          </w:p>
          <w:p w14:paraId="55DF91F4" w14:textId="0FC7614C" w:rsidR="00271F9E" w:rsidRPr="00BA36DD" w:rsidRDefault="00024474" w:rsidP="00271F9E">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ott</w:t>
            </w:r>
            <w:r w:rsidR="00271F9E">
              <w:rPr>
                <w:rFonts w:ascii="Arial Narrow" w:hAnsi="Arial Narrow"/>
                <w:sz w:val="18"/>
                <w:szCs w:val="18"/>
                <w:lang w:val="en-US"/>
              </w:rPr>
              <w:t xml:space="preserve"> 21</w:t>
            </w:r>
          </w:p>
        </w:tc>
        <w:tc>
          <w:tcPr>
            <w:tcW w:w="1345" w:type="dxa"/>
            <w:shd w:val="clear" w:color="auto" w:fill="D9D9D9"/>
            <w:vAlign w:val="center"/>
          </w:tcPr>
          <w:p w14:paraId="3F04F3F2" w14:textId="549A55F2" w:rsidR="00271F9E" w:rsidRPr="0069402A" w:rsidRDefault="00024474"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w:t>
            </w:r>
            <w:r w:rsidR="00271F9E">
              <w:rPr>
                <w:rFonts w:ascii="Arial Narrow" w:hAnsi="Arial Narrow"/>
                <w:sz w:val="18"/>
                <w:szCs w:val="18"/>
                <w:u w:val="single"/>
                <w:lang w:val="en-US"/>
              </w:rPr>
              <w:t xml:space="preserve"> 22</w:t>
            </w:r>
          </w:p>
          <w:p w14:paraId="7CB20C5A" w14:textId="492DF6D3" w:rsidR="00271F9E" w:rsidRPr="00BA36DD" w:rsidRDefault="00024474" w:rsidP="00271F9E">
            <w:pPr>
              <w:spacing w:before="40" w:after="20"/>
              <w:jc w:val="center"/>
              <w:rPr>
                <w:rFonts w:ascii="Arial Narrow" w:hAnsi="Arial Narrow"/>
                <w:sz w:val="18"/>
                <w:szCs w:val="18"/>
              </w:rPr>
            </w:pPr>
            <w:r>
              <w:rPr>
                <w:rFonts w:ascii="Arial Narrow" w:hAnsi="Arial Narrow"/>
                <w:sz w:val="18"/>
                <w:szCs w:val="18"/>
                <w:lang w:val="en-US"/>
              </w:rPr>
              <w:t>set</w:t>
            </w:r>
            <w:r w:rsidR="00271F9E">
              <w:rPr>
                <w:rFonts w:ascii="Arial Narrow" w:hAnsi="Arial Narrow"/>
                <w:sz w:val="18"/>
                <w:szCs w:val="18"/>
                <w:lang w:val="en-US"/>
              </w:rPr>
              <w:t xml:space="preserve"> 22</w:t>
            </w:r>
          </w:p>
        </w:tc>
        <w:tc>
          <w:tcPr>
            <w:tcW w:w="1346" w:type="dxa"/>
            <w:shd w:val="clear" w:color="auto" w:fill="FFFFFF"/>
            <w:vAlign w:val="center"/>
          </w:tcPr>
          <w:p w14:paraId="274F6C73" w14:textId="61047C4E" w:rsidR="00271F9E" w:rsidRPr="0069402A" w:rsidRDefault="00024474" w:rsidP="00271F9E">
            <w:pPr>
              <w:spacing w:before="40" w:after="20"/>
              <w:jc w:val="center"/>
              <w:rPr>
                <w:rFonts w:ascii="Arial Narrow" w:hAnsi="Arial Narrow"/>
                <w:sz w:val="18"/>
                <w:szCs w:val="18"/>
                <w:u w:val="single"/>
                <w:lang w:val="en-US"/>
              </w:rPr>
            </w:pPr>
            <w:r>
              <w:rPr>
                <w:rFonts w:ascii="Arial Narrow" w:hAnsi="Arial Narrow"/>
                <w:sz w:val="18"/>
                <w:szCs w:val="18"/>
                <w:u w:val="single"/>
                <w:lang w:val="en-US"/>
              </w:rPr>
              <w:t>ott</w:t>
            </w:r>
            <w:r w:rsidR="00271F9E">
              <w:rPr>
                <w:rFonts w:ascii="Arial Narrow" w:hAnsi="Arial Narrow"/>
                <w:sz w:val="18"/>
                <w:szCs w:val="18"/>
                <w:u w:val="single"/>
                <w:lang w:val="en-US"/>
              </w:rPr>
              <w:t xml:space="preserve"> 22</w:t>
            </w:r>
          </w:p>
          <w:p w14:paraId="2E2BE057" w14:textId="3457A111" w:rsidR="00271F9E" w:rsidRPr="00BA36DD" w:rsidRDefault="00024474" w:rsidP="00271F9E">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ott</w:t>
            </w:r>
            <w:r w:rsidR="00271F9E">
              <w:rPr>
                <w:rFonts w:ascii="Arial Narrow" w:hAnsi="Arial Narrow"/>
                <w:sz w:val="18"/>
                <w:szCs w:val="18"/>
                <w:lang w:val="en-US"/>
              </w:rPr>
              <w:t xml:space="preserve"> 21</w:t>
            </w:r>
          </w:p>
        </w:tc>
      </w:tr>
      <w:tr w:rsidR="00C00B5A" w:rsidRPr="00452E5E" w14:paraId="0FD54E53" w14:textId="77777777" w:rsidTr="007815EF">
        <w:trPr>
          <w:gridAfter w:val="1"/>
          <w:wAfter w:w="12" w:type="dxa"/>
          <w:cantSplit/>
          <w:trHeight w:val="255"/>
        </w:trPr>
        <w:tc>
          <w:tcPr>
            <w:tcW w:w="2317" w:type="dxa"/>
            <w:vAlign w:val="center"/>
          </w:tcPr>
          <w:p w14:paraId="0FC26153" w14:textId="77777777" w:rsidR="00C00B5A" w:rsidRPr="005E4472" w:rsidRDefault="00C00B5A" w:rsidP="00C00B5A">
            <w:pPr>
              <w:spacing w:before="40" w:after="20"/>
              <w:rPr>
                <w:rFonts w:ascii="Arial Narrow" w:hAnsi="Arial Narrow" w:cs="Arial"/>
                <w:sz w:val="18"/>
                <w:szCs w:val="18"/>
              </w:rPr>
            </w:pPr>
            <w:r w:rsidRPr="005E4472">
              <w:rPr>
                <w:rFonts w:ascii="Arial Narrow" w:hAnsi="Arial Narrow" w:cs="Arial"/>
                <w:sz w:val="18"/>
                <w:szCs w:val="18"/>
              </w:rPr>
              <w:t>Beni di consumo</w:t>
            </w:r>
          </w:p>
        </w:tc>
        <w:tc>
          <w:tcPr>
            <w:tcW w:w="1157" w:type="dxa"/>
            <w:shd w:val="clear" w:color="auto" w:fill="D9D9D9"/>
            <w:vAlign w:val="center"/>
          </w:tcPr>
          <w:p w14:paraId="2F1C541E" w14:textId="293F18AD"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+0,4</w:t>
            </w:r>
          </w:p>
        </w:tc>
        <w:tc>
          <w:tcPr>
            <w:tcW w:w="1334" w:type="dxa"/>
            <w:tcMar>
              <w:left w:w="0" w:type="dxa"/>
            </w:tcMar>
            <w:vAlign w:val="center"/>
          </w:tcPr>
          <w:p w14:paraId="6CD3C7C1" w14:textId="17E3231F"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+9,3</w:t>
            </w:r>
          </w:p>
        </w:tc>
        <w:tc>
          <w:tcPr>
            <w:tcW w:w="1346" w:type="dxa"/>
            <w:shd w:val="clear" w:color="auto" w:fill="D9D9D9"/>
            <w:vAlign w:val="center"/>
          </w:tcPr>
          <w:p w14:paraId="13A3348C" w14:textId="15DE32DD"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+0,4</w:t>
            </w:r>
          </w:p>
        </w:tc>
        <w:tc>
          <w:tcPr>
            <w:tcW w:w="1349" w:type="dxa"/>
            <w:vAlign w:val="center"/>
          </w:tcPr>
          <w:p w14:paraId="77239508" w14:textId="50338B79"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+9,1</w:t>
            </w:r>
          </w:p>
        </w:tc>
        <w:tc>
          <w:tcPr>
            <w:tcW w:w="1345" w:type="dxa"/>
            <w:shd w:val="clear" w:color="auto" w:fill="D9D9D9"/>
            <w:vAlign w:val="center"/>
          </w:tcPr>
          <w:p w14:paraId="2B193A43" w14:textId="48500698"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+0,2</w:t>
            </w:r>
          </w:p>
        </w:tc>
        <w:tc>
          <w:tcPr>
            <w:tcW w:w="1346" w:type="dxa"/>
            <w:vAlign w:val="center"/>
          </w:tcPr>
          <w:p w14:paraId="01DCD49D" w14:textId="15E4473A"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+9,4</w:t>
            </w:r>
          </w:p>
        </w:tc>
      </w:tr>
      <w:tr w:rsidR="00C00B5A" w:rsidRPr="00452E5E" w14:paraId="16E47F0A" w14:textId="77777777" w:rsidTr="007815EF">
        <w:trPr>
          <w:gridAfter w:val="1"/>
          <w:wAfter w:w="12" w:type="dxa"/>
          <w:cantSplit/>
          <w:trHeight w:val="255"/>
        </w:trPr>
        <w:tc>
          <w:tcPr>
            <w:tcW w:w="2317" w:type="dxa"/>
            <w:vAlign w:val="center"/>
          </w:tcPr>
          <w:p w14:paraId="052A7DFB" w14:textId="77777777" w:rsidR="00C00B5A" w:rsidRPr="007F2CF0" w:rsidRDefault="00C00B5A" w:rsidP="00C00B5A">
            <w:pPr>
              <w:spacing w:before="40" w:after="20"/>
              <w:rPr>
                <w:rFonts w:ascii="Arial Narrow" w:hAnsi="Arial Narrow" w:cs="Arial"/>
                <w:sz w:val="18"/>
                <w:szCs w:val="18"/>
              </w:rPr>
            </w:pPr>
            <w:r w:rsidRPr="007F2CF0">
              <w:rPr>
                <w:rFonts w:ascii="Arial Narrow" w:hAnsi="Arial Narrow" w:cs="Arial"/>
                <w:sz w:val="18"/>
                <w:szCs w:val="18"/>
              </w:rPr>
              <w:t xml:space="preserve">  </w:t>
            </w:r>
            <w:r>
              <w:rPr>
                <w:rFonts w:ascii="Arial Narrow" w:hAnsi="Arial Narrow" w:cs="Arial"/>
                <w:sz w:val="18"/>
                <w:szCs w:val="18"/>
              </w:rPr>
              <w:t>d</w:t>
            </w:r>
            <w:r w:rsidRPr="007F2CF0">
              <w:rPr>
                <w:rFonts w:ascii="Arial Narrow" w:hAnsi="Arial Narrow" w:cs="Arial"/>
                <w:sz w:val="18"/>
                <w:szCs w:val="18"/>
              </w:rPr>
              <w:t>urevoli</w:t>
            </w:r>
          </w:p>
        </w:tc>
        <w:tc>
          <w:tcPr>
            <w:tcW w:w="1157" w:type="dxa"/>
            <w:shd w:val="clear" w:color="auto" w:fill="D9D9D9"/>
            <w:vAlign w:val="center"/>
          </w:tcPr>
          <w:p w14:paraId="4A2FB6A9" w14:textId="53A77A07"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+0,5</w:t>
            </w:r>
          </w:p>
        </w:tc>
        <w:tc>
          <w:tcPr>
            <w:tcW w:w="1334" w:type="dxa"/>
            <w:tcMar>
              <w:left w:w="0" w:type="dxa"/>
            </w:tcMar>
            <w:vAlign w:val="center"/>
          </w:tcPr>
          <w:p w14:paraId="237F5F3E" w14:textId="57EB6423"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+4,9</w:t>
            </w:r>
          </w:p>
        </w:tc>
        <w:tc>
          <w:tcPr>
            <w:tcW w:w="1346" w:type="dxa"/>
            <w:shd w:val="clear" w:color="auto" w:fill="D9D9D9"/>
            <w:vAlign w:val="center"/>
          </w:tcPr>
          <w:p w14:paraId="68758BF0" w14:textId="0CFB947C"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+0,6</w:t>
            </w:r>
          </w:p>
        </w:tc>
        <w:tc>
          <w:tcPr>
            <w:tcW w:w="1349" w:type="dxa"/>
            <w:vAlign w:val="center"/>
          </w:tcPr>
          <w:p w14:paraId="00865BCB" w14:textId="75F32B96"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+2,7</w:t>
            </w:r>
          </w:p>
        </w:tc>
        <w:tc>
          <w:tcPr>
            <w:tcW w:w="1345" w:type="dxa"/>
            <w:shd w:val="clear" w:color="auto" w:fill="D9D9D9"/>
            <w:vAlign w:val="center"/>
          </w:tcPr>
          <w:p w14:paraId="3D7C39E9" w14:textId="734B4DFA"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+0,4</w:t>
            </w:r>
          </w:p>
        </w:tc>
        <w:tc>
          <w:tcPr>
            <w:tcW w:w="1346" w:type="dxa"/>
            <w:vAlign w:val="center"/>
          </w:tcPr>
          <w:p w14:paraId="61C67E34" w14:textId="090E5E7D"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+6,2</w:t>
            </w:r>
          </w:p>
        </w:tc>
      </w:tr>
      <w:tr w:rsidR="00C00B5A" w:rsidRPr="00452E5E" w14:paraId="10506094" w14:textId="77777777" w:rsidTr="007815EF">
        <w:trPr>
          <w:gridAfter w:val="1"/>
          <w:wAfter w:w="12" w:type="dxa"/>
          <w:cantSplit/>
          <w:trHeight w:val="255"/>
        </w:trPr>
        <w:tc>
          <w:tcPr>
            <w:tcW w:w="2317" w:type="dxa"/>
            <w:vAlign w:val="center"/>
          </w:tcPr>
          <w:p w14:paraId="56EA568F" w14:textId="77777777" w:rsidR="00C00B5A" w:rsidRPr="007F2CF0" w:rsidRDefault="00C00B5A" w:rsidP="00C00B5A">
            <w:pPr>
              <w:spacing w:before="40" w:after="20"/>
              <w:rPr>
                <w:rFonts w:ascii="Arial Narrow" w:hAnsi="Arial Narrow" w:cs="Arial"/>
                <w:sz w:val="18"/>
                <w:szCs w:val="18"/>
              </w:rPr>
            </w:pPr>
            <w:r w:rsidRPr="007F2CF0">
              <w:rPr>
                <w:rFonts w:ascii="Arial Narrow" w:hAnsi="Arial Narrow" w:cs="Arial"/>
                <w:sz w:val="18"/>
                <w:szCs w:val="18"/>
              </w:rPr>
              <w:t xml:space="preserve">  non durevoli</w:t>
            </w:r>
          </w:p>
        </w:tc>
        <w:tc>
          <w:tcPr>
            <w:tcW w:w="1157" w:type="dxa"/>
            <w:shd w:val="clear" w:color="auto" w:fill="D9D9D9"/>
            <w:vAlign w:val="center"/>
          </w:tcPr>
          <w:p w14:paraId="77078111" w14:textId="7862483B"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+0,4</w:t>
            </w:r>
          </w:p>
        </w:tc>
        <w:tc>
          <w:tcPr>
            <w:tcW w:w="1334" w:type="dxa"/>
            <w:tcMar>
              <w:left w:w="0" w:type="dxa"/>
            </w:tcMar>
            <w:vAlign w:val="center"/>
          </w:tcPr>
          <w:p w14:paraId="75EF5033" w14:textId="7A9355EE"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+10,2</w:t>
            </w:r>
          </w:p>
        </w:tc>
        <w:tc>
          <w:tcPr>
            <w:tcW w:w="1346" w:type="dxa"/>
            <w:shd w:val="clear" w:color="auto" w:fill="D9D9D9"/>
            <w:vAlign w:val="center"/>
          </w:tcPr>
          <w:p w14:paraId="78E4AB6F" w14:textId="216DE24D"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+0,4</w:t>
            </w:r>
          </w:p>
        </w:tc>
        <w:tc>
          <w:tcPr>
            <w:tcW w:w="1349" w:type="dxa"/>
            <w:vAlign w:val="center"/>
          </w:tcPr>
          <w:p w14:paraId="7791CBB7" w14:textId="0E7B9602"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+9,9</w:t>
            </w:r>
          </w:p>
        </w:tc>
        <w:tc>
          <w:tcPr>
            <w:tcW w:w="1345" w:type="dxa"/>
            <w:shd w:val="clear" w:color="auto" w:fill="D9D9D9"/>
            <w:vAlign w:val="center"/>
          </w:tcPr>
          <w:p w14:paraId="2F411834" w14:textId="63175830"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+0,2</w:t>
            </w:r>
          </w:p>
        </w:tc>
        <w:tc>
          <w:tcPr>
            <w:tcW w:w="1346" w:type="dxa"/>
            <w:vAlign w:val="center"/>
          </w:tcPr>
          <w:p w14:paraId="6F4A4BF1" w14:textId="1D3C21BC"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+10,3</w:t>
            </w:r>
          </w:p>
        </w:tc>
      </w:tr>
      <w:tr w:rsidR="00C00B5A" w:rsidRPr="00452E5E" w14:paraId="24F7398F" w14:textId="77777777" w:rsidTr="007815EF">
        <w:trPr>
          <w:gridAfter w:val="1"/>
          <w:wAfter w:w="12" w:type="dxa"/>
          <w:cantSplit/>
          <w:trHeight w:val="255"/>
        </w:trPr>
        <w:tc>
          <w:tcPr>
            <w:tcW w:w="2317" w:type="dxa"/>
            <w:vAlign w:val="center"/>
          </w:tcPr>
          <w:p w14:paraId="7695C356" w14:textId="77777777" w:rsidR="00C00B5A" w:rsidRPr="001C01EA" w:rsidRDefault="00C00B5A" w:rsidP="00C00B5A">
            <w:pPr>
              <w:spacing w:before="40" w:after="20"/>
              <w:rPr>
                <w:rFonts w:ascii="Arial Narrow" w:hAnsi="Arial Narrow" w:cs="Arial"/>
                <w:sz w:val="18"/>
                <w:szCs w:val="18"/>
              </w:rPr>
            </w:pPr>
            <w:r w:rsidRPr="001C01EA">
              <w:rPr>
                <w:rFonts w:ascii="Arial Narrow" w:hAnsi="Arial Narrow" w:cs="Arial"/>
                <w:sz w:val="18"/>
                <w:szCs w:val="18"/>
              </w:rPr>
              <w:t>Beni strumentali</w:t>
            </w:r>
          </w:p>
        </w:tc>
        <w:tc>
          <w:tcPr>
            <w:tcW w:w="1157" w:type="dxa"/>
            <w:shd w:val="clear" w:color="auto" w:fill="D9D9D9"/>
            <w:vAlign w:val="center"/>
          </w:tcPr>
          <w:p w14:paraId="6A73B592" w14:textId="021AC4D2"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+0,5</w:t>
            </w:r>
          </w:p>
        </w:tc>
        <w:tc>
          <w:tcPr>
            <w:tcW w:w="1334" w:type="dxa"/>
            <w:tcMar>
              <w:left w:w="0" w:type="dxa"/>
            </w:tcMar>
            <w:vAlign w:val="center"/>
          </w:tcPr>
          <w:p w14:paraId="7409A1A4" w14:textId="2E63D2F9"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+6,2</w:t>
            </w:r>
          </w:p>
        </w:tc>
        <w:tc>
          <w:tcPr>
            <w:tcW w:w="1346" w:type="dxa"/>
            <w:shd w:val="clear" w:color="auto" w:fill="D9D9D9"/>
            <w:vAlign w:val="center"/>
          </w:tcPr>
          <w:p w14:paraId="308AF73B" w14:textId="3A05E425"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+0,4</w:t>
            </w:r>
          </w:p>
        </w:tc>
        <w:tc>
          <w:tcPr>
            <w:tcW w:w="1349" w:type="dxa"/>
            <w:vAlign w:val="center"/>
          </w:tcPr>
          <w:p w14:paraId="5E3B6694" w14:textId="2FC9900E"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+5,5</w:t>
            </w:r>
          </w:p>
        </w:tc>
        <w:tc>
          <w:tcPr>
            <w:tcW w:w="1345" w:type="dxa"/>
            <w:shd w:val="clear" w:color="auto" w:fill="D9D9D9"/>
            <w:vAlign w:val="center"/>
          </w:tcPr>
          <w:p w14:paraId="27DB14EF" w14:textId="68567B39"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+0,6</w:t>
            </w:r>
          </w:p>
        </w:tc>
        <w:tc>
          <w:tcPr>
            <w:tcW w:w="1346" w:type="dxa"/>
            <w:vAlign w:val="center"/>
          </w:tcPr>
          <w:p w14:paraId="1ABECE26" w14:textId="28ED6E1A"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+7,4</w:t>
            </w:r>
          </w:p>
        </w:tc>
      </w:tr>
      <w:tr w:rsidR="00C00B5A" w:rsidRPr="00452E5E" w14:paraId="5981913F" w14:textId="77777777" w:rsidTr="007815EF">
        <w:trPr>
          <w:gridAfter w:val="1"/>
          <w:wAfter w:w="12" w:type="dxa"/>
          <w:cantSplit/>
          <w:trHeight w:val="255"/>
        </w:trPr>
        <w:tc>
          <w:tcPr>
            <w:tcW w:w="2317" w:type="dxa"/>
            <w:vAlign w:val="center"/>
          </w:tcPr>
          <w:p w14:paraId="3B67EDCE" w14:textId="77777777" w:rsidR="00C00B5A" w:rsidRPr="001C01EA" w:rsidRDefault="00C00B5A" w:rsidP="00C00B5A">
            <w:pPr>
              <w:spacing w:before="40" w:after="20"/>
              <w:rPr>
                <w:rFonts w:ascii="Arial Narrow" w:hAnsi="Arial Narrow" w:cs="Arial"/>
                <w:sz w:val="18"/>
                <w:szCs w:val="18"/>
              </w:rPr>
            </w:pPr>
            <w:r w:rsidRPr="001C01EA">
              <w:rPr>
                <w:rFonts w:ascii="Arial Narrow" w:hAnsi="Arial Narrow" w:cs="Arial"/>
                <w:sz w:val="18"/>
                <w:szCs w:val="18"/>
              </w:rPr>
              <w:t>Beni intermedi</w:t>
            </w:r>
          </w:p>
        </w:tc>
        <w:tc>
          <w:tcPr>
            <w:tcW w:w="1157" w:type="dxa"/>
            <w:tcBorders>
              <w:bottom w:val="single" w:sz="4" w:space="0" w:color="333333"/>
            </w:tcBorders>
            <w:shd w:val="clear" w:color="auto" w:fill="D9D9D9"/>
            <w:vAlign w:val="center"/>
          </w:tcPr>
          <w:p w14:paraId="1D1ABCEC" w14:textId="682625D9"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-0,5</w:t>
            </w:r>
          </w:p>
        </w:tc>
        <w:tc>
          <w:tcPr>
            <w:tcW w:w="1334" w:type="dxa"/>
            <w:tcMar>
              <w:left w:w="0" w:type="dxa"/>
            </w:tcMar>
            <w:vAlign w:val="center"/>
          </w:tcPr>
          <w:p w14:paraId="25CE6F58" w14:textId="4551D7AF"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+12,4</w:t>
            </w:r>
          </w:p>
        </w:tc>
        <w:tc>
          <w:tcPr>
            <w:tcW w:w="1346" w:type="dxa"/>
            <w:tcBorders>
              <w:bottom w:val="single" w:sz="4" w:space="0" w:color="333333"/>
            </w:tcBorders>
            <w:shd w:val="clear" w:color="auto" w:fill="D9D9D9"/>
            <w:vAlign w:val="center"/>
          </w:tcPr>
          <w:p w14:paraId="7B9252FD" w14:textId="08765AAA"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-0,1</w:t>
            </w:r>
          </w:p>
        </w:tc>
        <w:tc>
          <w:tcPr>
            <w:tcW w:w="1349" w:type="dxa"/>
            <w:vAlign w:val="center"/>
          </w:tcPr>
          <w:p w14:paraId="3786B3D0" w14:textId="4E964BBE"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+12,4</w:t>
            </w:r>
          </w:p>
        </w:tc>
        <w:tc>
          <w:tcPr>
            <w:tcW w:w="1345" w:type="dxa"/>
            <w:tcBorders>
              <w:bottom w:val="single" w:sz="4" w:space="0" w:color="333333"/>
            </w:tcBorders>
            <w:shd w:val="clear" w:color="auto" w:fill="D9D9D9"/>
            <w:vAlign w:val="center"/>
          </w:tcPr>
          <w:p w14:paraId="45AD0ECD" w14:textId="3C0CC251"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-1,0</w:t>
            </w:r>
          </w:p>
        </w:tc>
        <w:tc>
          <w:tcPr>
            <w:tcW w:w="1346" w:type="dxa"/>
            <w:vAlign w:val="center"/>
          </w:tcPr>
          <w:p w14:paraId="1B1D98F4" w14:textId="772846AF"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+12,4</w:t>
            </w:r>
          </w:p>
        </w:tc>
      </w:tr>
      <w:tr w:rsidR="00C00B5A" w:rsidRPr="00452E5E" w14:paraId="17F64648" w14:textId="77777777" w:rsidTr="007815EF">
        <w:trPr>
          <w:gridAfter w:val="1"/>
          <w:wAfter w:w="12" w:type="dxa"/>
          <w:cantSplit/>
          <w:trHeight w:val="255"/>
        </w:trPr>
        <w:tc>
          <w:tcPr>
            <w:tcW w:w="2317" w:type="dxa"/>
            <w:tcBorders>
              <w:bottom w:val="single" w:sz="4" w:space="0" w:color="333333"/>
            </w:tcBorders>
            <w:vAlign w:val="center"/>
          </w:tcPr>
          <w:p w14:paraId="5AADF819" w14:textId="77777777" w:rsidR="00C00B5A" w:rsidRPr="001C01EA" w:rsidRDefault="00C00B5A" w:rsidP="00C00B5A">
            <w:pPr>
              <w:spacing w:before="40" w:after="20"/>
              <w:rPr>
                <w:rFonts w:ascii="Arial Narrow" w:hAnsi="Arial Narrow" w:cs="Arial"/>
                <w:sz w:val="18"/>
                <w:szCs w:val="18"/>
              </w:rPr>
            </w:pPr>
            <w:r w:rsidRPr="001C01EA">
              <w:rPr>
                <w:rFonts w:ascii="Arial Narrow" w:hAnsi="Arial Narrow" w:cs="Arial"/>
                <w:sz w:val="18"/>
                <w:szCs w:val="18"/>
              </w:rPr>
              <w:t>Energia</w:t>
            </w:r>
          </w:p>
        </w:tc>
        <w:tc>
          <w:tcPr>
            <w:tcW w:w="1157" w:type="dxa"/>
            <w:tcBorders>
              <w:bottom w:val="single" w:sz="4" w:space="0" w:color="333333"/>
            </w:tcBorders>
            <w:shd w:val="clear" w:color="auto" w:fill="D9D9D9"/>
            <w:vAlign w:val="center"/>
          </w:tcPr>
          <w:p w14:paraId="5F13CB98" w14:textId="4D952167"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-4,6</w:t>
            </w:r>
          </w:p>
        </w:tc>
        <w:tc>
          <w:tcPr>
            <w:tcW w:w="1334" w:type="dxa"/>
            <w:tcBorders>
              <w:bottom w:val="single" w:sz="4" w:space="0" w:color="333333"/>
            </w:tcBorders>
            <w:tcMar>
              <w:left w:w="0" w:type="dxa"/>
            </w:tcMar>
            <w:vAlign w:val="center"/>
          </w:tcPr>
          <w:p w14:paraId="1576715E" w14:textId="4C16E796"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+54,0</w:t>
            </w:r>
          </w:p>
        </w:tc>
        <w:tc>
          <w:tcPr>
            <w:tcW w:w="1346" w:type="dxa"/>
            <w:tcBorders>
              <w:bottom w:val="single" w:sz="4" w:space="0" w:color="333333"/>
            </w:tcBorders>
            <w:shd w:val="clear" w:color="auto" w:fill="D9D9D9"/>
            <w:vAlign w:val="center"/>
          </w:tcPr>
          <w:p w14:paraId="7BE7F33E" w14:textId="331606C3"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-15,3</w:t>
            </w:r>
          </w:p>
        </w:tc>
        <w:tc>
          <w:tcPr>
            <w:tcW w:w="1349" w:type="dxa"/>
            <w:tcBorders>
              <w:bottom w:val="single" w:sz="4" w:space="0" w:color="333333"/>
            </w:tcBorders>
            <w:vAlign w:val="center"/>
          </w:tcPr>
          <w:p w14:paraId="0C6B9866" w14:textId="0E8F7F03"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+19,7</w:t>
            </w:r>
          </w:p>
        </w:tc>
        <w:tc>
          <w:tcPr>
            <w:tcW w:w="1345" w:type="dxa"/>
            <w:tcBorders>
              <w:bottom w:val="single" w:sz="4" w:space="0" w:color="333333"/>
            </w:tcBorders>
            <w:shd w:val="clear" w:color="auto" w:fill="D9D9D9"/>
            <w:vAlign w:val="center"/>
          </w:tcPr>
          <w:p w14:paraId="16C232BC" w14:textId="012F260B"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-3,6</w:t>
            </w:r>
          </w:p>
        </w:tc>
        <w:tc>
          <w:tcPr>
            <w:tcW w:w="1346" w:type="dxa"/>
            <w:tcBorders>
              <w:bottom w:val="single" w:sz="4" w:space="0" w:color="333333"/>
            </w:tcBorders>
            <w:vAlign w:val="center"/>
          </w:tcPr>
          <w:p w14:paraId="33211A2F" w14:textId="28A0D2FE"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+57,7</w:t>
            </w:r>
          </w:p>
        </w:tc>
      </w:tr>
      <w:tr w:rsidR="00C00B5A" w:rsidRPr="00452E5E" w14:paraId="2E2CDFBE" w14:textId="77777777" w:rsidTr="007815EF">
        <w:trPr>
          <w:gridAfter w:val="1"/>
          <w:wAfter w:w="12" w:type="dxa"/>
          <w:cantSplit/>
          <w:trHeight w:val="255"/>
        </w:trPr>
        <w:tc>
          <w:tcPr>
            <w:tcW w:w="2317" w:type="dxa"/>
            <w:shd w:val="clear" w:color="auto" w:fill="auto"/>
            <w:vAlign w:val="center"/>
          </w:tcPr>
          <w:p w14:paraId="5DF2FD63" w14:textId="77777777" w:rsidR="00C00B5A" w:rsidRPr="007F2CF0" w:rsidRDefault="00C00B5A" w:rsidP="00C00B5A">
            <w:pPr>
              <w:spacing w:before="40" w:after="20"/>
              <w:rPr>
                <w:rFonts w:ascii="Arial Narrow" w:hAnsi="Arial Narrow" w:cs="Arial"/>
                <w:sz w:val="18"/>
                <w:szCs w:val="18"/>
              </w:rPr>
            </w:pPr>
            <w:r w:rsidRPr="001C01EA">
              <w:rPr>
                <w:rFonts w:ascii="Arial Narrow" w:hAnsi="Arial Narrow" w:cs="Arial"/>
                <w:sz w:val="18"/>
                <w:szCs w:val="18"/>
              </w:rPr>
              <w:t>Totale al netto dell’energia</w:t>
            </w:r>
          </w:p>
        </w:tc>
        <w:tc>
          <w:tcPr>
            <w:tcW w:w="1157" w:type="dxa"/>
            <w:shd w:val="clear" w:color="auto" w:fill="D9D9D9"/>
            <w:vAlign w:val="center"/>
          </w:tcPr>
          <w:p w14:paraId="4DEFB8DF" w14:textId="586BF75C"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0,0</w:t>
            </w:r>
          </w:p>
        </w:tc>
        <w:tc>
          <w:tcPr>
            <w:tcW w:w="1334" w:type="dxa"/>
            <w:shd w:val="clear" w:color="auto" w:fill="auto"/>
            <w:tcMar>
              <w:left w:w="0" w:type="dxa"/>
            </w:tcMar>
            <w:vAlign w:val="center"/>
          </w:tcPr>
          <w:p w14:paraId="00943129" w14:textId="554688CB"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+9,7</w:t>
            </w:r>
          </w:p>
        </w:tc>
        <w:tc>
          <w:tcPr>
            <w:tcW w:w="1346" w:type="dxa"/>
            <w:shd w:val="clear" w:color="auto" w:fill="D9D9D9"/>
            <w:vAlign w:val="center"/>
          </w:tcPr>
          <w:p w14:paraId="502EA5D2" w14:textId="651E8272"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+0,3</w:t>
            </w:r>
          </w:p>
        </w:tc>
        <w:tc>
          <w:tcPr>
            <w:tcW w:w="1349" w:type="dxa"/>
            <w:shd w:val="clear" w:color="auto" w:fill="auto"/>
            <w:vAlign w:val="center"/>
          </w:tcPr>
          <w:p w14:paraId="289C3E69" w14:textId="539463C9"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+9,2</w:t>
            </w:r>
          </w:p>
        </w:tc>
        <w:tc>
          <w:tcPr>
            <w:tcW w:w="1345" w:type="dxa"/>
            <w:shd w:val="clear" w:color="auto" w:fill="D9D9D9"/>
            <w:vAlign w:val="center"/>
          </w:tcPr>
          <w:p w14:paraId="0D130E46" w14:textId="68404DE8"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-0,3</w:t>
            </w:r>
          </w:p>
        </w:tc>
        <w:tc>
          <w:tcPr>
            <w:tcW w:w="1346" w:type="dxa"/>
            <w:shd w:val="clear" w:color="auto" w:fill="auto"/>
            <w:vAlign w:val="center"/>
          </w:tcPr>
          <w:p w14:paraId="2F175BE3" w14:textId="545DC3F7" w:rsidR="00C00B5A" w:rsidRPr="00A764B0" w:rsidRDefault="00C00B5A" w:rsidP="00C00B5A">
            <w:pPr>
              <w:jc w:val="center"/>
              <w:rPr>
                <w:rFonts w:ascii="Arial Narrow" w:hAnsi="Arial Narrow" w:cs="Arial Narrow"/>
                <w:color w:val="000000"/>
                <w:sz w:val="18"/>
                <w:szCs w:val="18"/>
              </w:rPr>
            </w:pPr>
            <w:r w:rsidRPr="00D72DA7">
              <w:rPr>
                <w:rFonts w:ascii="Arial Narrow" w:hAnsi="Arial Narrow" w:cs="Arial"/>
                <w:color w:val="000000"/>
                <w:sz w:val="18"/>
                <w:szCs w:val="18"/>
              </w:rPr>
              <w:t>+10,2</w:t>
            </w:r>
          </w:p>
        </w:tc>
      </w:tr>
      <w:tr w:rsidR="00C00B5A" w:rsidRPr="00824ACE" w14:paraId="18F55913" w14:textId="77777777" w:rsidTr="007815EF">
        <w:trPr>
          <w:gridAfter w:val="1"/>
          <w:wAfter w:w="12" w:type="dxa"/>
          <w:cantSplit/>
          <w:trHeight w:val="255"/>
        </w:trPr>
        <w:tc>
          <w:tcPr>
            <w:tcW w:w="2317" w:type="dxa"/>
            <w:shd w:val="clear" w:color="auto" w:fill="FF0000"/>
            <w:vAlign w:val="center"/>
          </w:tcPr>
          <w:p w14:paraId="0A90526B" w14:textId="77777777" w:rsidR="00C00B5A" w:rsidRPr="00824ACE" w:rsidRDefault="00C00B5A" w:rsidP="00C00B5A">
            <w:pPr>
              <w:spacing w:before="40" w:after="20"/>
              <w:rPr>
                <w:rFonts w:ascii="Arial Narrow" w:hAnsi="Arial Narrow" w:cs="Arial"/>
                <w:b/>
                <w:color w:val="FFFFFF" w:themeColor="background1"/>
                <w:sz w:val="18"/>
                <w:szCs w:val="18"/>
              </w:rPr>
            </w:pPr>
            <w:r w:rsidRPr="00824ACE">
              <w:rPr>
                <w:rFonts w:ascii="Arial Narrow" w:hAnsi="Arial Narrow" w:cs="Arial"/>
                <w:b/>
                <w:color w:val="FFFFFF" w:themeColor="background1"/>
                <w:sz w:val="18"/>
                <w:szCs w:val="18"/>
              </w:rPr>
              <w:t>Totale</w:t>
            </w:r>
          </w:p>
        </w:tc>
        <w:tc>
          <w:tcPr>
            <w:tcW w:w="1157" w:type="dxa"/>
            <w:shd w:val="clear" w:color="auto" w:fill="FF0000"/>
            <w:vAlign w:val="center"/>
          </w:tcPr>
          <w:p w14:paraId="5DB696E8" w14:textId="58DC3D1A" w:rsidR="00C00B5A" w:rsidRPr="00824ACE" w:rsidRDefault="00C00B5A" w:rsidP="00C00B5A">
            <w:pPr>
              <w:spacing w:before="40" w:after="20"/>
              <w:jc w:val="center"/>
              <w:rPr>
                <w:rFonts w:ascii="Arial Narrow" w:hAnsi="Arial Narrow" w:cs="Arial"/>
                <w:b/>
                <w:color w:val="FFFFFF" w:themeColor="background1"/>
                <w:sz w:val="18"/>
                <w:szCs w:val="18"/>
              </w:rPr>
            </w:pPr>
            <w:r w:rsidRPr="00D72DA7">
              <w:rPr>
                <w:rFonts w:ascii="Arial Narrow" w:hAnsi="Arial Narrow" w:cs="Arial"/>
                <w:b/>
                <w:color w:val="FFFFFF" w:themeColor="background1"/>
                <w:sz w:val="18"/>
                <w:szCs w:val="18"/>
              </w:rPr>
              <w:t>-0,9</w:t>
            </w:r>
          </w:p>
        </w:tc>
        <w:tc>
          <w:tcPr>
            <w:tcW w:w="1334" w:type="dxa"/>
            <w:shd w:val="clear" w:color="auto" w:fill="FF0000"/>
            <w:tcMar>
              <w:left w:w="0" w:type="dxa"/>
            </w:tcMar>
            <w:vAlign w:val="center"/>
          </w:tcPr>
          <w:p w14:paraId="40C8196C" w14:textId="519DDA99" w:rsidR="00C00B5A" w:rsidRPr="00824ACE" w:rsidRDefault="00C00B5A" w:rsidP="00C00B5A">
            <w:pPr>
              <w:spacing w:before="40" w:after="20"/>
              <w:jc w:val="center"/>
              <w:rPr>
                <w:rFonts w:ascii="Arial Narrow" w:hAnsi="Arial Narrow" w:cs="Arial"/>
                <w:b/>
                <w:color w:val="FFFFFF" w:themeColor="background1"/>
                <w:sz w:val="18"/>
                <w:szCs w:val="18"/>
              </w:rPr>
            </w:pPr>
            <w:r w:rsidRPr="00D72DA7">
              <w:rPr>
                <w:rFonts w:ascii="Arial Narrow" w:hAnsi="Arial Narrow" w:cs="Arial"/>
                <w:b/>
                <w:color w:val="FFFFFF" w:themeColor="background1"/>
                <w:sz w:val="18"/>
                <w:szCs w:val="18"/>
              </w:rPr>
              <w:t>+15,9</w:t>
            </w:r>
          </w:p>
        </w:tc>
        <w:tc>
          <w:tcPr>
            <w:tcW w:w="1346" w:type="dxa"/>
            <w:shd w:val="clear" w:color="auto" w:fill="FF0000"/>
            <w:vAlign w:val="center"/>
          </w:tcPr>
          <w:p w14:paraId="57842797" w14:textId="0E2917A6" w:rsidR="00C00B5A" w:rsidRPr="00824ACE" w:rsidRDefault="00C00B5A" w:rsidP="00C00B5A">
            <w:pPr>
              <w:spacing w:before="40" w:after="20"/>
              <w:jc w:val="center"/>
              <w:rPr>
                <w:rFonts w:ascii="Arial Narrow" w:hAnsi="Arial Narrow" w:cs="Arial"/>
                <w:b/>
                <w:color w:val="FFFFFF" w:themeColor="background1"/>
                <w:sz w:val="18"/>
                <w:szCs w:val="18"/>
              </w:rPr>
            </w:pPr>
            <w:r w:rsidRPr="00D72DA7">
              <w:rPr>
                <w:rFonts w:ascii="Arial Narrow" w:hAnsi="Arial Narrow" w:cs="Arial"/>
                <w:b/>
                <w:color w:val="FFFFFF" w:themeColor="background1"/>
                <w:sz w:val="18"/>
                <w:szCs w:val="18"/>
              </w:rPr>
              <w:t>-0,4</w:t>
            </w:r>
          </w:p>
        </w:tc>
        <w:tc>
          <w:tcPr>
            <w:tcW w:w="1349" w:type="dxa"/>
            <w:shd w:val="clear" w:color="auto" w:fill="FF0000"/>
            <w:vAlign w:val="center"/>
          </w:tcPr>
          <w:p w14:paraId="03EFA027" w14:textId="2806CA29" w:rsidR="00C00B5A" w:rsidRPr="00824ACE" w:rsidRDefault="00C00B5A" w:rsidP="00C00B5A">
            <w:pPr>
              <w:spacing w:before="40" w:after="20"/>
              <w:jc w:val="center"/>
              <w:rPr>
                <w:rFonts w:ascii="Arial Narrow" w:hAnsi="Arial Narrow" w:cs="Arial"/>
                <w:b/>
                <w:color w:val="FFFFFF" w:themeColor="background1"/>
                <w:sz w:val="18"/>
                <w:szCs w:val="18"/>
              </w:rPr>
            </w:pPr>
            <w:r w:rsidRPr="00D72DA7">
              <w:rPr>
                <w:rFonts w:ascii="Arial Narrow" w:hAnsi="Arial Narrow" w:cs="Arial"/>
                <w:b/>
                <w:color w:val="FFFFFF" w:themeColor="background1"/>
                <w:sz w:val="18"/>
                <w:szCs w:val="18"/>
              </w:rPr>
              <w:t>+9,4</w:t>
            </w:r>
          </w:p>
        </w:tc>
        <w:tc>
          <w:tcPr>
            <w:tcW w:w="1345" w:type="dxa"/>
            <w:shd w:val="clear" w:color="auto" w:fill="FF0000"/>
            <w:vAlign w:val="center"/>
          </w:tcPr>
          <w:p w14:paraId="1ADFB8E9" w14:textId="645A5618" w:rsidR="00C00B5A" w:rsidRPr="00824ACE" w:rsidRDefault="00C00B5A" w:rsidP="00C00B5A">
            <w:pPr>
              <w:spacing w:before="40" w:after="20"/>
              <w:jc w:val="center"/>
              <w:rPr>
                <w:rFonts w:ascii="Arial Narrow" w:hAnsi="Arial Narrow" w:cs="Arial"/>
                <w:b/>
                <w:color w:val="FFFFFF" w:themeColor="background1"/>
                <w:sz w:val="18"/>
                <w:szCs w:val="18"/>
              </w:rPr>
            </w:pPr>
            <w:r w:rsidRPr="00D72DA7">
              <w:rPr>
                <w:rFonts w:ascii="Arial Narrow" w:hAnsi="Arial Narrow" w:cs="Arial"/>
                <w:b/>
                <w:color w:val="FFFFFF" w:themeColor="background1"/>
                <w:sz w:val="18"/>
                <w:szCs w:val="18"/>
              </w:rPr>
              <w:t>-1,4</w:t>
            </w:r>
          </w:p>
        </w:tc>
        <w:tc>
          <w:tcPr>
            <w:tcW w:w="1346" w:type="dxa"/>
            <w:shd w:val="clear" w:color="auto" w:fill="FF0000"/>
            <w:vAlign w:val="center"/>
          </w:tcPr>
          <w:p w14:paraId="13C573BA" w14:textId="0AF40746" w:rsidR="00C00B5A" w:rsidRPr="00824ACE" w:rsidRDefault="00C00B5A" w:rsidP="00C00B5A">
            <w:pPr>
              <w:spacing w:before="40" w:after="20"/>
              <w:jc w:val="center"/>
              <w:rPr>
                <w:rFonts w:ascii="Arial Narrow" w:hAnsi="Arial Narrow" w:cs="Arial"/>
                <w:b/>
                <w:color w:val="FFFFFF" w:themeColor="background1"/>
                <w:sz w:val="18"/>
                <w:szCs w:val="18"/>
              </w:rPr>
            </w:pPr>
            <w:r w:rsidRPr="00D72DA7">
              <w:rPr>
                <w:rFonts w:ascii="Arial Narrow" w:hAnsi="Arial Narrow" w:cs="Arial"/>
                <w:b/>
                <w:color w:val="FFFFFF" w:themeColor="background1"/>
                <w:sz w:val="18"/>
                <w:szCs w:val="18"/>
              </w:rPr>
              <w:t>+22,1</w:t>
            </w:r>
          </w:p>
        </w:tc>
      </w:tr>
    </w:tbl>
    <w:p w14:paraId="56F929F3" w14:textId="2DEA85A1" w:rsidR="00A84F05" w:rsidRDefault="00A84F05" w:rsidP="00537BEB">
      <w:pPr>
        <w:pStyle w:val="Corpodeltesto1"/>
        <w:spacing w:after="120"/>
        <w:jc w:val="left"/>
        <w:rPr>
          <w:rFonts w:ascii="Arial Narrow" w:hAnsi="Arial Narrow" w:cs="Arial"/>
          <w:b w:val="0"/>
          <w:color w:val="5F5F5F"/>
          <w:kern w:val="28"/>
          <w:sz w:val="20"/>
          <w:szCs w:val="20"/>
        </w:rPr>
      </w:pPr>
    </w:p>
    <w:p w14:paraId="55693B06" w14:textId="67E38B5C" w:rsidR="00C00B5A" w:rsidRPr="007E417B" w:rsidRDefault="00C00B5A" w:rsidP="00C00B5A">
      <w:pPr>
        <w:pStyle w:val="001TitoloBolocco"/>
        <w:pBdr>
          <w:bottom w:val="none" w:sz="0" w:space="0" w:color="auto"/>
        </w:pBdr>
        <w:spacing w:after="100"/>
        <w:rPr>
          <w:rFonts w:ascii="Arial" w:hAnsi="Arial" w:cs="Times New Roman"/>
          <w:b w:val="0"/>
          <w:bCs w:val="0"/>
          <w:caps w:val="0"/>
          <w:color w:val="auto"/>
          <w:kern w:val="28"/>
          <w:sz w:val="21"/>
          <w:szCs w:val="21"/>
        </w:rPr>
      </w:pPr>
      <w:r w:rsidRPr="007E417B">
        <w:rPr>
          <w:rFonts w:ascii="Arial" w:hAnsi="Arial" w:cs="Times New Roman"/>
          <w:b w:val="0"/>
          <w:bCs w:val="0"/>
          <w:caps w:val="0"/>
          <w:color w:val="auto"/>
          <w:kern w:val="28"/>
          <w:sz w:val="21"/>
          <w:szCs w:val="21"/>
        </w:rPr>
        <w:t>A</w:t>
      </w:r>
      <w:r>
        <w:rPr>
          <w:rFonts w:ascii="Arial" w:hAnsi="Arial" w:cs="Times New Roman"/>
          <w:b w:val="0"/>
          <w:bCs w:val="0"/>
          <w:caps w:val="0"/>
          <w:color w:val="auto"/>
          <w:kern w:val="28"/>
          <w:sz w:val="21"/>
          <w:szCs w:val="21"/>
        </w:rPr>
        <w:t>d ottobre</w:t>
      </w:r>
      <w:r w:rsidRPr="007E417B">
        <w:rPr>
          <w:rFonts w:ascii="Arial" w:hAnsi="Arial" w:cs="Times New Roman"/>
          <w:b w:val="0"/>
          <w:bCs w:val="0"/>
          <w:caps w:val="0"/>
          <w:color w:val="auto"/>
          <w:kern w:val="28"/>
          <w:sz w:val="21"/>
          <w:szCs w:val="21"/>
        </w:rPr>
        <w:t xml:space="preserve"> 2022 i prezzi all’importazione dei beni di consumo aumentano, rispet</w:t>
      </w:r>
      <w:r>
        <w:rPr>
          <w:rFonts w:ascii="Arial" w:hAnsi="Arial" w:cs="Times New Roman"/>
          <w:b w:val="0"/>
          <w:bCs w:val="0"/>
          <w:caps w:val="0"/>
          <w:color w:val="auto"/>
          <w:kern w:val="28"/>
          <w:sz w:val="21"/>
          <w:szCs w:val="21"/>
        </w:rPr>
        <w:t>to al mese precedente, dello 0,4% nel complesso (+0,4</w:t>
      </w:r>
      <w:r w:rsidRPr="007E417B">
        <w:rPr>
          <w:rFonts w:ascii="Arial" w:hAnsi="Arial" w:cs="Times New Roman"/>
          <w:b w:val="0"/>
          <w:bCs w:val="0"/>
          <w:caps w:val="0"/>
          <w:color w:val="auto"/>
          <w:kern w:val="28"/>
          <w:sz w:val="21"/>
          <w:szCs w:val="21"/>
        </w:rPr>
        <w:t>% Area euro, +0,2% Area non euro);</w:t>
      </w:r>
      <w:r>
        <w:rPr>
          <w:rFonts w:ascii="Arial" w:hAnsi="Arial" w:cs="Times New Roman"/>
          <w:b w:val="0"/>
          <w:bCs w:val="0"/>
          <w:caps w:val="0"/>
          <w:color w:val="auto"/>
          <w:kern w:val="28"/>
          <w:sz w:val="21"/>
          <w:szCs w:val="21"/>
        </w:rPr>
        <w:t xml:space="preserve"> su base annua, crescono del 9,3</w:t>
      </w:r>
      <w:r w:rsidRPr="007E417B">
        <w:rPr>
          <w:rFonts w:ascii="Arial" w:hAnsi="Arial" w:cs="Times New Roman"/>
          <w:b w:val="0"/>
          <w:bCs w:val="0"/>
          <w:caps w:val="0"/>
          <w:color w:val="auto"/>
          <w:kern w:val="28"/>
          <w:sz w:val="21"/>
          <w:szCs w:val="21"/>
        </w:rPr>
        <w:t>% per il mercato totale</w:t>
      </w:r>
      <w:r>
        <w:rPr>
          <w:rFonts w:ascii="Arial" w:hAnsi="Arial" w:cs="Times New Roman"/>
          <w:b w:val="0"/>
          <w:bCs w:val="0"/>
          <w:caps w:val="0"/>
          <w:color w:val="auto"/>
          <w:kern w:val="28"/>
          <w:sz w:val="21"/>
          <w:szCs w:val="21"/>
        </w:rPr>
        <w:t>, sintesi di incrementi del</w:t>
      </w:r>
      <w:r w:rsidR="00844FA0">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9,1% per l’Area euro e del 9,4</w:t>
      </w:r>
      <w:r w:rsidRPr="007E417B">
        <w:rPr>
          <w:rFonts w:ascii="Arial" w:hAnsi="Arial" w:cs="Times New Roman"/>
          <w:b w:val="0"/>
          <w:bCs w:val="0"/>
          <w:caps w:val="0"/>
          <w:color w:val="auto"/>
          <w:kern w:val="28"/>
          <w:sz w:val="21"/>
          <w:szCs w:val="21"/>
        </w:rPr>
        <w:t>% per l’Area non euro.</w:t>
      </w:r>
    </w:p>
    <w:p w14:paraId="410A4233" w14:textId="77777777" w:rsidR="00C00B5A" w:rsidRPr="007E417B" w:rsidRDefault="00C00B5A" w:rsidP="00C00B5A">
      <w:pPr>
        <w:pStyle w:val="001TitoloBolocco"/>
        <w:pBdr>
          <w:bottom w:val="none" w:sz="0" w:space="0" w:color="auto"/>
        </w:pBdr>
        <w:spacing w:after="100"/>
        <w:rPr>
          <w:rFonts w:ascii="Arial" w:hAnsi="Arial" w:cs="Times New Roman"/>
          <w:b w:val="0"/>
          <w:bCs w:val="0"/>
          <w:caps w:val="0"/>
          <w:color w:val="auto"/>
          <w:kern w:val="28"/>
          <w:sz w:val="21"/>
          <w:szCs w:val="21"/>
        </w:rPr>
      </w:pPr>
      <w:r w:rsidRPr="007E417B">
        <w:rPr>
          <w:rFonts w:ascii="Arial" w:hAnsi="Arial" w:cs="Times New Roman"/>
          <w:b w:val="0"/>
          <w:bCs w:val="0"/>
          <w:caps w:val="0"/>
          <w:color w:val="auto"/>
          <w:kern w:val="28"/>
          <w:sz w:val="21"/>
          <w:szCs w:val="21"/>
        </w:rPr>
        <w:t>I prezzi all’importazione dei beni strumentali a</w:t>
      </w:r>
      <w:r>
        <w:rPr>
          <w:rFonts w:ascii="Arial" w:hAnsi="Arial" w:cs="Times New Roman"/>
          <w:b w:val="0"/>
          <w:bCs w:val="0"/>
          <w:caps w:val="0"/>
          <w:color w:val="auto"/>
          <w:kern w:val="28"/>
          <w:sz w:val="21"/>
          <w:szCs w:val="21"/>
        </w:rPr>
        <w:t>umentano nel complesso dello 0,5% su base mensile (+0,4</w:t>
      </w:r>
      <w:r w:rsidRPr="007E417B">
        <w:rPr>
          <w:rFonts w:ascii="Arial" w:hAnsi="Arial" w:cs="Times New Roman"/>
          <w:b w:val="0"/>
          <w:bCs w:val="0"/>
          <w:caps w:val="0"/>
          <w:color w:val="auto"/>
          <w:kern w:val="28"/>
          <w:sz w:val="21"/>
          <w:szCs w:val="21"/>
        </w:rPr>
        <w:t>% Area euro, +0,6% Area non euro); in term</w:t>
      </w:r>
      <w:r>
        <w:rPr>
          <w:rFonts w:ascii="Arial" w:hAnsi="Arial" w:cs="Times New Roman"/>
          <w:b w:val="0"/>
          <w:bCs w:val="0"/>
          <w:caps w:val="0"/>
          <w:color w:val="auto"/>
          <w:kern w:val="28"/>
          <w:sz w:val="21"/>
          <w:szCs w:val="21"/>
        </w:rPr>
        <w:t>ini tendenziali crescono del 6,2% (+5,5% Area euro, +7,4</w:t>
      </w:r>
      <w:r w:rsidRPr="007E417B">
        <w:rPr>
          <w:rFonts w:ascii="Arial" w:hAnsi="Arial" w:cs="Times New Roman"/>
          <w:b w:val="0"/>
          <w:bCs w:val="0"/>
          <w:caps w:val="0"/>
          <w:color w:val="auto"/>
          <w:kern w:val="28"/>
          <w:sz w:val="21"/>
          <w:szCs w:val="21"/>
        </w:rPr>
        <w:t xml:space="preserve">% Area non euro). </w:t>
      </w:r>
    </w:p>
    <w:p w14:paraId="419A8362" w14:textId="7C92A32C" w:rsidR="00C00B5A" w:rsidRPr="007E417B" w:rsidRDefault="00C00B5A" w:rsidP="00C00B5A">
      <w:pPr>
        <w:pStyle w:val="001TitoloBolocco"/>
        <w:pBdr>
          <w:bottom w:val="none" w:sz="0" w:space="0" w:color="auto"/>
        </w:pBdr>
        <w:spacing w:after="0"/>
        <w:rPr>
          <w:rFonts w:ascii="Arial" w:hAnsi="Arial" w:cs="Times New Roman"/>
          <w:b w:val="0"/>
          <w:bCs w:val="0"/>
          <w:caps w:val="0"/>
          <w:color w:val="auto"/>
          <w:kern w:val="28"/>
          <w:sz w:val="21"/>
          <w:szCs w:val="21"/>
        </w:rPr>
      </w:pPr>
      <w:r w:rsidRPr="007E417B">
        <w:rPr>
          <w:rFonts w:ascii="Arial" w:hAnsi="Arial" w:cs="Times New Roman"/>
          <w:b w:val="0"/>
          <w:bCs w:val="0"/>
          <w:caps w:val="0"/>
          <w:color w:val="auto"/>
          <w:kern w:val="28"/>
          <w:sz w:val="21"/>
          <w:szCs w:val="21"/>
        </w:rPr>
        <w:t>Per quanto riguarda i beni intermedi, i prezzi all’importazione segnano, nel complesso, un</w:t>
      </w:r>
      <w:r w:rsidR="00844FA0">
        <w:rPr>
          <w:rFonts w:ascii="Arial" w:hAnsi="Arial" w:cs="Times New Roman"/>
          <w:b w:val="0"/>
          <w:bCs w:val="0"/>
          <w:caps w:val="0"/>
          <w:color w:val="auto"/>
          <w:kern w:val="28"/>
          <w:sz w:val="21"/>
          <w:szCs w:val="21"/>
        </w:rPr>
        <w:t xml:space="preserve"> calo </w:t>
      </w:r>
      <w:r>
        <w:rPr>
          <w:rFonts w:ascii="Arial" w:hAnsi="Arial" w:cs="Times New Roman"/>
          <w:b w:val="0"/>
          <w:bCs w:val="0"/>
          <w:caps w:val="0"/>
          <w:color w:val="auto"/>
          <w:kern w:val="28"/>
          <w:sz w:val="21"/>
          <w:szCs w:val="21"/>
        </w:rPr>
        <w:t>congiunturale dello 0,5% (-0,1% Area euro, -1,0</w:t>
      </w:r>
      <w:r w:rsidRPr="007E417B">
        <w:rPr>
          <w:rFonts w:ascii="Arial" w:hAnsi="Arial" w:cs="Times New Roman"/>
          <w:b w:val="0"/>
          <w:bCs w:val="0"/>
          <w:caps w:val="0"/>
          <w:color w:val="auto"/>
          <w:kern w:val="28"/>
          <w:sz w:val="21"/>
          <w:szCs w:val="21"/>
        </w:rPr>
        <w:t>% Area non euro). Su base a</w:t>
      </w:r>
      <w:r>
        <w:rPr>
          <w:rFonts w:ascii="Arial" w:hAnsi="Arial" w:cs="Times New Roman"/>
          <w:b w:val="0"/>
          <w:bCs w:val="0"/>
          <w:caps w:val="0"/>
          <w:color w:val="auto"/>
          <w:kern w:val="28"/>
          <w:sz w:val="21"/>
          <w:szCs w:val="21"/>
        </w:rPr>
        <w:t>nnua, i prezzi crescono del 12,4% per il mercato totale</w:t>
      </w:r>
      <w:r w:rsidR="00844FA0">
        <w:rPr>
          <w:rFonts w:ascii="Arial" w:hAnsi="Arial" w:cs="Times New Roman"/>
          <w:b w:val="0"/>
          <w:bCs w:val="0"/>
          <w:caps w:val="0"/>
          <w:color w:val="auto"/>
          <w:kern w:val="28"/>
          <w:sz w:val="21"/>
          <w:szCs w:val="21"/>
        </w:rPr>
        <w:t>, sintesi di incrementi di analoga entità per le due aree, euro e non euro.</w:t>
      </w:r>
    </w:p>
    <w:p w14:paraId="6BD59225" w14:textId="1FD52801" w:rsidR="007A6B65" w:rsidRDefault="007A6B65" w:rsidP="007A6B65">
      <w:pPr>
        <w:pStyle w:val="001TitoloBolocco"/>
        <w:pBdr>
          <w:bottom w:val="none" w:sz="0" w:space="0" w:color="auto"/>
        </w:pBdr>
        <w:spacing w:after="0"/>
        <w:rPr>
          <w:rFonts w:ascii="Arial" w:hAnsi="Arial" w:cs="Times New Roman"/>
          <w:b w:val="0"/>
          <w:bCs w:val="0"/>
          <w:caps w:val="0"/>
          <w:color w:val="auto"/>
          <w:kern w:val="28"/>
          <w:sz w:val="21"/>
          <w:szCs w:val="21"/>
        </w:rPr>
      </w:pPr>
    </w:p>
    <w:p w14:paraId="6B2927D4" w14:textId="77777777" w:rsidR="007A6B65" w:rsidRPr="00E71B50" w:rsidRDefault="007A6B65" w:rsidP="007A6B65">
      <w:pPr>
        <w:pStyle w:val="001TitoloBolocco"/>
        <w:spacing w:after="120" w:line="240" w:lineRule="auto"/>
      </w:pPr>
      <w:r w:rsidRPr="00E71B50">
        <w:t>settori di attività economica</w:t>
      </w:r>
    </w:p>
    <w:p w14:paraId="24E9F04B" w14:textId="77777777" w:rsidR="007A6B65" w:rsidRPr="00E2552F" w:rsidRDefault="007A6B65" w:rsidP="007A6B65">
      <w:pPr>
        <w:jc w:val="both"/>
        <w:rPr>
          <w:rFonts w:ascii="Arial Narrow" w:hAnsi="Arial Narrow" w:cs="Arial"/>
          <w:b/>
          <w:color w:val="E42618"/>
          <w:kern w:val="28"/>
          <w:sz w:val="22"/>
          <w:szCs w:val="22"/>
        </w:rPr>
      </w:pPr>
      <w:r w:rsidRPr="00E2552F">
        <w:rPr>
          <w:rFonts w:ascii="Arial Narrow" w:hAnsi="Arial Narrow" w:cs="Arial"/>
          <w:b/>
          <w:color w:val="E42618"/>
          <w:kern w:val="28"/>
          <w:sz w:val="22"/>
          <w:szCs w:val="22"/>
        </w:rPr>
        <w:t>FIGURA 1</w:t>
      </w:r>
      <w:r>
        <w:rPr>
          <w:rFonts w:ascii="Arial Narrow" w:hAnsi="Arial Narrow" w:cs="Arial"/>
          <w:b/>
          <w:color w:val="E42618"/>
          <w:kern w:val="28"/>
          <w:sz w:val="22"/>
          <w:szCs w:val="22"/>
        </w:rPr>
        <w:t>1</w:t>
      </w:r>
      <w:r w:rsidRPr="00E2552F">
        <w:rPr>
          <w:rFonts w:ascii="Arial Narrow" w:hAnsi="Arial Narrow" w:cs="Arial"/>
          <w:b/>
          <w:color w:val="E42618"/>
          <w:kern w:val="28"/>
          <w:sz w:val="22"/>
          <w:szCs w:val="22"/>
        </w:rPr>
        <w:t xml:space="preserve">. </w:t>
      </w:r>
      <w:r w:rsidRPr="006218A7">
        <w:rPr>
          <w:rFonts w:ascii="Arial Narrow" w:hAnsi="Arial Narrow" w:cs="Arial"/>
          <w:b/>
          <w:color w:val="5F5F5F"/>
          <w:sz w:val="22"/>
          <w:szCs w:val="22"/>
        </w:rPr>
        <w:t>PREZZI ALL’IMPORTAZIONE PER SETTORE DI ATTIVITÀ ECONOMICA</w:t>
      </w:r>
    </w:p>
    <w:p w14:paraId="3DB445E3" w14:textId="27D9EF15" w:rsidR="007A6B65" w:rsidRDefault="00024474" w:rsidP="007A6B65">
      <w:pPr>
        <w:pStyle w:val="Corpodeltesto1"/>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Ottobre</w:t>
      </w:r>
      <w:r w:rsidR="007A6B65" w:rsidRPr="00E2552F">
        <w:rPr>
          <w:rFonts w:ascii="Arial Narrow" w:hAnsi="Arial Narrow" w:cs="Arial"/>
          <w:b w:val="0"/>
          <w:color w:val="5F5F5F"/>
          <w:kern w:val="28"/>
          <w:sz w:val="20"/>
          <w:szCs w:val="20"/>
        </w:rPr>
        <w:t xml:space="preserve"> 202</w:t>
      </w:r>
      <w:r w:rsidR="007A6B65">
        <w:rPr>
          <w:rFonts w:ascii="Arial Narrow" w:hAnsi="Arial Narrow" w:cs="Arial"/>
          <w:b w:val="0"/>
          <w:color w:val="5F5F5F"/>
          <w:kern w:val="28"/>
          <w:sz w:val="20"/>
          <w:szCs w:val="20"/>
        </w:rPr>
        <w:t>2</w:t>
      </w:r>
      <w:r w:rsidR="007A6B65" w:rsidRPr="00E2552F">
        <w:rPr>
          <w:rFonts w:ascii="Arial Narrow" w:hAnsi="Arial Narrow" w:cs="Arial"/>
          <w:b w:val="0"/>
          <w:color w:val="5F5F5F"/>
          <w:kern w:val="28"/>
          <w:sz w:val="20"/>
          <w:szCs w:val="20"/>
        </w:rPr>
        <w:t>, variazioni percentuali tendenziali (base 2015=100)</w:t>
      </w:r>
    </w:p>
    <w:p w14:paraId="16163FCE" w14:textId="70EC060D" w:rsidR="00A84F05" w:rsidRDefault="00C00B5A" w:rsidP="002D3666">
      <w:pPr>
        <w:pStyle w:val="Corpodeltesto1"/>
        <w:spacing w:after="60"/>
        <w:jc w:val="left"/>
        <w:rPr>
          <w:rFonts w:ascii="Arial Narrow" w:hAnsi="Arial Narrow" w:cs="Arial"/>
          <w:b w:val="0"/>
          <w:color w:val="5F5F5F"/>
          <w:kern w:val="28"/>
          <w:sz w:val="20"/>
          <w:szCs w:val="20"/>
        </w:rPr>
      </w:pPr>
      <w:r>
        <w:rPr>
          <w:noProof/>
        </w:rPr>
        <w:drawing>
          <wp:inline distT="0" distB="0" distL="0" distR="0" wp14:anchorId="29B11E3B" wp14:editId="5DF513E5">
            <wp:extent cx="6660000" cy="2160000"/>
            <wp:effectExtent l="0" t="0" r="762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7388FD" w14:textId="68AB4B88" w:rsidR="00E05DFF" w:rsidRPr="00E05DFF" w:rsidRDefault="00E05DFF" w:rsidP="00E05DFF">
      <w:pPr>
        <w:jc w:val="both"/>
        <w:rPr>
          <w:rFonts w:ascii="Arial Narrow" w:hAnsi="Arial Narrow" w:cs="Arial"/>
          <w:color w:val="000000"/>
          <w:sz w:val="15"/>
          <w:szCs w:val="15"/>
        </w:rPr>
      </w:pPr>
      <w:r>
        <w:rPr>
          <w:rFonts w:ascii="Arial Narrow" w:hAnsi="Arial Narrow" w:cs="Calibri"/>
          <w:sz w:val="15"/>
          <w:szCs w:val="15"/>
        </w:rPr>
        <w:t>Codifiche</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Pr>
          <w:rFonts w:ascii="Arial Narrow" w:hAnsi="Arial Narrow" w:cs="Calibri"/>
          <w:sz w:val="15"/>
          <w:szCs w:val="15"/>
        </w:rPr>
        <w:t xml:space="preserve"> </w:t>
      </w:r>
      <w:r w:rsidRPr="00E05DFF">
        <w:rPr>
          <w:rFonts w:ascii="Arial Narrow" w:hAnsi="Arial Narrow" w:cs="Arial"/>
          <w:color w:val="000000"/>
          <w:sz w:val="15"/>
          <w:szCs w:val="15"/>
        </w:rPr>
        <w:t>CA - Industrie alimentari, bevande e tabacco; CB - Industrie tessili, abbigliamento, pelli e accessori; CC - Industria del legno, della carta e stampa; CD - Fabbricazione di coke e prodotti petroliferi raffinati; CE - Fabbricazione di prodotti chimici; CF - Produzione di prodotti farmaceutici di base e preparati farmaceutici; CG - Fabbricazione di articoli in gomma e materie plastiche, altri prodotti della lavorazione di minerali non metalliferi; CH - Metallurgia e fabbricazione di prodotti in metallo (esclusi macchine e impianti); CI - Fabbricazione di computer, prodotti di elettronica e ottica, apparecchi elettromedicali, apparecchi di misurazione e orologi; CJ - Fabbricazione di apparecchiature elettriche e apparecchiature per uso domestico non elettriche; CK - Fabbricazione di macchinari e attrezzature n.c.a.; CL - Fabbricazione di mezzi di trasporto; CM - Altre industrie manifatturiere, riparazione e installazione di macchine e apparecchiature.</w:t>
      </w:r>
    </w:p>
    <w:p w14:paraId="6B72D06C" w14:textId="77777777" w:rsidR="00123742" w:rsidRPr="00505B4F" w:rsidRDefault="00123742" w:rsidP="00391ADB">
      <w:pPr>
        <w:jc w:val="both"/>
        <w:rPr>
          <w:rFonts w:ascii="Arial" w:hAnsi="Arial" w:cs="Arial"/>
          <w:color w:val="000000"/>
          <w:sz w:val="6"/>
          <w:szCs w:val="16"/>
        </w:rPr>
      </w:pPr>
    </w:p>
    <w:p w14:paraId="7492DEA3" w14:textId="77F4AF63" w:rsidR="00DF597A" w:rsidRDefault="00DF597A" w:rsidP="00A84F05">
      <w:pPr>
        <w:jc w:val="both"/>
        <w:rPr>
          <w:rFonts w:ascii="Arial" w:hAnsi="Arial" w:cs="Arial"/>
          <w:color w:val="000000"/>
          <w:sz w:val="21"/>
          <w:szCs w:val="21"/>
        </w:rPr>
      </w:pPr>
    </w:p>
    <w:p w14:paraId="00F95876" w14:textId="77777777" w:rsidR="00DF597A" w:rsidRDefault="00DF597A" w:rsidP="00A84F05">
      <w:pPr>
        <w:jc w:val="both"/>
        <w:rPr>
          <w:rFonts w:ascii="Arial" w:hAnsi="Arial" w:cs="Arial"/>
          <w:color w:val="000000"/>
          <w:sz w:val="21"/>
          <w:szCs w:val="21"/>
        </w:rPr>
      </w:pPr>
    </w:p>
    <w:p w14:paraId="4D2674BF" w14:textId="77777777" w:rsidR="00DF597A" w:rsidRDefault="00DF597A" w:rsidP="00A84F05">
      <w:pPr>
        <w:jc w:val="both"/>
        <w:rPr>
          <w:rFonts w:ascii="Arial" w:hAnsi="Arial" w:cs="Arial"/>
          <w:color w:val="000000"/>
          <w:sz w:val="21"/>
          <w:szCs w:val="21"/>
        </w:rPr>
      </w:pPr>
    </w:p>
    <w:p w14:paraId="0D74E919" w14:textId="77777777" w:rsidR="00435E9A" w:rsidRDefault="00435E9A" w:rsidP="00435E9A">
      <w:pPr>
        <w:jc w:val="both"/>
        <w:rPr>
          <w:rFonts w:ascii="Arial" w:hAnsi="Arial" w:cs="Arial"/>
          <w:color w:val="000000"/>
          <w:sz w:val="21"/>
          <w:szCs w:val="21"/>
        </w:rPr>
      </w:pPr>
    </w:p>
    <w:p w14:paraId="13906826" w14:textId="77777777" w:rsidR="00435E9A" w:rsidRDefault="00435E9A" w:rsidP="00435E9A">
      <w:pPr>
        <w:jc w:val="both"/>
        <w:rPr>
          <w:rFonts w:ascii="Arial" w:hAnsi="Arial" w:cs="Arial"/>
          <w:color w:val="000000"/>
          <w:sz w:val="21"/>
          <w:szCs w:val="21"/>
        </w:rPr>
      </w:pPr>
    </w:p>
    <w:p w14:paraId="6AD862E3" w14:textId="77777777" w:rsidR="00E741B5" w:rsidRDefault="00E741B5" w:rsidP="00A61CF8">
      <w:pPr>
        <w:jc w:val="both"/>
        <w:rPr>
          <w:rFonts w:ascii="Arial" w:hAnsi="Arial" w:cs="Arial"/>
          <w:color w:val="000000"/>
          <w:sz w:val="21"/>
          <w:szCs w:val="21"/>
        </w:rPr>
      </w:pPr>
    </w:p>
    <w:p w14:paraId="1091E37E" w14:textId="227A32B3" w:rsidR="00C00B5A" w:rsidRPr="007E417B" w:rsidRDefault="00C00B5A" w:rsidP="00C00B5A">
      <w:pPr>
        <w:jc w:val="both"/>
        <w:rPr>
          <w:rFonts w:ascii="Arial" w:hAnsi="Arial" w:cs="Arial"/>
          <w:b/>
          <w:spacing w:val="-3"/>
        </w:rPr>
      </w:pPr>
      <w:r w:rsidRPr="007E417B">
        <w:rPr>
          <w:rFonts w:ascii="Arial" w:hAnsi="Arial" w:cs="Arial"/>
          <w:sz w:val="21"/>
          <w:szCs w:val="21"/>
        </w:rPr>
        <w:t xml:space="preserve">I prezzi all’importazione segnano incrementi tendenziali in tutti i settori manifatturieri, a esclusione di quello </w:t>
      </w:r>
      <w:r w:rsidRPr="00AA452A">
        <w:rPr>
          <w:rFonts w:ascii="Arial" w:hAnsi="Arial" w:cs="Arial"/>
          <w:sz w:val="21"/>
          <w:szCs w:val="21"/>
        </w:rPr>
        <w:t>della produzione di prodotti farmaceutici di base e preparati farmaceutici con riguardo all’Area non euro (-0,5%). Gli incrementi più elevati interessano fabbricazione di coke e prodotti petroliferi raffinati (+23,1% Area euro</w:t>
      </w:r>
      <w:r>
        <w:rPr>
          <w:rFonts w:ascii="Arial" w:hAnsi="Arial" w:cs="Arial"/>
          <w:sz w:val="21"/>
          <w:szCs w:val="21"/>
        </w:rPr>
        <w:t xml:space="preserve">, </w:t>
      </w:r>
      <w:r w:rsidRPr="00AA452A">
        <w:rPr>
          <w:rFonts w:ascii="Arial" w:hAnsi="Arial" w:cs="Arial"/>
          <w:sz w:val="21"/>
          <w:szCs w:val="21"/>
        </w:rPr>
        <w:t xml:space="preserve">+30,5% Area </w:t>
      </w:r>
      <w:r>
        <w:rPr>
          <w:rFonts w:ascii="Arial" w:hAnsi="Arial" w:cs="Arial"/>
          <w:sz w:val="21"/>
          <w:szCs w:val="21"/>
        </w:rPr>
        <w:t>non euro</w:t>
      </w:r>
      <w:r w:rsidRPr="00AA452A">
        <w:rPr>
          <w:rFonts w:ascii="Arial" w:hAnsi="Arial" w:cs="Arial"/>
          <w:sz w:val="21"/>
          <w:szCs w:val="21"/>
        </w:rPr>
        <w:t>), industria del legno, della carta e stampa (+28,8% Area euro, +24,0% Area non euro), industrie alimentari, bevande e tabacco (+16,4% Area euro, +16,7% Area non euro)</w:t>
      </w:r>
      <w:r w:rsidR="00844FA0">
        <w:rPr>
          <w:rFonts w:ascii="Arial" w:hAnsi="Arial" w:cs="Arial"/>
          <w:sz w:val="21"/>
          <w:szCs w:val="21"/>
        </w:rPr>
        <w:t>, fabbricazione di articoli in gomma e materie plastiche, altri prodotti della lavorazione di minerali non metalliferi (+14,1% Area euro)</w:t>
      </w:r>
      <w:r w:rsidRPr="00AA452A">
        <w:rPr>
          <w:rFonts w:ascii="Arial" w:hAnsi="Arial" w:cs="Arial"/>
          <w:sz w:val="21"/>
          <w:szCs w:val="21"/>
        </w:rPr>
        <w:t xml:space="preserve"> e fabbricazione di prodotti chimici (+13,8% Area euro, +12,9% Area non euro).</w:t>
      </w:r>
    </w:p>
    <w:p w14:paraId="019C64F7" w14:textId="77777777" w:rsidR="00BD2C14" w:rsidRDefault="00BD2C14"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BD2C14" w:rsidSect="009B2E91">
          <w:headerReference w:type="default" r:id="rId34"/>
          <w:pgSz w:w="11907" w:h="16840" w:code="9"/>
          <w:pgMar w:top="1534" w:right="851" w:bottom="680" w:left="851" w:header="567" w:footer="567" w:gutter="0"/>
          <w:cols w:space="720"/>
          <w:noEndnote/>
          <w:docGrid w:linePitch="272"/>
        </w:sectPr>
      </w:pPr>
    </w:p>
    <w:p w14:paraId="2CC81382" w14:textId="77777777" w:rsidR="00FE069A" w:rsidRDefault="00FE069A" w:rsidP="00010C7B">
      <w:pPr>
        <w:ind w:right="57"/>
        <w:jc w:val="both"/>
        <w:rPr>
          <w:rFonts w:ascii="Arial Narrow" w:hAnsi="Arial Narrow" w:cs="Arial"/>
          <w:b/>
          <w:color w:val="E42618"/>
          <w:sz w:val="22"/>
          <w:szCs w:val="22"/>
        </w:rPr>
      </w:pPr>
    </w:p>
    <w:p w14:paraId="21E84998" w14:textId="052FE837" w:rsidR="007E417B" w:rsidRPr="00AD4483" w:rsidRDefault="007E417B" w:rsidP="007E417B">
      <w:pPr>
        <w:ind w:right="57"/>
        <w:jc w:val="both"/>
        <w:rPr>
          <w:rFonts w:ascii="Arial Narrow" w:hAnsi="Arial Narrow" w:cs="Arial"/>
          <w:b/>
          <w:color w:val="5F5F5F"/>
          <w:sz w:val="22"/>
          <w:szCs w:val="22"/>
        </w:rPr>
      </w:pPr>
      <w:r w:rsidRPr="00AD4483">
        <w:rPr>
          <w:rFonts w:ascii="Arial Narrow" w:hAnsi="Arial Narrow" w:cs="Arial"/>
          <w:b/>
          <w:color w:val="E42618"/>
          <w:sz w:val="22"/>
          <w:szCs w:val="22"/>
        </w:rPr>
        <w:t>PROSPETTO 6</w:t>
      </w:r>
      <w:r>
        <w:rPr>
          <w:rFonts w:ascii="Arial Narrow" w:hAnsi="Arial Narrow" w:cs="Arial"/>
          <w:b/>
          <w:color w:val="E42618"/>
          <w:sz w:val="22"/>
          <w:szCs w:val="22"/>
        </w:rPr>
        <w:t>.</w:t>
      </w:r>
      <w:r w:rsidRPr="00AD4483">
        <w:rPr>
          <w:rFonts w:ascii="Arial Narrow" w:hAnsi="Arial Narrow" w:cs="Arial"/>
          <w:b/>
          <w:color w:val="5F5F5F"/>
        </w:rPr>
        <w:t xml:space="preserve"> </w:t>
      </w:r>
      <w:r w:rsidRPr="00AD4483">
        <w:rPr>
          <w:rFonts w:ascii="Arial Narrow" w:hAnsi="Arial Narrow" w:cs="Arial"/>
          <w:b/>
          <w:color w:val="5F5F5F"/>
          <w:sz w:val="22"/>
          <w:szCs w:val="22"/>
        </w:rPr>
        <w:t>ESPORTAZIONI E IMPORTAZIONI DI MERCI IN VALORE</w:t>
      </w:r>
    </w:p>
    <w:p w14:paraId="675C03E3" w14:textId="2691D72E" w:rsidR="007E417B" w:rsidRPr="00FF4F6A" w:rsidRDefault="0009393D" w:rsidP="007E417B">
      <w:pPr>
        <w:pStyle w:val="Corpodeltesto1"/>
        <w:spacing w:after="12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Ottobre</w:t>
      </w:r>
      <w:r w:rsidR="007E417B">
        <w:rPr>
          <w:rFonts w:ascii="Arial Narrow" w:hAnsi="Arial Narrow" w:cs="Arial"/>
          <w:b w:val="0"/>
          <w:color w:val="5F5F5F"/>
          <w:kern w:val="28"/>
          <w:sz w:val="20"/>
          <w:szCs w:val="20"/>
        </w:rPr>
        <w:t xml:space="preserve"> 2022</w:t>
      </w:r>
      <w:r w:rsidR="007E417B" w:rsidRPr="00AD4483">
        <w:rPr>
          <w:rFonts w:ascii="Arial Narrow" w:hAnsi="Arial Narrow" w:cs="Arial"/>
          <w:b w:val="0"/>
          <w:color w:val="5F5F5F"/>
          <w:kern w:val="28"/>
          <w:sz w:val="20"/>
          <w:szCs w:val="20"/>
        </w:rPr>
        <w:t>, revisioni delle variazioni percentuali, differenze in punti percentuali</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458"/>
        <w:gridCol w:w="1456"/>
        <w:gridCol w:w="1456"/>
        <w:gridCol w:w="1410"/>
        <w:gridCol w:w="1531"/>
        <w:gridCol w:w="1426"/>
        <w:gridCol w:w="1469"/>
      </w:tblGrid>
      <w:tr w:rsidR="007E417B" w:rsidRPr="001C01EA" w14:paraId="70A9078D" w14:textId="77777777" w:rsidTr="007E417B">
        <w:trPr>
          <w:trHeight w:val="255"/>
        </w:trPr>
        <w:tc>
          <w:tcPr>
            <w:tcW w:w="1458" w:type="dxa"/>
            <w:tcBorders>
              <w:bottom w:val="nil"/>
            </w:tcBorders>
            <w:shd w:val="clear" w:color="auto" w:fill="auto"/>
            <w:vAlign w:val="center"/>
          </w:tcPr>
          <w:p w14:paraId="500E1A18" w14:textId="77777777" w:rsidR="007E417B" w:rsidRPr="001C01EA" w:rsidRDefault="007E417B" w:rsidP="007E417B">
            <w:pPr>
              <w:spacing w:before="40" w:after="20"/>
              <w:ind w:firstLine="142"/>
              <w:jc w:val="center"/>
              <w:rPr>
                <w:rFonts w:ascii="Arial Narrow" w:hAnsi="Arial Narrow" w:cs="Arial"/>
                <w:b/>
                <w:bCs/>
                <w:sz w:val="18"/>
                <w:szCs w:val="18"/>
              </w:rPr>
            </w:pPr>
          </w:p>
        </w:tc>
        <w:tc>
          <w:tcPr>
            <w:tcW w:w="2912" w:type="dxa"/>
            <w:gridSpan w:val="2"/>
            <w:tcBorders>
              <w:bottom w:val="single" w:sz="4" w:space="0" w:color="333333"/>
            </w:tcBorders>
            <w:shd w:val="clear" w:color="auto" w:fill="E6E6E6"/>
            <w:vAlign w:val="center"/>
          </w:tcPr>
          <w:p w14:paraId="480BE382" w14:textId="77777777" w:rsidR="007E417B" w:rsidRPr="001C01EA" w:rsidRDefault="007E417B" w:rsidP="007E417B">
            <w:pPr>
              <w:spacing w:before="40" w:after="20"/>
              <w:ind w:firstLine="142"/>
              <w:jc w:val="center"/>
              <w:rPr>
                <w:rFonts w:ascii="Arial Narrow" w:hAnsi="Arial Narrow" w:cs="Arial"/>
                <w:b/>
                <w:bCs/>
                <w:sz w:val="18"/>
                <w:szCs w:val="18"/>
              </w:rPr>
            </w:pPr>
            <w:r w:rsidRPr="001C01EA">
              <w:rPr>
                <w:rFonts w:ascii="Arial Narrow" w:hAnsi="Arial Narrow" w:cs="Arial"/>
                <w:b/>
                <w:bCs/>
                <w:sz w:val="18"/>
                <w:szCs w:val="18"/>
              </w:rPr>
              <w:t>Mondo</w:t>
            </w:r>
          </w:p>
        </w:tc>
        <w:tc>
          <w:tcPr>
            <w:tcW w:w="2941" w:type="dxa"/>
            <w:gridSpan w:val="2"/>
            <w:tcBorders>
              <w:bottom w:val="single" w:sz="4" w:space="0" w:color="333333"/>
            </w:tcBorders>
            <w:vAlign w:val="center"/>
          </w:tcPr>
          <w:p w14:paraId="0B23D56F" w14:textId="77777777" w:rsidR="007E417B" w:rsidRPr="001C01EA" w:rsidRDefault="007E417B" w:rsidP="007E417B">
            <w:pPr>
              <w:spacing w:before="40" w:after="20"/>
              <w:jc w:val="center"/>
              <w:rPr>
                <w:rFonts w:ascii="Arial Narrow" w:hAnsi="Arial Narrow" w:cs="Arial"/>
                <w:b/>
                <w:bCs/>
                <w:sz w:val="18"/>
                <w:szCs w:val="18"/>
              </w:rPr>
            </w:pPr>
            <w:r w:rsidRPr="001C01EA">
              <w:rPr>
                <w:rFonts w:ascii="Arial Narrow" w:hAnsi="Arial Narrow" w:cs="Arial"/>
                <w:b/>
                <w:bCs/>
                <w:sz w:val="18"/>
                <w:szCs w:val="18"/>
              </w:rPr>
              <w:t xml:space="preserve">Paesi </w:t>
            </w:r>
            <w:r w:rsidRPr="00C00E9F">
              <w:rPr>
                <w:rFonts w:ascii="Arial Narrow" w:hAnsi="Arial Narrow" w:cs="Arial"/>
                <w:b/>
                <w:bCs/>
                <w:sz w:val="18"/>
                <w:szCs w:val="18"/>
              </w:rPr>
              <w:t xml:space="preserve">Ue27 </w:t>
            </w:r>
          </w:p>
        </w:tc>
        <w:tc>
          <w:tcPr>
            <w:tcW w:w="2895" w:type="dxa"/>
            <w:gridSpan w:val="2"/>
            <w:tcBorders>
              <w:bottom w:val="single" w:sz="4" w:space="0" w:color="333333"/>
            </w:tcBorders>
            <w:shd w:val="clear" w:color="auto" w:fill="E6E6E6"/>
            <w:vAlign w:val="center"/>
          </w:tcPr>
          <w:p w14:paraId="78BFC9AE" w14:textId="77777777" w:rsidR="007E417B" w:rsidRPr="001C01EA" w:rsidRDefault="007E417B" w:rsidP="007E417B">
            <w:pPr>
              <w:spacing w:before="40" w:after="20"/>
              <w:jc w:val="center"/>
              <w:rPr>
                <w:rFonts w:ascii="Arial Narrow" w:hAnsi="Arial Narrow" w:cs="Arial"/>
                <w:b/>
                <w:bCs/>
                <w:sz w:val="18"/>
                <w:szCs w:val="18"/>
              </w:rPr>
            </w:pPr>
            <w:r w:rsidRPr="001C01EA">
              <w:rPr>
                <w:rFonts w:ascii="Arial Narrow" w:hAnsi="Arial Narrow" w:cs="Arial"/>
                <w:b/>
                <w:bCs/>
                <w:sz w:val="18"/>
                <w:szCs w:val="18"/>
              </w:rPr>
              <w:t>Paesi extra Ue</w:t>
            </w:r>
            <w:r>
              <w:rPr>
                <w:rFonts w:ascii="Arial Narrow" w:hAnsi="Arial Narrow" w:cs="Arial"/>
                <w:b/>
                <w:bCs/>
                <w:sz w:val="18"/>
                <w:szCs w:val="18"/>
              </w:rPr>
              <w:t>27</w:t>
            </w:r>
          </w:p>
        </w:tc>
      </w:tr>
      <w:tr w:rsidR="007E417B" w:rsidRPr="001C01EA" w14:paraId="5933333F" w14:textId="77777777" w:rsidTr="007E417B">
        <w:trPr>
          <w:trHeight w:val="255"/>
        </w:trPr>
        <w:tc>
          <w:tcPr>
            <w:tcW w:w="1458" w:type="dxa"/>
            <w:tcBorders>
              <w:top w:val="nil"/>
              <w:bottom w:val="nil"/>
            </w:tcBorders>
            <w:shd w:val="clear" w:color="auto" w:fill="auto"/>
            <w:vAlign w:val="center"/>
          </w:tcPr>
          <w:p w14:paraId="1F93A96E" w14:textId="77777777" w:rsidR="007E417B" w:rsidRPr="001C01EA" w:rsidRDefault="007E417B" w:rsidP="007E417B">
            <w:pPr>
              <w:spacing w:before="40" w:after="20"/>
              <w:jc w:val="center"/>
              <w:rPr>
                <w:rFonts w:ascii="Arial Narrow" w:hAnsi="Arial Narrow" w:cs="Arial"/>
                <w:bCs/>
                <w:sz w:val="18"/>
                <w:szCs w:val="18"/>
              </w:rPr>
            </w:pPr>
          </w:p>
        </w:tc>
        <w:tc>
          <w:tcPr>
            <w:tcW w:w="1456" w:type="dxa"/>
            <w:shd w:val="clear" w:color="auto" w:fill="E6E6E6"/>
            <w:vAlign w:val="center"/>
          </w:tcPr>
          <w:p w14:paraId="7ED7A884"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56" w:type="dxa"/>
            <w:vAlign w:val="center"/>
          </w:tcPr>
          <w:p w14:paraId="3268BBB4"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10" w:type="dxa"/>
            <w:shd w:val="clear" w:color="auto" w:fill="E6E6E6"/>
            <w:vAlign w:val="center"/>
          </w:tcPr>
          <w:p w14:paraId="76F5A3A8"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531" w:type="dxa"/>
            <w:vAlign w:val="center"/>
          </w:tcPr>
          <w:p w14:paraId="489457DF"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26" w:type="dxa"/>
            <w:shd w:val="clear" w:color="auto" w:fill="E6E6E6"/>
            <w:vAlign w:val="center"/>
          </w:tcPr>
          <w:p w14:paraId="7DFBD8F4"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69" w:type="dxa"/>
            <w:vAlign w:val="center"/>
          </w:tcPr>
          <w:p w14:paraId="41BF0BC4" w14:textId="77777777" w:rsidR="007E417B" w:rsidRPr="001C01EA" w:rsidRDefault="007E417B" w:rsidP="007E417B">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7E417B" w:rsidRPr="001C01EA" w14:paraId="25063383" w14:textId="77777777" w:rsidTr="007E417B">
        <w:trPr>
          <w:trHeight w:val="255"/>
        </w:trPr>
        <w:tc>
          <w:tcPr>
            <w:tcW w:w="10206" w:type="dxa"/>
            <w:gridSpan w:val="7"/>
            <w:shd w:val="clear" w:color="auto" w:fill="FFFFFF"/>
            <w:vAlign w:val="center"/>
          </w:tcPr>
          <w:p w14:paraId="1C41D7F3" w14:textId="28C2E807" w:rsidR="007E417B" w:rsidRPr="00010C7B" w:rsidRDefault="0009393D" w:rsidP="007E417B">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Ottobre</w:t>
            </w:r>
            <w:r w:rsidR="007E417B" w:rsidRPr="00271F9E">
              <w:rPr>
                <w:rFonts w:ascii="Arial Narrow" w:hAnsi="Arial Narrow" w:cs="Arial Narrow"/>
                <w:b/>
                <w:color w:val="000000"/>
                <w:sz w:val="18"/>
                <w:szCs w:val="18"/>
              </w:rPr>
              <w:t xml:space="preserve"> </w:t>
            </w:r>
            <w:r w:rsidR="007E417B">
              <w:rPr>
                <w:rFonts w:ascii="Arial Narrow" w:hAnsi="Arial Narrow" w:cs="Arial Narrow"/>
                <w:b/>
                <w:color w:val="000000"/>
                <w:sz w:val="18"/>
                <w:szCs w:val="18"/>
              </w:rPr>
              <w:t>2022</w:t>
            </w:r>
          </w:p>
        </w:tc>
      </w:tr>
      <w:tr w:rsidR="00BC18C0" w:rsidRPr="008C0651" w14:paraId="3693721A" w14:textId="77777777" w:rsidTr="007E417B">
        <w:trPr>
          <w:trHeight w:val="255"/>
        </w:trPr>
        <w:tc>
          <w:tcPr>
            <w:tcW w:w="1458" w:type="dxa"/>
            <w:shd w:val="clear" w:color="auto" w:fill="E6E6E6"/>
            <w:vAlign w:val="center"/>
          </w:tcPr>
          <w:p w14:paraId="79F2DED6"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755BA50F"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57D83140"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1BE64762"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6C4D39FD"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69B6925F" w14:textId="26F59B3E" w:rsidR="00BC18C0" w:rsidRDefault="00BC18C0" w:rsidP="00BC18C0">
            <w:pPr>
              <w:jc w:val="center"/>
              <w:rPr>
                <w:rFonts w:ascii="Arial Narrow" w:hAnsi="Arial Narrow"/>
                <w:color w:val="000000"/>
                <w:sz w:val="18"/>
                <w:szCs w:val="18"/>
              </w:rPr>
            </w:pPr>
            <w:r>
              <w:rPr>
                <w:rFonts w:ascii="Arial Narrow" w:hAnsi="Arial Narrow"/>
                <w:color w:val="000000"/>
                <w:sz w:val="18"/>
                <w:szCs w:val="18"/>
              </w:rPr>
              <w:t>+0,2</w:t>
            </w:r>
          </w:p>
        </w:tc>
        <w:tc>
          <w:tcPr>
            <w:tcW w:w="1469" w:type="dxa"/>
            <w:vAlign w:val="center"/>
          </w:tcPr>
          <w:p w14:paraId="1C1A4345" w14:textId="3C778642" w:rsidR="00BC18C0" w:rsidRDefault="00BC18C0" w:rsidP="00BC18C0">
            <w:pPr>
              <w:jc w:val="center"/>
              <w:rPr>
                <w:rFonts w:ascii="Arial Narrow" w:hAnsi="Arial Narrow"/>
                <w:color w:val="000000"/>
                <w:sz w:val="18"/>
                <w:szCs w:val="18"/>
              </w:rPr>
            </w:pPr>
            <w:r>
              <w:rPr>
                <w:rFonts w:ascii="Arial Narrow" w:hAnsi="Arial Narrow"/>
                <w:color w:val="000000"/>
                <w:sz w:val="18"/>
                <w:szCs w:val="18"/>
              </w:rPr>
              <w:t>0,0</w:t>
            </w:r>
          </w:p>
        </w:tc>
      </w:tr>
      <w:tr w:rsidR="00BC18C0" w:rsidRPr="008C0651" w14:paraId="618DC63C" w14:textId="77777777" w:rsidTr="007E417B">
        <w:trPr>
          <w:trHeight w:val="255"/>
        </w:trPr>
        <w:tc>
          <w:tcPr>
            <w:tcW w:w="1458" w:type="dxa"/>
            <w:shd w:val="clear" w:color="auto" w:fill="E6E6E6"/>
            <w:vAlign w:val="center"/>
          </w:tcPr>
          <w:p w14:paraId="518D2696"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2F0E2BD9"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4DB4F820"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329FCABA"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37311903"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719960F4" w14:textId="03441D1A" w:rsidR="00BC18C0" w:rsidRDefault="00BC18C0" w:rsidP="00BC18C0">
            <w:pPr>
              <w:jc w:val="center"/>
              <w:rPr>
                <w:rFonts w:ascii="Arial Narrow" w:hAnsi="Arial Narrow"/>
                <w:color w:val="000000"/>
                <w:sz w:val="18"/>
                <w:szCs w:val="18"/>
              </w:rPr>
            </w:pPr>
            <w:r>
              <w:rPr>
                <w:rFonts w:ascii="Arial Narrow" w:hAnsi="Arial Narrow"/>
                <w:color w:val="000000"/>
                <w:sz w:val="18"/>
                <w:szCs w:val="18"/>
              </w:rPr>
              <w:t>+1,1</w:t>
            </w:r>
          </w:p>
        </w:tc>
        <w:tc>
          <w:tcPr>
            <w:tcW w:w="1469" w:type="dxa"/>
            <w:vAlign w:val="center"/>
          </w:tcPr>
          <w:p w14:paraId="24295AD1" w14:textId="64C1FFDD" w:rsidR="00BC18C0" w:rsidRDefault="00BC18C0" w:rsidP="00BC18C0">
            <w:pPr>
              <w:jc w:val="center"/>
              <w:rPr>
                <w:rFonts w:ascii="Arial Narrow" w:hAnsi="Arial Narrow"/>
                <w:color w:val="000000"/>
                <w:sz w:val="18"/>
                <w:szCs w:val="18"/>
              </w:rPr>
            </w:pPr>
            <w:r>
              <w:rPr>
                <w:rFonts w:ascii="Arial Narrow" w:hAnsi="Arial Narrow"/>
                <w:color w:val="000000"/>
                <w:sz w:val="18"/>
                <w:szCs w:val="18"/>
              </w:rPr>
              <w:t>+0,6</w:t>
            </w:r>
          </w:p>
        </w:tc>
      </w:tr>
      <w:tr w:rsidR="007E417B" w:rsidRPr="001C01EA" w14:paraId="31CF7E19" w14:textId="77777777" w:rsidTr="007E417B">
        <w:trPr>
          <w:trHeight w:val="255"/>
        </w:trPr>
        <w:tc>
          <w:tcPr>
            <w:tcW w:w="10206" w:type="dxa"/>
            <w:gridSpan w:val="7"/>
            <w:shd w:val="clear" w:color="auto" w:fill="FFFFFF"/>
            <w:vAlign w:val="center"/>
          </w:tcPr>
          <w:p w14:paraId="16FAE27C" w14:textId="5373144B" w:rsidR="007E417B" w:rsidRPr="00010C7B" w:rsidRDefault="0009393D" w:rsidP="007E417B">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Settembre</w:t>
            </w:r>
            <w:r w:rsidR="007E417B">
              <w:rPr>
                <w:rFonts w:ascii="Arial Narrow" w:hAnsi="Arial Narrow" w:cs="Arial Narrow"/>
                <w:b/>
                <w:color w:val="000000"/>
                <w:sz w:val="18"/>
                <w:szCs w:val="18"/>
              </w:rPr>
              <w:t xml:space="preserve"> 2022 </w:t>
            </w:r>
          </w:p>
        </w:tc>
      </w:tr>
      <w:tr w:rsidR="00BC18C0" w:rsidRPr="008C0651" w14:paraId="355AA726" w14:textId="77777777" w:rsidTr="007E417B">
        <w:trPr>
          <w:trHeight w:val="255"/>
        </w:trPr>
        <w:tc>
          <w:tcPr>
            <w:tcW w:w="1458" w:type="dxa"/>
            <w:shd w:val="clear" w:color="auto" w:fill="E6E6E6"/>
            <w:vAlign w:val="center"/>
          </w:tcPr>
          <w:p w14:paraId="002550C4"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32980DDA" w14:textId="140F90E7" w:rsidR="00BC18C0" w:rsidRPr="00471069" w:rsidRDefault="00BC18C0" w:rsidP="00BC18C0">
            <w:pPr>
              <w:jc w:val="center"/>
              <w:rPr>
                <w:rFonts w:ascii="Arial Narrow" w:hAnsi="Arial Narrow"/>
                <w:sz w:val="18"/>
                <w:szCs w:val="18"/>
              </w:rPr>
            </w:pPr>
            <w:r>
              <w:rPr>
                <w:rFonts w:ascii="Arial Narrow" w:hAnsi="Arial Narrow"/>
                <w:color w:val="000000"/>
                <w:sz w:val="18"/>
                <w:szCs w:val="18"/>
              </w:rPr>
              <w:t>+0,3</w:t>
            </w:r>
          </w:p>
        </w:tc>
        <w:tc>
          <w:tcPr>
            <w:tcW w:w="1456" w:type="dxa"/>
            <w:vAlign w:val="center"/>
          </w:tcPr>
          <w:p w14:paraId="0E5822D7" w14:textId="30E879B3" w:rsidR="00BC18C0" w:rsidRPr="00471069" w:rsidRDefault="00BC18C0" w:rsidP="00BC18C0">
            <w:pPr>
              <w:jc w:val="center"/>
              <w:rPr>
                <w:rFonts w:ascii="Arial Narrow" w:hAnsi="Arial Narrow"/>
                <w:sz w:val="18"/>
                <w:szCs w:val="18"/>
              </w:rPr>
            </w:pPr>
            <w:r>
              <w:rPr>
                <w:rFonts w:ascii="Arial Narrow" w:hAnsi="Arial Narrow"/>
                <w:color w:val="000000"/>
                <w:sz w:val="18"/>
                <w:szCs w:val="18"/>
              </w:rPr>
              <w:t>+0,2</w:t>
            </w:r>
          </w:p>
        </w:tc>
        <w:tc>
          <w:tcPr>
            <w:tcW w:w="1410" w:type="dxa"/>
            <w:shd w:val="clear" w:color="auto" w:fill="E6E6E6"/>
            <w:vAlign w:val="center"/>
          </w:tcPr>
          <w:p w14:paraId="663D4E45" w14:textId="435B91C8" w:rsidR="00BC18C0" w:rsidRPr="00994843" w:rsidRDefault="008E07E2" w:rsidP="00CF442C">
            <w:pPr>
              <w:jc w:val="center"/>
              <w:rPr>
                <w:rFonts w:ascii="Arial Narrow" w:hAnsi="Arial Narrow"/>
                <w:sz w:val="18"/>
                <w:szCs w:val="18"/>
              </w:rPr>
            </w:pPr>
            <w:r>
              <w:rPr>
                <w:rFonts w:ascii="Arial Narrow" w:hAnsi="Arial Narrow"/>
                <w:color w:val="000000"/>
                <w:sz w:val="18"/>
                <w:szCs w:val="18"/>
              </w:rPr>
              <w:t>+0,6</w:t>
            </w:r>
          </w:p>
        </w:tc>
        <w:tc>
          <w:tcPr>
            <w:tcW w:w="1531" w:type="dxa"/>
            <w:vAlign w:val="center"/>
          </w:tcPr>
          <w:p w14:paraId="58F0A7CC" w14:textId="6B355F63" w:rsidR="00BC18C0" w:rsidRPr="00471069" w:rsidRDefault="00BC18C0" w:rsidP="00BC18C0">
            <w:pPr>
              <w:jc w:val="center"/>
              <w:rPr>
                <w:rFonts w:ascii="Arial Narrow" w:hAnsi="Arial Narrow"/>
                <w:sz w:val="18"/>
                <w:szCs w:val="18"/>
              </w:rPr>
            </w:pPr>
            <w:r>
              <w:rPr>
                <w:rFonts w:ascii="Arial Narrow" w:hAnsi="Arial Narrow"/>
                <w:color w:val="000000"/>
                <w:sz w:val="18"/>
                <w:szCs w:val="18"/>
              </w:rPr>
              <w:t>+0,5</w:t>
            </w:r>
          </w:p>
        </w:tc>
        <w:tc>
          <w:tcPr>
            <w:tcW w:w="1426" w:type="dxa"/>
            <w:shd w:val="clear" w:color="auto" w:fill="E6E6E6"/>
            <w:vAlign w:val="center"/>
          </w:tcPr>
          <w:p w14:paraId="23622B2E" w14:textId="05EE329F" w:rsidR="00BC18C0" w:rsidRPr="00471069" w:rsidRDefault="00BC18C0" w:rsidP="00BC18C0">
            <w:pPr>
              <w:jc w:val="center"/>
              <w:rPr>
                <w:rFonts w:ascii="Arial Narrow" w:hAnsi="Arial Narrow"/>
                <w:sz w:val="18"/>
                <w:szCs w:val="18"/>
              </w:rPr>
            </w:pPr>
            <w:r>
              <w:rPr>
                <w:rFonts w:ascii="Arial Narrow" w:hAnsi="Arial Narrow"/>
                <w:color w:val="000000"/>
                <w:sz w:val="18"/>
                <w:szCs w:val="18"/>
              </w:rPr>
              <w:t>-</w:t>
            </w:r>
          </w:p>
        </w:tc>
        <w:tc>
          <w:tcPr>
            <w:tcW w:w="1469" w:type="dxa"/>
            <w:vAlign w:val="center"/>
          </w:tcPr>
          <w:p w14:paraId="081F5709" w14:textId="17615D5C" w:rsidR="00BC18C0" w:rsidRPr="00471069" w:rsidRDefault="00BC18C0" w:rsidP="00BC18C0">
            <w:pPr>
              <w:jc w:val="center"/>
              <w:rPr>
                <w:rFonts w:ascii="Arial Narrow" w:hAnsi="Arial Narrow"/>
                <w:sz w:val="18"/>
                <w:szCs w:val="18"/>
              </w:rPr>
            </w:pPr>
            <w:r>
              <w:rPr>
                <w:rFonts w:ascii="Arial Narrow" w:hAnsi="Arial Narrow"/>
                <w:color w:val="000000"/>
                <w:sz w:val="18"/>
                <w:szCs w:val="18"/>
              </w:rPr>
              <w:t>0,0</w:t>
            </w:r>
          </w:p>
        </w:tc>
      </w:tr>
      <w:tr w:rsidR="00BC18C0" w:rsidRPr="008C0651" w14:paraId="717D8011" w14:textId="77777777" w:rsidTr="007E417B">
        <w:trPr>
          <w:trHeight w:val="255"/>
        </w:trPr>
        <w:tc>
          <w:tcPr>
            <w:tcW w:w="1458" w:type="dxa"/>
            <w:shd w:val="clear" w:color="auto" w:fill="E6E6E6"/>
            <w:vAlign w:val="center"/>
          </w:tcPr>
          <w:p w14:paraId="71CB1D17" w14:textId="77777777" w:rsidR="00BC18C0" w:rsidRPr="00C479EF" w:rsidRDefault="00BC18C0" w:rsidP="00BC18C0">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1827F5B7" w14:textId="0B2D8737" w:rsidR="00BC18C0" w:rsidRPr="00471069" w:rsidRDefault="00BC18C0" w:rsidP="00BC18C0">
            <w:pPr>
              <w:jc w:val="center"/>
              <w:rPr>
                <w:rFonts w:ascii="Arial Narrow" w:hAnsi="Arial Narrow"/>
                <w:sz w:val="18"/>
                <w:szCs w:val="18"/>
              </w:rPr>
            </w:pPr>
            <w:r>
              <w:rPr>
                <w:rFonts w:ascii="Arial Narrow" w:hAnsi="Arial Narrow"/>
                <w:color w:val="000000"/>
                <w:sz w:val="18"/>
                <w:szCs w:val="18"/>
              </w:rPr>
              <w:t>+0,5</w:t>
            </w:r>
          </w:p>
        </w:tc>
        <w:tc>
          <w:tcPr>
            <w:tcW w:w="1456" w:type="dxa"/>
            <w:vAlign w:val="center"/>
          </w:tcPr>
          <w:p w14:paraId="500A38C8" w14:textId="2A516186" w:rsidR="00BC18C0" w:rsidRPr="00471069" w:rsidRDefault="00BC18C0" w:rsidP="00BC18C0">
            <w:pPr>
              <w:jc w:val="center"/>
              <w:rPr>
                <w:rFonts w:ascii="Arial Narrow" w:hAnsi="Arial Narrow"/>
                <w:sz w:val="18"/>
                <w:szCs w:val="18"/>
              </w:rPr>
            </w:pPr>
            <w:r>
              <w:rPr>
                <w:rFonts w:ascii="Arial Narrow" w:hAnsi="Arial Narrow"/>
                <w:color w:val="000000"/>
                <w:sz w:val="18"/>
                <w:szCs w:val="18"/>
              </w:rPr>
              <w:t>+0,2</w:t>
            </w:r>
          </w:p>
        </w:tc>
        <w:tc>
          <w:tcPr>
            <w:tcW w:w="1410" w:type="dxa"/>
            <w:shd w:val="clear" w:color="auto" w:fill="E6E6E6"/>
            <w:vAlign w:val="center"/>
          </w:tcPr>
          <w:p w14:paraId="33313F8D" w14:textId="7D807D70" w:rsidR="00BC18C0" w:rsidRPr="00994843" w:rsidRDefault="008E07E2" w:rsidP="00BC18C0">
            <w:pPr>
              <w:jc w:val="center"/>
              <w:rPr>
                <w:rFonts w:ascii="Arial Narrow" w:hAnsi="Arial Narrow"/>
                <w:sz w:val="18"/>
                <w:szCs w:val="18"/>
              </w:rPr>
            </w:pPr>
            <w:r>
              <w:rPr>
                <w:rFonts w:ascii="Arial Narrow" w:hAnsi="Arial Narrow"/>
                <w:color w:val="000000"/>
                <w:sz w:val="18"/>
                <w:szCs w:val="18"/>
              </w:rPr>
              <w:t>+0,9</w:t>
            </w:r>
          </w:p>
        </w:tc>
        <w:tc>
          <w:tcPr>
            <w:tcW w:w="1531" w:type="dxa"/>
            <w:vAlign w:val="center"/>
          </w:tcPr>
          <w:p w14:paraId="035FD779" w14:textId="10B3A25D" w:rsidR="00BC18C0" w:rsidRPr="00471069" w:rsidRDefault="00BC18C0" w:rsidP="00BC18C0">
            <w:pPr>
              <w:jc w:val="center"/>
              <w:rPr>
                <w:rFonts w:ascii="Arial Narrow" w:hAnsi="Arial Narrow"/>
                <w:sz w:val="18"/>
                <w:szCs w:val="18"/>
              </w:rPr>
            </w:pPr>
            <w:r>
              <w:rPr>
                <w:rFonts w:ascii="Arial Narrow" w:hAnsi="Arial Narrow"/>
                <w:color w:val="000000"/>
                <w:sz w:val="18"/>
                <w:szCs w:val="18"/>
              </w:rPr>
              <w:t>+0,4</w:t>
            </w:r>
          </w:p>
        </w:tc>
        <w:tc>
          <w:tcPr>
            <w:tcW w:w="1426" w:type="dxa"/>
            <w:shd w:val="clear" w:color="auto" w:fill="E6E6E6"/>
            <w:vAlign w:val="center"/>
          </w:tcPr>
          <w:p w14:paraId="0ED9E8DE" w14:textId="03A84D59" w:rsidR="00BC18C0" w:rsidRPr="00471069" w:rsidRDefault="00BC18C0" w:rsidP="00BC18C0">
            <w:pPr>
              <w:jc w:val="center"/>
              <w:rPr>
                <w:rFonts w:ascii="Arial Narrow" w:hAnsi="Arial Narrow"/>
                <w:sz w:val="18"/>
                <w:szCs w:val="18"/>
              </w:rPr>
            </w:pPr>
            <w:r>
              <w:rPr>
                <w:rFonts w:ascii="Arial Narrow" w:hAnsi="Arial Narrow"/>
                <w:color w:val="000000"/>
                <w:sz w:val="18"/>
                <w:szCs w:val="18"/>
              </w:rPr>
              <w:t>-</w:t>
            </w:r>
          </w:p>
        </w:tc>
        <w:tc>
          <w:tcPr>
            <w:tcW w:w="1469" w:type="dxa"/>
            <w:vAlign w:val="center"/>
          </w:tcPr>
          <w:p w14:paraId="58C7510F" w14:textId="65DA5B03" w:rsidR="00BC18C0" w:rsidRPr="00471069" w:rsidRDefault="00BC18C0" w:rsidP="00BC18C0">
            <w:pPr>
              <w:jc w:val="center"/>
              <w:rPr>
                <w:rFonts w:ascii="Arial Narrow" w:hAnsi="Arial Narrow"/>
                <w:sz w:val="18"/>
                <w:szCs w:val="18"/>
              </w:rPr>
            </w:pPr>
            <w:r>
              <w:rPr>
                <w:rFonts w:ascii="Arial Narrow" w:hAnsi="Arial Narrow"/>
                <w:color w:val="000000"/>
                <w:sz w:val="18"/>
                <w:szCs w:val="18"/>
              </w:rPr>
              <w:t>-0,1</w:t>
            </w:r>
          </w:p>
        </w:tc>
      </w:tr>
    </w:tbl>
    <w:p w14:paraId="76A70149" w14:textId="77777777" w:rsidR="007E417B" w:rsidRPr="00DD43E2" w:rsidRDefault="007E417B" w:rsidP="007E417B">
      <w:pPr>
        <w:spacing w:before="60" w:after="120"/>
        <w:ind w:right="28"/>
        <w:jc w:val="both"/>
        <w:rPr>
          <w:rFonts w:ascii="Arial Narrow" w:hAnsi="Arial Narrow"/>
          <w:sz w:val="15"/>
          <w:szCs w:val="15"/>
        </w:rPr>
      </w:pPr>
    </w:p>
    <w:p w14:paraId="1154C9BB" w14:textId="77777777" w:rsidR="007E417B" w:rsidRDefault="007E417B" w:rsidP="007E417B">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color w:val="0070C0"/>
          <w:sz w:val="21"/>
          <w:szCs w:val="21"/>
        </w:rPr>
      </w:pPr>
    </w:p>
    <w:p w14:paraId="40B366EF" w14:textId="77777777" w:rsidR="007C7E35" w:rsidRDefault="007C7E35" w:rsidP="00072C03">
      <w:pPr>
        <w:ind w:right="28"/>
        <w:jc w:val="both"/>
        <w:rPr>
          <w:rFonts w:ascii="Arial Narrow" w:hAnsi="Arial Narrow" w:cs="Arial"/>
          <w:b/>
          <w:color w:val="E42618"/>
          <w:sz w:val="22"/>
          <w:szCs w:val="22"/>
        </w:rPr>
      </w:pPr>
    </w:p>
    <w:p w14:paraId="102EB212" w14:textId="2C8D383E" w:rsidR="00072C03" w:rsidRPr="007801C1" w:rsidRDefault="00B076CD" w:rsidP="00072C03">
      <w:pPr>
        <w:ind w:right="28"/>
        <w:jc w:val="both"/>
        <w:rPr>
          <w:rFonts w:ascii="Arial Narrow" w:hAnsi="Arial Narrow" w:cs="Arial"/>
          <w:b/>
          <w:color w:val="5F5F5F"/>
          <w:sz w:val="22"/>
          <w:szCs w:val="22"/>
        </w:rPr>
      </w:pPr>
      <w:r w:rsidRPr="007801C1">
        <w:rPr>
          <w:rFonts w:ascii="Arial Narrow" w:hAnsi="Arial Narrow" w:cs="Arial"/>
          <w:b/>
          <w:color w:val="E42618"/>
          <w:sz w:val="22"/>
          <w:szCs w:val="22"/>
        </w:rPr>
        <w:t xml:space="preserve">PROSPETTO </w:t>
      </w:r>
      <w:r w:rsidR="007D643E" w:rsidRPr="007801C1">
        <w:rPr>
          <w:rFonts w:ascii="Arial Narrow" w:hAnsi="Arial Narrow" w:cs="Arial"/>
          <w:b/>
          <w:color w:val="E42618"/>
          <w:sz w:val="22"/>
          <w:szCs w:val="22"/>
        </w:rPr>
        <w:t>7</w:t>
      </w:r>
      <w:r w:rsidRPr="007801C1">
        <w:rPr>
          <w:rFonts w:ascii="Arial Narrow" w:hAnsi="Arial Narrow" w:cs="Arial"/>
          <w:b/>
          <w:color w:val="E42618"/>
          <w:sz w:val="22"/>
          <w:szCs w:val="22"/>
        </w:rPr>
        <w:t>.</w:t>
      </w:r>
      <w:r w:rsidRPr="007801C1">
        <w:rPr>
          <w:rFonts w:ascii="Arial Narrow" w:hAnsi="Arial Narrow" w:cs="Arial"/>
          <w:b/>
          <w:color w:val="5F5F5F"/>
        </w:rPr>
        <w:t xml:space="preserve"> </w:t>
      </w:r>
      <w:r w:rsidR="00B13FB7" w:rsidRPr="007801C1">
        <w:rPr>
          <w:rFonts w:ascii="Arial Narrow" w:hAnsi="Arial Narrow" w:cs="Arial"/>
          <w:b/>
          <w:color w:val="5F5F5F"/>
          <w:sz w:val="22"/>
          <w:szCs w:val="22"/>
        </w:rPr>
        <w:t>PREZZI ALL’IMPORTAZIONE</w:t>
      </w:r>
    </w:p>
    <w:p w14:paraId="6A7227FD" w14:textId="604EE47E" w:rsidR="009370E6" w:rsidRPr="006304A5" w:rsidRDefault="0009393D" w:rsidP="009370E6">
      <w:pPr>
        <w:pStyle w:val="Corpodeltesto1"/>
        <w:spacing w:after="120"/>
        <w:jc w:val="left"/>
        <w:rPr>
          <w:rFonts w:ascii="Arial Narrow" w:hAnsi="Arial Narrow" w:cs="Arial"/>
          <w:b w:val="0"/>
          <w:bCs/>
          <w:sz w:val="19"/>
          <w:szCs w:val="19"/>
        </w:rPr>
      </w:pPr>
      <w:r>
        <w:rPr>
          <w:rFonts w:ascii="Arial Narrow" w:hAnsi="Arial Narrow" w:cs="Arial"/>
          <w:b w:val="0"/>
          <w:color w:val="5F5F5F"/>
          <w:kern w:val="28"/>
          <w:sz w:val="20"/>
          <w:szCs w:val="20"/>
        </w:rPr>
        <w:t>Settembre</w:t>
      </w:r>
      <w:r w:rsidR="00606941" w:rsidRPr="007801C1">
        <w:rPr>
          <w:rFonts w:ascii="Arial Narrow" w:hAnsi="Arial Narrow" w:cs="Arial"/>
          <w:b w:val="0"/>
          <w:color w:val="5F5F5F"/>
          <w:kern w:val="28"/>
          <w:sz w:val="20"/>
          <w:szCs w:val="20"/>
        </w:rPr>
        <w:t xml:space="preserve"> </w:t>
      </w:r>
      <w:r w:rsidR="00CB06AD" w:rsidRPr="007801C1">
        <w:rPr>
          <w:rFonts w:ascii="Arial Narrow" w:hAnsi="Arial Narrow" w:cs="Arial"/>
          <w:b w:val="0"/>
          <w:color w:val="5F5F5F"/>
          <w:kern w:val="28"/>
          <w:sz w:val="20"/>
          <w:szCs w:val="20"/>
        </w:rPr>
        <w:t>2022</w:t>
      </w:r>
      <w:r w:rsidR="00B076CD" w:rsidRPr="007801C1">
        <w:rPr>
          <w:rFonts w:ascii="Arial Narrow" w:hAnsi="Arial Narrow" w:cs="Arial"/>
          <w:b w:val="0"/>
          <w:color w:val="5F5F5F"/>
          <w:kern w:val="28"/>
          <w:sz w:val="20"/>
          <w:szCs w:val="20"/>
        </w:rPr>
        <w:t xml:space="preserve">, revisioni delle variazioni percentuali, differenze in punti percentuali </w:t>
      </w:r>
      <w:r w:rsidR="009370E6" w:rsidRPr="007801C1">
        <w:rPr>
          <w:rFonts w:ascii="Arial Narrow" w:hAnsi="Arial Narrow" w:cs="Arial"/>
          <w:b w:val="0"/>
          <w:color w:val="5F5F5F"/>
          <w:kern w:val="28"/>
          <w:sz w:val="20"/>
          <w:szCs w:val="20"/>
        </w:rPr>
        <w:t>(base 2015=100)</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698"/>
        <w:gridCol w:w="1697"/>
        <w:gridCol w:w="1645"/>
        <w:gridCol w:w="1787"/>
        <w:gridCol w:w="1663"/>
        <w:gridCol w:w="1716"/>
      </w:tblGrid>
      <w:tr w:rsidR="00B076CD" w:rsidRPr="001C01EA" w14:paraId="1772340B" w14:textId="77777777" w:rsidTr="00D6552B">
        <w:trPr>
          <w:trHeight w:val="255"/>
        </w:trPr>
        <w:tc>
          <w:tcPr>
            <w:tcW w:w="3395" w:type="dxa"/>
            <w:gridSpan w:val="2"/>
            <w:tcBorders>
              <w:bottom w:val="single" w:sz="4" w:space="0" w:color="333333"/>
            </w:tcBorders>
            <w:shd w:val="clear" w:color="auto" w:fill="E6E6E6"/>
            <w:vAlign w:val="center"/>
          </w:tcPr>
          <w:p w14:paraId="387511BE" w14:textId="77777777" w:rsidR="00B076CD" w:rsidRPr="001C01EA" w:rsidRDefault="00B076CD" w:rsidP="00593C33">
            <w:pPr>
              <w:spacing w:before="40" w:after="20"/>
              <w:ind w:left="-142" w:firstLine="142"/>
              <w:jc w:val="center"/>
              <w:rPr>
                <w:rFonts w:ascii="Arial Narrow" w:hAnsi="Arial Narrow" w:cs="Arial"/>
                <w:b/>
                <w:bCs/>
                <w:sz w:val="18"/>
                <w:szCs w:val="18"/>
              </w:rPr>
            </w:pPr>
            <w:r w:rsidRPr="001C01EA">
              <w:rPr>
                <w:rFonts w:ascii="Arial Narrow" w:hAnsi="Arial Narrow" w:cs="Arial"/>
                <w:b/>
                <w:bCs/>
                <w:sz w:val="18"/>
                <w:szCs w:val="18"/>
              </w:rPr>
              <w:t>Totale</w:t>
            </w:r>
          </w:p>
        </w:tc>
        <w:tc>
          <w:tcPr>
            <w:tcW w:w="3432" w:type="dxa"/>
            <w:gridSpan w:val="2"/>
            <w:tcBorders>
              <w:bottom w:val="single" w:sz="4" w:space="0" w:color="333333"/>
            </w:tcBorders>
            <w:vAlign w:val="center"/>
          </w:tcPr>
          <w:p w14:paraId="7E367106"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euro</w:t>
            </w:r>
          </w:p>
        </w:tc>
        <w:tc>
          <w:tcPr>
            <w:tcW w:w="3379" w:type="dxa"/>
            <w:gridSpan w:val="2"/>
            <w:tcBorders>
              <w:bottom w:val="single" w:sz="4" w:space="0" w:color="333333"/>
            </w:tcBorders>
            <w:shd w:val="clear" w:color="auto" w:fill="E6E6E6"/>
            <w:vAlign w:val="center"/>
          </w:tcPr>
          <w:p w14:paraId="099AEC91"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non euro</w:t>
            </w:r>
          </w:p>
        </w:tc>
      </w:tr>
      <w:tr w:rsidR="00072C03" w:rsidRPr="001C01EA" w14:paraId="07E4D575" w14:textId="77777777" w:rsidTr="00D6552B">
        <w:trPr>
          <w:trHeight w:val="255"/>
        </w:trPr>
        <w:tc>
          <w:tcPr>
            <w:tcW w:w="1698" w:type="dxa"/>
            <w:shd w:val="clear" w:color="auto" w:fill="E6E6E6"/>
            <w:vAlign w:val="center"/>
          </w:tcPr>
          <w:p w14:paraId="13435AC6"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697" w:type="dxa"/>
            <w:vAlign w:val="center"/>
          </w:tcPr>
          <w:p w14:paraId="19FE0A11"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45" w:type="dxa"/>
            <w:shd w:val="clear" w:color="auto" w:fill="E6E6E6"/>
            <w:vAlign w:val="center"/>
          </w:tcPr>
          <w:p w14:paraId="41D4E121"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87" w:type="dxa"/>
            <w:vAlign w:val="center"/>
          </w:tcPr>
          <w:p w14:paraId="1ECD763F"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63" w:type="dxa"/>
            <w:shd w:val="clear" w:color="auto" w:fill="E6E6E6"/>
            <w:vAlign w:val="center"/>
          </w:tcPr>
          <w:p w14:paraId="4B3E1EC3"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16" w:type="dxa"/>
            <w:vAlign w:val="center"/>
          </w:tcPr>
          <w:p w14:paraId="292EEA72"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C00B5A" w:rsidRPr="00C201C1" w14:paraId="6A20B922" w14:textId="77777777" w:rsidTr="00CA2086">
        <w:trPr>
          <w:trHeight w:val="255"/>
        </w:trPr>
        <w:tc>
          <w:tcPr>
            <w:tcW w:w="1698" w:type="dxa"/>
            <w:shd w:val="clear" w:color="auto" w:fill="E6E6E6"/>
            <w:vAlign w:val="center"/>
          </w:tcPr>
          <w:p w14:paraId="078D2453" w14:textId="5756667D" w:rsidR="00C00B5A" w:rsidRPr="00687873" w:rsidRDefault="00C00B5A" w:rsidP="00C00B5A">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697" w:type="dxa"/>
            <w:vAlign w:val="center"/>
          </w:tcPr>
          <w:p w14:paraId="4CB749FC" w14:textId="1FC57267" w:rsidR="00C00B5A" w:rsidRPr="00687873" w:rsidRDefault="00C00B5A" w:rsidP="00C00B5A">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645" w:type="dxa"/>
            <w:shd w:val="clear" w:color="auto" w:fill="E6E6E6"/>
            <w:vAlign w:val="center"/>
          </w:tcPr>
          <w:p w14:paraId="2E9E2D7A" w14:textId="67A6B339" w:rsidR="00C00B5A" w:rsidRPr="00687873" w:rsidRDefault="00C00B5A" w:rsidP="00C00B5A">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787" w:type="dxa"/>
            <w:vAlign w:val="center"/>
          </w:tcPr>
          <w:p w14:paraId="05436E80" w14:textId="21A01653" w:rsidR="00C00B5A" w:rsidRPr="00687873" w:rsidRDefault="00C00B5A" w:rsidP="00C00B5A">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663" w:type="dxa"/>
            <w:shd w:val="clear" w:color="auto" w:fill="E6E6E6"/>
            <w:vAlign w:val="center"/>
          </w:tcPr>
          <w:p w14:paraId="06F2DB6D" w14:textId="318A2217" w:rsidR="00C00B5A" w:rsidRPr="00687873" w:rsidRDefault="00C00B5A" w:rsidP="00C00B5A">
            <w:pPr>
              <w:spacing w:before="40" w:after="20"/>
              <w:jc w:val="center"/>
              <w:rPr>
                <w:rFonts w:ascii="Arial Narrow" w:hAnsi="Arial Narrow" w:cs="Arial"/>
                <w:bCs/>
                <w:sz w:val="18"/>
                <w:szCs w:val="18"/>
              </w:rPr>
            </w:pPr>
            <w:r>
              <w:rPr>
                <w:rFonts w:ascii="Arial Narrow" w:hAnsi="Arial Narrow" w:cs="Arial"/>
                <w:color w:val="000000"/>
                <w:sz w:val="18"/>
                <w:szCs w:val="18"/>
              </w:rPr>
              <w:t>0,0</w:t>
            </w:r>
          </w:p>
        </w:tc>
        <w:tc>
          <w:tcPr>
            <w:tcW w:w="1716" w:type="dxa"/>
            <w:vAlign w:val="center"/>
          </w:tcPr>
          <w:p w14:paraId="2DD89D8B" w14:textId="199BB07D" w:rsidR="00C00B5A" w:rsidRPr="00687873" w:rsidRDefault="00C00B5A" w:rsidP="00C00B5A">
            <w:pPr>
              <w:spacing w:before="40" w:after="20"/>
              <w:jc w:val="center"/>
              <w:rPr>
                <w:rFonts w:ascii="Arial Narrow" w:hAnsi="Arial Narrow" w:cs="Arial"/>
                <w:bCs/>
                <w:sz w:val="18"/>
                <w:szCs w:val="18"/>
              </w:rPr>
            </w:pPr>
            <w:r>
              <w:rPr>
                <w:rFonts w:ascii="Arial Narrow" w:hAnsi="Arial Narrow" w:cs="Arial"/>
                <w:color w:val="000000"/>
                <w:sz w:val="18"/>
                <w:szCs w:val="18"/>
              </w:rPr>
              <w:t>0,0</w:t>
            </w:r>
          </w:p>
        </w:tc>
      </w:tr>
    </w:tbl>
    <w:p w14:paraId="7770BD76" w14:textId="77777777" w:rsidR="009B2E91" w:rsidRDefault="009B2E91"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64B3BCF5" w14:textId="2AFC6BE4" w:rsidR="00A1647D" w:rsidRDefault="00A1647D"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A1647D" w:rsidSect="009B2E91">
          <w:headerReference w:type="default" r:id="rId35"/>
          <w:pgSz w:w="11907" w:h="16840" w:code="9"/>
          <w:pgMar w:top="1534" w:right="851" w:bottom="680" w:left="851" w:header="567" w:footer="567" w:gutter="0"/>
          <w:cols w:space="720"/>
          <w:noEndnote/>
          <w:docGrid w:linePitch="272"/>
        </w:sectPr>
      </w:pPr>
    </w:p>
    <w:p w14:paraId="0881A4C5" w14:textId="77777777" w:rsidR="000B233D" w:rsidRPr="000B233D" w:rsidRDefault="000B233D" w:rsidP="00CC2949">
      <w:pPr>
        <w:ind w:right="57"/>
        <w:jc w:val="both"/>
        <w:rPr>
          <w:rFonts w:ascii="Arial" w:hAnsi="Arial" w:cs="Arial"/>
          <w:b/>
          <w:bCs/>
        </w:rPr>
      </w:pPr>
    </w:p>
    <w:p w14:paraId="709AD9DA"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durevoli</w:t>
      </w:r>
      <w:r w:rsidRPr="00C9631A">
        <w:rPr>
          <w:rFonts w:ascii="Arial" w:hAnsi="Arial" w:cs="Arial"/>
          <w:sz w:val="20"/>
          <w:szCs w:val="20"/>
        </w:rPr>
        <w:t>: includono, tra gli altri, la fabbricazione di apparecchi per uso domestico, la fabbricazione di mobili, motocicli, la fabbricazione di apparecchi per la riproduzione del suono e dell’immagine.</w:t>
      </w:r>
    </w:p>
    <w:p w14:paraId="7FA47A8D"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non durevoli</w:t>
      </w:r>
      <w:r w:rsidRPr="00C9631A">
        <w:rPr>
          <w:rFonts w:ascii="Arial" w:hAnsi="Arial" w:cs="Arial"/>
          <w:sz w:val="20"/>
          <w:szCs w:val="20"/>
        </w:rPr>
        <w:t>: includono, tra gli altri, la produzione, la lavorazione e la conservazione di prodotti alimentari e bevande, alcune industrie tessili, la fabbricazione di prodotti farmaceutici.</w:t>
      </w:r>
    </w:p>
    <w:p w14:paraId="63FE64E3"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intermedi</w:t>
      </w:r>
      <w:r w:rsidRPr="00C9631A">
        <w:rPr>
          <w:rFonts w:ascii="Arial" w:hAnsi="Arial" w:cs="Arial"/>
          <w:sz w:val="20"/>
          <w:szCs w:val="20"/>
        </w:rPr>
        <w:t>: includono, tra gli altri, la fabbricazione di prodotti chimici, la fabbricazione di metalli e prodotti in metallo, la fabbricazione di apparecchi elettrici, l’industria del legno, la fabbricazione di tessuti.</w:t>
      </w:r>
    </w:p>
    <w:p w14:paraId="3171476F"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strumentali</w:t>
      </w:r>
      <w:r w:rsidRPr="00C9631A">
        <w:rPr>
          <w:rFonts w:ascii="Arial" w:hAnsi="Arial" w:cs="Arial"/>
          <w:sz w:val="20"/>
          <w:szCs w:val="20"/>
        </w:rPr>
        <w:t>: includono, tra gli altri, la fabbricazione di macchine e motori, la fabbricazione di strumenti e apparecchi di misurazione e controllo, la fabbricazione di autoveicoli.</w:t>
      </w:r>
    </w:p>
    <w:p w14:paraId="61CE4789" w14:textId="77777777" w:rsidR="006B1C0B" w:rsidRPr="00C9631A" w:rsidRDefault="006B1C0B" w:rsidP="00E74CD4">
      <w:pPr>
        <w:pStyle w:val="Corpodeltesto1"/>
        <w:spacing w:after="120"/>
        <w:rPr>
          <w:rFonts w:ascii="Arial" w:hAnsi="Arial" w:cs="Arial"/>
          <w:b w:val="0"/>
          <w:bCs/>
          <w:sz w:val="20"/>
          <w:szCs w:val="20"/>
        </w:rPr>
      </w:pPr>
      <w:r w:rsidRPr="00C9631A">
        <w:rPr>
          <w:rFonts w:ascii="Arial" w:hAnsi="Arial" w:cs="Arial"/>
          <w:bCs/>
          <w:sz w:val="20"/>
          <w:szCs w:val="20"/>
        </w:rPr>
        <w:t>Contributo alla variazione tendenziale</w:t>
      </w:r>
      <w:r w:rsidRPr="00C9631A">
        <w:rPr>
          <w:rFonts w:ascii="Arial" w:hAnsi="Arial" w:cs="Arial"/>
          <w:b w:val="0"/>
          <w:bCs/>
          <w:sz w:val="20"/>
          <w:szCs w:val="20"/>
        </w:rPr>
        <w:t xml:space="preserve">: misura l’incidenza delle variazioni delle importazioni e delle esportazioni dei singoli aggregati merceologici o geografici sull’aumento o sulla diminuzione dei flussi aggregati. </w:t>
      </w:r>
    </w:p>
    <w:p w14:paraId="419B4749" w14:textId="77777777" w:rsidR="006B1C0B" w:rsidRPr="00C9631A" w:rsidRDefault="006B1C0B" w:rsidP="00E74CD4">
      <w:pPr>
        <w:spacing w:after="120"/>
        <w:ind w:right="23"/>
        <w:jc w:val="both"/>
        <w:rPr>
          <w:rFonts w:ascii="Arial" w:hAnsi="Arial" w:cs="Arial"/>
          <w:b/>
          <w:sz w:val="20"/>
          <w:szCs w:val="20"/>
        </w:rPr>
      </w:pPr>
      <w:r w:rsidRPr="00C9631A">
        <w:rPr>
          <w:rFonts w:ascii="Arial" w:hAnsi="Arial" w:cs="Arial"/>
          <w:b/>
          <w:bCs/>
          <w:sz w:val="20"/>
          <w:szCs w:val="20"/>
        </w:rPr>
        <w:t>Dati corretti per gli effetti di calendario</w:t>
      </w:r>
      <w:r w:rsidRPr="00C9631A">
        <w:rPr>
          <w:rFonts w:ascii="Arial" w:hAnsi="Arial" w:cs="Arial"/>
          <w:bCs/>
          <w:sz w:val="20"/>
          <w:szCs w:val="20"/>
        </w:rPr>
        <w:t>: dati depurati, mediante apposite tecniche statistiche, dalla variabilità attribuibile alla composizione del calendario nei singoli periodi (mesi o trimestri) dell’anno, dovuta al diverso numero di giorni lavorativi o di giorni specifici della settimana in essi contenuti, nonché dell’anno bisestile. Il ricorso a tale trasformazione dei dati consente di cogliere in maniera più adeguata sia le variazioni tendenziali (calcolate rispetto allo stesso periodo dell'anno precedente), sia le variazioni medie annue.</w:t>
      </w:r>
    </w:p>
    <w:p w14:paraId="7D0A804D"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Dati destagionalizzati</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16E90070"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include l’industria estrattiva di materie prime energetiche (petrolio, gas naturale, lignite), l’industria della raffinazione, la produzione di energia elettrica, gas e acqua, vapore, la raccolta, depurazione e distribuzione dell’acqua.</w:t>
      </w:r>
    </w:p>
    <w:p w14:paraId="03C282E9"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Esportazioni</w:t>
      </w:r>
      <w:r w:rsidRPr="00C9631A">
        <w:rPr>
          <w:rFonts w:ascii="Arial" w:hAnsi="Arial" w:cs="Arial"/>
          <w:sz w:val="20"/>
          <w:szCs w:val="20"/>
        </w:rPr>
        <w:t>: includono tutti i beni (nazionali o nazionalizzati, nuovi o usati) che, a titolo oneroso o gratuito, escono dal territorio economico del Paese per essere destinati al resto del mondo. Esse sono valutate al valore Fob (free on board), che corrisponde al prezzo di mercato alla frontiera del Paese esportatore. Questo prezzo comprende il prezzo ex-fabrica, i margini commerciali, le spese di trasporto internazionale e gli eventuali diritti all'esportazione.</w:t>
      </w:r>
    </w:p>
    <w:p w14:paraId="5824DD4A" w14:textId="77777777" w:rsidR="006B1C0B" w:rsidRPr="00C9631A" w:rsidRDefault="006B1C0B" w:rsidP="00E74CD4">
      <w:pPr>
        <w:pStyle w:val="NormaleWeb"/>
        <w:spacing w:beforeAutospacing="0" w:after="120" w:afterAutospacing="0"/>
        <w:jc w:val="both"/>
        <w:rPr>
          <w:rFonts w:ascii="Arial" w:hAnsi="Arial" w:cs="Arial"/>
          <w:sz w:val="20"/>
          <w:szCs w:val="20"/>
        </w:rPr>
      </w:pPr>
      <w:r w:rsidRPr="00C9631A">
        <w:rPr>
          <w:rFonts w:ascii="Arial" w:hAnsi="Arial" w:cs="Arial"/>
          <w:b/>
          <w:sz w:val="20"/>
          <w:szCs w:val="20"/>
          <w:lang w:eastAsia="ar-SA"/>
        </w:rPr>
        <w:t>Importazioni</w:t>
      </w:r>
      <w:r w:rsidRPr="00C9631A">
        <w:rPr>
          <w:rFonts w:ascii="Arial" w:hAnsi="Arial" w:cs="Arial"/>
          <w:bCs/>
          <w:sz w:val="20"/>
          <w:szCs w:val="20"/>
          <w:lang w:eastAsia="ar-SA"/>
        </w:rPr>
        <w:t>:</w:t>
      </w:r>
      <w:r w:rsidRPr="00C9631A">
        <w:rPr>
          <w:rFonts w:ascii="Arial" w:hAnsi="Arial" w:cs="Arial"/>
          <w:sz w:val="20"/>
          <w:szCs w:val="20"/>
          <w:lang w:eastAsia="ar-SA"/>
        </w:rPr>
        <w:t xml:space="preserve"> comprendono tutti i beni (nuovi o usati) che, a titolo oneroso o gratuito, entrano nel territorio economico del Paese in provenienza dal Resto del mondo. Esse sono valutate al valore Cif (cost, insurance, freight), che comprende: il valore Fob dei beni, le spese di trasporto e le attività assicurative tra la frontiera del Paese esportatore e la frontiera del Paese importatore.</w:t>
      </w:r>
    </w:p>
    <w:p w14:paraId="194A4603"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mensile che misura le variazioni nel tempo dei prezzi all’importazione di un paniere rappresentativo dei principali prodotti industriali importati da imprese dell’industria e del commercio. I prezzi si riferiscono ai prodotti industriali importati da imprese (la cui attività economica prevalente nelle sezioni B, C, D, E, G della classificazione Ateco 2007 derivata dalla Nace Rev.2) situate sul territorio nazionale. L’indicatore è definito dal Regolamento delle Statistiche economiche congiunturali STS (CE) 1158/2005.</w:t>
      </w:r>
    </w:p>
    <w:p w14:paraId="516CAAAB" w14:textId="77777777" w:rsidR="006B1C0B" w:rsidRPr="00C9631A" w:rsidRDefault="006B1C0B" w:rsidP="00E74CD4">
      <w:pPr>
        <w:spacing w:after="120"/>
        <w:jc w:val="both"/>
        <w:rPr>
          <w:rFonts w:ascii="Arial" w:hAnsi="Arial" w:cs="Arial"/>
          <w:bCs/>
          <w:sz w:val="20"/>
          <w:szCs w:val="20"/>
        </w:rPr>
      </w:pPr>
      <w:r w:rsidRPr="00C9631A">
        <w:rPr>
          <w:rFonts w:ascii="Arial" w:hAnsi="Arial" w:cs="Arial"/>
          <w:b/>
          <w:bCs/>
          <w:sz w:val="20"/>
          <w:szCs w:val="20"/>
        </w:rPr>
        <w:t xml:space="preserve">Indice dei prezzi all’importazione </w:t>
      </w:r>
      <w:r w:rsidRPr="00C9631A">
        <w:rPr>
          <w:rFonts w:ascii="Arial" w:hAnsi="Arial" w:cs="Arial"/>
          <w:b/>
          <w:sz w:val="20"/>
          <w:szCs w:val="20"/>
        </w:rPr>
        <w:t>al netto dell’energia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misura la componente di fondo dell’indice </w:t>
      </w:r>
      <w:r w:rsidRPr="00C9631A">
        <w:rPr>
          <w:rFonts w:ascii="Arial" w:hAnsi="Arial" w:cs="Arial"/>
          <w:bCs/>
          <w:sz w:val="20"/>
          <w:szCs w:val="20"/>
        </w:rPr>
        <w:t>aggregato, calcolata al netto del Raggruppamento principale di industria Energia.</w:t>
      </w:r>
    </w:p>
    <w:p w14:paraId="50DC4A3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totale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definito dalla media aritmetica ponderata degli indici dei prezzi calcolati sui mercati dell’Area euro e non euro.</w:t>
      </w:r>
    </w:p>
    <w:p w14:paraId="2E174578" w14:textId="48B791D0"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Merce</w:t>
      </w:r>
      <w:r w:rsidRPr="00C9631A">
        <w:rPr>
          <w:rFonts w:ascii="Arial" w:hAnsi="Arial" w:cs="Arial"/>
          <w:bCs/>
          <w:sz w:val="20"/>
          <w:szCs w:val="20"/>
        </w:rPr>
        <w:t>: tutte le merci che fisicamente transitano la frontier</w:t>
      </w:r>
      <w:r w:rsidR="00E37A51">
        <w:rPr>
          <w:rFonts w:ascii="Arial" w:hAnsi="Arial" w:cs="Arial"/>
          <w:bCs/>
          <w:sz w:val="20"/>
          <w:szCs w:val="20"/>
        </w:rPr>
        <w:t>a</w:t>
      </w:r>
      <w:r w:rsidRPr="00C9631A">
        <w:rPr>
          <w:rFonts w:ascii="Arial" w:hAnsi="Arial" w:cs="Arial"/>
          <w:bCs/>
          <w:sz w:val="20"/>
          <w:szCs w:val="20"/>
        </w:rPr>
        <w:t xml:space="preserve"> nazionale, inclusa l'energia elettrica. Per i movimenti particolari, che includono navi e aerei è utilizzato il principio della proprietà economica.</w:t>
      </w:r>
    </w:p>
    <w:p w14:paraId="4DD0D63F"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Quote di mercato</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rapporto percentuale tra valore delle esportazioni nazionali e valore delle esportazioni di un gruppo di paesi elaborato a partire da dati di fonte Eurostat rispetto all’ultimo periodo di disponibilità dei dati. </w:t>
      </w:r>
    </w:p>
    <w:p w14:paraId="5FB81DEE"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Raggruppamenti principali di industrie</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gruppi e/o divisioni di attività economica definiti, secondo il criterio della prevalenza.</w:t>
      </w:r>
    </w:p>
    <w:p w14:paraId="356114A5"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Revisioni</w:t>
      </w:r>
      <w:r w:rsidRPr="00C9631A">
        <w:rPr>
          <w:rFonts w:ascii="Arial" w:hAnsi="Arial" w:cs="Arial"/>
          <w:sz w:val="20"/>
          <w:szCs w:val="20"/>
        </w:rPr>
        <w:t>: differenze in punti tra la variazione percentuale pubblicata come dato provvisorio nel precedente comunicato stampa e quella definitiva relativa allo stesso mese di riferimento. Data la complessità merceologica e geografica dei dati di commercio estero, oltre alla revisione mensile, i regolamenti statistici comunitari prevedono che i dati mensili dell’anno t-1 siano ulteriormente rivisti e diffusi nel mese di novembre dell’anno t.</w:t>
      </w:r>
    </w:p>
    <w:p w14:paraId="6861C7F8" w14:textId="77777777" w:rsidR="008028CC" w:rsidRDefault="008028CC" w:rsidP="00E74CD4">
      <w:pPr>
        <w:spacing w:after="120"/>
        <w:jc w:val="both"/>
        <w:rPr>
          <w:rFonts w:ascii="Arial" w:hAnsi="Arial" w:cs="Arial"/>
          <w:b/>
          <w:sz w:val="20"/>
          <w:szCs w:val="20"/>
        </w:rPr>
      </w:pPr>
    </w:p>
    <w:p w14:paraId="0A41609F" w14:textId="77777777" w:rsidR="008028CC" w:rsidRDefault="008028CC" w:rsidP="00E74CD4">
      <w:pPr>
        <w:spacing w:after="120"/>
        <w:jc w:val="both"/>
        <w:rPr>
          <w:rFonts w:ascii="Arial" w:hAnsi="Arial" w:cs="Arial"/>
          <w:b/>
          <w:sz w:val="20"/>
          <w:szCs w:val="20"/>
        </w:rPr>
      </w:pPr>
    </w:p>
    <w:p w14:paraId="092459FB" w14:textId="77777777" w:rsidR="008028CC" w:rsidRDefault="008028CC" w:rsidP="00E74CD4">
      <w:pPr>
        <w:spacing w:after="120"/>
        <w:jc w:val="both"/>
        <w:rPr>
          <w:rFonts w:ascii="Arial" w:hAnsi="Arial" w:cs="Arial"/>
          <w:b/>
          <w:sz w:val="20"/>
          <w:szCs w:val="20"/>
        </w:rPr>
      </w:pPr>
    </w:p>
    <w:p w14:paraId="529C97B9" w14:textId="77777777" w:rsidR="008028CC" w:rsidRDefault="008028CC" w:rsidP="00E74CD4">
      <w:pPr>
        <w:spacing w:after="120"/>
        <w:jc w:val="both"/>
        <w:rPr>
          <w:rFonts w:ascii="Arial" w:hAnsi="Arial" w:cs="Arial"/>
          <w:b/>
          <w:sz w:val="20"/>
          <w:szCs w:val="20"/>
        </w:rPr>
      </w:pPr>
    </w:p>
    <w:p w14:paraId="5C756E1F" w14:textId="77777777" w:rsidR="006B1C0B" w:rsidRPr="00C9631A" w:rsidRDefault="006B1C0B" w:rsidP="00E74CD4">
      <w:pPr>
        <w:spacing w:after="120"/>
        <w:jc w:val="both"/>
        <w:rPr>
          <w:rFonts w:ascii="Arial" w:hAnsi="Arial" w:cs="Arial"/>
          <w:b/>
          <w:sz w:val="20"/>
          <w:szCs w:val="20"/>
        </w:rPr>
      </w:pPr>
      <w:r w:rsidRPr="00C9631A">
        <w:rPr>
          <w:rFonts w:ascii="Arial" w:hAnsi="Arial" w:cs="Arial"/>
          <w:b/>
          <w:sz w:val="20"/>
          <w:szCs w:val="20"/>
        </w:rPr>
        <w:t>Settori di attività economica</w:t>
      </w:r>
      <w:r w:rsidRPr="00C9631A">
        <w:rPr>
          <w:rFonts w:ascii="Arial" w:hAnsi="Arial" w:cs="Arial"/>
          <w:sz w:val="20"/>
          <w:szCs w:val="20"/>
        </w:rPr>
        <w:t xml:space="preserve">: aggregati della classificazione </w:t>
      </w:r>
      <w:hyperlink r:id="rId36" w:history="1">
        <w:r w:rsidRPr="00C9631A">
          <w:rPr>
            <w:rStyle w:val="Collegamentoipertestuale"/>
            <w:rFonts w:ascii="Arial" w:hAnsi="Arial" w:cs="Arial"/>
            <w:sz w:val="20"/>
            <w:szCs w:val="20"/>
          </w:rPr>
          <w:t>SNA/ISIC A38</w:t>
        </w:r>
      </w:hyperlink>
      <w:r w:rsidRPr="00C9631A">
        <w:rPr>
          <w:rFonts w:ascii="Arial" w:hAnsi="Arial" w:cs="Arial"/>
          <w:sz w:val="20"/>
          <w:szCs w:val="20"/>
        </w:rPr>
        <w:t xml:space="preserve"> (non previsti dalla classificazione </w:t>
      </w:r>
      <w:hyperlink r:id="rId37" w:history="1">
        <w:r w:rsidRPr="00C9631A">
          <w:rPr>
            <w:rStyle w:val="Collegamentoipertestuale"/>
            <w:rFonts w:ascii="Arial" w:hAnsi="Arial" w:cs="Arial"/>
            <w:sz w:val="20"/>
            <w:szCs w:val="20"/>
          </w:rPr>
          <w:t>Nace Rev.2</w:t>
        </w:r>
      </w:hyperlink>
      <w:r w:rsidRPr="00C9631A">
        <w:rPr>
          <w:rFonts w:ascii="Arial" w:hAnsi="Arial" w:cs="Arial"/>
          <w:sz w:val="20"/>
          <w:szCs w:val="20"/>
        </w:rPr>
        <w:t>) pubblicati per continuità storica con l’informazione fornita prima del gennaio 2009.</w:t>
      </w:r>
    </w:p>
    <w:p w14:paraId="200E73E7"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Variazione congiunturale</w:t>
      </w:r>
      <w:r w:rsidRPr="00C9631A">
        <w:rPr>
          <w:rFonts w:ascii="Arial" w:hAnsi="Arial" w:cs="Arial"/>
          <w:sz w:val="20"/>
          <w:szCs w:val="20"/>
        </w:rPr>
        <w:t>: variazione percentuale rispetto al mese o al periodo precedente.</w:t>
      </w:r>
    </w:p>
    <w:p w14:paraId="65813A2F" w14:textId="77777777" w:rsidR="006B1C0B" w:rsidRPr="00C9631A" w:rsidRDefault="006B1C0B" w:rsidP="00E74CD4">
      <w:pPr>
        <w:pStyle w:val="Corpodeltesto1"/>
        <w:spacing w:after="120"/>
        <w:rPr>
          <w:rFonts w:ascii="Arial" w:hAnsi="Arial" w:cs="Arial"/>
          <w:b w:val="0"/>
          <w:sz w:val="20"/>
          <w:szCs w:val="20"/>
        </w:rPr>
      </w:pPr>
      <w:r w:rsidRPr="00C9631A">
        <w:rPr>
          <w:rFonts w:ascii="Arial" w:hAnsi="Arial" w:cs="Arial"/>
          <w:sz w:val="20"/>
          <w:szCs w:val="20"/>
        </w:rPr>
        <w:t>Variazione tendenziale</w:t>
      </w:r>
      <w:r w:rsidRPr="00C9631A">
        <w:rPr>
          <w:rFonts w:ascii="Arial" w:hAnsi="Arial" w:cs="Arial"/>
          <w:b w:val="0"/>
          <w:bCs/>
          <w:sz w:val="20"/>
          <w:szCs w:val="20"/>
        </w:rPr>
        <w:t>:</w:t>
      </w:r>
      <w:r w:rsidRPr="00C9631A">
        <w:rPr>
          <w:rFonts w:ascii="Arial" w:hAnsi="Arial" w:cs="Arial"/>
          <w:b w:val="0"/>
          <w:sz w:val="20"/>
          <w:szCs w:val="20"/>
        </w:rPr>
        <w:t xml:space="preserve"> variazione percentuale rispetto allo stesso mese o allo stesso periodo dell’anno precedente.</w:t>
      </w:r>
    </w:p>
    <w:p w14:paraId="29A2120A" w14:textId="77777777" w:rsidR="008028CC" w:rsidRPr="00C9631A" w:rsidRDefault="008028CC" w:rsidP="006B1C0B">
      <w:pPr>
        <w:spacing w:after="120"/>
        <w:jc w:val="both"/>
        <w:rPr>
          <w:rFonts w:ascii="Arial" w:hAnsi="Arial" w:cs="Arial"/>
          <w:b/>
          <w:sz w:val="20"/>
          <w:szCs w:val="20"/>
        </w:rPr>
      </w:pPr>
    </w:p>
    <w:p w14:paraId="499AD1DD" w14:textId="77777777" w:rsidR="006B1C0B" w:rsidRDefault="006B1C0B" w:rsidP="006B1C0B">
      <w:pPr>
        <w:spacing w:after="120"/>
        <w:jc w:val="both"/>
        <w:rPr>
          <w:rFonts w:ascii="Arial" w:hAnsi="Arial" w:cs="Arial"/>
          <w:b/>
          <w:sz w:val="22"/>
          <w:szCs w:val="20"/>
        </w:rPr>
      </w:pPr>
      <w:r w:rsidRPr="00C9631A">
        <w:rPr>
          <w:rFonts w:ascii="Arial" w:hAnsi="Arial" w:cs="Arial"/>
          <w:b/>
          <w:sz w:val="22"/>
          <w:szCs w:val="20"/>
        </w:rPr>
        <w:t>Definizioni delle aree geografiche e geoeconomiche</w:t>
      </w:r>
    </w:p>
    <w:p w14:paraId="5371E90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Africa settentrionale</w:t>
      </w:r>
      <w:r w:rsidRPr="00C9631A">
        <w:rPr>
          <w:rFonts w:ascii="Arial" w:hAnsi="Arial" w:cs="Arial"/>
          <w:sz w:val="20"/>
          <w:szCs w:val="20"/>
        </w:rPr>
        <w:t>: Algeria, Egitto, Ceuta, Libia, Marocco, Melilla, Sahara Occidentale, Tunisia.</w:t>
      </w:r>
    </w:p>
    <w:p w14:paraId="5405479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Altri paesi africani</w:t>
      </w:r>
      <w:r w:rsidRPr="00C9631A">
        <w:rPr>
          <w:rFonts w:ascii="Arial" w:hAnsi="Arial" w:cs="Arial"/>
          <w:sz w:val="20"/>
          <w:szCs w:val="20"/>
        </w:rPr>
        <w:t xml:space="preserve">: Angola, Benin, Botswana, Burkina Faso, Burundi, Camerun, Capo Verde, Ciad, Comore, Congo, Costa d’Avorio, Eritrea, Etiopia, Gabon, Gambia, Ghana, Gibuti, Guinea, Guinea equatoriale, Guinea-Bissau, Kenya, Lesotho, Liberia, Madagascar, Malawi, Mali, Mauritania, Maurizio, Mayotte, Mozambico, Namibia, Niger, Nigeria, Repubblica Centrafricana, Repubblica democratica del Congo, Repubblica unita di Tanzania, Ruanda, Sant’Elena-Ascensione e Tristan da Cunha, São Tomé e Principe, Seychelles, Senegal, Sierra Leone, Somalia, Sud Africa, Sudan, Sud Sudan, Swaziland, Territorio britannico dell’ Oceano Indiano, Togo, Uganda, Zambia, Zimbabwe. </w:t>
      </w:r>
    </w:p>
    <w:p w14:paraId="69979550"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Altri paesi asiatici</w:t>
      </w:r>
      <w:r w:rsidRPr="00C9631A">
        <w:rPr>
          <w:rFonts w:ascii="Arial" w:hAnsi="Arial" w:cs="Arial"/>
          <w:i/>
          <w:iCs/>
          <w:sz w:val="20"/>
          <w:szCs w:val="20"/>
        </w:rPr>
        <w:t xml:space="preserve">: </w:t>
      </w:r>
      <w:r w:rsidRPr="00C9631A">
        <w:rPr>
          <w:rFonts w:ascii="Arial" w:hAnsi="Arial" w:cs="Arial"/>
          <w:sz w:val="20"/>
          <w:szCs w:val="20"/>
        </w:rPr>
        <w:t>Afghanistan, Bangladesh, Bhutan, Birmania, Brunei, Cambogia, Cina, Corea del Nord, Corea del Sud, Filippine, Giappone, Hong Kong, India, Indonesia, Kazakistan, Kirghizistan, Laos, Macao, Malaysia, Maldive, Mongolia, Nepal, Pakistan, Singapore, Sri Lanka, Tagikistan, Taiwan, Thailandia, Timor-Leste, Turkmenistan, Uzbekistan, Vietnam.</w:t>
      </w:r>
    </w:p>
    <w:p w14:paraId="7747FFC4"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centro-meridionale</w:t>
      </w:r>
      <w:r w:rsidRPr="00C9631A">
        <w:rPr>
          <w:rFonts w:ascii="Arial" w:hAnsi="Arial" w:cs="Arial"/>
          <w:i/>
          <w:iCs/>
          <w:sz w:val="20"/>
          <w:szCs w:val="20"/>
        </w:rPr>
        <w:t xml:space="preserve">: </w:t>
      </w:r>
      <w:r w:rsidRPr="00C9631A">
        <w:rPr>
          <w:rFonts w:ascii="Arial" w:hAnsi="Arial" w:cs="Arial"/>
          <w:sz w:val="20"/>
          <w:szCs w:val="20"/>
        </w:rPr>
        <w:t xml:space="preserve">Anguilla, Antigua e Barbuda, Argentina, Aruba, Bahama, Barbados, Belize, Bermuda, Bolivia, Bonaire, Sint Eustatius e Saba, Brasile, Cile, Colombia, Costa Rica, Cuba, Curaçao, Dominica, Ecuador, El Salvador, Giamaica, Grenada, Guatemala, Guyana, Haiti, Honduras, Isole Cayman, Isole Falkland, Isole Turks e Caicos, Isole Vergini Americane, Isole Vergini Britanniche, Messico, Montserrat, Nicaragua, Panama, Paraguay, Perù, Repubblica dominicana, Saint-Barthélemy, Saint Kitts e Nevis, Saint Vincente e le Grenadine, Santa Lucia, Sint Maarten, Suriname, Trinidad e Tobago, Uruguay, Venezuela. </w:t>
      </w:r>
    </w:p>
    <w:p w14:paraId="202BFD03"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settentrionale</w:t>
      </w:r>
      <w:r w:rsidRPr="00C9631A">
        <w:rPr>
          <w:rFonts w:ascii="Arial" w:hAnsi="Arial" w:cs="Arial"/>
          <w:sz w:val="20"/>
          <w:szCs w:val="20"/>
        </w:rPr>
        <w:t>: Canada, Groenlandia, Saint-Pierre e Miquelon, Stati Uniti.</w:t>
      </w:r>
    </w:p>
    <w:p w14:paraId="52962AD7"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euro</w:t>
      </w:r>
      <w:r w:rsidRPr="00C9631A">
        <w:rPr>
          <w:rFonts w:ascii="Arial" w:hAnsi="Arial" w:cs="Arial"/>
          <w:sz w:val="20"/>
          <w:szCs w:val="20"/>
          <w:lang w:eastAsia="ar-SA"/>
        </w:rPr>
        <w:t>: Austria, Belgio, Cipro, Estonia, Finlandia, Francia, Germania, Grecia, Irlanda, Italia, Lettonia, Lituania, Lussemburgo, Malta, Paesi Bassi, Portogallo, Slovacchia, Slovenia, Spagna.</w:t>
      </w:r>
    </w:p>
    <w:p w14:paraId="65F65045"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non euro</w:t>
      </w:r>
      <w:r w:rsidRPr="00C9631A">
        <w:rPr>
          <w:rFonts w:ascii="Arial" w:hAnsi="Arial" w:cs="Arial"/>
          <w:bCs/>
          <w:iCs/>
          <w:sz w:val="20"/>
          <w:szCs w:val="20"/>
          <w:lang w:eastAsia="ar-SA"/>
        </w:rPr>
        <w:t>:</w:t>
      </w:r>
      <w:r w:rsidRPr="00C9631A">
        <w:rPr>
          <w:rFonts w:ascii="Arial" w:hAnsi="Arial" w:cs="Arial"/>
          <w:b/>
          <w:bCs/>
          <w:i/>
          <w:iCs/>
          <w:sz w:val="20"/>
          <w:szCs w:val="20"/>
          <w:lang w:eastAsia="ar-SA"/>
        </w:rPr>
        <w:t xml:space="preserve"> </w:t>
      </w:r>
      <w:r w:rsidRPr="00C9631A">
        <w:rPr>
          <w:rFonts w:ascii="Arial" w:hAnsi="Arial" w:cs="Arial"/>
          <w:bCs/>
          <w:iCs/>
          <w:sz w:val="20"/>
          <w:szCs w:val="20"/>
          <w:lang w:eastAsia="ar-SA"/>
        </w:rPr>
        <w:t>è costituita da tutti i paesi che non adottano l’euro: 1) Paesi che fanno parte dell’Unione europea ma che ancora non aderiscono all’euro (Bulgari</w:t>
      </w:r>
      <w:r w:rsidR="00C22FDA">
        <w:rPr>
          <w:rFonts w:ascii="Arial" w:hAnsi="Arial" w:cs="Arial"/>
          <w:bCs/>
          <w:iCs/>
          <w:sz w:val="20"/>
          <w:szCs w:val="20"/>
          <w:lang w:eastAsia="ar-SA"/>
        </w:rPr>
        <w:t>a, Croazia, Danimarca, Polonia</w:t>
      </w:r>
      <w:r w:rsidRPr="00C9631A">
        <w:rPr>
          <w:rFonts w:ascii="Arial" w:hAnsi="Arial" w:cs="Arial"/>
          <w:bCs/>
          <w:iCs/>
          <w:sz w:val="20"/>
          <w:szCs w:val="20"/>
          <w:lang w:eastAsia="ar-SA"/>
        </w:rPr>
        <w:t>, Repubblica ceca, Romania, Svezia, Ungheria); 2) tutti i Paesi del Resto del mondo. In particolare, Andorra, Città del Vaticano, Principato di Monaco e San Marino usano l’euro come moneta ufficiale ma non sono ufficialmente membri dell’Unione europea; pertanto, fanno parte dell’Area non euro.</w:t>
      </w:r>
    </w:p>
    <w:p w14:paraId="357262ED" w14:textId="77777777" w:rsidR="006B1C0B" w:rsidRPr="00C9631A" w:rsidRDefault="006B1C0B" w:rsidP="00E74CD4">
      <w:pPr>
        <w:suppressAutoHyphens/>
        <w:spacing w:after="120"/>
        <w:jc w:val="both"/>
        <w:rPr>
          <w:rFonts w:ascii="Arial" w:hAnsi="Arial" w:cs="Arial"/>
          <w:b/>
          <w:bCs/>
          <w:i/>
          <w:iCs/>
          <w:sz w:val="20"/>
          <w:szCs w:val="20"/>
          <w:lang w:eastAsia="ar-SA"/>
        </w:rPr>
      </w:pPr>
      <w:r w:rsidRPr="00C9631A">
        <w:rPr>
          <w:rFonts w:ascii="Arial" w:hAnsi="Arial" w:cs="Arial"/>
          <w:b/>
          <w:bCs/>
          <w:iCs/>
          <w:sz w:val="20"/>
          <w:szCs w:val="20"/>
          <w:lang w:eastAsia="ar-SA"/>
        </w:rPr>
        <w:t>Asean (Associazione delle Nazioni del Sud-Est Asiatico)</w:t>
      </w:r>
      <w:r w:rsidRPr="00C9631A">
        <w:rPr>
          <w:rFonts w:ascii="Arial" w:hAnsi="Arial" w:cs="Arial"/>
          <w:i/>
          <w:iCs/>
          <w:sz w:val="20"/>
          <w:szCs w:val="20"/>
          <w:lang w:eastAsia="ar-SA"/>
        </w:rPr>
        <w:t xml:space="preserve">: </w:t>
      </w:r>
      <w:r w:rsidRPr="00C9631A">
        <w:rPr>
          <w:rFonts w:ascii="Arial" w:hAnsi="Arial" w:cs="Arial"/>
          <w:sz w:val="20"/>
          <w:szCs w:val="20"/>
          <w:lang w:eastAsia="ar-SA"/>
        </w:rPr>
        <w:t xml:space="preserve">Brunei, Cambogia, Filippine, Indonesia, Laos, Malaysia, Birmania, Singapore, Thailandia, Vietnam. </w:t>
      </w:r>
    </w:p>
    <w:p w14:paraId="0049DB3E"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Medio Oriente</w:t>
      </w:r>
      <w:r w:rsidRPr="00C9631A">
        <w:rPr>
          <w:rFonts w:ascii="Arial" w:hAnsi="Arial" w:cs="Arial"/>
          <w:i/>
          <w:iCs/>
          <w:sz w:val="20"/>
          <w:szCs w:val="20"/>
        </w:rPr>
        <w:t xml:space="preserve">: </w:t>
      </w:r>
      <w:r w:rsidRPr="00C9631A">
        <w:rPr>
          <w:rFonts w:ascii="Arial" w:hAnsi="Arial" w:cs="Arial"/>
          <w:sz w:val="20"/>
          <w:szCs w:val="20"/>
        </w:rPr>
        <w:t xml:space="preserve">Arabia Saudita, Armenia, Azerbaigian, Bahrein, Emirati Arabi Uniti, Georgia, Giordania, Iraq, Israele, Kuwait, Libano, Oman, Qatar, Repubblica islamica dell’Iran, Siria, Territorio palestinese occupato, Yemen. </w:t>
      </w:r>
    </w:p>
    <w:p w14:paraId="2C6C956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Mercosur</w:t>
      </w:r>
      <w:r w:rsidRPr="00C9631A">
        <w:rPr>
          <w:rFonts w:ascii="Arial" w:hAnsi="Arial" w:cs="Arial"/>
          <w:sz w:val="20"/>
          <w:szCs w:val="20"/>
        </w:rPr>
        <w:t>: Brasile, Paraguay, Uruguay e Argentina.</w:t>
      </w:r>
    </w:p>
    <w:p w14:paraId="5CABFC30" w14:textId="77777777" w:rsidR="006B1C0B" w:rsidRPr="00C9631A" w:rsidRDefault="006B1C0B" w:rsidP="00E74CD4">
      <w:pPr>
        <w:spacing w:after="120"/>
        <w:jc w:val="both"/>
        <w:rPr>
          <w:rFonts w:ascii="Arial" w:hAnsi="Arial" w:cs="Arial"/>
          <w:bCs/>
          <w:i/>
          <w:iCs/>
          <w:sz w:val="20"/>
          <w:szCs w:val="20"/>
        </w:rPr>
      </w:pPr>
      <w:r w:rsidRPr="00C9631A">
        <w:rPr>
          <w:rFonts w:ascii="Arial" w:hAnsi="Arial" w:cs="Arial"/>
          <w:b/>
          <w:bCs/>
          <w:iCs/>
          <w:sz w:val="20"/>
          <w:szCs w:val="20"/>
        </w:rPr>
        <w:t>Oceania e altri territori</w:t>
      </w:r>
      <w:r w:rsidRPr="00C9631A">
        <w:rPr>
          <w:rFonts w:ascii="Arial" w:hAnsi="Arial" w:cs="Arial"/>
          <w:sz w:val="20"/>
          <w:szCs w:val="20"/>
        </w:rPr>
        <w:t>: Antartide, Australia, Figi, Georgia del Sud e Isole Sandwich australi, Isola di Bouvet, Isola Christmas, Isole Cocos (Keeling), Isole Cook, Isole Heard e McDonald, Isole Marianne settentrionali, Isole Marshall, Isole minori periferiche degli Stati Uniti, Isola Norfolk, Isole Pitcairn, Isole Salomone, Kiribati, Nauru, Niue, Nuova Caledonia, Nuova Zelanda, Palau, Papua Nuova Guinea, Polinesia francese, Samoa, Samoa americane, Stati Federati di Micronesia, Terre australi e antartiche francesi, Tokelau, Tonga, Tuvalu, Vanuatu, Wallis e Futuna, Provviste e dotazioni di bordo, Paesi e territori non specificati, Paesi e territori non specificati per ragioni commerciali o militari.</w:t>
      </w:r>
    </w:p>
    <w:p w14:paraId="4CF6A404" w14:textId="2BC01BC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Opec</w:t>
      </w:r>
      <w:r w:rsidRPr="00C9631A">
        <w:rPr>
          <w:rFonts w:ascii="Arial" w:hAnsi="Arial" w:cs="Arial"/>
          <w:sz w:val="20"/>
          <w:szCs w:val="20"/>
        </w:rPr>
        <w:t>:</w:t>
      </w:r>
      <w:r w:rsidRPr="00C9631A">
        <w:rPr>
          <w:rFonts w:ascii="Arial" w:hAnsi="Arial" w:cs="Arial"/>
          <w:i/>
          <w:sz w:val="20"/>
          <w:szCs w:val="20"/>
        </w:rPr>
        <w:t xml:space="preserve"> </w:t>
      </w:r>
      <w:r w:rsidRPr="00C9631A">
        <w:rPr>
          <w:rFonts w:ascii="Arial" w:hAnsi="Arial" w:cs="Arial"/>
          <w:sz w:val="20"/>
          <w:szCs w:val="20"/>
        </w:rPr>
        <w:t xml:space="preserve">Algeria, Angola, Arabia Saudita, Emirati Arabi Uniti, Iraq, Kuwait, Libia, Nigeria, Repubblica islamica </w:t>
      </w:r>
      <w:r w:rsidR="00C9631A">
        <w:rPr>
          <w:rFonts w:ascii="Arial" w:hAnsi="Arial" w:cs="Arial"/>
          <w:sz w:val="20"/>
          <w:szCs w:val="20"/>
        </w:rPr>
        <w:t>d</w:t>
      </w:r>
      <w:r w:rsidRPr="00C9631A">
        <w:rPr>
          <w:rFonts w:ascii="Arial" w:hAnsi="Arial" w:cs="Arial"/>
          <w:sz w:val="20"/>
          <w:szCs w:val="20"/>
        </w:rPr>
        <w:t xml:space="preserve">ell’Iran, </w:t>
      </w:r>
      <w:r w:rsidR="00245D91">
        <w:rPr>
          <w:rFonts w:ascii="Arial" w:hAnsi="Arial" w:cs="Arial"/>
          <w:sz w:val="20"/>
          <w:szCs w:val="20"/>
        </w:rPr>
        <w:t>Venezuela</w:t>
      </w:r>
      <w:r w:rsidRPr="00C9631A">
        <w:rPr>
          <w:rFonts w:ascii="Arial" w:hAnsi="Arial" w:cs="Arial"/>
          <w:sz w:val="20"/>
          <w:szCs w:val="20"/>
        </w:rPr>
        <w:t xml:space="preserve">, </w:t>
      </w:r>
      <w:r w:rsidR="00883849" w:rsidRPr="00C9631A">
        <w:rPr>
          <w:rFonts w:ascii="Arial" w:hAnsi="Arial" w:cs="Arial"/>
          <w:sz w:val="20"/>
          <w:szCs w:val="20"/>
        </w:rPr>
        <w:t xml:space="preserve">Gabon, </w:t>
      </w:r>
      <w:r w:rsidRPr="00C9631A">
        <w:rPr>
          <w:rFonts w:ascii="Arial" w:hAnsi="Arial" w:cs="Arial"/>
          <w:sz w:val="20"/>
          <w:szCs w:val="20"/>
        </w:rPr>
        <w:t>Guinea Equatoriale</w:t>
      </w:r>
      <w:r w:rsidR="00883849" w:rsidRPr="00C9631A">
        <w:rPr>
          <w:rFonts w:ascii="Arial" w:hAnsi="Arial" w:cs="Arial"/>
          <w:sz w:val="20"/>
          <w:szCs w:val="20"/>
        </w:rPr>
        <w:t xml:space="preserve"> e Congo</w:t>
      </w:r>
      <w:r w:rsidRPr="00C9631A">
        <w:rPr>
          <w:rFonts w:ascii="Arial" w:hAnsi="Arial" w:cs="Arial"/>
          <w:sz w:val="20"/>
          <w:szCs w:val="20"/>
        </w:rPr>
        <w:t>.</w:t>
      </w:r>
    </w:p>
    <w:p w14:paraId="2CFEFA7B" w14:textId="662571DA"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Paesi europei non Ue</w:t>
      </w:r>
      <w:r w:rsidRPr="00C9631A">
        <w:rPr>
          <w:rFonts w:ascii="Arial" w:hAnsi="Arial" w:cs="Arial"/>
          <w:sz w:val="20"/>
          <w:szCs w:val="20"/>
        </w:rPr>
        <w:t xml:space="preserve">: Albania, Andorra, Bielorussia, Bosnia-Erzegovina, Fær Øer, Gibilterra, Islanda, Kosovo, Liechtenstein, </w:t>
      </w:r>
      <w:r w:rsidR="00EF21D2">
        <w:rPr>
          <w:rFonts w:ascii="Arial" w:hAnsi="Arial" w:cs="Arial"/>
          <w:sz w:val="20"/>
          <w:szCs w:val="20"/>
        </w:rPr>
        <w:t>Macedonia del Nord,</w:t>
      </w:r>
      <w:r w:rsidR="00EF21D2" w:rsidRPr="00C9631A">
        <w:rPr>
          <w:rFonts w:ascii="Arial" w:hAnsi="Arial" w:cs="Arial"/>
          <w:sz w:val="20"/>
          <w:szCs w:val="20"/>
        </w:rPr>
        <w:t xml:space="preserve"> </w:t>
      </w:r>
      <w:r w:rsidRPr="00C9631A">
        <w:rPr>
          <w:rFonts w:ascii="Arial" w:hAnsi="Arial" w:cs="Arial"/>
          <w:sz w:val="20"/>
          <w:szCs w:val="20"/>
        </w:rPr>
        <w:t xml:space="preserve">Montenegro, Norvegia, </w:t>
      </w:r>
      <w:r w:rsidR="00C22FDA">
        <w:rPr>
          <w:rFonts w:ascii="Arial" w:hAnsi="Arial" w:cs="Arial"/>
          <w:sz w:val="20"/>
          <w:szCs w:val="20"/>
        </w:rPr>
        <w:t xml:space="preserve">Regno Unito, </w:t>
      </w:r>
      <w:r w:rsidRPr="00C9631A">
        <w:rPr>
          <w:rFonts w:ascii="Arial" w:hAnsi="Arial" w:cs="Arial"/>
          <w:sz w:val="20"/>
          <w:szCs w:val="20"/>
        </w:rPr>
        <w:t>Repubblica moldova, Russia, Santa Sede (Stato della Città del Vaticano), Serbia, Svizzera, Turchia, Ucraina.</w:t>
      </w:r>
    </w:p>
    <w:p w14:paraId="4CDC1008" w14:textId="77777777" w:rsidR="00B24754" w:rsidRDefault="006B1C0B" w:rsidP="00F865D6">
      <w:pPr>
        <w:spacing w:after="120"/>
        <w:jc w:val="both"/>
        <w:rPr>
          <w:rFonts w:ascii="Arial" w:hAnsi="Arial" w:cs="Arial"/>
        </w:rPr>
      </w:pPr>
      <w:r w:rsidRPr="00C9631A">
        <w:rPr>
          <w:rFonts w:ascii="Arial" w:hAnsi="Arial" w:cs="Arial"/>
          <w:b/>
          <w:bCs/>
          <w:iCs/>
          <w:sz w:val="20"/>
          <w:szCs w:val="20"/>
        </w:rPr>
        <w:t>Unione europea</w:t>
      </w:r>
      <w:r w:rsidRPr="00C9631A">
        <w:rPr>
          <w:rFonts w:ascii="Arial" w:hAnsi="Arial" w:cs="Arial"/>
          <w:sz w:val="20"/>
          <w:szCs w:val="20"/>
        </w:rPr>
        <w:t>: Austria, Belgio, Bulgaria, Cipro, Croazia, Danimarca, Estonia, Finlandia, Francia, Germania, Grecia, Irlanda, Italia, Lettonia, Lituania, Lussemburgo, Malta, Pa</w:t>
      </w:r>
      <w:r w:rsidR="00C22FDA">
        <w:rPr>
          <w:rFonts w:ascii="Arial" w:hAnsi="Arial" w:cs="Arial"/>
          <w:sz w:val="20"/>
          <w:szCs w:val="20"/>
        </w:rPr>
        <w:t>esi Bassi, Polonia, Portogallo</w:t>
      </w:r>
      <w:r w:rsidRPr="00C9631A">
        <w:rPr>
          <w:rFonts w:ascii="Arial" w:hAnsi="Arial" w:cs="Arial"/>
          <w:sz w:val="20"/>
          <w:szCs w:val="20"/>
        </w:rPr>
        <w:t>, Repubblica ceca, Romania, Slovacchia, Slovenia, Spagna, Svezia, Ungheria.</w:t>
      </w:r>
    </w:p>
    <w:p w14:paraId="315FEA75" w14:textId="77777777" w:rsidR="00940950" w:rsidRDefault="00940950" w:rsidP="00B81D29">
      <w:pPr>
        <w:spacing w:after="120"/>
        <w:rPr>
          <w:rFonts w:ascii="Arial" w:hAnsi="Arial" w:cs="Arial"/>
        </w:rPr>
        <w:sectPr w:rsidR="00940950" w:rsidSect="00B81D29">
          <w:headerReference w:type="default" r:id="rId38"/>
          <w:pgSz w:w="11907" w:h="16840" w:code="9"/>
          <w:pgMar w:top="1534" w:right="851" w:bottom="680" w:left="851" w:header="567" w:footer="567" w:gutter="0"/>
          <w:cols w:space="720"/>
          <w:noEndnote/>
          <w:docGrid w:linePitch="272"/>
        </w:sectPr>
      </w:pPr>
    </w:p>
    <w:p w14:paraId="4C8B1FB9" w14:textId="77777777" w:rsidR="00501E02" w:rsidRPr="00397FAC" w:rsidRDefault="00501E02" w:rsidP="00501E02">
      <w:pPr>
        <w:spacing w:after="120"/>
        <w:rPr>
          <w:rFonts w:ascii="Arial" w:hAnsi="Arial" w:cs="Arial"/>
          <w:b/>
          <w:szCs w:val="28"/>
        </w:rPr>
      </w:pPr>
    </w:p>
    <w:p w14:paraId="104CD227" w14:textId="77777777" w:rsidR="00501E02" w:rsidRPr="00C9631A" w:rsidRDefault="00501E02" w:rsidP="00501E02">
      <w:pPr>
        <w:spacing w:after="120"/>
        <w:rPr>
          <w:rFonts w:ascii="Arial" w:hAnsi="Arial" w:cs="Arial"/>
          <w:b/>
          <w:sz w:val="22"/>
          <w:szCs w:val="20"/>
        </w:rPr>
      </w:pPr>
      <w:r w:rsidRPr="00C9631A">
        <w:rPr>
          <w:rFonts w:ascii="Arial" w:hAnsi="Arial" w:cs="Arial"/>
          <w:b/>
          <w:sz w:val="22"/>
          <w:szCs w:val="20"/>
        </w:rPr>
        <w:t>Introduzione</w:t>
      </w:r>
    </w:p>
    <w:p w14:paraId="6E26E2C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 questa nota sono riportati i principali riferimenti normativi e metodologici relativi alle rilevazioni sugli scambi con l’estero di merci e sui prezzi all’importazione dei prodotti industriali. Il Prospetto A ne riporta una sintesi.</w:t>
      </w:r>
    </w:p>
    <w:p w14:paraId="64D5F5FB" w14:textId="77777777" w:rsidR="00501E02" w:rsidRPr="00257DC4" w:rsidRDefault="00501E02" w:rsidP="00501E02">
      <w:pPr>
        <w:spacing w:before="240" w:after="120"/>
        <w:jc w:val="both"/>
        <w:rPr>
          <w:rFonts w:ascii="Arial Narrow" w:hAnsi="Arial Narrow" w:cs="Arial"/>
          <w:b/>
          <w:color w:val="7F7F7F"/>
          <w:sz w:val="19"/>
          <w:szCs w:val="19"/>
        </w:rPr>
      </w:pPr>
      <w:r w:rsidRPr="009E4A3B">
        <w:rPr>
          <w:rFonts w:ascii="Arial Narrow" w:hAnsi="Arial Narrow" w:cs="Arial"/>
          <w:b/>
          <w:color w:val="E42618"/>
          <w:sz w:val="22"/>
          <w:szCs w:val="22"/>
        </w:rPr>
        <w:t>PROSPETTO A.</w:t>
      </w:r>
      <w:r w:rsidRPr="009E4A3B">
        <w:rPr>
          <w:rFonts w:ascii="Arial Narrow" w:hAnsi="Arial Narrow" w:cs="Arial"/>
          <w:b/>
          <w:color w:val="C00000"/>
          <w:sz w:val="22"/>
          <w:szCs w:val="22"/>
        </w:rPr>
        <w:t xml:space="preserve"> </w:t>
      </w:r>
      <w:r w:rsidRPr="00257DC4">
        <w:rPr>
          <w:rFonts w:ascii="Arial Narrow" w:hAnsi="Arial Narrow" w:cs="Arial"/>
          <w:b/>
          <w:color w:val="7F7F7F"/>
          <w:sz w:val="22"/>
          <w:szCs w:val="22"/>
        </w:rPr>
        <w:t>RILEVAZIONI SUGLI SCAMBI CON L’ESTERO DI MERCI E SUI PREZZI ALL’IMPORTAZIONE</w:t>
      </w:r>
      <w:r>
        <w:rPr>
          <w:rFonts w:ascii="Arial Narrow" w:hAnsi="Arial Narrow" w:cs="Arial"/>
          <w:b/>
          <w:color w:val="7F7F7F"/>
          <w:sz w:val="22"/>
          <w:szCs w:val="22"/>
        </w:rPr>
        <w:t xml:space="preserve"> </w:t>
      </w:r>
      <w:r w:rsidRPr="00257DC4">
        <w:rPr>
          <w:rFonts w:ascii="Arial Narrow" w:hAnsi="Arial Narrow" w:cs="Arial"/>
          <w:b/>
          <w:color w:val="7F7F7F"/>
          <w:sz w:val="22"/>
          <w:szCs w:val="22"/>
        </w:rPr>
        <w:t>PRINCIPALI CARATTERISTICHE</w:t>
      </w:r>
    </w:p>
    <w:tbl>
      <w:tblPr>
        <w:tblW w:w="1020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026"/>
        <w:gridCol w:w="4089"/>
        <w:gridCol w:w="4091"/>
      </w:tblGrid>
      <w:tr w:rsidR="00501E02" w14:paraId="2357C0DF" w14:textId="77777777" w:rsidTr="002C489F">
        <w:trPr>
          <w:trHeight w:val="255"/>
        </w:trPr>
        <w:tc>
          <w:tcPr>
            <w:tcW w:w="993" w:type="pct"/>
            <w:vMerge w:val="restart"/>
            <w:shd w:val="clear" w:color="auto" w:fill="auto"/>
          </w:tcPr>
          <w:p w14:paraId="7F4A7F5D" w14:textId="77777777" w:rsidR="00501E02" w:rsidRPr="00232AB9" w:rsidRDefault="00501E02" w:rsidP="002C489F">
            <w:pPr>
              <w:spacing w:before="40" w:after="20"/>
              <w:jc w:val="center"/>
              <w:rPr>
                <w:rFonts w:ascii="Arial Narrow" w:hAnsi="Arial Narrow" w:cs="Arial"/>
                <w:b/>
                <w:sz w:val="18"/>
                <w:szCs w:val="18"/>
              </w:rPr>
            </w:pPr>
          </w:p>
        </w:tc>
        <w:tc>
          <w:tcPr>
            <w:tcW w:w="4007" w:type="pct"/>
            <w:gridSpan w:val="2"/>
            <w:shd w:val="clear" w:color="auto" w:fill="D9D9D9"/>
          </w:tcPr>
          <w:p w14:paraId="6805032D" w14:textId="77777777" w:rsidR="00501E02" w:rsidRPr="00232AB9" w:rsidRDefault="00501E02" w:rsidP="002C489F">
            <w:pPr>
              <w:spacing w:before="40" w:after="20"/>
              <w:jc w:val="center"/>
              <w:rPr>
                <w:rFonts w:ascii="Arial Narrow" w:hAnsi="Arial Narrow" w:cs="Arial"/>
                <w:b/>
                <w:sz w:val="18"/>
                <w:szCs w:val="18"/>
              </w:rPr>
            </w:pPr>
            <w:r w:rsidRPr="00232AB9">
              <w:rPr>
                <w:rFonts w:ascii="Arial Narrow" w:hAnsi="Arial Narrow" w:cs="Arial"/>
                <w:b/>
                <w:sz w:val="18"/>
                <w:szCs w:val="18"/>
              </w:rPr>
              <w:t>RILEVAZIONI</w:t>
            </w:r>
          </w:p>
        </w:tc>
      </w:tr>
      <w:tr w:rsidR="00501E02" w14:paraId="5CB00FD6" w14:textId="77777777" w:rsidTr="002C489F">
        <w:trPr>
          <w:trHeight w:val="255"/>
        </w:trPr>
        <w:tc>
          <w:tcPr>
            <w:tcW w:w="993" w:type="pct"/>
            <w:vMerge/>
            <w:shd w:val="clear" w:color="auto" w:fill="auto"/>
          </w:tcPr>
          <w:p w14:paraId="788EF796" w14:textId="77777777" w:rsidR="00501E02" w:rsidRPr="00232AB9" w:rsidRDefault="00501E02" w:rsidP="002C489F">
            <w:pPr>
              <w:spacing w:before="40" w:after="20"/>
              <w:jc w:val="center"/>
              <w:rPr>
                <w:rFonts w:ascii="Arial Narrow" w:hAnsi="Arial Narrow" w:cs="Arial"/>
                <w:b/>
                <w:sz w:val="18"/>
                <w:szCs w:val="18"/>
              </w:rPr>
            </w:pPr>
          </w:p>
        </w:tc>
        <w:tc>
          <w:tcPr>
            <w:tcW w:w="2003" w:type="pct"/>
            <w:shd w:val="clear" w:color="auto" w:fill="FFFFFF"/>
          </w:tcPr>
          <w:p w14:paraId="1FBD27C3" w14:textId="77777777" w:rsidR="00501E02" w:rsidRPr="00232AB9" w:rsidRDefault="00501E02" w:rsidP="002C489F">
            <w:pPr>
              <w:spacing w:before="40" w:after="20"/>
              <w:jc w:val="center"/>
              <w:rPr>
                <w:b/>
              </w:rPr>
            </w:pPr>
            <w:r w:rsidRPr="00232AB9">
              <w:rPr>
                <w:rFonts w:ascii="Arial Narrow" w:hAnsi="Arial Narrow" w:cs="Arial"/>
                <w:b/>
                <w:sz w:val="18"/>
                <w:szCs w:val="18"/>
              </w:rPr>
              <w:t>Scambi con l’estero di merci</w:t>
            </w:r>
          </w:p>
        </w:tc>
        <w:tc>
          <w:tcPr>
            <w:tcW w:w="2004" w:type="pct"/>
            <w:shd w:val="clear" w:color="auto" w:fill="FFFFFF"/>
          </w:tcPr>
          <w:p w14:paraId="36AB1777" w14:textId="77777777" w:rsidR="00501E02" w:rsidRPr="00232AB9" w:rsidRDefault="00501E02" w:rsidP="002C489F">
            <w:pPr>
              <w:spacing w:before="40" w:after="20"/>
              <w:jc w:val="center"/>
              <w:rPr>
                <w:b/>
              </w:rPr>
            </w:pPr>
            <w:r w:rsidRPr="00232AB9">
              <w:rPr>
                <w:rFonts w:ascii="Arial Narrow" w:hAnsi="Arial Narrow" w:cs="Arial"/>
                <w:b/>
                <w:sz w:val="18"/>
                <w:szCs w:val="18"/>
              </w:rPr>
              <w:t>Prezzi all’importazione</w:t>
            </w:r>
          </w:p>
        </w:tc>
      </w:tr>
      <w:tr w:rsidR="00501E02" w14:paraId="59CA6FE5" w14:textId="77777777" w:rsidTr="002C489F">
        <w:trPr>
          <w:trHeight w:val="255"/>
        </w:trPr>
        <w:tc>
          <w:tcPr>
            <w:tcW w:w="993" w:type="pct"/>
            <w:shd w:val="clear" w:color="auto" w:fill="auto"/>
          </w:tcPr>
          <w:p w14:paraId="695C7C40" w14:textId="77777777" w:rsidR="00501E02" w:rsidRPr="009575F1" w:rsidRDefault="00501E02" w:rsidP="002C489F">
            <w:pPr>
              <w:spacing w:before="40" w:after="20"/>
            </w:pPr>
            <w:r w:rsidRPr="00232AB9">
              <w:rPr>
                <w:rFonts w:ascii="Arial Narrow" w:hAnsi="Arial Narrow" w:cs="Arial"/>
                <w:b/>
                <w:sz w:val="18"/>
                <w:szCs w:val="18"/>
              </w:rPr>
              <w:t>Fonti</w:t>
            </w:r>
          </w:p>
        </w:tc>
        <w:tc>
          <w:tcPr>
            <w:tcW w:w="2003" w:type="pct"/>
            <w:shd w:val="clear" w:color="auto" w:fill="D9D9D9"/>
          </w:tcPr>
          <w:p w14:paraId="1C179897"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Utilizzo dati doganali e sistema Intrastat</w:t>
            </w:r>
          </w:p>
          <w:p w14:paraId="50459D90"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2) Elaborazioni da statistiche di base sugli Scambi con l’estero di merci</w:t>
            </w:r>
          </w:p>
          <w:p w14:paraId="19BA8CCF" w14:textId="77777777" w:rsidR="00501E02" w:rsidRPr="009575F1" w:rsidRDefault="00501E02" w:rsidP="002C489F">
            <w:pPr>
              <w:spacing w:before="40" w:after="20"/>
            </w:pPr>
            <w:r w:rsidRPr="00232AB9">
              <w:rPr>
                <w:rFonts w:ascii="Arial Narrow" w:hAnsi="Arial Narrow" w:cs="Arial"/>
                <w:sz w:val="18"/>
                <w:szCs w:val="18"/>
              </w:rPr>
              <w:t>3) Le stime di particolari merci sono frutto di elaborazioni ottenute integrando fonti informative diverse</w:t>
            </w:r>
          </w:p>
        </w:tc>
        <w:tc>
          <w:tcPr>
            <w:tcW w:w="2004" w:type="pct"/>
            <w:shd w:val="clear" w:color="auto" w:fill="auto"/>
          </w:tcPr>
          <w:p w14:paraId="24B89F77" w14:textId="77777777" w:rsidR="00501E02" w:rsidRDefault="00501E02" w:rsidP="002C489F">
            <w:pPr>
              <w:spacing w:before="40" w:after="20"/>
            </w:pPr>
            <w:r w:rsidRPr="00232AB9">
              <w:rPr>
                <w:rFonts w:ascii="Arial Narrow" w:hAnsi="Arial Narrow" w:cs="Arial"/>
                <w:sz w:val="18"/>
                <w:szCs w:val="18"/>
              </w:rPr>
              <w:t>Rilevazione diretta</w:t>
            </w:r>
          </w:p>
        </w:tc>
      </w:tr>
      <w:tr w:rsidR="00501E02" w14:paraId="10333363" w14:textId="77777777" w:rsidTr="002C489F">
        <w:trPr>
          <w:trHeight w:val="255"/>
        </w:trPr>
        <w:tc>
          <w:tcPr>
            <w:tcW w:w="993" w:type="pct"/>
            <w:shd w:val="clear" w:color="auto" w:fill="auto"/>
          </w:tcPr>
          <w:p w14:paraId="463391F6" w14:textId="77777777" w:rsidR="00501E02" w:rsidRDefault="00501E02" w:rsidP="002C489F">
            <w:pPr>
              <w:spacing w:before="40" w:after="20"/>
            </w:pPr>
            <w:r w:rsidRPr="00232AB9">
              <w:rPr>
                <w:rFonts w:ascii="Arial Narrow" w:hAnsi="Arial Narrow" w:cs="Arial"/>
                <w:b/>
                <w:sz w:val="18"/>
                <w:szCs w:val="18"/>
              </w:rPr>
              <w:t>Campo di osservazione</w:t>
            </w:r>
          </w:p>
        </w:tc>
        <w:tc>
          <w:tcPr>
            <w:tcW w:w="2003" w:type="pct"/>
            <w:shd w:val="clear" w:color="auto" w:fill="D9D9D9"/>
          </w:tcPr>
          <w:p w14:paraId="4373682D"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Tutte le merci (cfr glossario), senza restrizioni rispetto all'attività economica prevalente delle unità economiche che hanno attivato i flussi di scambi con l'estero, ad esclusione dell’oro monetario, del software personalizzato, degli strumenti di pagamento aventi corso legale e valori, delle merci destinate alla riparazione.</w:t>
            </w:r>
          </w:p>
        </w:tc>
        <w:tc>
          <w:tcPr>
            <w:tcW w:w="2004" w:type="pct"/>
            <w:shd w:val="clear" w:color="auto" w:fill="auto"/>
          </w:tcPr>
          <w:p w14:paraId="3D707012"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Prodott</w:t>
            </w:r>
            <w:r>
              <w:rPr>
                <w:rFonts w:ascii="Arial Narrow" w:hAnsi="Arial Narrow" w:cs="Arial"/>
                <w:sz w:val="18"/>
                <w:szCs w:val="18"/>
              </w:rPr>
              <w:t>i inclusi nelle sezioni da B a D</w:t>
            </w:r>
            <w:r w:rsidRPr="00232AB9">
              <w:rPr>
                <w:rFonts w:ascii="Arial Narrow" w:hAnsi="Arial Narrow" w:cs="Arial"/>
                <w:sz w:val="18"/>
                <w:szCs w:val="18"/>
              </w:rPr>
              <w:t xml:space="preserve"> della classificazione CPA (derivata dalla Nace Rev.2);</w:t>
            </w:r>
          </w:p>
          <w:p w14:paraId="1D8847B2" w14:textId="77777777" w:rsidR="00501E02" w:rsidRDefault="00501E02" w:rsidP="002C489F">
            <w:pPr>
              <w:spacing w:before="40" w:after="20"/>
            </w:pPr>
            <w:r w:rsidRPr="00232AB9">
              <w:rPr>
                <w:rFonts w:ascii="Arial Narrow" w:hAnsi="Arial Narrow" w:cs="Arial"/>
                <w:sz w:val="18"/>
                <w:szCs w:val="18"/>
              </w:rPr>
              <w:t>2) imprese con attività economica prevalente nelle sezioni B, C, D, E, G della classificazione Ateco 2007 (derivata dalla Nace Rev.2).</w:t>
            </w:r>
          </w:p>
        </w:tc>
      </w:tr>
      <w:tr w:rsidR="00501E02" w14:paraId="20128DAE" w14:textId="77777777" w:rsidTr="002C489F">
        <w:trPr>
          <w:trHeight w:val="255"/>
        </w:trPr>
        <w:tc>
          <w:tcPr>
            <w:tcW w:w="993" w:type="pct"/>
            <w:shd w:val="clear" w:color="auto" w:fill="auto"/>
          </w:tcPr>
          <w:p w14:paraId="17470787" w14:textId="77777777" w:rsidR="00501E02" w:rsidRDefault="00501E02" w:rsidP="002C489F">
            <w:pPr>
              <w:spacing w:before="40" w:after="20"/>
            </w:pPr>
            <w:r w:rsidRPr="00232AB9">
              <w:rPr>
                <w:rFonts w:ascii="Arial Narrow" w:hAnsi="Arial Narrow" w:cs="Arial"/>
                <w:b/>
                <w:sz w:val="18"/>
                <w:szCs w:val="18"/>
              </w:rPr>
              <w:t>Periodicità di diffusione e dettaglio territoriale dei dati</w:t>
            </w:r>
          </w:p>
        </w:tc>
        <w:tc>
          <w:tcPr>
            <w:tcW w:w="2003" w:type="pct"/>
            <w:shd w:val="clear" w:color="auto" w:fill="D9D9D9"/>
          </w:tcPr>
          <w:p w14:paraId="1AF8801D"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c>
          <w:tcPr>
            <w:tcW w:w="2004" w:type="pct"/>
            <w:shd w:val="clear" w:color="auto" w:fill="auto"/>
          </w:tcPr>
          <w:p w14:paraId="4A57A99B"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r>
      <w:tr w:rsidR="00501E02" w14:paraId="1E0E1AD5" w14:textId="77777777" w:rsidTr="002C489F">
        <w:trPr>
          <w:trHeight w:val="255"/>
        </w:trPr>
        <w:tc>
          <w:tcPr>
            <w:tcW w:w="993" w:type="pct"/>
            <w:shd w:val="clear" w:color="auto" w:fill="auto"/>
          </w:tcPr>
          <w:p w14:paraId="02D2150C" w14:textId="77777777" w:rsidR="00501E02" w:rsidRDefault="00501E02" w:rsidP="002C489F">
            <w:pPr>
              <w:spacing w:before="40" w:after="20"/>
            </w:pPr>
            <w:r w:rsidRPr="00232AB9">
              <w:rPr>
                <w:rFonts w:ascii="Arial Narrow" w:hAnsi="Arial Narrow" w:cs="Arial"/>
                <w:b/>
                <w:sz w:val="18"/>
                <w:szCs w:val="18"/>
              </w:rPr>
              <w:t>Periodo di riferimento</w:t>
            </w:r>
          </w:p>
        </w:tc>
        <w:tc>
          <w:tcPr>
            <w:tcW w:w="2003" w:type="pct"/>
            <w:shd w:val="clear" w:color="auto" w:fill="D9D9D9"/>
          </w:tcPr>
          <w:p w14:paraId="507E0FC0"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c>
          <w:tcPr>
            <w:tcW w:w="2004" w:type="pct"/>
            <w:shd w:val="clear" w:color="auto" w:fill="auto"/>
          </w:tcPr>
          <w:p w14:paraId="0F2F20E8"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r>
      <w:tr w:rsidR="00501E02" w14:paraId="0A1722C6" w14:textId="77777777" w:rsidTr="002C489F">
        <w:trPr>
          <w:trHeight w:val="255"/>
        </w:trPr>
        <w:tc>
          <w:tcPr>
            <w:tcW w:w="993" w:type="pct"/>
            <w:shd w:val="clear" w:color="auto" w:fill="auto"/>
          </w:tcPr>
          <w:p w14:paraId="1E2819D9" w14:textId="77777777" w:rsidR="00501E02" w:rsidRDefault="00501E02" w:rsidP="002C489F">
            <w:pPr>
              <w:spacing w:before="40" w:after="20"/>
            </w:pPr>
            <w:r w:rsidRPr="00232AB9">
              <w:rPr>
                <w:rFonts w:ascii="Arial Narrow" w:hAnsi="Arial Narrow" w:cs="Arial"/>
                <w:b/>
                <w:sz w:val="18"/>
                <w:szCs w:val="18"/>
              </w:rPr>
              <w:t>Principali indicatori</w:t>
            </w:r>
          </w:p>
        </w:tc>
        <w:tc>
          <w:tcPr>
            <w:tcW w:w="2003" w:type="pct"/>
            <w:shd w:val="clear" w:color="auto" w:fill="D9D9D9"/>
          </w:tcPr>
          <w:p w14:paraId="037463B7" w14:textId="77777777" w:rsidR="00501E02" w:rsidRPr="00232AB9" w:rsidRDefault="00501E02" w:rsidP="002C489F">
            <w:pPr>
              <w:spacing w:before="40" w:after="20"/>
              <w:rPr>
                <w:rFonts w:ascii="Arial Narrow" w:hAnsi="Arial Narrow" w:cs="Arial"/>
                <w:sz w:val="18"/>
                <w:szCs w:val="18"/>
              </w:rPr>
            </w:pPr>
            <w:r w:rsidRPr="00232AB9">
              <w:rPr>
                <w:rFonts w:ascii="Arial Narrow" w:hAnsi="Arial Narrow" w:cs="Arial"/>
                <w:sz w:val="18"/>
                <w:szCs w:val="18"/>
              </w:rPr>
              <w:t>1) Valori monetari a prezzi correnti rilevati o stimati in termini di valore statistico (Cif, Fob)</w:t>
            </w:r>
          </w:p>
          <w:p w14:paraId="23221AB4" w14:textId="77777777" w:rsidR="00501E02" w:rsidRDefault="00501E02" w:rsidP="002C489F">
            <w:pPr>
              <w:spacing w:before="40" w:after="20"/>
            </w:pPr>
            <w:r w:rsidRPr="00232AB9">
              <w:rPr>
                <w:rFonts w:ascii="Arial Narrow" w:hAnsi="Arial Narrow" w:cs="Arial"/>
                <w:sz w:val="18"/>
                <w:szCs w:val="18"/>
              </w:rPr>
              <w:t>2) VMU e volumi: Indici di Fisher a base mobile concatenati</w:t>
            </w:r>
          </w:p>
        </w:tc>
        <w:tc>
          <w:tcPr>
            <w:tcW w:w="2004" w:type="pct"/>
            <w:shd w:val="clear" w:color="auto" w:fill="auto"/>
          </w:tcPr>
          <w:p w14:paraId="6E674035" w14:textId="3A951D2F" w:rsidR="00501E02" w:rsidRDefault="00501E02" w:rsidP="00DF597A">
            <w:pPr>
              <w:spacing w:before="40" w:after="20"/>
            </w:pPr>
            <w:r w:rsidRPr="00DF597A">
              <w:rPr>
                <w:rFonts w:ascii="Arial Narrow" w:hAnsi="Arial Narrow" w:cs="Arial"/>
                <w:sz w:val="18"/>
                <w:szCs w:val="18"/>
              </w:rPr>
              <w:t>Indice di Laspeyres</w:t>
            </w:r>
            <w:r w:rsidR="00DF597A" w:rsidRPr="00DF597A">
              <w:rPr>
                <w:rFonts w:ascii="Arial Narrow" w:hAnsi="Arial Narrow" w:cs="Arial"/>
                <w:sz w:val="18"/>
                <w:szCs w:val="18"/>
              </w:rPr>
              <w:t xml:space="preserve"> concatenato</w:t>
            </w:r>
          </w:p>
        </w:tc>
      </w:tr>
    </w:tbl>
    <w:p w14:paraId="349DC099" w14:textId="77777777" w:rsidR="00501E02" w:rsidRDefault="00501E02" w:rsidP="00501E02">
      <w:pPr>
        <w:spacing w:after="120"/>
        <w:jc w:val="both"/>
        <w:rPr>
          <w:rFonts w:ascii="Arial" w:hAnsi="Arial" w:cs="Arial"/>
          <w:b/>
        </w:rPr>
      </w:pPr>
    </w:p>
    <w:p w14:paraId="22F2900A" w14:textId="77777777" w:rsidR="00501E02" w:rsidRPr="00C9631A" w:rsidRDefault="00501E02" w:rsidP="00501E02">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Commercio con l’estero</w:t>
      </w:r>
    </w:p>
    <w:p w14:paraId="4E8C9D08" w14:textId="77777777" w:rsidR="00501E02" w:rsidRPr="00C21B33" w:rsidRDefault="00501E02" w:rsidP="00501E02">
      <w:pPr>
        <w:spacing w:after="120"/>
        <w:jc w:val="both"/>
        <w:rPr>
          <w:rFonts w:ascii="Arial" w:hAnsi="Arial" w:cs="Arial"/>
          <w:strike/>
          <w:sz w:val="20"/>
          <w:szCs w:val="20"/>
        </w:rPr>
      </w:pPr>
      <w:r w:rsidRPr="00C9631A">
        <w:rPr>
          <w:rFonts w:ascii="Arial" w:hAnsi="Arial" w:cs="Arial"/>
          <w:sz w:val="20"/>
          <w:szCs w:val="20"/>
        </w:rPr>
        <w:t>Le statistiche del commercio estero di beni sono il risultato di due rilevazioni che hanno come oggetto gli scambi dell’Italia con i paesi dell’Unione europea (Ue) e con i paesi extra Ue</w:t>
      </w:r>
      <w:r w:rsidRPr="00104132">
        <w:rPr>
          <w:rFonts w:ascii="Arial" w:hAnsi="Arial" w:cs="Arial"/>
          <w:sz w:val="20"/>
          <w:szCs w:val="20"/>
        </w:rPr>
        <w:t xml:space="preserve">. </w:t>
      </w:r>
    </w:p>
    <w:p w14:paraId="03712E1A" w14:textId="77777777" w:rsidR="00501E02" w:rsidRPr="00C9631A" w:rsidRDefault="00501E02" w:rsidP="00501E02">
      <w:pPr>
        <w:spacing w:after="120"/>
        <w:jc w:val="both"/>
        <w:rPr>
          <w:rFonts w:ascii="Arial" w:hAnsi="Arial" w:cs="Arial"/>
          <w:sz w:val="20"/>
          <w:szCs w:val="20"/>
        </w:rPr>
      </w:pPr>
    </w:p>
    <w:p w14:paraId="28024808" w14:textId="77777777" w:rsidR="00501E02" w:rsidRDefault="00501E02" w:rsidP="00501E02">
      <w:pPr>
        <w:spacing w:after="120"/>
        <w:jc w:val="both"/>
        <w:rPr>
          <w:rFonts w:ascii="Arial" w:hAnsi="Arial" w:cs="Arial"/>
          <w:b/>
          <w:sz w:val="20"/>
          <w:szCs w:val="20"/>
        </w:rPr>
      </w:pPr>
      <w:r w:rsidRPr="00C9631A">
        <w:rPr>
          <w:rFonts w:ascii="Arial" w:hAnsi="Arial" w:cs="Arial"/>
          <w:b/>
          <w:sz w:val="20"/>
          <w:szCs w:val="20"/>
        </w:rPr>
        <w:t>Quadro normativo di riferimento</w:t>
      </w:r>
    </w:p>
    <w:p w14:paraId="7A92114D" w14:textId="77777777" w:rsidR="00501E02" w:rsidRPr="00D61DDB" w:rsidRDefault="00501E02" w:rsidP="00501E02">
      <w:pPr>
        <w:spacing w:after="120"/>
        <w:jc w:val="both"/>
        <w:rPr>
          <w:rFonts w:ascii="Arial" w:hAnsi="Arial" w:cs="Arial"/>
          <w:sz w:val="20"/>
          <w:szCs w:val="20"/>
        </w:rPr>
      </w:pPr>
      <w:r w:rsidRPr="00D61DDB">
        <w:rPr>
          <w:rFonts w:ascii="Arial" w:hAnsi="Arial" w:cs="Arial"/>
          <w:sz w:val="20"/>
          <w:szCs w:val="20"/>
        </w:rPr>
        <w:t>L</w:t>
      </w:r>
      <w:r>
        <w:rPr>
          <w:rFonts w:ascii="Arial" w:hAnsi="Arial" w:cs="Arial"/>
          <w:sz w:val="20"/>
          <w:szCs w:val="20"/>
        </w:rPr>
        <w:t>e rilevazioni</w:t>
      </w:r>
      <w:r w:rsidRPr="00D61DDB">
        <w:rPr>
          <w:rFonts w:ascii="Arial" w:hAnsi="Arial" w:cs="Arial"/>
          <w:sz w:val="20"/>
          <w:szCs w:val="20"/>
        </w:rPr>
        <w:t xml:space="preserve"> del commercio con i paesi </w:t>
      </w:r>
      <w:r>
        <w:rPr>
          <w:rFonts w:ascii="Arial" w:hAnsi="Arial" w:cs="Arial"/>
          <w:sz w:val="20"/>
          <w:szCs w:val="20"/>
        </w:rPr>
        <w:t xml:space="preserve">Ue ed </w:t>
      </w:r>
      <w:r w:rsidRPr="00D61DDB">
        <w:rPr>
          <w:rFonts w:ascii="Arial" w:hAnsi="Arial" w:cs="Arial"/>
          <w:sz w:val="20"/>
          <w:szCs w:val="20"/>
        </w:rPr>
        <w:t xml:space="preserve">extra Ue </w:t>
      </w:r>
      <w:r>
        <w:rPr>
          <w:rFonts w:ascii="Arial" w:hAnsi="Arial" w:cs="Arial"/>
          <w:sz w:val="20"/>
          <w:szCs w:val="20"/>
        </w:rPr>
        <w:t>sono</w:t>
      </w:r>
      <w:r w:rsidRPr="00E41033">
        <w:rPr>
          <w:rFonts w:ascii="Arial" w:hAnsi="Arial" w:cs="Arial"/>
          <w:sz w:val="20"/>
          <w:szCs w:val="20"/>
        </w:rPr>
        <w:t xml:space="preserve"> effettuat</w:t>
      </w:r>
      <w:r>
        <w:rPr>
          <w:rFonts w:ascii="Arial" w:hAnsi="Arial" w:cs="Arial"/>
          <w:sz w:val="20"/>
          <w:szCs w:val="20"/>
        </w:rPr>
        <w:t>e</w:t>
      </w:r>
      <w:r w:rsidRPr="00D61DDB">
        <w:rPr>
          <w:rFonts w:ascii="Arial" w:hAnsi="Arial" w:cs="Arial"/>
          <w:sz w:val="20"/>
          <w:szCs w:val="20"/>
        </w:rPr>
        <w:t xml:space="preserve"> secondo la normativa comunitaria: Regolamento (UE) 2019/2152 del Parlamento europeo e del Consiglio relativo alle statistiche europee sulle imprese; Regolamento di esecuzione (UE) 2020/1197 della Commissione che stabilisce le specifiche tecniche e le modalità a norma del regolamento (UE) 2019/2152; Regolamento delegato (UE) 2021/1704 della Commissione che integra il regolamento (UE) 2019/2152 specificando ulteriormente i dettagli delle informazioni statistiche che devono essere fornite dalle autorità fiscali e doganali e che ne modifica gli allegati V e VI; Regolamento di esecuzione (UE) 2021/1225 della Commi</w:t>
      </w:r>
      <w:r>
        <w:rPr>
          <w:rFonts w:ascii="Arial" w:hAnsi="Arial" w:cs="Arial"/>
          <w:sz w:val="20"/>
          <w:szCs w:val="20"/>
        </w:rPr>
        <w:t>s</w:t>
      </w:r>
      <w:r w:rsidRPr="00D61DDB">
        <w:rPr>
          <w:rFonts w:ascii="Arial" w:hAnsi="Arial" w:cs="Arial"/>
          <w:sz w:val="20"/>
          <w:szCs w:val="20"/>
        </w:rPr>
        <w:t>sione che specifica le modalità degli scambi di dati a norma del regolamento (UE) 2019/2152 e che modifica il regolamento di esecuzione (UE) 2020/1197 per quanto riguarda lo Stato membro di esportazione extra-UE e gli obblighi delle unità rispondenti</w:t>
      </w:r>
      <w:r>
        <w:rPr>
          <w:rFonts w:ascii="Arial" w:hAnsi="Arial" w:cs="Arial"/>
          <w:sz w:val="20"/>
          <w:szCs w:val="20"/>
        </w:rPr>
        <w:t>.</w:t>
      </w:r>
    </w:p>
    <w:p w14:paraId="50AEB23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appartenenti all’Unione europea </w:t>
      </w:r>
      <w:r>
        <w:rPr>
          <w:rFonts w:ascii="Arial" w:hAnsi="Arial" w:cs="Arial"/>
          <w:sz w:val="20"/>
          <w:szCs w:val="20"/>
        </w:rPr>
        <w:t>t</w:t>
      </w:r>
      <w:r w:rsidRPr="00C9631A">
        <w:rPr>
          <w:rFonts w:ascii="Arial" w:hAnsi="Arial" w:cs="Arial"/>
          <w:sz w:val="20"/>
          <w:szCs w:val="20"/>
        </w:rPr>
        <w:t>rova applicazione in sede nazionale con il Decreto Legislativo n. 18/2010 (GU n. 41 del 19-2-2010), il Decreto del Ministro dell’</w:t>
      </w:r>
      <w:r>
        <w:rPr>
          <w:rFonts w:ascii="Arial" w:hAnsi="Arial" w:cs="Arial"/>
          <w:sz w:val="20"/>
          <w:szCs w:val="20"/>
        </w:rPr>
        <w:t>e</w:t>
      </w:r>
      <w:r w:rsidRPr="00C9631A">
        <w:rPr>
          <w:rFonts w:ascii="Arial" w:hAnsi="Arial" w:cs="Arial"/>
          <w:sz w:val="20"/>
          <w:szCs w:val="20"/>
        </w:rPr>
        <w:t xml:space="preserve">conomia e delle </w:t>
      </w:r>
      <w:r>
        <w:rPr>
          <w:rFonts w:ascii="Arial" w:hAnsi="Arial" w:cs="Arial"/>
          <w:sz w:val="20"/>
          <w:szCs w:val="20"/>
        </w:rPr>
        <w:t>f</w:t>
      </w:r>
      <w:r w:rsidRPr="00C9631A">
        <w:rPr>
          <w:rFonts w:ascii="Arial" w:hAnsi="Arial" w:cs="Arial"/>
          <w:sz w:val="20"/>
          <w:szCs w:val="20"/>
        </w:rPr>
        <w:t>inanze del 22/2/2010 (GU n.53 del 5-3-2010) e l</w:t>
      </w:r>
      <w:r>
        <w:rPr>
          <w:rFonts w:ascii="Arial" w:hAnsi="Arial" w:cs="Arial"/>
          <w:sz w:val="20"/>
          <w:szCs w:val="20"/>
        </w:rPr>
        <w:t>a</w:t>
      </w:r>
      <w:r w:rsidRPr="00C9631A">
        <w:rPr>
          <w:rFonts w:ascii="Arial" w:hAnsi="Arial" w:cs="Arial"/>
          <w:sz w:val="20"/>
          <w:szCs w:val="20"/>
        </w:rPr>
        <w:t xml:space="preserve"> Determinazione </w:t>
      </w:r>
      <w:r>
        <w:rPr>
          <w:rFonts w:ascii="Arial" w:hAnsi="Arial" w:cs="Arial"/>
          <w:sz w:val="20"/>
          <w:szCs w:val="20"/>
        </w:rPr>
        <w:t xml:space="preserve">del Direttore </w:t>
      </w:r>
      <w:r w:rsidRPr="00C9631A">
        <w:rPr>
          <w:rFonts w:ascii="Arial" w:hAnsi="Arial" w:cs="Arial"/>
          <w:sz w:val="20"/>
          <w:szCs w:val="20"/>
        </w:rPr>
        <w:t xml:space="preserve">dell’Agenzia delle </w:t>
      </w:r>
      <w:r>
        <w:rPr>
          <w:rFonts w:ascii="Arial" w:hAnsi="Arial" w:cs="Arial"/>
          <w:sz w:val="20"/>
          <w:szCs w:val="20"/>
        </w:rPr>
        <w:t>d</w:t>
      </w:r>
      <w:r w:rsidRPr="00C9631A">
        <w:rPr>
          <w:rFonts w:ascii="Arial" w:hAnsi="Arial" w:cs="Arial"/>
          <w:sz w:val="20"/>
          <w:szCs w:val="20"/>
        </w:rPr>
        <w:t>ogane del 22/2/2010</w:t>
      </w:r>
      <w:r>
        <w:rPr>
          <w:rFonts w:ascii="Arial" w:hAnsi="Arial" w:cs="Arial"/>
          <w:sz w:val="20"/>
          <w:szCs w:val="20"/>
        </w:rPr>
        <w:t>,</w:t>
      </w:r>
      <w:r w:rsidRPr="00C9631A">
        <w:rPr>
          <w:rFonts w:ascii="Arial" w:hAnsi="Arial" w:cs="Arial"/>
          <w:sz w:val="20"/>
          <w:szCs w:val="20"/>
        </w:rPr>
        <w:t xml:space="preserve"> </w:t>
      </w:r>
      <w:r>
        <w:rPr>
          <w:rFonts w:ascii="Arial" w:hAnsi="Arial" w:cs="Arial"/>
          <w:sz w:val="20"/>
          <w:szCs w:val="20"/>
        </w:rPr>
        <w:t>il</w:t>
      </w:r>
      <w:r w:rsidRPr="00C9631A">
        <w:rPr>
          <w:rFonts w:ascii="Arial" w:hAnsi="Arial" w:cs="Arial"/>
          <w:sz w:val="20"/>
          <w:szCs w:val="20"/>
        </w:rPr>
        <w:t xml:space="preserve"> Provvedimento del </w:t>
      </w:r>
      <w:r>
        <w:rPr>
          <w:rFonts w:ascii="Arial" w:hAnsi="Arial" w:cs="Arial"/>
          <w:sz w:val="20"/>
          <w:szCs w:val="20"/>
        </w:rPr>
        <w:t>D</w:t>
      </w:r>
      <w:r w:rsidRPr="00C9631A">
        <w:rPr>
          <w:rFonts w:ascii="Arial" w:hAnsi="Arial" w:cs="Arial"/>
          <w:sz w:val="20"/>
          <w:szCs w:val="20"/>
        </w:rPr>
        <w:t>irettore dell'Agenzia delle entrate</w:t>
      </w:r>
      <w:r>
        <w:rPr>
          <w:rFonts w:ascii="Arial" w:hAnsi="Arial" w:cs="Arial"/>
          <w:sz w:val="20"/>
          <w:szCs w:val="20"/>
        </w:rPr>
        <w:t xml:space="preserve"> n. 194409 </w:t>
      </w:r>
      <w:r w:rsidRPr="00C9631A">
        <w:rPr>
          <w:rFonts w:ascii="Arial" w:hAnsi="Arial" w:cs="Arial"/>
          <w:sz w:val="20"/>
          <w:szCs w:val="20"/>
        </w:rPr>
        <w:t xml:space="preserve"> del 25/09/2017</w:t>
      </w:r>
      <w:r>
        <w:rPr>
          <w:rFonts w:ascii="Arial" w:hAnsi="Arial" w:cs="Arial"/>
          <w:sz w:val="20"/>
          <w:szCs w:val="20"/>
        </w:rPr>
        <w:t xml:space="preserve"> e la </w:t>
      </w:r>
      <w:r w:rsidRPr="00D05D6A">
        <w:rPr>
          <w:rFonts w:ascii="Arial" w:hAnsi="Arial" w:cs="Arial"/>
          <w:sz w:val="20"/>
          <w:szCs w:val="20"/>
        </w:rPr>
        <w:t xml:space="preserve">Determinazione </w:t>
      </w:r>
      <w:r>
        <w:rPr>
          <w:rFonts w:ascii="Arial" w:hAnsi="Arial" w:cs="Arial"/>
          <w:sz w:val="20"/>
          <w:szCs w:val="20"/>
        </w:rPr>
        <w:t xml:space="preserve">del Direttore dell’Agenzia delle dogane e monopoli </w:t>
      </w:r>
      <w:r w:rsidRPr="00D05D6A">
        <w:rPr>
          <w:rFonts w:ascii="Arial" w:hAnsi="Arial" w:cs="Arial"/>
          <w:sz w:val="20"/>
          <w:szCs w:val="20"/>
        </w:rPr>
        <w:t>n</w:t>
      </w:r>
      <w:r>
        <w:rPr>
          <w:rFonts w:ascii="Arial" w:hAnsi="Arial" w:cs="Arial"/>
          <w:sz w:val="20"/>
          <w:szCs w:val="20"/>
        </w:rPr>
        <w:t>.</w:t>
      </w:r>
      <w:r w:rsidRPr="00D05D6A">
        <w:rPr>
          <w:rFonts w:ascii="Arial" w:hAnsi="Arial" w:cs="Arial"/>
          <w:sz w:val="20"/>
          <w:szCs w:val="20"/>
        </w:rPr>
        <w:t xml:space="preserve"> 493869 del 23 dicembre 2021</w:t>
      </w:r>
      <w:r w:rsidRPr="00C9631A">
        <w:rPr>
          <w:rFonts w:ascii="Arial" w:hAnsi="Arial" w:cs="Arial"/>
          <w:sz w:val="20"/>
          <w:szCs w:val="20"/>
        </w:rPr>
        <w:t xml:space="preserve">. </w:t>
      </w:r>
    </w:p>
    <w:p w14:paraId="58F853A1"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rilevazione del commercio con i paesi extra Ue </w:t>
      </w:r>
      <w:r>
        <w:rPr>
          <w:rFonts w:ascii="Arial" w:hAnsi="Arial" w:cs="Arial"/>
          <w:sz w:val="20"/>
          <w:szCs w:val="20"/>
        </w:rPr>
        <w:t xml:space="preserve">trova </w:t>
      </w:r>
      <w:r w:rsidRPr="00C9631A">
        <w:rPr>
          <w:rFonts w:ascii="Arial" w:hAnsi="Arial" w:cs="Arial"/>
          <w:sz w:val="20"/>
          <w:szCs w:val="20"/>
        </w:rPr>
        <w:t xml:space="preserve">applicazione in sede nazionale con opportuni provvedimenti emanati dall’Agenzia delle </w:t>
      </w:r>
      <w:r>
        <w:rPr>
          <w:rFonts w:ascii="Arial" w:hAnsi="Arial" w:cs="Arial"/>
          <w:sz w:val="20"/>
          <w:szCs w:val="20"/>
        </w:rPr>
        <w:t>d</w:t>
      </w:r>
      <w:r w:rsidRPr="00C9631A">
        <w:rPr>
          <w:rFonts w:ascii="Arial" w:hAnsi="Arial" w:cs="Arial"/>
          <w:sz w:val="20"/>
          <w:szCs w:val="20"/>
        </w:rPr>
        <w:t>ogane</w:t>
      </w:r>
      <w:r>
        <w:rPr>
          <w:rFonts w:ascii="Arial" w:hAnsi="Arial" w:cs="Arial"/>
          <w:sz w:val="20"/>
          <w:szCs w:val="20"/>
        </w:rPr>
        <w:t>.</w:t>
      </w:r>
    </w:p>
    <w:p w14:paraId="49AD2B4B" w14:textId="77777777" w:rsidR="00501E02" w:rsidRDefault="00501E02" w:rsidP="00501E02">
      <w:pPr>
        <w:spacing w:after="120"/>
        <w:jc w:val="both"/>
        <w:rPr>
          <w:rFonts w:ascii="Arial" w:hAnsi="Arial" w:cs="Arial"/>
          <w:sz w:val="20"/>
          <w:szCs w:val="20"/>
        </w:rPr>
      </w:pPr>
    </w:p>
    <w:p w14:paraId="1362B3FD" w14:textId="77777777" w:rsidR="00501E02" w:rsidRDefault="00501E02" w:rsidP="00501E02">
      <w:pPr>
        <w:spacing w:after="120"/>
        <w:jc w:val="both"/>
        <w:rPr>
          <w:rFonts w:ascii="Arial" w:hAnsi="Arial" w:cs="Arial"/>
          <w:sz w:val="20"/>
          <w:szCs w:val="20"/>
        </w:rPr>
      </w:pPr>
    </w:p>
    <w:p w14:paraId="4C9FBF49" w14:textId="77777777" w:rsidR="00501E02" w:rsidRDefault="00501E02" w:rsidP="00501E02">
      <w:pPr>
        <w:spacing w:after="120"/>
        <w:jc w:val="both"/>
        <w:rPr>
          <w:rFonts w:ascii="Arial" w:hAnsi="Arial" w:cs="Arial"/>
          <w:sz w:val="20"/>
          <w:szCs w:val="20"/>
        </w:rPr>
      </w:pPr>
    </w:p>
    <w:p w14:paraId="277A2D36" w14:textId="77777777" w:rsidR="00501E02" w:rsidRDefault="00501E02" w:rsidP="00501E02">
      <w:pPr>
        <w:spacing w:after="120"/>
        <w:jc w:val="both"/>
        <w:rPr>
          <w:rFonts w:ascii="Arial" w:hAnsi="Arial" w:cs="Arial"/>
          <w:sz w:val="20"/>
          <w:szCs w:val="20"/>
        </w:rPr>
      </w:pPr>
    </w:p>
    <w:p w14:paraId="1525345B" w14:textId="77777777" w:rsidR="00501E02" w:rsidRPr="00C9631A" w:rsidRDefault="00501E02" w:rsidP="00501E02">
      <w:pPr>
        <w:spacing w:after="120"/>
        <w:jc w:val="both"/>
        <w:rPr>
          <w:rFonts w:ascii="Arial" w:hAnsi="Arial" w:cs="Arial"/>
          <w:sz w:val="20"/>
          <w:szCs w:val="20"/>
        </w:rPr>
      </w:pPr>
    </w:p>
    <w:p w14:paraId="4F564254"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 xml:space="preserve">Fonti utilizzate e raccolta dei dati </w:t>
      </w:r>
    </w:p>
    <w:p w14:paraId="3B3B5DFE" w14:textId="77777777" w:rsidR="00501E02" w:rsidRPr="00FA0113" w:rsidRDefault="00501E02" w:rsidP="00501E02">
      <w:pPr>
        <w:spacing w:after="120"/>
        <w:jc w:val="both"/>
        <w:rPr>
          <w:rFonts w:ascii="Arial" w:hAnsi="Arial" w:cs="Arial"/>
          <w:sz w:val="16"/>
          <w:szCs w:val="16"/>
        </w:rPr>
      </w:pPr>
      <w:r w:rsidRPr="00C9631A">
        <w:rPr>
          <w:rFonts w:ascii="Arial" w:hAnsi="Arial" w:cs="Arial"/>
          <w:sz w:val="20"/>
          <w:szCs w:val="20"/>
        </w:rPr>
        <w:t xml:space="preserve">Per la produzione di statistiche sugli scambi di merci con i paesi Ue, le informazioni sono raccolte tramite i modelli Intrastat che riportano, in sezioni distinte, le dichiarazioni per acquisti e cessioni di beni e per prestazioni di servizi resi e ricevuti. </w:t>
      </w:r>
    </w:p>
    <w:p w14:paraId="6F91AC11"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L’universo di riferimento è costituito dai soggetti economici identificati sulla base della partiva iva, che risultano aver effettuato almeno una transazione commerciale con i paesi Ue nel periodo considerato. Ai sensi della legge 27 febbraio 2017 n. 19 e della Determinazione del Direttore dell’Agenzia delle dogane e dei monopoli n. 493869 del 23 dicembre 2021, a partire dal 1° gennaio 2022 le soglie statistiche che determinano l’obbligatorietà di risposta alla rilevazione mensile Intrastat sono così definite:</w:t>
      </w:r>
    </w:p>
    <w:p w14:paraId="4282FD5D" w14:textId="77777777" w:rsidR="00501E02" w:rsidRPr="00A80498" w:rsidRDefault="00501E02" w:rsidP="00501E02">
      <w:pPr>
        <w:spacing w:after="120"/>
        <w:jc w:val="both"/>
        <w:rPr>
          <w:rFonts w:ascii="Arial" w:hAnsi="Arial" w:cs="Arial"/>
          <w:sz w:val="20"/>
          <w:szCs w:val="20"/>
        </w:rPr>
      </w:pPr>
      <w:r w:rsidRPr="00A80498">
        <w:rPr>
          <w:rFonts w:ascii="Arial" w:hAnsi="Arial" w:cs="Arial"/>
          <w:sz w:val="20"/>
          <w:szCs w:val="20"/>
        </w:rPr>
        <w:t>a) cessioni di beni, per i soggetti che hanno realizzato, in almeno uno dei quattro trimestri precedenti, un ammontare totale trimestrale superiore ai 100.000 euro (tale soglia resta la stessa in vigore dal 1° gennaio 2018);</w:t>
      </w:r>
    </w:p>
    <w:p w14:paraId="363EB5EC" w14:textId="77777777" w:rsidR="00501E02" w:rsidRPr="00C9631A" w:rsidRDefault="00501E02" w:rsidP="00501E02">
      <w:pPr>
        <w:spacing w:after="120"/>
        <w:jc w:val="both"/>
        <w:rPr>
          <w:rFonts w:ascii="Arial" w:hAnsi="Arial" w:cs="Arial"/>
          <w:sz w:val="20"/>
          <w:szCs w:val="20"/>
        </w:rPr>
      </w:pPr>
      <w:r w:rsidRPr="00A80498">
        <w:rPr>
          <w:rFonts w:ascii="Arial" w:hAnsi="Arial" w:cs="Arial"/>
          <w:sz w:val="20"/>
          <w:szCs w:val="20"/>
        </w:rPr>
        <w:t>b) acquisti di beni, per i soggetti che hanno realizzato, in almeno uno dei quattro trimestri precedenti, un ammontare totale trimestrale superiore ai 350.000 euro (da gennaio 2018 a dicembre 2021, la soglia era di 200.000 euro).</w:t>
      </w:r>
    </w:p>
    <w:p w14:paraId="1ED5F01C"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Le dichiarazioni Intrastat vengono trasmesse in via telematica all’Agenzia delle Dogane.</w:t>
      </w:r>
    </w:p>
    <w:p w14:paraId="10691FB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 20</w:t>
      </w:r>
      <w:r>
        <w:rPr>
          <w:rFonts w:ascii="Arial" w:hAnsi="Arial" w:cs="Arial"/>
          <w:sz w:val="20"/>
          <w:szCs w:val="20"/>
        </w:rPr>
        <w:t>22</w:t>
      </w:r>
      <w:r w:rsidRPr="00C9631A">
        <w:rPr>
          <w:rFonts w:ascii="Arial" w:hAnsi="Arial" w:cs="Arial"/>
          <w:sz w:val="20"/>
          <w:szCs w:val="20"/>
        </w:rPr>
        <w:t>, i dati necessari alla compilazione delle statistiche sugli scambi di merci con i paesi dell’Ue sono forniti esclusivamente dagli operatori obbligati alle dichiarazioni mensili secondo le nuove soglie sopra riportate. I flussi di merci attivati da questi operatori coprono circa il 97% delle cessioni e il 9</w:t>
      </w:r>
      <w:r>
        <w:rPr>
          <w:rFonts w:ascii="Arial" w:hAnsi="Arial" w:cs="Arial"/>
          <w:sz w:val="20"/>
          <w:szCs w:val="20"/>
        </w:rPr>
        <w:t>1</w:t>
      </w:r>
      <w:r w:rsidRPr="00C9631A">
        <w:rPr>
          <w:rFonts w:ascii="Arial" w:hAnsi="Arial" w:cs="Arial"/>
          <w:sz w:val="20"/>
          <w:szCs w:val="20"/>
        </w:rPr>
        <w:t>% degli acquisti intracomunitari realizzando una consistente riduzione del carico informativo sugli operatori</w:t>
      </w:r>
      <w:r w:rsidRPr="00C9631A">
        <w:rPr>
          <w:rStyle w:val="Rimandonotaapidipagina"/>
          <w:rFonts w:ascii="Arial" w:hAnsi="Arial" w:cs="Arial"/>
          <w:sz w:val="20"/>
          <w:szCs w:val="20"/>
        </w:rPr>
        <w:footnoteReference w:id="1"/>
      </w:r>
      <w:r w:rsidRPr="00C9631A">
        <w:rPr>
          <w:rFonts w:ascii="Arial" w:hAnsi="Arial" w:cs="Arial"/>
          <w:sz w:val="20"/>
          <w:szCs w:val="20"/>
        </w:rPr>
        <w:t xml:space="preserve">. </w:t>
      </w:r>
    </w:p>
    <w:p w14:paraId="2BF181A6" w14:textId="5F36F63D"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Al fine di realizzare una stima accurata e tempestiva che completi il quadro informativo rispetto all’universo degli operatori che realizzano scambi commerciali con i paesi dell’Ue è stato adottato un approccio di tipo </w:t>
      </w:r>
      <w:r w:rsidRPr="00AB0189">
        <w:rPr>
          <w:rFonts w:ascii="Arial" w:hAnsi="Arial" w:cs="Arial"/>
          <w:i/>
          <w:sz w:val="20"/>
          <w:szCs w:val="20"/>
        </w:rPr>
        <w:t>register-based</w:t>
      </w:r>
      <w:r w:rsidRPr="00C9631A">
        <w:rPr>
          <w:rFonts w:ascii="Arial" w:hAnsi="Arial" w:cs="Arial"/>
          <w:sz w:val="20"/>
          <w:szCs w:val="20"/>
        </w:rPr>
        <w:t xml:space="preserve"> che provvede a stimare, attraverso opportune metodologie, la componente dei flussi attribuibile agli operatori non obbligati a fornire informazioni, considerando congiuntamente sia i domini nazionali che territoriali. In occasione della revisione annuale dei dati realizzata ogni anno a novembre, verranno considerate nei processi di imputazione e stima delle informazioni mancanti ulteriori informazioni presenti nel sistema dei registri e delle fonti fiscali e amministrative disponibili per migliorare ulteriormente la qualità e la copertura delle stime prodotte. </w:t>
      </w:r>
    </w:p>
    <w:p w14:paraId="6B07878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rilevazione con i paesi extra Ue è effettuata elaborando dati provenienti da una base dati di tipo fiscale-amministrativo (Documento Amministrativo Unico – DAU) coerente con le definizioni e le classificazioni di tipo statistico e ha periodicità mensile.</w:t>
      </w:r>
    </w:p>
    <w:p w14:paraId="1AE85304"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Conformemente alla normativa comunitaria, dal 2000 le esportazioni e le importazioni al di sotto delle soglie di esclusione (operazioni commerciali di valore – a partire dal 2010 – inferiore a 1.000 euro) vengono inserite nelle statistiche del commercio estero con i paesi extra Ue mensilmente in forma aggregata.</w:t>
      </w:r>
    </w:p>
    <w:p w14:paraId="5DC580D1" w14:textId="77777777" w:rsidR="00501E02" w:rsidRPr="00C9631A" w:rsidRDefault="00501E02" w:rsidP="00501E02">
      <w:pPr>
        <w:spacing w:after="120"/>
        <w:jc w:val="both"/>
        <w:rPr>
          <w:rFonts w:ascii="Arial" w:hAnsi="Arial" w:cs="Arial"/>
          <w:sz w:val="20"/>
          <w:szCs w:val="20"/>
        </w:rPr>
      </w:pPr>
      <w:r>
        <w:rPr>
          <w:rFonts w:ascii="Arial" w:hAnsi="Arial" w:cs="Arial"/>
          <w:sz w:val="20"/>
          <w:szCs w:val="20"/>
        </w:rPr>
        <w:t>A partire dal mese di gennaio 2022, i</w:t>
      </w:r>
      <w:r w:rsidRPr="00C232B1">
        <w:rPr>
          <w:rFonts w:ascii="Arial" w:hAnsi="Arial" w:cs="Arial"/>
          <w:sz w:val="20"/>
          <w:szCs w:val="20"/>
        </w:rPr>
        <w:t xml:space="preserve">n applicazione delle disposizioni di cui al Regolamento di </w:t>
      </w:r>
      <w:r>
        <w:rPr>
          <w:rFonts w:ascii="Arial" w:hAnsi="Arial" w:cs="Arial"/>
          <w:sz w:val="20"/>
          <w:szCs w:val="20"/>
        </w:rPr>
        <w:t xml:space="preserve">esecuzione (UE) 2020/1197, non è richiesta la disaggregazione dei flussi di interscambio intracomunitario in termini di singoli prodotti </w:t>
      </w:r>
      <w:r w:rsidRPr="00C232B1">
        <w:rPr>
          <w:rFonts w:ascii="Arial" w:hAnsi="Arial" w:cs="Arial"/>
          <w:sz w:val="20"/>
          <w:szCs w:val="20"/>
        </w:rPr>
        <w:t>della nomenclatura co</w:t>
      </w:r>
      <w:r>
        <w:rPr>
          <w:rFonts w:ascii="Arial" w:hAnsi="Arial" w:cs="Arial"/>
          <w:sz w:val="20"/>
          <w:szCs w:val="20"/>
        </w:rPr>
        <w:t xml:space="preserve">mbinata </w:t>
      </w:r>
      <w:r w:rsidRPr="00C232B1">
        <w:rPr>
          <w:rFonts w:ascii="Arial" w:hAnsi="Arial" w:cs="Arial"/>
          <w:sz w:val="20"/>
          <w:szCs w:val="20"/>
        </w:rPr>
        <w:t xml:space="preserve">per le spedizioni di valore inferiore </w:t>
      </w:r>
      <w:r>
        <w:rPr>
          <w:rFonts w:ascii="Arial" w:hAnsi="Arial" w:cs="Arial"/>
          <w:sz w:val="20"/>
          <w:szCs w:val="20"/>
        </w:rPr>
        <w:t>a</w:t>
      </w:r>
      <w:r w:rsidRPr="00C232B1">
        <w:rPr>
          <w:rFonts w:ascii="Arial" w:hAnsi="Arial" w:cs="Arial"/>
          <w:sz w:val="20"/>
          <w:szCs w:val="20"/>
        </w:rPr>
        <w:t xml:space="preserve"> 1.000</w:t>
      </w:r>
      <w:r>
        <w:rPr>
          <w:rFonts w:ascii="Arial" w:hAnsi="Arial" w:cs="Arial"/>
          <w:sz w:val="20"/>
          <w:szCs w:val="20"/>
        </w:rPr>
        <w:t xml:space="preserve"> euro.</w:t>
      </w:r>
    </w:p>
    <w:p w14:paraId="7CEBACE3" w14:textId="77777777" w:rsidR="00501E02" w:rsidRDefault="00501E02" w:rsidP="00501E02">
      <w:pPr>
        <w:suppressAutoHyphens/>
        <w:spacing w:after="120"/>
        <w:jc w:val="both"/>
        <w:rPr>
          <w:rFonts w:ascii="Arial" w:hAnsi="Arial" w:cs="Arial"/>
          <w:sz w:val="20"/>
          <w:szCs w:val="20"/>
        </w:rPr>
      </w:pPr>
      <w:r w:rsidRPr="00C9631A">
        <w:rPr>
          <w:rFonts w:ascii="Arial" w:hAnsi="Arial" w:cs="Arial"/>
          <w:sz w:val="20"/>
          <w:szCs w:val="20"/>
        </w:rPr>
        <w:t xml:space="preserve">A partire dal mese di settembre 2011 è stata implementata una nuova metodologia di produzione delle statistiche sugli scambi con l’estero di gas naturale allo stato gassoso e di energia elettrica, che si basa sull’impiego diretto di fonti informative alternative ai dati statistico-doganali solo per quanto riguarda la misurazione degli scambi complessivi in quantità, mentre per le altre variabili di analisi e classificazione richieste dai regolamenti statistici comunitari (dati in valore monetario e allocazione geografica dei flussi con l’estero per “paese statistico”) sono stati adottati opportuni criteri di stima. </w:t>
      </w:r>
    </w:p>
    <w:p w14:paraId="00C009EB" w14:textId="77777777" w:rsidR="00C50F34" w:rsidRPr="00C9631A" w:rsidRDefault="00C50F34" w:rsidP="00774D4C">
      <w:pPr>
        <w:spacing w:after="120"/>
        <w:jc w:val="both"/>
        <w:rPr>
          <w:rFonts w:ascii="Arial" w:hAnsi="Arial" w:cs="Arial"/>
          <w:sz w:val="20"/>
          <w:szCs w:val="20"/>
        </w:rPr>
      </w:pPr>
    </w:p>
    <w:p w14:paraId="5900496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Classificazioni utilizzate</w:t>
      </w:r>
    </w:p>
    <w:p w14:paraId="075E785B" w14:textId="7D8BCD17" w:rsidR="00501E02" w:rsidRDefault="00501E02" w:rsidP="00501E02">
      <w:pPr>
        <w:spacing w:after="100"/>
        <w:jc w:val="both"/>
        <w:rPr>
          <w:rFonts w:ascii="Arial" w:hAnsi="Arial" w:cs="Arial"/>
          <w:sz w:val="20"/>
          <w:szCs w:val="20"/>
        </w:rPr>
      </w:pPr>
      <w:r w:rsidRPr="00C9631A">
        <w:rPr>
          <w:rFonts w:ascii="Arial" w:hAnsi="Arial" w:cs="Arial"/>
          <w:sz w:val="20"/>
          <w:szCs w:val="20"/>
        </w:rPr>
        <w:t>Le principali classificazioni utilizzate nella produzione delle statistiche del commercio con l’estero sono definite a partire dall</w:t>
      </w:r>
      <w:r>
        <w:rPr>
          <w:rFonts w:ascii="Arial" w:hAnsi="Arial" w:cs="Arial"/>
          <w:sz w:val="20"/>
          <w:szCs w:val="20"/>
        </w:rPr>
        <w:t>e</w:t>
      </w:r>
      <w:r w:rsidRPr="00C9631A">
        <w:rPr>
          <w:rFonts w:ascii="Arial" w:hAnsi="Arial" w:cs="Arial"/>
          <w:sz w:val="20"/>
          <w:szCs w:val="20"/>
        </w:rPr>
        <w:t xml:space="preserve"> informazioni elementari riguardanti la tipologia delle merci, il paese statistico e la provincia di provenienza o destinazione delle merci. </w:t>
      </w:r>
    </w:p>
    <w:p w14:paraId="4E3BDC7A" w14:textId="48422151" w:rsidR="00501E02" w:rsidRDefault="00501E02" w:rsidP="00501E02">
      <w:pPr>
        <w:spacing w:after="100"/>
        <w:jc w:val="both"/>
        <w:rPr>
          <w:rFonts w:ascii="Arial" w:hAnsi="Arial" w:cs="Arial"/>
          <w:sz w:val="20"/>
          <w:szCs w:val="20"/>
        </w:rPr>
      </w:pPr>
      <w:r w:rsidRPr="00C9631A">
        <w:rPr>
          <w:rFonts w:ascii="Arial" w:hAnsi="Arial" w:cs="Arial"/>
          <w:sz w:val="20"/>
          <w:szCs w:val="20"/>
        </w:rPr>
        <w:t>Nel rispetto dei Regolamenti comunitari, gli scambi commerciali di beni tra paesi membri sono classificati secondo il paese di provenienza per gli acquisti e il paese di destinazione per le cessioni, mentre quelli con i paesi terzi sono classificati secondo il paese di origine per le importazioni e il paese di destinazione per le esportazioni.</w:t>
      </w:r>
    </w:p>
    <w:p w14:paraId="5CD2C4AE" w14:textId="77777777" w:rsidR="00874F65" w:rsidRDefault="00874F65" w:rsidP="00501E02">
      <w:pPr>
        <w:suppressAutoHyphens/>
        <w:spacing w:after="100"/>
        <w:jc w:val="both"/>
        <w:rPr>
          <w:rFonts w:ascii="Arial" w:hAnsi="Arial" w:cs="Arial"/>
          <w:sz w:val="20"/>
          <w:szCs w:val="20"/>
        </w:rPr>
      </w:pPr>
    </w:p>
    <w:p w14:paraId="23F0948D" w14:textId="77777777" w:rsidR="00874F65" w:rsidRDefault="00874F65" w:rsidP="00501E02">
      <w:pPr>
        <w:suppressAutoHyphens/>
        <w:spacing w:after="100"/>
        <w:jc w:val="both"/>
        <w:rPr>
          <w:rFonts w:ascii="Arial" w:hAnsi="Arial" w:cs="Arial"/>
          <w:sz w:val="20"/>
          <w:szCs w:val="20"/>
        </w:rPr>
      </w:pPr>
    </w:p>
    <w:p w14:paraId="69860E9B" w14:textId="4F950BC0" w:rsidR="00501E02" w:rsidRPr="00C9631A" w:rsidRDefault="00501E02" w:rsidP="00501E02">
      <w:pPr>
        <w:suppressAutoHyphens/>
        <w:spacing w:after="100"/>
        <w:jc w:val="both"/>
        <w:rPr>
          <w:rFonts w:ascii="Arial" w:hAnsi="Arial" w:cs="Arial"/>
          <w:sz w:val="20"/>
          <w:szCs w:val="20"/>
        </w:rPr>
      </w:pPr>
      <w:r w:rsidRPr="00C9631A">
        <w:rPr>
          <w:rFonts w:ascii="Arial" w:hAnsi="Arial" w:cs="Arial"/>
          <w:sz w:val="20"/>
          <w:szCs w:val="20"/>
        </w:rPr>
        <w:t>La classificazione utilizzata per definire le aree geografiche e le aree geoeconomiche di appartenenza dei paesi è la Geonomenclatura dei paesi e territori per le statistiche del commercio estero dell’Unione e del commercio tra i suoi Stati membri, stabilita da Eurostat.</w:t>
      </w:r>
    </w:p>
    <w:p w14:paraId="56EB4BCA"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 xml:space="preserve">La classificazione di base utilizzata per la rilevazione di informazioni statistiche sugli scambi di merci è la Nomenclatura Combinata (NC), definita dall’Unione europea e annualmente aggiornata. </w:t>
      </w:r>
    </w:p>
    <w:p w14:paraId="1BC76B69"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 gennaio 2009 i raggruppamenti di merci dell’interscambio commerciale sono definiti sulla base della classificazione delle attività economiche Ateco 2007 opportunamente adattata alle statistiche sul commercio estero. L’Ateco 2007, infatti, costituisce la versione nazionale della nomenclatura europea Nace rev. 2, pubblicata sull’Official Journal il 2 dicembre 2006 (Regolamento (CE) n. 1893/2006 del PE e del Consiglio del 20/12/2006), con la quale coincide fino alla quarta cifra.</w:t>
      </w:r>
    </w:p>
    <w:p w14:paraId="4C706B9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Ai fini di fornire le informazioni a un livello di dettaglio idoneo ad analizzare l’interscambio commerciale italiano, i dati sono rilasciati secondo un’opportuna disaggregazione intermedia delle sezioni.</w:t>
      </w:r>
    </w:p>
    <w:p w14:paraId="0FDD6963"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Nel corso dell’anno 2003, l’Istat ha modificato, per i dati di commercio estero così come per tutti gli indicatori congiunturali dell’industria, la classificazione delle aggregazioni per destinazione economica dei prodotti “Raggruppamenti Principali di Industrie (RPI)”, definiti dal Regolamento della Commissione n.586/2001 (G.U. delle Comunità europee del 27/03/2001). A seguito dell'entrata in vigore della Nace Rev. 2 tale Regolamento è stato modificato dal Regolamento (CE) n. 656/2007 del 14/06/2007.</w:t>
      </w:r>
    </w:p>
    <w:p w14:paraId="3C20BE6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Raggruppamenti Principali di Industrie (RPI) sono:</w:t>
      </w:r>
    </w:p>
    <w:p w14:paraId="4F353B2D"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durevoli;</w:t>
      </w:r>
    </w:p>
    <w:p w14:paraId="482C0B4F"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non durevoli;</w:t>
      </w:r>
    </w:p>
    <w:p w14:paraId="5CBAA6FF"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Beni strumentali;</w:t>
      </w:r>
    </w:p>
    <w:p w14:paraId="7FA5618B"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Prodotti intermedi;</w:t>
      </w:r>
    </w:p>
    <w:p w14:paraId="069C1AB2" w14:textId="77777777" w:rsidR="00501E02" w:rsidRPr="00C9631A" w:rsidRDefault="00501E02" w:rsidP="00501E02">
      <w:pPr>
        <w:numPr>
          <w:ilvl w:val="0"/>
          <w:numId w:val="32"/>
        </w:numPr>
        <w:spacing w:after="120"/>
        <w:ind w:left="426"/>
        <w:jc w:val="both"/>
        <w:rPr>
          <w:rFonts w:ascii="Arial" w:hAnsi="Arial" w:cs="Arial"/>
          <w:sz w:val="20"/>
          <w:szCs w:val="20"/>
        </w:rPr>
      </w:pPr>
      <w:r w:rsidRPr="00C9631A">
        <w:rPr>
          <w:rFonts w:ascii="Arial" w:hAnsi="Arial" w:cs="Arial"/>
          <w:sz w:val="20"/>
          <w:szCs w:val="20"/>
        </w:rPr>
        <w:t>Energia.</w:t>
      </w:r>
    </w:p>
    <w:p w14:paraId="2DB8C24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Al pari dell’Ateco 2007</w:t>
      </w:r>
      <w:r w:rsidRPr="00C9631A">
        <w:rPr>
          <w:rStyle w:val="Rimandonotaapidipagina"/>
          <w:rFonts w:ascii="Arial" w:hAnsi="Arial" w:cs="Arial"/>
          <w:sz w:val="20"/>
          <w:szCs w:val="20"/>
        </w:rPr>
        <w:footnoteReference w:id="2"/>
      </w:r>
      <w:r w:rsidRPr="00C9631A">
        <w:rPr>
          <w:rFonts w:ascii="Arial" w:hAnsi="Arial" w:cs="Arial"/>
          <w:sz w:val="20"/>
          <w:szCs w:val="20"/>
        </w:rPr>
        <w:t>, anche la classificazione RPI è stata adattata alle statistiche sul commercio con l’estero.</w:t>
      </w:r>
    </w:p>
    <w:p w14:paraId="24011C2B" w14:textId="77777777" w:rsidR="00501E02" w:rsidRPr="00C9631A" w:rsidRDefault="00501E02" w:rsidP="00501E02">
      <w:pPr>
        <w:spacing w:after="120"/>
        <w:jc w:val="both"/>
        <w:rPr>
          <w:rFonts w:ascii="Arial" w:hAnsi="Arial" w:cs="Arial"/>
          <w:sz w:val="20"/>
          <w:szCs w:val="20"/>
        </w:rPr>
      </w:pPr>
    </w:p>
    <w:p w14:paraId="59A26E51"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Strumenti di elaborazione dei dati</w:t>
      </w:r>
    </w:p>
    <w:p w14:paraId="476F0B51"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Insieme ai dati grezzi, vengono pubblicati anche i dati depurati della componente stagionale e dagli effetti di calendario. Tali dati sono ottenuti attraverso la procedura TRAMO-SEATS per Linux (versione di febbraio 2010).</w:t>
      </w:r>
    </w:p>
    <w:p w14:paraId="0A11FFDD" w14:textId="77777777" w:rsidR="00501E02" w:rsidRPr="00C9631A" w:rsidRDefault="00501E02" w:rsidP="00501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20"/>
          <w:szCs w:val="20"/>
        </w:rPr>
      </w:pPr>
      <w:r w:rsidRPr="00C9631A">
        <w:rPr>
          <w:rFonts w:ascii="Arial" w:hAnsi="Arial" w:cs="Arial"/>
          <w:sz w:val="20"/>
          <w:szCs w:val="20"/>
        </w:rPr>
        <w:t>A partire dai dati mensili del 2012, sono state introdotte alcune sostanziali innovazioni di processo e prodotto nelle procedure di destagionalizzazione, finalizzate a migliorare l’accuratezza delle stime prodotte e a fornire agli utenti un più ampio dettaglio degli indicatori statistici per l’analisi congiunturale del commercio con l’estero, rendendo disponibili nuove serie destagionalizzate a livello di raggruppamenti principali di industrie.</w:t>
      </w:r>
    </w:p>
    <w:p w14:paraId="6F91882A"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I dati destagionalizzati sono soggetti a revisione ogni mese. I modelli utilizzati vengono verificati in occasione delle revisioni dei dati grezzi. Le specifiche utilizzate dall'Istat nell'ambito della procedura TRAMO-SEATS sono disponibili per gli utenti che ne facciano richiesta per proprie finalità di analisi.</w:t>
      </w:r>
    </w:p>
    <w:p w14:paraId="3D21AD04" w14:textId="77777777" w:rsidR="00501E02" w:rsidRPr="00C9631A" w:rsidRDefault="00501E02" w:rsidP="00501E02">
      <w:pPr>
        <w:spacing w:after="120"/>
        <w:jc w:val="both"/>
        <w:rPr>
          <w:rFonts w:ascii="Arial" w:hAnsi="Arial" w:cs="Arial"/>
          <w:sz w:val="20"/>
          <w:szCs w:val="20"/>
        </w:rPr>
      </w:pPr>
    </w:p>
    <w:p w14:paraId="4FF752BC"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Output</w:t>
      </w:r>
    </w:p>
    <w:p w14:paraId="1CA4C0AB" w14:textId="77777777" w:rsidR="00C50F34" w:rsidRDefault="00501E02" w:rsidP="00501E02">
      <w:pPr>
        <w:spacing w:after="120"/>
        <w:jc w:val="both"/>
        <w:rPr>
          <w:rFonts w:ascii="Arial" w:hAnsi="Arial" w:cs="Arial"/>
          <w:sz w:val="20"/>
          <w:szCs w:val="20"/>
        </w:rPr>
      </w:pPr>
      <w:r w:rsidRPr="00C9631A">
        <w:rPr>
          <w:rFonts w:ascii="Arial" w:hAnsi="Arial" w:cs="Arial"/>
          <w:sz w:val="20"/>
          <w:szCs w:val="20"/>
        </w:rPr>
        <w:t xml:space="preserve">I dati diffusi mensilmente riguardano i valori monetari, gli indici e le variazioni tendenziali e congiunturali relativi alle variabili che descrivono i flussi commerciali con l’estero. </w:t>
      </w:r>
    </w:p>
    <w:p w14:paraId="20EF655C" w14:textId="1B9F98C4"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I valori monetari a prezzi correnti si riferiscono alle importazioni ed esportazioni di merci rilevate o stimate in termini di valore statistico (Cif, Fob). </w:t>
      </w:r>
    </w:p>
    <w:p w14:paraId="6DD79FE5" w14:textId="77777777" w:rsidR="00874F65" w:rsidRDefault="00501E02" w:rsidP="00501E02">
      <w:pPr>
        <w:spacing w:after="120"/>
        <w:jc w:val="both"/>
        <w:rPr>
          <w:rFonts w:ascii="Arial" w:hAnsi="Arial" w:cs="Arial"/>
          <w:sz w:val="20"/>
          <w:szCs w:val="20"/>
        </w:rPr>
      </w:pPr>
      <w:r w:rsidRPr="00C9631A">
        <w:rPr>
          <w:rFonts w:ascii="Arial" w:hAnsi="Arial" w:cs="Arial"/>
          <w:sz w:val="20"/>
          <w:szCs w:val="20"/>
        </w:rPr>
        <w:t>La produzione di indici del commercio estero prevede la produzione e diffusione di indici dei valori medi unitari e dei volumi dei prodotti esportati e importati, secondo un break-down articolato per gruppi di</w:t>
      </w:r>
      <w:r w:rsidR="00220D58">
        <w:rPr>
          <w:rFonts w:ascii="Arial" w:hAnsi="Arial" w:cs="Arial"/>
          <w:sz w:val="20"/>
          <w:szCs w:val="20"/>
        </w:rPr>
        <w:t xml:space="preserve"> prodotto della classificazione </w:t>
      </w:r>
      <w:r w:rsidRPr="00C9631A">
        <w:rPr>
          <w:rFonts w:ascii="Arial" w:hAnsi="Arial" w:cs="Arial"/>
          <w:sz w:val="20"/>
          <w:szCs w:val="20"/>
        </w:rPr>
        <w:t>Ateco 2007 e per specifiche aree geografiche e/o geoeconomiche, nonché per raggruppamenti principali di industrie (RPI). I singoli indici mensili dei valori medi unitari relativi ai diversi gruppi di prodotti e con riferimento alle aree geografiche o geoeconomiche di provenienza o destinazione delle merci sono ottenuti utilizzando la formula di Fisher in cui l’anno base è rappresentato dall’anno immediatamente precedente (indici a “base mobile”). L’aggiornamento a cadenza annuale del sistema di ponderazione consente di calcolare le variazioni dei valori medi unitari seguendo</w:t>
      </w:r>
      <w:r w:rsidR="00C50F34">
        <w:rPr>
          <w:rFonts w:ascii="Arial" w:hAnsi="Arial" w:cs="Arial"/>
          <w:sz w:val="20"/>
          <w:szCs w:val="20"/>
        </w:rPr>
        <w:t xml:space="preserve"> </w:t>
      </w:r>
    </w:p>
    <w:p w14:paraId="5075270C" w14:textId="77777777" w:rsidR="00874F65" w:rsidRDefault="00874F65" w:rsidP="00501E02">
      <w:pPr>
        <w:spacing w:after="120"/>
        <w:jc w:val="both"/>
        <w:rPr>
          <w:rFonts w:ascii="Arial" w:hAnsi="Arial" w:cs="Arial"/>
          <w:sz w:val="20"/>
          <w:szCs w:val="20"/>
        </w:rPr>
      </w:pPr>
    </w:p>
    <w:p w14:paraId="28E5F8DB" w14:textId="56A9F051" w:rsidR="00501E02" w:rsidRDefault="00501E02" w:rsidP="00501E02">
      <w:pPr>
        <w:spacing w:after="120"/>
        <w:jc w:val="both"/>
        <w:rPr>
          <w:rFonts w:ascii="Arial" w:hAnsi="Arial" w:cs="Arial"/>
          <w:sz w:val="20"/>
          <w:szCs w:val="20"/>
        </w:rPr>
      </w:pPr>
      <w:r w:rsidRPr="00C9631A">
        <w:rPr>
          <w:rFonts w:ascii="Arial" w:hAnsi="Arial" w:cs="Arial"/>
          <w:sz w:val="20"/>
          <w:szCs w:val="20"/>
        </w:rPr>
        <w:t>più da vicino l’evoluzione in composizione del mix di prodotti movimentati. Tuttavia, poiché gli indici a base mobile di anni diversi</w:t>
      </w:r>
      <w:r>
        <w:rPr>
          <w:rFonts w:ascii="Arial" w:hAnsi="Arial" w:cs="Arial"/>
          <w:sz w:val="20"/>
          <w:szCs w:val="20"/>
        </w:rPr>
        <w:t xml:space="preserve"> </w:t>
      </w:r>
      <w:r w:rsidRPr="00C9631A">
        <w:rPr>
          <w:rFonts w:ascii="Arial" w:hAnsi="Arial" w:cs="Arial"/>
          <w:sz w:val="20"/>
          <w:szCs w:val="20"/>
        </w:rPr>
        <w:t>non</w:t>
      </w:r>
      <w:r>
        <w:rPr>
          <w:rFonts w:ascii="Arial" w:hAnsi="Arial" w:cs="Arial"/>
          <w:sz w:val="20"/>
          <w:szCs w:val="20"/>
        </w:rPr>
        <w:t xml:space="preserve"> </w:t>
      </w:r>
      <w:r w:rsidRPr="00C9631A">
        <w:rPr>
          <w:rFonts w:ascii="Arial" w:hAnsi="Arial" w:cs="Arial"/>
          <w:sz w:val="20"/>
          <w:szCs w:val="20"/>
        </w:rPr>
        <w:t>sono direttamente</w:t>
      </w:r>
      <w:r>
        <w:rPr>
          <w:rFonts w:ascii="Arial" w:hAnsi="Arial" w:cs="Arial"/>
          <w:sz w:val="20"/>
          <w:szCs w:val="20"/>
        </w:rPr>
        <w:t xml:space="preserve"> </w:t>
      </w:r>
      <w:r w:rsidRPr="00C9631A">
        <w:rPr>
          <w:rFonts w:ascii="Arial" w:hAnsi="Arial" w:cs="Arial"/>
          <w:sz w:val="20"/>
          <w:szCs w:val="20"/>
        </w:rPr>
        <w:t>confrontabili tra loro, per consentire l’analisi economica su</w:t>
      </w:r>
      <w:r>
        <w:rPr>
          <w:rFonts w:ascii="Arial" w:hAnsi="Arial" w:cs="Arial"/>
          <w:sz w:val="20"/>
          <w:szCs w:val="20"/>
        </w:rPr>
        <w:t xml:space="preserve"> </w:t>
      </w:r>
      <w:r w:rsidRPr="00C9631A">
        <w:rPr>
          <w:rFonts w:ascii="Arial" w:hAnsi="Arial" w:cs="Arial"/>
          <w:sz w:val="20"/>
          <w:szCs w:val="20"/>
        </w:rPr>
        <w:t xml:space="preserve">orizzonti temporali superiori ai dodici mesi, le serie storiche previste dal piano di diffusione sono ricondotte a uno stesso anno di riferimento, aggiornato ogni 5 anni in linea con le indicazioni fornite a livello internazionale per le statistiche congiunturali. </w:t>
      </w:r>
    </w:p>
    <w:p w14:paraId="1988ABF3" w14:textId="77777777" w:rsidR="00501E02" w:rsidRPr="00E07DF0" w:rsidRDefault="00501E02" w:rsidP="00501E02">
      <w:pPr>
        <w:spacing w:after="120"/>
        <w:jc w:val="both"/>
        <w:rPr>
          <w:rFonts w:ascii="Arial" w:hAnsi="Arial" w:cs="Arial"/>
          <w:sz w:val="20"/>
          <w:szCs w:val="20"/>
        </w:rPr>
      </w:pPr>
      <w:r w:rsidRPr="00C9631A">
        <w:rPr>
          <w:rFonts w:ascii="Arial" w:hAnsi="Arial" w:cs="Arial"/>
          <w:sz w:val="20"/>
          <w:szCs w:val="20"/>
        </w:rPr>
        <w:t xml:space="preserve">A partire dai dati di gennaio 2018, l’anno di riferimento è il 2015, assunto come “base” attraverso opportuni coefficienti di raccordo che legano tra loro gli indici riferiti alle diverse basi annuali. La metodologia adottata prevede il calcolo degli indici elementari a livello merceologico di nomenclatura combinata, l’individuazione e il trattamento di eventuali errori di misura e l’aggregazione degli indici elementari mediante medie troncate (Istat, “Nota informativa” del 25/02/2008). Gli indici dei valori medi unitari e gli indici di valore vengono calcolati in modo diretto, mentre gli indici dei volumi sono ottenuti dal rapporto tra gli indici di valore e i corrispondenti indici del valore medio unitario, in modo da assicurare la relazione di complementarietà tra i tre indici. Il piano di diffusione dispone la pubblicazione dei soli indici dei valori medi unitari e dei volumi. Gli indici annuali e trimestrali dei valori medi unitari sono calcolati come media aritmetica dei corrispondenti indici mensili, che non includono le dichiarazioni trimestrali e annuali relative all’indagine Intrastat. Al contrario, gli indici dei volumi vengono calcolati utilizzando indici del valore riferiti al totale delle transazioni, in modo da consentire una più precisa scomposizione delle variazioni dei valori in volume e valori </w:t>
      </w:r>
      <w:r w:rsidRPr="00E07DF0">
        <w:rPr>
          <w:rFonts w:ascii="Arial" w:hAnsi="Arial" w:cs="Arial"/>
          <w:sz w:val="20"/>
          <w:szCs w:val="20"/>
        </w:rPr>
        <w:t>medi unitari.</w:t>
      </w:r>
    </w:p>
    <w:p w14:paraId="2B393A35" w14:textId="77777777" w:rsidR="00501E02" w:rsidRPr="00C9631A" w:rsidRDefault="00501E02" w:rsidP="00501E02">
      <w:pPr>
        <w:spacing w:after="60"/>
        <w:jc w:val="both"/>
        <w:rPr>
          <w:rFonts w:ascii="Arial" w:hAnsi="Arial" w:cs="Arial"/>
          <w:sz w:val="20"/>
          <w:szCs w:val="20"/>
        </w:rPr>
      </w:pPr>
    </w:p>
    <w:p w14:paraId="4D7ACE2F"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Riservatezza</w:t>
      </w:r>
    </w:p>
    <w:p w14:paraId="7B44AD20"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A partire dall'anno 2000, l'Istat ha definito nuove procedure per il trattamento e la diffusione dei dati personali relativi agli scambi di merci con l'estero e ai soggetti importatori ed esportatori, compatibili con l'attuale quadro normativo nazionale (legge 675/96, D.lgs.322/89, 281/99 e 196/03).</w:t>
      </w:r>
    </w:p>
    <w:p w14:paraId="14B28C7B"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In particolare, le nuove procedure consentono di ridurre fortemente il rischio di identificazione, indiretta e accidentale, di dati confidenziali e nel contempo di limitare la perdita di informazione fornita agli utenti esterni.</w:t>
      </w:r>
    </w:p>
    <w:p w14:paraId="20C3F4DF"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Per quanto riguarda le statistiche relative alle merci, l'Istat, oltre a tutelare le informazioni riservate secondo il principio della riservatezza passiva, ha definito un piano per la diffusione delle statistiche del commercio con l'estero. Tale piano disciplina le possibilità di incrocio tra variabili in funzione di particolari livelli di dettaglio merceologico, geografico o territoriale riducendo entro soglie ragionevoli il rischio di identificazione dei soggetti indirettamente interessati.</w:t>
      </w:r>
    </w:p>
    <w:p w14:paraId="1895CC9B" w14:textId="77777777" w:rsidR="00501E02" w:rsidRPr="00C9631A" w:rsidRDefault="00501E02" w:rsidP="00501E02">
      <w:pPr>
        <w:spacing w:after="120"/>
        <w:jc w:val="both"/>
        <w:rPr>
          <w:rStyle w:val="Collegamentoipertestuale"/>
          <w:rFonts w:ascii="Arial" w:hAnsi="Arial" w:cs="Arial"/>
          <w:sz w:val="20"/>
          <w:szCs w:val="20"/>
        </w:rPr>
      </w:pPr>
      <w:r w:rsidRPr="00C9631A">
        <w:rPr>
          <w:rFonts w:ascii="Arial" w:hAnsi="Arial" w:cs="Arial"/>
          <w:sz w:val="20"/>
          <w:szCs w:val="20"/>
        </w:rPr>
        <w:t xml:space="preserve">Ulteriori informazioni sulla tutela della riservatezza sono disponibili al seguente link </w:t>
      </w:r>
      <w:hyperlink r:id="rId39" w:history="1">
        <w:r w:rsidRPr="00C9631A">
          <w:rPr>
            <w:rStyle w:val="Collegamentoipertestuale"/>
            <w:rFonts w:ascii="Arial" w:hAnsi="Arial" w:cs="Arial"/>
            <w:sz w:val="20"/>
            <w:szCs w:val="20"/>
          </w:rPr>
          <w:t>https://www.coeweb.istat.it</w:t>
        </w:r>
      </w:hyperlink>
    </w:p>
    <w:p w14:paraId="45D7159F" w14:textId="77777777" w:rsidR="00501E02" w:rsidRPr="00CC6703" w:rsidRDefault="00501E02" w:rsidP="00501E02">
      <w:pPr>
        <w:spacing w:after="120"/>
        <w:jc w:val="both"/>
        <w:rPr>
          <w:rFonts w:ascii="Arial" w:hAnsi="Arial" w:cs="Arial"/>
          <w:sz w:val="16"/>
          <w:szCs w:val="16"/>
        </w:rPr>
      </w:pPr>
    </w:p>
    <w:p w14:paraId="67656141" w14:textId="77777777" w:rsidR="00501E02" w:rsidRPr="00B0387D" w:rsidRDefault="00501E02" w:rsidP="00501E02">
      <w:pPr>
        <w:spacing w:after="120"/>
        <w:jc w:val="both"/>
        <w:rPr>
          <w:rFonts w:ascii="Arial" w:hAnsi="Arial" w:cs="Arial"/>
          <w:b/>
          <w:sz w:val="20"/>
          <w:szCs w:val="20"/>
        </w:rPr>
      </w:pPr>
      <w:r w:rsidRPr="00B0387D">
        <w:rPr>
          <w:rFonts w:ascii="Arial" w:hAnsi="Arial" w:cs="Arial"/>
          <w:b/>
          <w:sz w:val="20"/>
          <w:szCs w:val="20"/>
        </w:rPr>
        <w:t>L’emergenza sanitaria Covid-19 e la rilevazione Intrastat</w:t>
      </w:r>
    </w:p>
    <w:p w14:paraId="3750FB6A" w14:textId="77777777" w:rsidR="00501E02" w:rsidRDefault="00501E02" w:rsidP="00501E02">
      <w:pPr>
        <w:spacing w:after="120"/>
        <w:jc w:val="both"/>
        <w:rPr>
          <w:rFonts w:ascii="Arial" w:hAnsi="Arial" w:cs="Arial"/>
          <w:sz w:val="20"/>
          <w:szCs w:val="20"/>
        </w:rPr>
      </w:pPr>
      <w:r>
        <w:rPr>
          <w:rFonts w:ascii="Arial" w:hAnsi="Arial" w:cs="Arial"/>
          <w:sz w:val="20"/>
          <w:szCs w:val="20"/>
        </w:rPr>
        <w:t>Dal mese di giugno 2020</w:t>
      </w:r>
      <w:r w:rsidRPr="00111E5D">
        <w:rPr>
          <w:rFonts w:ascii="Arial" w:hAnsi="Arial" w:cs="Arial"/>
          <w:sz w:val="20"/>
          <w:szCs w:val="20"/>
        </w:rPr>
        <w:t>, la rilevazione Intrastat non registra più particolari criticità. Scaduto</w:t>
      </w:r>
      <w:r>
        <w:rPr>
          <w:rFonts w:ascii="Arial" w:hAnsi="Arial" w:cs="Arial"/>
          <w:sz w:val="20"/>
          <w:szCs w:val="20"/>
        </w:rPr>
        <w:t xml:space="preserve"> infatti</w:t>
      </w:r>
      <w:r w:rsidRPr="00111E5D">
        <w:rPr>
          <w:rFonts w:ascii="Arial" w:hAnsi="Arial" w:cs="Arial"/>
          <w:sz w:val="20"/>
          <w:szCs w:val="20"/>
        </w:rPr>
        <w:t>, il 30 giugno, il periodo di sospensione dei termini di trasmissione dei dati, previsto dal Decreto Legge 17 marzo 2020, n.18 (Decreto “Cura Italia”), il numero delle dichiarazioni Intrastat trasmesse – sia per le cessioni sia per gli acquisti – è tornato in linea con quello dei mesi precedenti all</w:t>
      </w:r>
      <w:r>
        <w:rPr>
          <w:rFonts w:ascii="Arial" w:hAnsi="Arial" w:cs="Arial"/>
          <w:sz w:val="20"/>
          <w:szCs w:val="20"/>
        </w:rPr>
        <w:t>a prima fase dell</w:t>
      </w:r>
      <w:r w:rsidRPr="00111E5D">
        <w:rPr>
          <w:rFonts w:ascii="Arial" w:hAnsi="Arial" w:cs="Arial"/>
          <w:sz w:val="20"/>
          <w:szCs w:val="20"/>
        </w:rPr>
        <w:t>’emergenza Covid-19.</w:t>
      </w:r>
    </w:p>
    <w:p w14:paraId="36B81719" w14:textId="11FC0824" w:rsidR="00501E02" w:rsidRPr="00632A22" w:rsidRDefault="00F57232" w:rsidP="00501E02">
      <w:pPr>
        <w:spacing w:after="120"/>
        <w:jc w:val="both"/>
        <w:rPr>
          <w:rFonts w:ascii="Arial" w:hAnsi="Arial" w:cs="Arial"/>
          <w:sz w:val="20"/>
          <w:szCs w:val="20"/>
        </w:rPr>
      </w:pPr>
      <w:r w:rsidRPr="006636D8">
        <w:rPr>
          <w:rFonts w:ascii="Arial" w:hAnsi="Arial" w:cs="Arial"/>
          <w:sz w:val="20"/>
          <w:szCs w:val="20"/>
        </w:rPr>
        <w:t xml:space="preserve">Al fine di gestire le discontinuità prodotte dalla crisi Covid-19 sulle serie storiche è stata operata una revisione dei modelli di destagionalizzazione, coerentemente alle linee guida metodologiche indicate da Eurostat, disponibili alla pagina web </w:t>
      </w:r>
      <w:hyperlink r:id="rId40" w:history="1">
        <w:r w:rsidRPr="006636D8">
          <w:rPr>
            <w:rStyle w:val="Collegamentoipertestuale"/>
            <w:rFonts w:ascii="Arial" w:hAnsi="Arial" w:cs="Arial"/>
            <w:sz w:val="20"/>
            <w:szCs w:val="20"/>
          </w:rPr>
          <w:t>Covid-19: Support for statisticians</w:t>
        </w:r>
      </w:hyperlink>
      <w:r w:rsidRPr="006636D8">
        <w:rPr>
          <w:rFonts w:ascii="Arial" w:hAnsi="Arial" w:cs="Arial"/>
          <w:sz w:val="20"/>
          <w:szCs w:val="20"/>
        </w:rPr>
        <w:t xml:space="preserve">. </w:t>
      </w:r>
      <w:r w:rsidR="00501E02" w:rsidRPr="006636D8">
        <w:rPr>
          <w:rFonts w:ascii="Arial" w:hAnsi="Arial" w:cs="Arial"/>
          <w:sz w:val="20"/>
          <w:szCs w:val="20"/>
        </w:rPr>
        <w:t xml:space="preserve">Pertanto, nelle serie storiche si è tenuto conto – a partire da marzo 2020 - dell’ampiezza inusuale delle variazioni dei flussi commerciali intra ed extra comunitari inserendo nei modelli statistici di destagionalizzazione, ove statisticamente significativi, regressori aggiuntivi. </w:t>
      </w:r>
      <w:r w:rsidRPr="006636D8">
        <w:rPr>
          <w:rFonts w:ascii="Arial" w:hAnsi="Arial" w:cs="Arial"/>
          <w:sz w:val="20"/>
          <w:szCs w:val="20"/>
        </w:rPr>
        <w:t>Con il rilascio dei dati del mese di ottobre 2022, è stata operata la revisione dei modelli statistici di destagionalizzazione.</w:t>
      </w:r>
    </w:p>
    <w:p w14:paraId="6DA3BBC7" w14:textId="77777777" w:rsidR="00C50F34" w:rsidRPr="007817A4" w:rsidRDefault="00C50F34" w:rsidP="00501E02">
      <w:pPr>
        <w:spacing w:after="120"/>
        <w:jc w:val="both"/>
        <w:rPr>
          <w:rFonts w:ascii="Arial" w:hAnsi="Arial" w:cs="Arial"/>
          <w:sz w:val="20"/>
          <w:szCs w:val="20"/>
        </w:rPr>
      </w:pPr>
    </w:p>
    <w:p w14:paraId="6E01E547" w14:textId="35986D60" w:rsidR="00501E02" w:rsidRDefault="00501E02" w:rsidP="00501E02">
      <w:pPr>
        <w:spacing w:after="120"/>
        <w:jc w:val="both"/>
        <w:rPr>
          <w:rFonts w:ascii="Arial" w:hAnsi="Arial" w:cs="Arial"/>
          <w:b/>
          <w:sz w:val="20"/>
          <w:szCs w:val="20"/>
        </w:rPr>
      </w:pPr>
      <w:r>
        <w:rPr>
          <w:rFonts w:ascii="Arial" w:hAnsi="Arial" w:cs="Arial"/>
          <w:b/>
          <w:sz w:val="20"/>
          <w:szCs w:val="20"/>
        </w:rPr>
        <w:t xml:space="preserve">Le novità del sistema Intrastat </w:t>
      </w:r>
      <w:r w:rsidR="0026239E">
        <w:rPr>
          <w:rFonts w:ascii="Arial" w:hAnsi="Arial" w:cs="Arial"/>
          <w:b/>
          <w:sz w:val="20"/>
          <w:szCs w:val="20"/>
        </w:rPr>
        <w:t xml:space="preserve">a partire da </w:t>
      </w:r>
      <w:r w:rsidRPr="001D441E">
        <w:rPr>
          <w:rFonts w:ascii="Arial" w:hAnsi="Arial" w:cs="Arial"/>
          <w:b/>
          <w:sz w:val="20"/>
          <w:szCs w:val="20"/>
        </w:rPr>
        <w:t>gennaio 2022</w:t>
      </w:r>
    </w:p>
    <w:p w14:paraId="59C5BBBE" w14:textId="77777777" w:rsidR="00501E02" w:rsidRPr="005A72C3" w:rsidRDefault="00501E02" w:rsidP="00501E02">
      <w:pPr>
        <w:spacing w:after="120"/>
        <w:jc w:val="both"/>
        <w:rPr>
          <w:rFonts w:asciiTheme="minorHAnsi" w:hAnsiTheme="minorHAnsi"/>
          <w:sz w:val="22"/>
          <w:szCs w:val="22"/>
          <w:lang w:eastAsia="en-US"/>
        </w:rPr>
      </w:pPr>
      <w:r>
        <w:rPr>
          <w:rFonts w:ascii="Arial" w:hAnsi="Arial" w:cs="Arial"/>
          <w:sz w:val="20"/>
          <w:szCs w:val="20"/>
        </w:rPr>
        <w:t xml:space="preserve">Con </w:t>
      </w:r>
      <w:r w:rsidRPr="00615A28">
        <w:rPr>
          <w:rFonts w:ascii="Arial" w:hAnsi="Arial" w:cs="Arial"/>
          <w:sz w:val="20"/>
          <w:szCs w:val="20"/>
        </w:rPr>
        <w:t>Determinazione del Direttore dell’Agenzia delle dogane e dei monopoli n.</w:t>
      </w:r>
      <w:r>
        <w:rPr>
          <w:rFonts w:ascii="Arial" w:hAnsi="Arial" w:cs="Arial"/>
          <w:sz w:val="20"/>
          <w:szCs w:val="20"/>
        </w:rPr>
        <w:t xml:space="preserve"> </w:t>
      </w:r>
      <w:r w:rsidRPr="00615A28">
        <w:rPr>
          <w:rFonts w:ascii="Arial" w:hAnsi="Arial" w:cs="Arial"/>
          <w:sz w:val="20"/>
          <w:szCs w:val="20"/>
        </w:rPr>
        <w:t>493869 del 23 dicembre 2021</w:t>
      </w:r>
      <w:r>
        <w:rPr>
          <w:rFonts w:ascii="Arial" w:hAnsi="Arial" w:cs="Arial"/>
          <w:sz w:val="20"/>
          <w:szCs w:val="20"/>
        </w:rPr>
        <w:t xml:space="preserve">, a partire dai dati di gennaio 2022, sono state introdotte importanti novità nel </w:t>
      </w:r>
      <w:r w:rsidRPr="005A72C3">
        <w:rPr>
          <w:rFonts w:ascii="Arial" w:hAnsi="Arial" w:cs="Arial"/>
          <w:sz w:val="20"/>
          <w:szCs w:val="20"/>
        </w:rPr>
        <w:t>sistema Intrastat nel rispetto della recente normativa statistica comunitaria (</w:t>
      </w:r>
      <w:r w:rsidRPr="00D61DDB">
        <w:rPr>
          <w:rFonts w:ascii="Arial" w:hAnsi="Arial" w:cs="Arial"/>
          <w:sz w:val="20"/>
          <w:szCs w:val="20"/>
        </w:rPr>
        <w:t xml:space="preserve">Regolamento (UE) 2019/2152 </w:t>
      </w:r>
      <w:r>
        <w:rPr>
          <w:rFonts w:ascii="Arial" w:hAnsi="Arial" w:cs="Arial"/>
          <w:sz w:val="20"/>
          <w:szCs w:val="20"/>
        </w:rPr>
        <w:t xml:space="preserve">e il relativo </w:t>
      </w:r>
      <w:r w:rsidRPr="00D61DDB">
        <w:rPr>
          <w:rFonts w:ascii="Arial" w:hAnsi="Arial" w:cs="Arial"/>
          <w:sz w:val="20"/>
          <w:szCs w:val="20"/>
        </w:rPr>
        <w:t>Regolamento di esecuzione (UE) 2020/1197</w:t>
      </w:r>
      <w:r>
        <w:rPr>
          <w:rFonts w:ascii="Arial" w:hAnsi="Arial" w:cs="Arial"/>
          <w:sz w:val="20"/>
          <w:szCs w:val="20"/>
        </w:rPr>
        <w:t>)</w:t>
      </w:r>
      <w:r w:rsidRPr="005A72C3">
        <w:rPr>
          <w:rFonts w:ascii="Arial" w:hAnsi="Arial" w:cs="Arial"/>
          <w:sz w:val="20"/>
          <w:szCs w:val="20"/>
        </w:rPr>
        <w:t xml:space="preserve"> e nell’ottica della semplificazione e riduzione del carico statistico sugli operatori economici.</w:t>
      </w:r>
    </w:p>
    <w:p w14:paraId="1AFE66AE" w14:textId="2A27DE66"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Il Regolamento </w:t>
      </w:r>
      <w:r>
        <w:rPr>
          <w:rFonts w:ascii="Arial" w:hAnsi="Arial" w:cs="Arial"/>
          <w:sz w:val="20"/>
          <w:szCs w:val="20"/>
        </w:rPr>
        <w:t>(</w:t>
      </w:r>
      <w:r w:rsidRPr="005A72C3">
        <w:rPr>
          <w:rFonts w:ascii="Arial" w:hAnsi="Arial" w:cs="Arial"/>
          <w:sz w:val="20"/>
          <w:szCs w:val="20"/>
        </w:rPr>
        <w:t>UE</w:t>
      </w:r>
      <w:r>
        <w:rPr>
          <w:rFonts w:ascii="Arial" w:hAnsi="Arial" w:cs="Arial"/>
          <w:sz w:val="20"/>
          <w:szCs w:val="20"/>
        </w:rPr>
        <w:t>)</w:t>
      </w:r>
      <w:r w:rsidRPr="005A72C3">
        <w:rPr>
          <w:rFonts w:ascii="Arial" w:hAnsi="Arial" w:cs="Arial"/>
          <w:sz w:val="20"/>
          <w:szCs w:val="20"/>
        </w:rPr>
        <w:t xml:space="preserve"> 2019/2152 introduce l’obbligo dello scambio di microdati relativi alle cessioni (indicate come esportazioni intracomunitarie nel nuovo Regolamento) tra gli Istituti nazionali di statistica dei Paesi membri a decorrere dal mese di gennaio 2022.</w:t>
      </w:r>
    </w:p>
    <w:p w14:paraId="7D537CBA" w14:textId="77777777" w:rsidR="00874F65" w:rsidRDefault="00874F65" w:rsidP="00501E02">
      <w:pPr>
        <w:spacing w:after="120"/>
        <w:jc w:val="both"/>
        <w:rPr>
          <w:rFonts w:ascii="Arial" w:hAnsi="Arial" w:cs="Arial"/>
          <w:sz w:val="20"/>
          <w:szCs w:val="20"/>
        </w:rPr>
      </w:pPr>
    </w:p>
    <w:p w14:paraId="7456DE93" w14:textId="77777777" w:rsidR="00874F65" w:rsidRDefault="00874F65" w:rsidP="00501E02">
      <w:pPr>
        <w:spacing w:after="120"/>
        <w:jc w:val="both"/>
        <w:rPr>
          <w:rFonts w:ascii="Arial" w:hAnsi="Arial" w:cs="Arial"/>
          <w:sz w:val="20"/>
          <w:szCs w:val="20"/>
        </w:rPr>
      </w:pPr>
    </w:p>
    <w:p w14:paraId="2CB5DC08" w14:textId="538A1BBC" w:rsidR="00501E02" w:rsidRPr="005A72C3" w:rsidRDefault="00501E02" w:rsidP="00501E02">
      <w:pPr>
        <w:spacing w:after="120"/>
        <w:jc w:val="both"/>
        <w:rPr>
          <w:rFonts w:ascii="Arial" w:hAnsi="Arial" w:cs="Arial"/>
          <w:sz w:val="20"/>
          <w:szCs w:val="20"/>
        </w:rPr>
      </w:pPr>
      <w:r w:rsidRPr="005A72C3">
        <w:rPr>
          <w:rFonts w:ascii="Arial" w:hAnsi="Arial" w:cs="Arial"/>
          <w:sz w:val="20"/>
          <w:szCs w:val="20"/>
        </w:rPr>
        <w:t>Il sistema di scambio dei microdati – basato sul principio che i dati non devono essere raccolti più di una volta (“once only”) – costituisce un approccio innovativo per la compilazione delle statistiche di commercio intracomunitario, progettato in ambito europeo con la finalità di ridurre l’onere statistico del sistema Intrastat e di fornire ai Paesi membri una fonte aggiuntiva e dettagliata per la compilazione delle statistiche sugli acquisti intracomunitari.</w:t>
      </w:r>
    </w:p>
    <w:p w14:paraId="57C6E8EF" w14:textId="77777777" w:rsidR="00501E02" w:rsidRDefault="00501E02" w:rsidP="00501E02">
      <w:pPr>
        <w:spacing w:after="120"/>
        <w:jc w:val="both"/>
        <w:rPr>
          <w:rFonts w:ascii="Arial" w:hAnsi="Arial" w:cs="Arial"/>
          <w:sz w:val="20"/>
          <w:szCs w:val="20"/>
        </w:rPr>
      </w:pPr>
      <w:r w:rsidRPr="005A72C3">
        <w:rPr>
          <w:rFonts w:ascii="Arial" w:hAnsi="Arial" w:cs="Arial"/>
          <w:sz w:val="20"/>
          <w:szCs w:val="20"/>
        </w:rPr>
        <w:t xml:space="preserve">Per attuare </w:t>
      </w:r>
      <w:r>
        <w:rPr>
          <w:rFonts w:ascii="Arial" w:hAnsi="Arial" w:cs="Arial"/>
          <w:sz w:val="20"/>
          <w:szCs w:val="20"/>
        </w:rPr>
        <w:t xml:space="preserve">questo </w:t>
      </w:r>
      <w:r w:rsidRPr="005A72C3">
        <w:rPr>
          <w:rFonts w:ascii="Arial" w:hAnsi="Arial" w:cs="Arial"/>
          <w:sz w:val="20"/>
          <w:szCs w:val="20"/>
        </w:rPr>
        <w:t xml:space="preserve">nuovo approccio e consentire a tutti gli Istituti nazionali di statistica dei Paesi Ue di utilizzare i microdati sulle cessioni </w:t>
      </w:r>
      <w:r>
        <w:rPr>
          <w:rFonts w:ascii="Arial" w:hAnsi="Arial" w:cs="Arial"/>
          <w:sz w:val="20"/>
          <w:szCs w:val="20"/>
        </w:rPr>
        <w:t>de</w:t>
      </w:r>
      <w:r w:rsidRPr="005A72C3">
        <w:rPr>
          <w:rFonts w:ascii="Arial" w:hAnsi="Arial" w:cs="Arial"/>
          <w:sz w:val="20"/>
          <w:szCs w:val="20"/>
        </w:rPr>
        <w:t>gli altri Paesi partner</w:t>
      </w:r>
      <w:r>
        <w:rPr>
          <w:rFonts w:ascii="Arial" w:hAnsi="Arial" w:cs="Arial"/>
          <w:sz w:val="20"/>
          <w:szCs w:val="20"/>
        </w:rPr>
        <w:t xml:space="preserve"> – </w:t>
      </w:r>
      <w:r w:rsidRPr="005A72C3">
        <w:rPr>
          <w:rFonts w:ascii="Arial" w:hAnsi="Arial" w:cs="Arial"/>
          <w:sz w:val="20"/>
          <w:szCs w:val="20"/>
        </w:rPr>
        <w:t>in sostituzione totale o parziale dei dati raccolti a livello nazionale</w:t>
      </w:r>
      <w:r>
        <w:rPr>
          <w:rFonts w:ascii="Arial" w:hAnsi="Arial" w:cs="Arial"/>
          <w:sz w:val="20"/>
          <w:szCs w:val="20"/>
        </w:rPr>
        <w:t xml:space="preserve"> –</w:t>
      </w:r>
      <w:r w:rsidRPr="005A72C3">
        <w:rPr>
          <w:rFonts w:ascii="Arial" w:hAnsi="Arial" w:cs="Arial"/>
          <w:sz w:val="20"/>
          <w:szCs w:val="20"/>
        </w:rPr>
        <w:t>,</w:t>
      </w:r>
      <w:r w:rsidRPr="00656343">
        <w:rPr>
          <w:rFonts w:ascii="Arial" w:hAnsi="Arial" w:cs="Arial"/>
          <w:sz w:val="20"/>
          <w:szCs w:val="20"/>
        </w:rPr>
        <w:t xml:space="preserve"> a decorrere dai dati di gennaio 2022 è stata richiesta la compilazione di una </w:t>
      </w:r>
      <w:r>
        <w:rPr>
          <w:rFonts w:ascii="Arial" w:hAnsi="Arial" w:cs="Arial"/>
          <w:sz w:val="20"/>
          <w:szCs w:val="20"/>
        </w:rPr>
        <w:t xml:space="preserve">nuova </w:t>
      </w:r>
      <w:r w:rsidRPr="00656343">
        <w:rPr>
          <w:rFonts w:ascii="Arial" w:hAnsi="Arial" w:cs="Arial"/>
          <w:sz w:val="20"/>
          <w:szCs w:val="20"/>
        </w:rPr>
        <w:t>variabile nei modelli Intrastat relativi alle cessioni</w:t>
      </w:r>
      <w:r>
        <w:rPr>
          <w:rFonts w:ascii="Arial" w:hAnsi="Arial" w:cs="Arial"/>
          <w:sz w:val="20"/>
          <w:szCs w:val="20"/>
        </w:rPr>
        <w:t xml:space="preserve"> (</w:t>
      </w:r>
      <w:r w:rsidRPr="00656343">
        <w:rPr>
          <w:rFonts w:ascii="Arial" w:hAnsi="Arial" w:cs="Arial"/>
          <w:sz w:val="20"/>
          <w:szCs w:val="20"/>
        </w:rPr>
        <w:t>la variabile “Paese di origine” delle merci, definito come il paese in cui il bene è stato sottoposto all’ultima trasformazione o lavorazione sostanziale</w:t>
      </w:r>
      <w:r>
        <w:rPr>
          <w:rFonts w:ascii="Arial" w:hAnsi="Arial" w:cs="Arial"/>
          <w:sz w:val="20"/>
          <w:szCs w:val="20"/>
        </w:rPr>
        <w:t xml:space="preserve"> - </w:t>
      </w:r>
      <w:r w:rsidRPr="00656343">
        <w:rPr>
          <w:rFonts w:ascii="Arial" w:hAnsi="Arial" w:cs="Arial"/>
          <w:sz w:val="20"/>
          <w:szCs w:val="20"/>
        </w:rPr>
        <w:t xml:space="preserve">Regolamento </w:t>
      </w:r>
      <w:r>
        <w:rPr>
          <w:rFonts w:ascii="Arial" w:hAnsi="Arial" w:cs="Arial"/>
          <w:sz w:val="20"/>
          <w:szCs w:val="20"/>
        </w:rPr>
        <w:t>(</w:t>
      </w:r>
      <w:r w:rsidRPr="00656343">
        <w:rPr>
          <w:rFonts w:ascii="Arial" w:hAnsi="Arial" w:cs="Arial"/>
          <w:sz w:val="20"/>
          <w:szCs w:val="20"/>
        </w:rPr>
        <w:t>UE</w:t>
      </w:r>
      <w:r>
        <w:rPr>
          <w:rFonts w:ascii="Arial" w:hAnsi="Arial" w:cs="Arial"/>
          <w:sz w:val="20"/>
          <w:szCs w:val="20"/>
        </w:rPr>
        <w:t>)</w:t>
      </w:r>
      <w:r w:rsidRPr="00656343">
        <w:rPr>
          <w:rFonts w:ascii="Arial" w:hAnsi="Arial" w:cs="Arial"/>
          <w:sz w:val="20"/>
          <w:szCs w:val="20"/>
        </w:rPr>
        <w:t xml:space="preserve"> 2020/1197, sez. 12 par. 3). È stata inoltre adottata una codifica</w:t>
      </w:r>
      <w:r>
        <w:rPr>
          <w:rFonts w:ascii="Arial" w:hAnsi="Arial" w:cs="Arial"/>
          <w:sz w:val="20"/>
          <w:szCs w:val="20"/>
        </w:rPr>
        <w:t xml:space="preserve"> più dettagliata</w:t>
      </w:r>
      <w:r w:rsidRPr="00656343">
        <w:rPr>
          <w:rFonts w:ascii="Arial" w:hAnsi="Arial" w:cs="Arial"/>
          <w:sz w:val="20"/>
          <w:szCs w:val="20"/>
        </w:rPr>
        <w:t xml:space="preserve"> per la variabile “Natura della transazione”. </w:t>
      </w:r>
    </w:p>
    <w:p w14:paraId="04E3045A" w14:textId="77777777" w:rsidR="00501E02" w:rsidRDefault="00501E02" w:rsidP="00501E02">
      <w:pPr>
        <w:spacing w:after="120"/>
        <w:jc w:val="both"/>
        <w:rPr>
          <w:rFonts w:ascii="Arial" w:hAnsi="Arial" w:cs="Arial"/>
          <w:sz w:val="20"/>
          <w:szCs w:val="20"/>
        </w:rPr>
      </w:pPr>
      <w:r>
        <w:rPr>
          <w:rFonts w:ascii="Arial" w:hAnsi="Arial" w:cs="Arial"/>
          <w:sz w:val="20"/>
          <w:szCs w:val="20"/>
        </w:rPr>
        <w:t xml:space="preserve">Allo stesso tempo sono state introdotte numerose semplificazioni, tra queste l’innalzamento della soglia statistica che determina </w:t>
      </w:r>
      <w:r w:rsidRPr="00656343">
        <w:rPr>
          <w:rFonts w:ascii="Arial" w:hAnsi="Arial" w:cs="Arial"/>
          <w:sz w:val="20"/>
          <w:szCs w:val="20"/>
        </w:rPr>
        <w:t xml:space="preserve">l’obbligatorietà di compilazione mensile dei modelli Intrastat relativi agli acquisti (da 200.000 a 350.000 euro). </w:t>
      </w:r>
    </w:p>
    <w:p w14:paraId="23C55C92" w14:textId="46380F4B" w:rsidR="00501E02" w:rsidRDefault="006A2C28" w:rsidP="006A2C28">
      <w:pPr>
        <w:spacing w:after="120"/>
        <w:jc w:val="both"/>
        <w:rPr>
          <w:rFonts w:ascii="Arial" w:hAnsi="Arial" w:cs="Arial"/>
          <w:sz w:val="20"/>
          <w:szCs w:val="20"/>
        </w:rPr>
      </w:pPr>
      <w:r>
        <w:rPr>
          <w:rFonts w:ascii="Arial" w:hAnsi="Arial" w:cs="Arial"/>
          <w:sz w:val="20"/>
          <w:szCs w:val="20"/>
        </w:rPr>
        <w:t>Infine</w:t>
      </w:r>
      <w:r w:rsidR="00220D58">
        <w:rPr>
          <w:rFonts w:ascii="Arial" w:hAnsi="Arial" w:cs="Arial"/>
          <w:sz w:val="20"/>
          <w:szCs w:val="20"/>
        </w:rPr>
        <w:t>, ai soli fini fiscali,</w:t>
      </w:r>
      <w:r>
        <w:rPr>
          <w:rFonts w:ascii="Arial" w:hAnsi="Arial" w:cs="Arial"/>
          <w:sz w:val="20"/>
          <w:szCs w:val="20"/>
        </w:rPr>
        <w:t xml:space="preserve"> nei</w:t>
      </w:r>
      <w:r w:rsidRPr="00483363">
        <w:rPr>
          <w:rFonts w:ascii="Arial" w:hAnsi="Arial" w:cs="Arial"/>
          <w:sz w:val="20"/>
          <w:szCs w:val="20"/>
        </w:rPr>
        <w:t xml:space="preserve"> modelli Intrastat</w:t>
      </w:r>
      <w:r>
        <w:rPr>
          <w:rFonts w:ascii="Arial" w:hAnsi="Arial" w:cs="Arial"/>
          <w:sz w:val="20"/>
          <w:szCs w:val="20"/>
        </w:rPr>
        <w:t xml:space="preserve"> per </w:t>
      </w:r>
      <w:r w:rsidRPr="00483363">
        <w:rPr>
          <w:rFonts w:ascii="Arial" w:hAnsi="Arial" w:cs="Arial"/>
          <w:sz w:val="20"/>
          <w:szCs w:val="20"/>
        </w:rPr>
        <w:t xml:space="preserve">le </w:t>
      </w:r>
      <w:r>
        <w:rPr>
          <w:rFonts w:ascii="Arial" w:hAnsi="Arial" w:cs="Arial"/>
          <w:sz w:val="20"/>
          <w:szCs w:val="20"/>
        </w:rPr>
        <w:t>cessioni è stata inserita</w:t>
      </w:r>
      <w:r w:rsidRPr="00483363">
        <w:rPr>
          <w:rFonts w:ascii="Arial" w:hAnsi="Arial" w:cs="Arial"/>
          <w:sz w:val="20"/>
          <w:szCs w:val="20"/>
        </w:rPr>
        <w:t xml:space="preserve"> una nuova sezione </w:t>
      </w:r>
      <w:r>
        <w:rPr>
          <w:rFonts w:ascii="Arial" w:hAnsi="Arial" w:cs="Arial"/>
          <w:sz w:val="20"/>
          <w:szCs w:val="20"/>
        </w:rPr>
        <w:t>relativa alle cessioni in regime cosiddetto di “call-off stock” (</w:t>
      </w:r>
      <w:r w:rsidRPr="00217CBB">
        <w:rPr>
          <w:rFonts w:ascii="Arial" w:hAnsi="Arial" w:cs="Arial"/>
          <w:sz w:val="20"/>
          <w:szCs w:val="20"/>
        </w:rPr>
        <w:t>Decreto legislativo 5 novembre 2021, n. 192</w:t>
      </w:r>
      <w:r>
        <w:rPr>
          <w:rFonts w:ascii="Arial" w:hAnsi="Arial" w:cs="Arial"/>
          <w:sz w:val="20"/>
          <w:szCs w:val="20"/>
        </w:rPr>
        <w:t>).</w:t>
      </w:r>
    </w:p>
    <w:p w14:paraId="386EF34B" w14:textId="0D1BE8EA" w:rsidR="006A2C28" w:rsidRPr="006A2C28" w:rsidRDefault="006A2C28" w:rsidP="006A2C28">
      <w:pPr>
        <w:spacing w:after="120"/>
        <w:jc w:val="both"/>
        <w:rPr>
          <w:rFonts w:ascii="Arial" w:hAnsi="Arial" w:cs="Arial"/>
          <w:sz w:val="10"/>
          <w:szCs w:val="10"/>
        </w:rPr>
      </w:pPr>
    </w:p>
    <w:p w14:paraId="02C32224" w14:textId="77777777" w:rsidR="006A2C28" w:rsidRPr="006A2C28" w:rsidRDefault="006A2C28" w:rsidP="006A2C28">
      <w:pPr>
        <w:spacing w:after="120"/>
        <w:jc w:val="both"/>
        <w:rPr>
          <w:rFonts w:ascii="Arial" w:hAnsi="Arial" w:cs="Arial"/>
          <w:sz w:val="20"/>
          <w:szCs w:val="20"/>
        </w:rPr>
      </w:pPr>
    </w:p>
    <w:p w14:paraId="657D224E" w14:textId="77777777" w:rsidR="00501E02" w:rsidRPr="00C9631A" w:rsidRDefault="00501E02" w:rsidP="00501E02">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Prezzi all’importazione</w:t>
      </w:r>
    </w:p>
    <w:p w14:paraId="0C99FF4D" w14:textId="77777777" w:rsidR="00501E02" w:rsidRDefault="00501E02" w:rsidP="00501E02">
      <w:pPr>
        <w:spacing w:after="100"/>
        <w:jc w:val="both"/>
        <w:rPr>
          <w:rFonts w:ascii="Arial" w:hAnsi="Arial" w:cs="Arial"/>
          <w:b/>
          <w:bCs/>
          <w:sz w:val="20"/>
          <w:szCs w:val="20"/>
        </w:rPr>
      </w:pPr>
      <w:r w:rsidRPr="00BE3D84">
        <w:rPr>
          <w:rFonts w:ascii="Arial" w:hAnsi="Arial" w:cs="Arial"/>
          <w:b/>
          <w:bCs/>
          <w:sz w:val="20"/>
          <w:szCs w:val="20"/>
        </w:rPr>
        <w:t>Obiettivi conoscitivi e quadro normativo di riferimento</w:t>
      </w:r>
    </w:p>
    <w:p w14:paraId="0AE3F535" w14:textId="77777777" w:rsidR="00501E02" w:rsidRDefault="00501E02" w:rsidP="00501E02">
      <w:pPr>
        <w:spacing w:after="100"/>
        <w:jc w:val="both"/>
        <w:rPr>
          <w:rFonts w:ascii="Arial" w:hAnsi="Arial" w:cs="Arial"/>
          <w:bCs/>
          <w:sz w:val="20"/>
          <w:szCs w:val="20"/>
        </w:rPr>
      </w:pPr>
      <w:r w:rsidRPr="0038751B">
        <w:rPr>
          <w:rFonts w:ascii="Arial" w:hAnsi="Arial" w:cs="Arial"/>
          <w:bCs/>
          <w:sz w:val="20"/>
          <w:szCs w:val="20"/>
        </w:rPr>
        <w:t>Gli indici dei prezzi all’importazione misurano la variazione nel tempo dei prezzi di un paniere rappresentativo dei principali prodotti importati, dall’area euro e dall’area non euro, da imprese dell’industria e dei servizi.</w:t>
      </w:r>
    </w:p>
    <w:p w14:paraId="6642A9A0" w14:textId="77777777" w:rsidR="00501E02" w:rsidRDefault="00501E02" w:rsidP="00501E02">
      <w:pPr>
        <w:spacing w:after="100"/>
        <w:jc w:val="both"/>
        <w:rPr>
          <w:rFonts w:ascii="Arial" w:hAnsi="Arial" w:cs="Arial"/>
          <w:bCs/>
          <w:sz w:val="20"/>
          <w:szCs w:val="20"/>
        </w:rPr>
      </w:pPr>
      <w:r w:rsidRPr="00113EDF">
        <w:rPr>
          <w:rFonts w:ascii="Arial" w:hAnsi="Arial" w:cs="Arial"/>
          <w:b/>
          <w:sz w:val="20"/>
          <w:szCs w:val="20"/>
        </w:rPr>
        <w:t>A partire dai dati riferiti a gennaio 2022</w:t>
      </w:r>
      <w:r>
        <w:rPr>
          <w:rFonts w:ascii="Arial" w:hAnsi="Arial" w:cs="Arial"/>
          <w:sz w:val="20"/>
          <w:szCs w:val="20"/>
        </w:rPr>
        <w:t xml:space="preserve">, </w:t>
      </w:r>
      <w:r w:rsidRPr="00113EDF">
        <w:rPr>
          <w:rFonts w:ascii="Arial" w:hAnsi="Arial" w:cs="Arial"/>
          <w:bCs/>
          <w:sz w:val="20"/>
          <w:szCs w:val="20"/>
        </w:rPr>
        <w:t>gli indici dei prezzi all’importazione sono calcolati con il metodo del con</w:t>
      </w:r>
      <w:r>
        <w:rPr>
          <w:rFonts w:ascii="Arial" w:hAnsi="Arial" w:cs="Arial"/>
          <w:bCs/>
          <w:sz w:val="20"/>
          <w:szCs w:val="20"/>
        </w:rPr>
        <w:t>ca</w:t>
      </w:r>
      <w:r w:rsidRPr="00113EDF">
        <w:rPr>
          <w:rFonts w:ascii="Arial" w:hAnsi="Arial" w:cs="Arial"/>
          <w:bCs/>
          <w:sz w:val="20"/>
          <w:szCs w:val="20"/>
        </w:rPr>
        <w:t>tenamento annuale, utilizzando il mese di dicembre 2021 come base di calcolo; l’anno 2015 resta la base di riferimento.</w:t>
      </w:r>
    </w:p>
    <w:p w14:paraId="267241E2" w14:textId="77777777" w:rsidR="00501E02" w:rsidRPr="00BE3D84" w:rsidRDefault="00501E02" w:rsidP="00501E02">
      <w:pPr>
        <w:spacing w:after="100"/>
        <w:jc w:val="both"/>
        <w:rPr>
          <w:rFonts w:ascii="Arial" w:hAnsi="Arial" w:cs="Arial"/>
          <w:bCs/>
          <w:sz w:val="20"/>
          <w:szCs w:val="20"/>
        </w:rPr>
      </w:pPr>
      <w:r w:rsidRPr="00BE3D84">
        <w:rPr>
          <w:rFonts w:ascii="Arial" w:hAnsi="Arial" w:cs="Arial"/>
          <w:bCs/>
          <w:sz w:val="20"/>
          <w:szCs w:val="20"/>
        </w:rPr>
        <w:t>Dal 1° gennaio 2021 ha effetto il Regolamento (UE) 2019/2152 del Parlamento europeo e del Consiglio del 27 novembre 2019 (con successivo Regolamento di esecuzione (UE) 2020/1197 della Commissione europea del 30 luglio 2020) che sostituisce il Regolamento (CE) 1165/1998 del Consiglio europeo (successivamente emendato dal Regolamento (CE) 1158/2005) e stabilisce il livello di dettaglio, la metodologia e la cadenza con cui gli indicatori congiunturali devono essere prodotti e trasmessi a Eurostat.</w:t>
      </w:r>
    </w:p>
    <w:p w14:paraId="08563E04" w14:textId="77777777" w:rsidR="00501E02" w:rsidRDefault="00501E02" w:rsidP="00501E02">
      <w:pPr>
        <w:spacing w:after="100"/>
        <w:jc w:val="both"/>
        <w:rPr>
          <w:rFonts w:ascii="Arial" w:hAnsi="Arial" w:cs="Arial"/>
          <w:sz w:val="20"/>
          <w:szCs w:val="20"/>
        </w:rPr>
      </w:pPr>
      <w:r w:rsidRPr="00BE3D84">
        <w:rPr>
          <w:rFonts w:ascii="Arial" w:hAnsi="Arial" w:cs="Arial"/>
          <w:bCs/>
          <w:sz w:val="20"/>
          <w:szCs w:val="20"/>
        </w:rPr>
        <w:t>La rilevazione dei prezzi all’importazione è prevista dal Programma Statistico Nazionale in vigore, consultabile sul sito internet dell'Istat all'indirizzo</w:t>
      </w:r>
      <w:r w:rsidRPr="00380EB6">
        <w:rPr>
          <w:rFonts w:ascii="Arial" w:hAnsi="Arial" w:cs="Arial"/>
        </w:rPr>
        <w:t xml:space="preserve"> </w:t>
      </w:r>
      <w:hyperlink r:id="rId41" w:history="1">
        <w:r w:rsidRPr="00BE3D84">
          <w:rPr>
            <w:rStyle w:val="Collegamentoipertestuale"/>
            <w:rFonts w:ascii="Arial" w:hAnsi="Arial" w:cs="Arial"/>
            <w:sz w:val="20"/>
            <w:szCs w:val="20"/>
          </w:rPr>
          <w:t>https://www.istat.it/it/istituto-nazionale-di-statistica/organizzazione/normativa</w:t>
        </w:r>
      </w:hyperlink>
      <w:r w:rsidRPr="00BE3D84">
        <w:rPr>
          <w:rFonts w:ascii="Arial" w:hAnsi="Arial" w:cs="Arial"/>
          <w:sz w:val="20"/>
          <w:szCs w:val="20"/>
        </w:rPr>
        <w:t>.</w:t>
      </w:r>
    </w:p>
    <w:p w14:paraId="6D5E0F68" w14:textId="77777777" w:rsidR="00501E02" w:rsidRDefault="00501E02" w:rsidP="00501E02">
      <w:pPr>
        <w:spacing w:after="120"/>
        <w:jc w:val="both"/>
        <w:rPr>
          <w:rFonts w:ascii="Arial" w:hAnsi="Arial" w:cs="Arial"/>
          <w:b/>
          <w:bCs/>
          <w:sz w:val="20"/>
          <w:szCs w:val="20"/>
        </w:rPr>
      </w:pPr>
    </w:p>
    <w:p w14:paraId="4C8204A3" w14:textId="77777777" w:rsidR="00501E02" w:rsidRPr="00C9631A" w:rsidRDefault="00501E02" w:rsidP="00501E02">
      <w:pPr>
        <w:spacing w:after="120"/>
        <w:jc w:val="both"/>
        <w:rPr>
          <w:rFonts w:ascii="Arial" w:hAnsi="Arial" w:cs="Arial"/>
          <w:b/>
          <w:bCs/>
          <w:sz w:val="20"/>
          <w:szCs w:val="20"/>
        </w:rPr>
      </w:pPr>
      <w:r>
        <w:rPr>
          <w:rFonts w:ascii="Arial" w:hAnsi="Arial" w:cs="Arial"/>
          <w:b/>
          <w:bCs/>
          <w:sz w:val="20"/>
          <w:szCs w:val="20"/>
        </w:rPr>
        <w:t>Fonte dei dati, c</w:t>
      </w:r>
      <w:r w:rsidRPr="00C9631A">
        <w:rPr>
          <w:rFonts w:ascii="Arial" w:hAnsi="Arial" w:cs="Arial"/>
          <w:b/>
          <w:bCs/>
          <w:sz w:val="20"/>
          <w:szCs w:val="20"/>
        </w:rPr>
        <w:t>ampo di osservazione, unità di analisi e di rilevazione</w:t>
      </w:r>
    </w:p>
    <w:p w14:paraId="32F8C4CC" w14:textId="77777777" w:rsidR="00501E02" w:rsidRPr="00BE3D84" w:rsidRDefault="00501E02" w:rsidP="00501E02">
      <w:pPr>
        <w:spacing w:after="120"/>
        <w:jc w:val="both"/>
        <w:rPr>
          <w:rFonts w:ascii="Arial" w:hAnsi="Arial" w:cs="Arial"/>
          <w:sz w:val="20"/>
          <w:szCs w:val="20"/>
        </w:rPr>
      </w:pPr>
      <w:r w:rsidRPr="00A54830">
        <w:rPr>
          <w:rFonts w:ascii="Arial" w:hAnsi="Arial" w:cs="Arial"/>
          <w:sz w:val="20"/>
          <w:szCs w:val="20"/>
        </w:rPr>
        <w:t>Il sistema degli indici dei prezzi all’importazione è elaborato a partire dai dati raccolti mediante una rilevazione statistica campionaria, con periodicità mensile.</w:t>
      </w:r>
    </w:p>
    <w:p w14:paraId="0CA288F3" w14:textId="77777777" w:rsidR="00501E02" w:rsidRPr="00C9631A" w:rsidRDefault="00501E02" w:rsidP="00501E02">
      <w:pPr>
        <w:spacing w:after="100"/>
        <w:jc w:val="both"/>
        <w:rPr>
          <w:rFonts w:ascii="Arial" w:hAnsi="Arial" w:cs="Arial"/>
          <w:bCs/>
          <w:sz w:val="20"/>
          <w:szCs w:val="20"/>
        </w:rPr>
      </w:pPr>
      <w:r w:rsidRPr="00C9631A">
        <w:rPr>
          <w:rFonts w:ascii="Arial" w:hAnsi="Arial" w:cs="Arial"/>
          <w:bCs/>
          <w:sz w:val="20"/>
          <w:szCs w:val="20"/>
        </w:rPr>
        <w:t xml:space="preserve">Dal punto di vista dimensionale, l’indagine è basata su un campione </w:t>
      </w:r>
      <w:r>
        <w:rPr>
          <w:rFonts w:ascii="Arial" w:hAnsi="Arial" w:cs="Arial"/>
          <w:bCs/>
          <w:sz w:val="20"/>
          <w:szCs w:val="20"/>
        </w:rPr>
        <w:t>di</w:t>
      </w:r>
      <w:r w:rsidRPr="00C9631A">
        <w:rPr>
          <w:rFonts w:ascii="Arial" w:hAnsi="Arial" w:cs="Arial"/>
          <w:bCs/>
          <w:sz w:val="20"/>
          <w:szCs w:val="20"/>
        </w:rPr>
        <w:t xml:space="preserve"> 1.</w:t>
      </w:r>
      <w:r>
        <w:rPr>
          <w:rFonts w:ascii="Arial" w:hAnsi="Arial" w:cs="Arial"/>
          <w:bCs/>
          <w:sz w:val="20"/>
          <w:szCs w:val="20"/>
        </w:rPr>
        <w:t>241</w:t>
      </w:r>
      <w:r w:rsidRPr="00C9631A">
        <w:rPr>
          <w:rFonts w:ascii="Arial" w:hAnsi="Arial" w:cs="Arial"/>
          <w:bCs/>
          <w:sz w:val="20"/>
          <w:szCs w:val="20"/>
        </w:rPr>
        <w:t xml:space="preserve"> prodotti rilevati presso una lista di </w:t>
      </w:r>
      <w:r>
        <w:rPr>
          <w:rFonts w:ascii="Arial" w:hAnsi="Arial" w:cs="Arial"/>
          <w:bCs/>
          <w:sz w:val="20"/>
          <w:szCs w:val="20"/>
        </w:rPr>
        <w:t>3</w:t>
      </w:r>
      <w:r w:rsidRPr="00C9631A">
        <w:rPr>
          <w:rFonts w:ascii="Arial" w:hAnsi="Arial" w:cs="Arial"/>
          <w:bCs/>
          <w:sz w:val="20"/>
          <w:szCs w:val="20"/>
        </w:rPr>
        <w:t>.</w:t>
      </w:r>
      <w:r>
        <w:rPr>
          <w:rFonts w:ascii="Arial" w:hAnsi="Arial" w:cs="Arial"/>
          <w:bCs/>
          <w:sz w:val="20"/>
          <w:szCs w:val="20"/>
        </w:rPr>
        <w:t>652</w:t>
      </w:r>
      <w:r w:rsidRPr="00C9631A">
        <w:rPr>
          <w:rFonts w:ascii="Arial" w:hAnsi="Arial" w:cs="Arial"/>
          <w:bCs/>
          <w:sz w:val="20"/>
          <w:szCs w:val="20"/>
        </w:rPr>
        <w:t xml:space="preserve"> imprese che forniscono mensilmente </w:t>
      </w:r>
      <w:r>
        <w:rPr>
          <w:rFonts w:ascii="Arial" w:hAnsi="Arial" w:cs="Arial"/>
          <w:bCs/>
          <w:sz w:val="20"/>
          <w:szCs w:val="20"/>
        </w:rPr>
        <w:t>10.164</w:t>
      </w:r>
      <w:r w:rsidRPr="00C9631A">
        <w:rPr>
          <w:rFonts w:ascii="Arial" w:hAnsi="Arial" w:cs="Arial"/>
          <w:bCs/>
          <w:sz w:val="20"/>
          <w:szCs w:val="20"/>
        </w:rPr>
        <w:t xml:space="preserve"> quotazioni di prezzo.</w:t>
      </w:r>
    </w:p>
    <w:p w14:paraId="526C86A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Il campo di osservazione della rilevazione riguarda:</w:t>
      </w:r>
    </w:p>
    <w:p w14:paraId="28768D3C" w14:textId="77777777" w:rsidR="00501E02" w:rsidRPr="00C9631A" w:rsidRDefault="00501E02" w:rsidP="00501E02">
      <w:pPr>
        <w:numPr>
          <w:ilvl w:val="0"/>
          <w:numId w:val="31"/>
        </w:numPr>
        <w:spacing w:after="120"/>
        <w:ind w:left="426"/>
        <w:jc w:val="both"/>
        <w:rPr>
          <w:rFonts w:ascii="Arial" w:hAnsi="Arial" w:cs="Arial"/>
          <w:sz w:val="20"/>
          <w:szCs w:val="20"/>
        </w:rPr>
      </w:pPr>
      <w:r w:rsidRPr="00C9631A">
        <w:rPr>
          <w:rFonts w:ascii="Arial" w:hAnsi="Arial" w:cs="Arial"/>
          <w:sz w:val="20"/>
          <w:szCs w:val="20"/>
        </w:rPr>
        <w:t>prodotti inclusi nelle sezioni da B a D della classificazione CPA;</w:t>
      </w:r>
    </w:p>
    <w:p w14:paraId="67150518" w14:textId="77777777" w:rsidR="00501E02" w:rsidRPr="00C9631A" w:rsidRDefault="00501E02" w:rsidP="00501E02">
      <w:pPr>
        <w:numPr>
          <w:ilvl w:val="0"/>
          <w:numId w:val="31"/>
        </w:numPr>
        <w:spacing w:after="120"/>
        <w:ind w:left="426"/>
        <w:jc w:val="both"/>
        <w:rPr>
          <w:rFonts w:ascii="Arial" w:hAnsi="Arial" w:cs="Arial"/>
          <w:sz w:val="20"/>
          <w:szCs w:val="20"/>
        </w:rPr>
      </w:pPr>
      <w:r w:rsidRPr="00C9631A">
        <w:rPr>
          <w:rFonts w:ascii="Arial" w:hAnsi="Arial" w:cs="Arial"/>
          <w:sz w:val="20"/>
          <w:szCs w:val="20"/>
        </w:rPr>
        <w:t>imprese con attività economica prevalente nelle sezioni B, C, D, E, G della classificazione Ateco 2007.</w:t>
      </w:r>
    </w:p>
    <w:p w14:paraId="2C7162CE" w14:textId="7FD56D09" w:rsidR="00501E02" w:rsidRPr="00C9631A" w:rsidRDefault="00501E02" w:rsidP="00C50F34">
      <w:pPr>
        <w:spacing w:after="120"/>
        <w:jc w:val="both"/>
        <w:rPr>
          <w:rFonts w:ascii="Arial" w:hAnsi="Arial" w:cs="Arial"/>
          <w:sz w:val="20"/>
          <w:szCs w:val="20"/>
        </w:rPr>
      </w:pPr>
      <w:r w:rsidRPr="00C9631A">
        <w:rPr>
          <w:rFonts w:ascii="Arial" w:hAnsi="Arial" w:cs="Arial"/>
          <w:sz w:val="20"/>
          <w:szCs w:val="20"/>
        </w:rPr>
        <w:t xml:space="preserve">L’unità di analisi è il prodotto, ovvero la </w:t>
      </w:r>
      <w:r w:rsidRPr="00E660CB">
        <w:rPr>
          <w:rFonts w:ascii="Arial" w:hAnsi="Arial" w:cs="Arial"/>
          <w:sz w:val="20"/>
          <w:szCs w:val="20"/>
        </w:rPr>
        <w:t>tipologia di prodotto</w:t>
      </w:r>
      <w:r w:rsidRPr="00C9631A">
        <w:rPr>
          <w:rFonts w:ascii="Arial" w:hAnsi="Arial" w:cs="Arial"/>
          <w:sz w:val="20"/>
          <w:szCs w:val="20"/>
        </w:rPr>
        <w:t xml:space="preserve"> (materia prima, semilavorato e prodotto finito) acquistata sul mercato estero e destinata al reimpiego nel processo di produzione (nel caso di un’impresa industriale) oppure alla vendita sul territorio nazionale o estero (nel caso di un’impresa commerciale).</w:t>
      </w:r>
    </w:p>
    <w:p w14:paraId="14E840B2" w14:textId="4C5B0F7A" w:rsidR="00501E02" w:rsidRDefault="00501E02" w:rsidP="00C50F34">
      <w:pPr>
        <w:spacing w:after="120"/>
        <w:jc w:val="both"/>
        <w:rPr>
          <w:rFonts w:ascii="Arial" w:hAnsi="Arial" w:cs="Arial"/>
          <w:sz w:val="20"/>
          <w:szCs w:val="20"/>
        </w:rPr>
      </w:pPr>
      <w:r w:rsidRPr="00C9631A">
        <w:rPr>
          <w:rFonts w:ascii="Arial" w:hAnsi="Arial" w:cs="Arial"/>
          <w:sz w:val="20"/>
          <w:szCs w:val="20"/>
        </w:rPr>
        <w:t>L’unità di rilevazione – impresa – deve essere localizzata sul territorio nazionale; nel caso di impresa industriale, la localizzazione è riferita agli stabilimenti di produzione: l’impresa acquista sul mercato estero materie prime, semilavorati e prodotti finiti che reimpiega nel proprio processo di produzione. Se l’impresa è commerciale, acquista sul mercato estero materie prime, semilavorati e prodotti finiti al fine di rivenderli sul mercato nazionale o estero.</w:t>
      </w:r>
    </w:p>
    <w:p w14:paraId="34C5D63D" w14:textId="77777777" w:rsidR="00874F65" w:rsidRDefault="00874F65" w:rsidP="00501E02">
      <w:pPr>
        <w:spacing w:after="120"/>
        <w:jc w:val="both"/>
        <w:rPr>
          <w:rFonts w:ascii="Arial" w:hAnsi="Arial" w:cs="Arial"/>
          <w:sz w:val="20"/>
          <w:szCs w:val="20"/>
        </w:rPr>
      </w:pPr>
    </w:p>
    <w:p w14:paraId="0408F458" w14:textId="77777777" w:rsidR="00874F65" w:rsidRDefault="00874F65" w:rsidP="00501E02">
      <w:pPr>
        <w:spacing w:after="120"/>
        <w:jc w:val="both"/>
        <w:rPr>
          <w:rFonts w:ascii="Arial" w:hAnsi="Arial" w:cs="Arial"/>
          <w:sz w:val="20"/>
          <w:szCs w:val="20"/>
        </w:rPr>
      </w:pPr>
    </w:p>
    <w:p w14:paraId="2FA0D990" w14:textId="77777777" w:rsidR="00874F65" w:rsidRDefault="00874F65" w:rsidP="00501E02">
      <w:pPr>
        <w:spacing w:after="120"/>
        <w:jc w:val="both"/>
        <w:rPr>
          <w:rFonts w:ascii="Arial" w:hAnsi="Arial" w:cs="Arial"/>
          <w:sz w:val="20"/>
          <w:szCs w:val="20"/>
        </w:rPr>
      </w:pPr>
    </w:p>
    <w:p w14:paraId="5EF6AF66" w14:textId="77777777" w:rsidR="00874F65" w:rsidRDefault="00874F65" w:rsidP="00501E02">
      <w:pPr>
        <w:spacing w:after="120"/>
        <w:jc w:val="both"/>
        <w:rPr>
          <w:rFonts w:ascii="Arial" w:hAnsi="Arial" w:cs="Arial"/>
          <w:sz w:val="20"/>
          <w:szCs w:val="20"/>
        </w:rPr>
      </w:pPr>
    </w:p>
    <w:p w14:paraId="2D06A78F" w14:textId="76F2E2E0" w:rsidR="00501E02" w:rsidRPr="000D4A0C" w:rsidRDefault="00501E02" w:rsidP="00501E02">
      <w:pPr>
        <w:spacing w:after="120"/>
        <w:jc w:val="both"/>
        <w:rPr>
          <w:rFonts w:ascii="Arial" w:hAnsi="Arial" w:cs="Arial"/>
          <w:sz w:val="20"/>
          <w:szCs w:val="20"/>
        </w:rPr>
      </w:pPr>
      <w:r w:rsidRPr="000D4A0C">
        <w:rPr>
          <w:rFonts w:ascii="Arial" w:hAnsi="Arial" w:cs="Arial"/>
          <w:sz w:val="20"/>
          <w:szCs w:val="20"/>
        </w:rPr>
        <w:t>Il regime del commercio considerato è quello del regime del commercio speciale, sono pertanto incluse le importazioni normali nonché le importazioni in regime di perfezionamento attivo e dopo perfezionamento passivo, quando l’unità rispondente acquisisce la proprietà dei beni; sono escluse dal campo di osservazione:</w:t>
      </w:r>
    </w:p>
    <w:p w14:paraId="7356E9F2" w14:textId="77777777" w:rsidR="00501E02" w:rsidRDefault="00501E02" w:rsidP="00501E02">
      <w:pPr>
        <w:numPr>
          <w:ilvl w:val="0"/>
          <w:numId w:val="39"/>
        </w:numPr>
        <w:spacing w:after="120"/>
        <w:ind w:left="425" w:hanging="425"/>
        <w:jc w:val="both"/>
        <w:rPr>
          <w:rFonts w:ascii="Arial" w:hAnsi="Arial" w:cs="Arial"/>
          <w:sz w:val="20"/>
          <w:szCs w:val="20"/>
        </w:rPr>
      </w:pPr>
      <w:r w:rsidRPr="000D4A0C">
        <w:rPr>
          <w:rFonts w:ascii="Arial" w:hAnsi="Arial" w:cs="Arial"/>
          <w:sz w:val="20"/>
          <w:szCs w:val="20"/>
        </w:rPr>
        <w:t>le importazioni delle famiglie, delle amministrazioni pubbliche e delle istituzioni senza scopo di lucro;</w:t>
      </w:r>
    </w:p>
    <w:p w14:paraId="6859D050" w14:textId="77777777" w:rsidR="00501E02" w:rsidRDefault="00501E02" w:rsidP="00501E02">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l’importazione a fini di riparazione;</w:t>
      </w:r>
    </w:p>
    <w:p w14:paraId="58998060" w14:textId="77777777" w:rsidR="00501E02" w:rsidRPr="002A34BD" w:rsidRDefault="00501E02" w:rsidP="00501E02">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tutti i servizi correlati ai prodotti.</w:t>
      </w:r>
    </w:p>
    <w:p w14:paraId="13DED19F" w14:textId="77777777" w:rsidR="00501E02" w:rsidRPr="00C9631A" w:rsidRDefault="00501E02" w:rsidP="00501E02">
      <w:pPr>
        <w:spacing w:after="120"/>
        <w:ind w:left="426"/>
        <w:jc w:val="both"/>
        <w:rPr>
          <w:rFonts w:ascii="Arial" w:hAnsi="Arial" w:cs="Arial"/>
          <w:sz w:val="20"/>
          <w:szCs w:val="20"/>
        </w:rPr>
      </w:pPr>
    </w:p>
    <w:p w14:paraId="661C8612"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Disegno di campionamento</w:t>
      </w:r>
    </w:p>
    <w:p w14:paraId="6F503B0D"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rilevazione mensile dei prezzi dei prodotti importati dall</w:t>
      </w:r>
      <w:r>
        <w:rPr>
          <w:rFonts w:ascii="Arial" w:hAnsi="Arial" w:cs="Arial"/>
          <w:sz w:val="20"/>
          <w:szCs w:val="20"/>
        </w:rPr>
        <w:t xml:space="preserve">e </w:t>
      </w:r>
      <w:r w:rsidRPr="00C9631A">
        <w:rPr>
          <w:rFonts w:ascii="Arial" w:hAnsi="Arial" w:cs="Arial"/>
          <w:sz w:val="20"/>
          <w:szCs w:val="20"/>
        </w:rPr>
        <w:t>impres</w:t>
      </w:r>
      <w:r>
        <w:rPr>
          <w:rFonts w:ascii="Arial" w:hAnsi="Arial" w:cs="Arial"/>
          <w:sz w:val="20"/>
          <w:szCs w:val="20"/>
        </w:rPr>
        <w:t xml:space="preserve">e </w:t>
      </w:r>
      <w:r w:rsidRPr="00C9631A">
        <w:rPr>
          <w:rFonts w:ascii="Arial" w:hAnsi="Arial" w:cs="Arial"/>
          <w:sz w:val="20"/>
          <w:szCs w:val="20"/>
        </w:rPr>
        <w:t xml:space="preserve">si effettua </w:t>
      </w:r>
      <w:r>
        <w:rPr>
          <w:rFonts w:ascii="Arial" w:hAnsi="Arial" w:cs="Arial"/>
          <w:sz w:val="20"/>
          <w:szCs w:val="20"/>
        </w:rPr>
        <w:t xml:space="preserve">– con riferimento alle due aree, euro e non euro – </w:t>
      </w:r>
      <w:r w:rsidRPr="00C9631A">
        <w:rPr>
          <w:rFonts w:ascii="Arial" w:hAnsi="Arial" w:cs="Arial"/>
          <w:sz w:val="20"/>
          <w:szCs w:val="20"/>
        </w:rPr>
        <w:t xml:space="preserve">sulla base di un disegno di campionamento nel quale si definiscono, relativamente </w:t>
      </w:r>
      <w:r>
        <w:rPr>
          <w:rFonts w:ascii="Arial" w:hAnsi="Arial" w:cs="Arial"/>
          <w:sz w:val="20"/>
          <w:szCs w:val="20"/>
        </w:rPr>
        <w:t>alla base di calcolo</w:t>
      </w:r>
      <w:r w:rsidRPr="00C9631A">
        <w:rPr>
          <w:rFonts w:ascii="Arial" w:hAnsi="Arial" w:cs="Arial"/>
          <w:sz w:val="20"/>
          <w:szCs w:val="20"/>
        </w:rPr>
        <w:t xml:space="preserve">, la composizione del paniere dei prodotti e la lista delle unità di rilevazione. </w:t>
      </w:r>
    </w:p>
    <w:p w14:paraId="73F64BB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Il paniere dei prodotti è costituito da un campione rappresentativo dei principali beni acquistati dalle imprese sul mercato estero e destinati al reimpiego nel processo di produzione (nel caso di un’impresa industriale) oppure alla vendita sul territorio nazionale o estero (nel caso di un’impresa commerciale). La selezione dei prodotti si effettua utilizzando, come informazione principale, quella proveniente dalle statistiche del commercio con l’estero (valore annuale delle importazioni a livello di merce, codificata secondo la Nomenclatura Combinata).</w:t>
      </w:r>
    </w:p>
    <w:p w14:paraId="4AC4B920" w14:textId="77777777" w:rsidR="00501E02" w:rsidRDefault="00501E02" w:rsidP="00501E02">
      <w:pPr>
        <w:spacing w:after="120"/>
        <w:jc w:val="both"/>
        <w:rPr>
          <w:rFonts w:ascii="Arial" w:hAnsi="Arial" w:cs="Arial"/>
          <w:sz w:val="20"/>
          <w:szCs w:val="20"/>
        </w:rPr>
      </w:pPr>
      <w:r w:rsidRPr="00C9631A">
        <w:rPr>
          <w:rFonts w:ascii="Arial" w:hAnsi="Arial" w:cs="Arial"/>
          <w:sz w:val="20"/>
          <w:szCs w:val="20"/>
        </w:rPr>
        <w:t>La lista delle unità di rilevazione è determinata integrando le informazioni sull’interscambio commerciale con quelle contenute nell’Archivio Statistico delle Imprese Attive (Asia) dell’Istat (relativamente all’identificativo dell’impresa e all’attività econo</w:t>
      </w:r>
      <w:r>
        <w:rPr>
          <w:rFonts w:ascii="Arial" w:hAnsi="Arial" w:cs="Arial"/>
          <w:sz w:val="20"/>
          <w:szCs w:val="20"/>
        </w:rPr>
        <w:t>mica prevalente della medesima)</w:t>
      </w:r>
      <w:r w:rsidRPr="00C9631A">
        <w:rPr>
          <w:rFonts w:ascii="Arial" w:hAnsi="Arial" w:cs="Arial"/>
          <w:sz w:val="20"/>
          <w:szCs w:val="20"/>
        </w:rPr>
        <w:t xml:space="preserve"> e nell’Anagrafe Tributaria (relativamente alla corrispondenza operatore economico/partita Iva – impresa/codice fiscale). Attraverso tale link si collegano le unità di analisi (i prodotti importati) alle unità di rilevazione (le imprese importatrici).</w:t>
      </w:r>
    </w:p>
    <w:p w14:paraId="77FED943" w14:textId="77777777" w:rsidR="00501E02" w:rsidRDefault="00501E02" w:rsidP="006A2C28">
      <w:pPr>
        <w:spacing w:after="240"/>
        <w:jc w:val="both"/>
        <w:rPr>
          <w:rFonts w:ascii="Arial" w:hAnsi="Arial" w:cs="Arial"/>
          <w:sz w:val="20"/>
          <w:szCs w:val="20"/>
        </w:rPr>
      </w:pPr>
      <w:r>
        <w:rPr>
          <w:rFonts w:ascii="Arial" w:hAnsi="Arial" w:cs="Arial"/>
          <w:sz w:val="20"/>
          <w:szCs w:val="20"/>
        </w:rPr>
        <w:t>Nel Prospetto B viene sintetizzata la composizione imprese/prodotti/prezzi della base di calcolo dicembre 2021, con riferimento alle tre variabili elaborate.</w:t>
      </w:r>
    </w:p>
    <w:p w14:paraId="06E1DAFA" w14:textId="77777777" w:rsidR="00501E02" w:rsidRDefault="00501E02" w:rsidP="00501E02">
      <w:pPr>
        <w:jc w:val="both"/>
        <w:rPr>
          <w:rFonts w:ascii="Arial Narrow" w:hAnsi="Arial Narrow" w:cs="Arial"/>
          <w:color w:val="7F7F7F"/>
          <w:sz w:val="20"/>
          <w:szCs w:val="20"/>
        </w:rPr>
      </w:pPr>
      <w:r w:rsidRPr="00861AAF">
        <w:rPr>
          <w:rFonts w:ascii="Arial Narrow" w:hAnsi="Arial Narrow" w:cs="Arial"/>
          <w:b/>
          <w:color w:val="E42618"/>
          <w:sz w:val="22"/>
          <w:szCs w:val="22"/>
        </w:rPr>
        <w:t xml:space="preserve">PROSPETTO </w:t>
      </w:r>
      <w:r>
        <w:rPr>
          <w:rFonts w:ascii="Arial Narrow" w:hAnsi="Arial Narrow" w:cs="Arial"/>
          <w:b/>
          <w:color w:val="E42618"/>
          <w:sz w:val="22"/>
          <w:szCs w:val="22"/>
        </w:rPr>
        <w:t>B</w:t>
      </w:r>
      <w:r w:rsidRPr="00861AAF">
        <w:rPr>
          <w:rFonts w:ascii="Arial Narrow" w:hAnsi="Arial Narrow" w:cs="Arial"/>
          <w:b/>
          <w:color w:val="E42618"/>
          <w:sz w:val="22"/>
          <w:szCs w:val="22"/>
        </w:rPr>
        <w:t>.</w:t>
      </w:r>
      <w:r w:rsidRPr="00861AAF">
        <w:rPr>
          <w:rFonts w:ascii="Arial Narrow" w:hAnsi="Arial Narrow" w:cs="Arial"/>
          <w:b/>
          <w:color w:val="7F7F7F"/>
          <w:sz w:val="22"/>
          <w:szCs w:val="22"/>
        </w:rPr>
        <w:t xml:space="preserve"> PREZZI ALL</w:t>
      </w:r>
      <w:r>
        <w:rPr>
          <w:rFonts w:ascii="Arial Narrow" w:hAnsi="Arial Narrow" w:cs="Arial"/>
          <w:b/>
          <w:color w:val="7F7F7F"/>
          <w:sz w:val="22"/>
          <w:szCs w:val="22"/>
        </w:rPr>
        <w:t xml:space="preserve">’IMPORTAZIONE. </w:t>
      </w:r>
      <w:r w:rsidRPr="00832200">
        <w:rPr>
          <w:rFonts w:ascii="Arial Narrow" w:hAnsi="Arial Narrow" w:cs="Arial"/>
          <w:b/>
          <w:color w:val="7F7F7F"/>
          <w:sz w:val="22"/>
          <w:szCs w:val="22"/>
        </w:rPr>
        <w:t>N</w:t>
      </w:r>
      <w:r>
        <w:rPr>
          <w:rFonts w:ascii="Arial Narrow" w:hAnsi="Arial Narrow" w:cs="Arial"/>
          <w:b/>
          <w:color w:val="7F7F7F"/>
          <w:sz w:val="22"/>
          <w:szCs w:val="22"/>
        </w:rPr>
        <w:t>U</w:t>
      </w:r>
      <w:r w:rsidRPr="00832200">
        <w:rPr>
          <w:rFonts w:ascii="Arial Narrow" w:hAnsi="Arial Narrow" w:cs="Arial"/>
          <w:b/>
          <w:color w:val="7F7F7F"/>
          <w:sz w:val="22"/>
          <w:szCs w:val="22"/>
        </w:rPr>
        <w:t>MEROSITÀ DEL CAMPIONE DEI PRODOTTI, IMPRESE E PREZZI</w:t>
      </w:r>
    </w:p>
    <w:p w14:paraId="219A5135" w14:textId="1680CBB9" w:rsidR="00501E02" w:rsidRPr="001F0B80" w:rsidRDefault="00AB0189" w:rsidP="00501E02">
      <w:pPr>
        <w:jc w:val="both"/>
        <w:rPr>
          <w:rFonts w:ascii="Arial Narrow" w:hAnsi="Arial Narrow" w:cs="Arial"/>
          <w:color w:val="7F7F7F"/>
          <w:sz w:val="20"/>
          <w:szCs w:val="20"/>
        </w:rPr>
      </w:pPr>
      <w:r>
        <w:rPr>
          <w:rFonts w:ascii="Arial Narrow" w:hAnsi="Arial Narrow" w:cs="Arial"/>
          <w:color w:val="7F7F7F"/>
          <w:sz w:val="20"/>
          <w:szCs w:val="20"/>
        </w:rPr>
        <w:t>Base di calcolo d</w:t>
      </w:r>
      <w:r w:rsidR="00501E02" w:rsidRPr="001F0B80">
        <w:rPr>
          <w:rFonts w:ascii="Arial Narrow" w:hAnsi="Arial Narrow" w:cs="Arial"/>
          <w:color w:val="7F7F7F"/>
          <w:sz w:val="20"/>
          <w:szCs w:val="20"/>
        </w:rPr>
        <w:t>icembre 2021</w:t>
      </w:r>
    </w:p>
    <w:tbl>
      <w:tblPr>
        <w:tblW w:w="10147" w:type="dxa"/>
        <w:tblCellMar>
          <w:left w:w="70" w:type="dxa"/>
          <w:right w:w="454" w:type="dxa"/>
        </w:tblCellMar>
        <w:tblLook w:val="04A0" w:firstRow="1" w:lastRow="0" w:firstColumn="1" w:lastColumn="0" w:noHBand="0" w:noVBand="1"/>
      </w:tblPr>
      <w:tblGrid>
        <w:gridCol w:w="2551"/>
        <w:gridCol w:w="2494"/>
        <w:gridCol w:w="2551"/>
        <w:gridCol w:w="2551"/>
      </w:tblGrid>
      <w:tr w:rsidR="00501E02" w:rsidRPr="00861AAF" w14:paraId="01948937" w14:textId="77777777" w:rsidTr="002C489F">
        <w:trPr>
          <w:trHeight w:val="340"/>
        </w:trPr>
        <w:tc>
          <w:tcPr>
            <w:tcW w:w="2551" w:type="dxa"/>
            <w:tcBorders>
              <w:top w:val="single" w:sz="8" w:space="0" w:color="333333"/>
              <w:left w:val="nil"/>
              <w:bottom w:val="single" w:sz="8" w:space="0" w:color="333333"/>
              <w:right w:val="nil"/>
            </w:tcBorders>
            <w:shd w:val="clear" w:color="auto" w:fill="auto"/>
            <w:vAlign w:val="center"/>
            <w:hideMark/>
          </w:tcPr>
          <w:p w14:paraId="382A346C" w14:textId="77777777" w:rsidR="00501E02" w:rsidRPr="00861AAF" w:rsidRDefault="00501E02" w:rsidP="002C489F">
            <w:pPr>
              <w:rPr>
                <w:rFonts w:ascii="Arial Narrow" w:hAnsi="Arial Narrow" w:cs="Arial"/>
                <w:b/>
                <w:bCs/>
                <w:color w:val="000000"/>
                <w:sz w:val="18"/>
                <w:szCs w:val="18"/>
              </w:rPr>
            </w:pPr>
            <w:r w:rsidRPr="00861AAF">
              <w:rPr>
                <w:rFonts w:ascii="Arial Narrow" w:hAnsi="Arial Narrow" w:cs="Arial"/>
                <w:b/>
                <w:bCs/>
                <w:color w:val="000000"/>
                <w:sz w:val="18"/>
                <w:szCs w:val="18"/>
              </w:rPr>
              <w:t>UNITÀ</w:t>
            </w:r>
          </w:p>
        </w:tc>
        <w:tc>
          <w:tcPr>
            <w:tcW w:w="2494" w:type="dxa"/>
            <w:tcBorders>
              <w:top w:val="single" w:sz="8" w:space="0" w:color="333333"/>
              <w:left w:val="nil"/>
              <w:bottom w:val="single" w:sz="4" w:space="0" w:color="auto"/>
              <w:right w:val="nil"/>
            </w:tcBorders>
            <w:shd w:val="clear" w:color="000000" w:fill="E6E6E6"/>
            <w:vAlign w:val="center"/>
            <w:hideMark/>
          </w:tcPr>
          <w:p w14:paraId="4629E8BA" w14:textId="77777777" w:rsidR="00501E02" w:rsidRPr="00861AAF" w:rsidRDefault="00501E02" w:rsidP="002C489F">
            <w:pPr>
              <w:jc w:val="right"/>
              <w:rPr>
                <w:rFonts w:ascii="Arial Narrow" w:hAnsi="Arial Narrow" w:cs="Arial"/>
                <w:b/>
                <w:bCs/>
                <w:color w:val="000000"/>
                <w:sz w:val="18"/>
                <w:szCs w:val="18"/>
              </w:rPr>
            </w:pPr>
            <w:r w:rsidRPr="00861AAF">
              <w:rPr>
                <w:rFonts w:ascii="Arial Narrow" w:hAnsi="Arial Narrow" w:cs="Arial"/>
                <w:b/>
                <w:bCs/>
                <w:color w:val="000000"/>
                <w:sz w:val="18"/>
                <w:szCs w:val="18"/>
              </w:rPr>
              <w:t>Totale</w:t>
            </w:r>
          </w:p>
        </w:tc>
        <w:tc>
          <w:tcPr>
            <w:tcW w:w="2551" w:type="dxa"/>
            <w:tcBorders>
              <w:top w:val="single" w:sz="8" w:space="0" w:color="333333"/>
              <w:left w:val="nil"/>
              <w:bottom w:val="single" w:sz="4" w:space="0" w:color="auto"/>
              <w:right w:val="nil"/>
            </w:tcBorders>
            <w:shd w:val="clear" w:color="auto" w:fill="auto"/>
            <w:vAlign w:val="center"/>
            <w:hideMark/>
          </w:tcPr>
          <w:p w14:paraId="50D20B13" w14:textId="77777777" w:rsidR="00501E02" w:rsidRPr="00861AAF" w:rsidRDefault="00501E02" w:rsidP="002C489F">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euro</w:t>
            </w:r>
          </w:p>
        </w:tc>
        <w:tc>
          <w:tcPr>
            <w:tcW w:w="2551" w:type="dxa"/>
            <w:tcBorders>
              <w:top w:val="single" w:sz="8" w:space="0" w:color="333333"/>
              <w:left w:val="nil"/>
              <w:bottom w:val="single" w:sz="4" w:space="0" w:color="auto"/>
              <w:right w:val="nil"/>
            </w:tcBorders>
            <w:shd w:val="clear" w:color="000000" w:fill="E6E6E6"/>
            <w:vAlign w:val="center"/>
            <w:hideMark/>
          </w:tcPr>
          <w:p w14:paraId="24FFBA23" w14:textId="77777777" w:rsidR="00501E02" w:rsidRPr="00861AAF" w:rsidRDefault="00501E02" w:rsidP="002C489F">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non euro</w:t>
            </w:r>
          </w:p>
        </w:tc>
      </w:tr>
      <w:tr w:rsidR="00501E02" w:rsidRPr="00861AAF" w14:paraId="0A151E60"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3A60B4CF"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Prodotti</w:t>
            </w:r>
          </w:p>
        </w:tc>
        <w:tc>
          <w:tcPr>
            <w:tcW w:w="2494" w:type="dxa"/>
            <w:tcBorders>
              <w:top w:val="single" w:sz="4" w:space="0" w:color="auto"/>
              <w:left w:val="nil"/>
              <w:bottom w:val="single" w:sz="8" w:space="0" w:color="333333"/>
              <w:right w:val="nil"/>
            </w:tcBorders>
            <w:shd w:val="clear" w:color="auto" w:fill="D9D9D9"/>
            <w:vAlign w:val="center"/>
          </w:tcPr>
          <w:p w14:paraId="2B053B06" w14:textId="77777777" w:rsidR="00501E02" w:rsidRPr="001F0B80" w:rsidRDefault="00501E02" w:rsidP="002C489F">
            <w:pPr>
              <w:jc w:val="right"/>
              <w:rPr>
                <w:rFonts w:ascii="Arial Narrow" w:hAnsi="Arial Narrow"/>
                <w:color w:val="000000"/>
                <w:sz w:val="18"/>
                <w:szCs w:val="18"/>
              </w:rPr>
            </w:pPr>
            <w:r w:rsidRPr="00861AAF">
              <w:rPr>
                <w:rFonts w:ascii="Arial Narrow" w:hAnsi="Arial Narrow"/>
                <w:color w:val="000000"/>
                <w:sz w:val="18"/>
                <w:szCs w:val="18"/>
              </w:rPr>
              <w:t>1.</w:t>
            </w:r>
            <w:r>
              <w:rPr>
                <w:rFonts w:ascii="Arial Narrow" w:hAnsi="Arial Narrow"/>
                <w:color w:val="000000"/>
                <w:sz w:val="18"/>
                <w:szCs w:val="18"/>
              </w:rPr>
              <w:t>241</w:t>
            </w:r>
          </w:p>
        </w:tc>
        <w:tc>
          <w:tcPr>
            <w:tcW w:w="2551" w:type="dxa"/>
            <w:tcBorders>
              <w:top w:val="single" w:sz="4" w:space="0" w:color="auto"/>
              <w:left w:val="nil"/>
              <w:bottom w:val="single" w:sz="8" w:space="0" w:color="333333"/>
              <w:right w:val="nil"/>
            </w:tcBorders>
            <w:shd w:val="clear" w:color="auto" w:fill="auto"/>
            <w:vAlign w:val="center"/>
          </w:tcPr>
          <w:p w14:paraId="02B6219C" w14:textId="77777777" w:rsidR="00501E02" w:rsidRPr="001F0B80" w:rsidRDefault="00501E02" w:rsidP="002C489F">
            <w:pPr>
              <w:jc w:val="right"/>
              <w:rPr>
                <w:rFonts w:ascii="Arial Narrow" w:hAnsi="Arial Narrow"/>
                <w:color w:val="000000"/>
                <w:sz w:val="18"/>
                <w:szCs w:val="18"/>
              </w:rPr>
            </w:pPr>
            <w:r>
              <w:rPr>
                <w:rFonts w:ascii="Arial Narrow" w:hAnsi="Arial Narrow"/>
                <w:color w:val="000000"/>
                <w:sz w:val="18"/>
                <w:szCs w:val="18"/>
              </w:rPr>
              <w:t>963</w:t>
            </w:r>
          </w:p>
        </w:tc>
        <w:tc>
          <w:tcPr>
            <w:tcW w:w="2551" w:type="dxa"/>
            <w:tcBorders>
              <w:top w:val="single" w:sz="4" w:space="0" w:color="auto"/>
              <w:left w:val="nil"/>
              <w:bottom w:val="single" w:sz="8" w:space="0" w:color="333333"/>
              <w:right w:val="nil"/>
            </w:tcBorders>
            <w:shd w:val="clear" w:color="auto" w:fill="D9D9D9"/>
            <w:vAlign w:val="center"/>
          </w:tcPr>
          <w:p w14:paraId="20341BA4" w14:textId="77777777" w:rsidR="00501E02" w:rsidRPr="001F0B80" w:rsidRDefault="00501E02" w:rsidP="002C489F">
            <w:pPr>
              <w:jc w:val="right"/>
              <w:rPr>
                <w:rFonts w:ascii="Arial Narrow" w:hAnsi="Arial Narrow"/>
                <w:color w:val="000000"/>
                <w:sz w:val="18"/>
                <w:szCs w:val="18"/>
              </w:rPr>
            </w:pPr>
            <w:r>
              <w:rPr>
                <w:rFonts w:ascii="Arial Narrow" w:hAnsi="Arial Narrow"/>
                <w:color w:val="000000"/>
                <w:sz w:val="18"/>
                <w:szCs w:val="18"/>
              </w:rPr>
              <w:t>800</w:t>
            </w:r>
          </w:p>
        </w:tc>
      </w:tr>
      <w:tr w:rsidR="00501E02" w:rsidRPr="00861AAF" w14:paraId="11D0F0DE"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673B1167"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Imprese</w:t>
            </w:r>
          </w:p>
        </w:tc>
        <w:tc>
          <w:tcPr>
            <w:tcW w:w="2494" w:type="dxa"/>
            <w:tcBorders>
              <w:top w:val="nil"/>
              <w:left w:val="nil"/>
              <w:bottom w:val="single" w:sz="8" w:space="0" w:color="333333"/>
              <w:right w:val="nil"/>
            </w:tcBorders>
            <w:shd w:val="clear" w:color="auto" w:fill="D9D9D9"/>
            <w:vAlign w:val="center"/>
          </w:tcPr>
          <w:p w14:paraId="60179606"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3</w:t>
            </w:r>
            <w:r w:rsidRPr="00861AAF">
              <w:rPr>
                <w:rFonts w:ascii="Arial Narrow" w:hAnsi="Arial Narrow"/>
                <w:color w:val="000000"/>
                <w:sz w:val="18"/>
                <w:szCs w:val="18"/>
              </w:rPr>
              <w:t>.</w:t>
            </w:r>
            <w:r>
              <w:rPr>
                <w:rFonts w:ascii="Arial Narrow" w:hAnsi="Arial Narrow"/>
                <w:color w:val="000000"/>
                <w:sz w:val="18"/>
                <w:szCs w:val="18"/>
              </w:rPr>
              <w:t>652</w:t>
            </w:r>
          </w:p>
        </w:tc>
        <w:tc>
          <w:tcPr>
            <w:tcW w:w="2551" w:type="dxa"/>
            <w:tcBorders>
              <w:top w:val="nil"/>
              <w:left w:val="nil"/>
              <w:bottom w:val="single" w:sz="8" w:space="0" w:color="333333"/>
              <w:right w:val="nil"/>
            </w:tcBorders>
            <w:shd w:val="clear" w:color="auto" w:fill="auto"/>
            <w:vAlign w:val="center"/>
          </w:tcPr>
          <w:p w14:paraId="03E35CD1"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196</w:t>
            </w:r>
          </w:p>
        </w:tc>
        <w:tc>
          <w:tcPr>
            <w:tcW w:w="2551" w:type="dxa"/>
            <w:tcBorders>
              <w:top w:val="nil"/>
              <w:left w:val="nil"/>
              <w:bottom w:val="single" w:sz="8" w:space="0" w:color="333333"/>
              <w:right w:val="nil"/>
            </w:tcBorders>
            <w:shd w:val="clear" w:color="auto" w:fill="D9D9D9"/>
            <w:vAlign w:val="center"/>
          </w:tcPr>
          <w:p w14:paraId="446C8256"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087</w:t>
            </w:r>
          </w:p>
        </w:tc>
      </w:tr>
      <w:tr w:rsidR="00501E02" w:rsidRPr="00861AAF" w14:paraId="1D626E37" w14:textId="77777777" w:rsidTr="002C489F">
        <w:trPr>
          <w:trHeight w:val="255"/>
        </w:trPr>
        <w:tc>
          <w:tcPr>
            <w:tcW w:w="2551" w:type="dxa"/>
            <w:tcBorders>
              <w:top w:val="nil"/>
              <w:left w:val="nil"/>
              <w:bottom w:val="single" w:sz="8" w:space="0" w:color="333333"/>
              <w:right w:val="nil"/>
            </w:tcBorders>
            <w:shd w:val="clear" w:color="auto" w:fill="auto"/>
            <w:vAlign w:val="center"/>
            <w:hideMark/>
          </w:tcPr>
          <w:p w14:paraId="17B51D0A" w14:textId="77777777" w:rsidR="00501E02" w:rsidRPr="00861AAF" w:rsidRDefault="00501E02" w:rsidP="002C489F">
            <w:pPr>
              <w:rPr>
                <w:rFonts w:ascii="Arial Narrow" w:hAnsi="Arial Narrow" w:cs="Arial"/>
                <w:color w:val="000000"/>
                <w:sz w:val="18"/>
                <w:szCs w:val="18"/>
              </w:rPr>
            </w:pPr>
            <w:r w:rsidRPr="00861AAF">
              <w:rPr>
                <w:rFonts w:ascii="Arial Narrow" w:hAnsi="Arial Narrow" w:cs="Arial"/>
                <w:color w:val="000000"/>
                <w:sz w:val="18"/>
                <w:szCs w:val="18"/>
              </w:rPr>
              <w:t>Prezzi</w:t>
            </w:r>
          </w:p>
        </w:tc>
        <w:tc>
          <w:tcPr>
            <w:tcW w:w="2494" w:type="dxa"/>
            <w:tcBorders>
              <w:top w:val="nil"/>
              <w:left w:val="nil"/>
              <w:bottom w:val="single" w:sz="8" w:space="0" w:color="333333"/>
              <w:right w:val="nil"/>
            </w:tcBorders>
            <w:shd w:val="clear" w:color="auto" w:fill="D9D9D9"/>
            <w:vAlign w:val="center"/>
          </w:tcPr>
          <w:p w14:paraId="1A27B871"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10</w:t>
            </w:r>
            <w:r w:rsidRPr="00861AAF">
              <w:rPr>
                <w:rFonts w:ascii="Arial Narrow" w:hAnsi="Arial Narrow"/>
                <w:color w:val="000000"/>
                <w:sz w:val="18"/>
                <w:szCs w:val="18"/>
              </w:rPr>
              <w:t>.1</w:t>
            </w:r>
            <w:r>
              <w:rPr>
                <w:rFonts w:ascii="Arial Narrow" w:hAnsi="Arial Narrow"/>
                <w:color w:val="000000"/>
                <w:sz w:val="18"/>
                <w:szCs w:val="18"/>
              </w:rPr>
              <w:t>64</w:t>
            </w:r>
          </w:p>
        </w:tc>
        <w:tc>
          <w:tcPr>
            <w:tcW w:w="2551" w:type="dxa"/>
            <w:tcBorders>
              <w:top w:val="nil"/>
              <w:left w:val="nil"/>
              <w:bottom w:val="single" w:sz="8" w:space="0" w:color="333333"/>
              <w:right w:val="nil"/>
            </w:tcBorders>
            <w:shd w:val="clear" w:color="auto" w:fill="auto"/>
            <w:vAlign w:val="center"/>
          </w:tcPr>
          <w:p w14:paraId="00DB762F" w14:textId="77777777" w:rsidR="00501E02" w:rsidRPr="00861AAF" w:rsidRDefault="00501E02" w:rsidP="002C489F">
            <w:pPr>
              <w:jc w:val="right"/>
              <w:rPr>
                <w:rFonts w:ascii="Arial Narrow" w:hAnsi="Arial Narrow" w:cs="Arial"/>
                <w:color w:val="000000"/>
                <w:sz w:val="18"/>
                <w:szCs w:val="18"/>
              </w:rPr>
            </w:pPr>
            <w:r>
              <w:rPr>
                <w:rFonts w:ascii="Arial Narrow" w:hAnsi="Arial Narrow"/>
                <w:color w:val="000000"/>
                <w:sz w:val="18"/>
                <w:szCs w:val="18"/>
              </w:rPr>
              <w:t>5</w:t>
            </w:r>
            <w:r w:rsidRPr="00861AAF">
              <w:rPr>
                <w:rFonts w:ascii="Arial Narrow" w:hAnsi="Arial Narrow"/>
                <w:color w:val="000000"/>
                <w:sz w:val="18"/>
                <w:szCs w:val="18"/>
              </w:rPr>
              <w:t>.</w:t>
            </w:r>
            <w:r>
              <w:rPr>
                <w:rFonts w:ascii="Arial Narrow" w:hAnsi="Arial Narrow"/>
                <w:color w:val="000000"/>
                <w:sz w:val="18"/>
                <w:szCs w:val="18"/>
              </w:rPr>
              <w:t>465</w:t>
            </w:r>
          </w:p>
        </w:tc>
        <w:tc>
          <w:tcPr>
            <w:tcW w:w="2551" w:type="dxa"/>
            <w:tcBorders>
              <w:top w:val="nil"/>
              <w:left w:val="nil"/>
              <w:bottom w:val="single" w:sz="8" w:space="0" w:color="333333"/>
              <w:right w:val="nil"/>
            </w:tcBorders>
            <w:shd w:val="clear" w:color="auto" w:fill="D9D9D9"/>
            <w:vAlign w:val="center"/>
          </w:tcPr>
          <w:p w14:paraId="7E51A636" w14:textId="77777777" w:rsidR="00501E02" w:rsidRPr="00861AAF" w:rsidRDefault="00501E02" w:rsidP="002C489F">
            <w:pPr>
              <w:jc w:val="right"/>
              <w:rPr>
                <w:rFonts w:ascii="Arial Narrow" w:hAnsi="Arial Narrow" w:cs="Arial"/>
                <w:color w:val="000000"/>
                <w:sz w:val="18"/>
                <w:szCs w:val="18"/>
              </w:rPr>
            </w:pPr>
            <w:r w:rsidRPr="00861AAF">
              <w:rPr>
                <w:rFonts w:ascii="Arial Narrow" w:hAnsi="Arial Narrow"/>
                <w:color w:val="000000"/>
                <w:sz w:val="18"/>
                <w:szCs w:val="18"/>
              </w:rPr>
              <w:t>4.</w:t>
            </w:r>
            <w:r>
              <w:rPr>
                <w:rFonts w:ascii="Arial Narrow" w:hAnsi="Arial Narrow"/>
                <w:color w:val="000000"/>
                <w:sz w:val="18"/>
                <w:szCs w:val="18"/>
              </w:rPr>
              <w:t>699</w:t>
            </w:r>
          </w:p>
        </w:tc>
      </w:tr>
    </w:tbl>
    <w:p w14:paraId="6D73B5E6" w14:textId="77777777" w:rsidR="00501E02" w:rsidRPr="00861AAF" w:rsidRDefault="00501E02" w:rsidP="00501E02">
      <w:pPr>
        <w:spacing w:before="120" w:after="120"/>
        <w:jc w:val="both"/>
        <w:rPr>
          <w:rFonts w:ascii="Arial" w:hAnsi="Arial" w:cs="Arial"/>
          <w:b/>
          <w:sz w:val="22"/>
          <w:szCs w:val="22"/>
        </w:rPr>
      </w:pPr>
    </w:p>
    <w:p w14:paraId="0B161C23" w14:textId="77777777"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Raccolta e controllo di qualità dei dati</w:t>
      </w:r>
    </w:p>
    <w:p w14:paraId="6A422DA0" w14:textId="77777777"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raccolta delle informazioni statistiche avviene mediante auto-compilazione del questionario elettronico disponibile all’interno del Portale statistico delle imprese, il sistema introdotto dall'Istat per la semplificazione degli adempimenti statistici delle imprese coinvolte nelle rilevazioni economiche. </w:t>
      </w:r>
    </w:p>
    <w:p w14:paraId="087B1A84" w14:textId="3E285E07" w:rsidR="0026239E" w:rsidRDefault="00501E02" w:rsidP="00501E02">
      <w:pPr>
        <w:pStyle w:val="Testocorrente"/>
        <w:keepNext w:val="0"/>
        <w:tabs>
          <w:tab w:val="left" w:pos="0"/>
        </w:tabs>
        <w:spacing w:after="120"/>
        <w:rPr>
          <w:rFonts w:ascii="Arial" w:hAnsi="Arial" w:cs="Arial"/>
          <w:b w:val="0"/>
          <w:i w:val="0"/>
          <w:sz w:val="20"/>
          <w:lang w:val="it-IT"/>
        </w:rPr>
      </w:pPr>
      <w:r w:rsidRPr="00DB2D37">
        <w:rPr>
          <w:rFonts w:ascii="Arial" w:hAnsi="Arial" w:cs="Arial"/>
          <w:b w:val="0"/>
          <w:i w:val="0"/>
          <w:sz w:val="20"/>
          <w:lang w:val="it-IT"/>
        </w:rPr>
        <w:t>Dall’edizione 2022, l’indagine si avvale della nuova piattaforma informatica integrata (nuovo questionario, nuovo software gestionale e nuov</w:t>
      </w:r>
      <w:r w:rsidR="0026239E">
        <w:rPr>
          <w:rFonts w:ascii="Arial" w:hAnsi="Arial" w:cs="Arial"/>
          <w:b w:val="0"/>
          <w:i w:val="0"/>
          <w:sz w:val="20"/>
          <w:lang w:val="it-IT"/>
        </w:rPr>
        <w:t>i</w:t>
      </w:r>
      <w:r w:rsidRPr="00DB2D37">
        <w:rPr>
          <w:rFonts w:ascii="Arial" w:hAnsi="Arial" w:cs="Arial"/>
          <w:b w:val="0"/>
          <w:i w:val="0"/>
          <w:sz w:val="20"/>
          <w:lang w:val="it-IT"/>
        </w:rPr>
        <w:t xml:space="preserve"> data base), denominata SINTESI, </w:t>
      </w:r>
      <w:r w:rsidR="0026239E" w:rsidRPr="0026239E">
        <w:rPr>
          <w:rFonts w:ascii="Arial" w:hAnsi="Arial" w:cs="Arial"/>
          <w:b w:val="0"/>
          <w:i w:val="0"/>
          <w:sz w:val="20"/>
          <w:lang w:val="it-IT"/>
        </w:rPr>
        <w:t>progettata e sviluppata internamente all’Istituto nell’ambito del progetto di modernizzazione/unificazione di metodi e strumenti per la gestione e conduzione dei processi di produzione delle indagini congiunturali sulle imprese</w:t>
      </w:r>
      <w:r w:rsidR="0026239E">
        <w:rPr>
          <w:rFonts w:ascii="Arial" w:hAnsi="Arial" w:cs="Arial"/>
          <w:b w:val="0"/>
          <w:i w:val="0"/>
          <w:sz w:val="20"/>
          <w:lang w:val="it-IT"/>
        </w:rPr>
        <w:t>.</w:t>
      </w:r>
    </w:p>
    <w:p w14:paraId="4C40A3D3" w14:textId="77777777"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modalità di compilazione per via telematica favorisce la tempestività della rilevazione dei dati e la qualità delle informazioni raccolte, poiché prevede un programma di </w:t>
      </w:r>
      <w:r w:rsidRPr="00C9631A">
        <w:rPr>
          <w:rFonts w:ascii="Arial" w:hAnsi="Arial" w:cs="Arial"/>
          <w:bCs/>
          <w:i/>
          <w:sz w:val="20"/>
          <w:szCs w:val="20"/>
        </w:rPr>
        <w:t>check</w:t>
      </w:r>
      <w:r w:rsidRPr="00C9631A">
        <w:rPr>
          <w:rFonts w:ascii="Arial" w:hAnsi="Arial" w:cs="Arial"/>
          <w:bCs/>
          <w:sz w:val="20"/>
          <w:szCs w:val="20"/>
        </w:rPr>
        <w:t xml:space="preserve"> automatico che segnala direttamente al rispondente eventuali risposte incompatibili, errori di coerenza, incongruenze e omissioni, che possono essere risolti nel corso della stessa compilazione.</w:t>
      </w:r>
    </w:p>
    <w:p w14:paraId="66D9A453" w14:textId="05F9382E"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 dati possono essere inviati dal </w:t>
      </w:r>
      <w:r>
        <w:rPr>
          <w:rFonts w:ascii="Arial" w:hAnsi="Arial" w:cs="Arial"/>
          <w:bCs/>
          <w:sz w:val="20"/>
          <w:szCs w:val="20"/>
        </w:rPr>
        <w:t>primo</w:t>
      </w:r>
      <w:r w:rsidRPr="00C9631A">
        <w:rPr>
          <w:rFonts w:ascii="Arial" w:hAnsi="Arial" w:cs="Arial"/>
          <w:bCs/>
          <w:sz w:val="20"/>
          <w:szCs w:val="20"/>
        </w:rPr>
        <w:t xml:space="preserve"> giorno dopo la fine del mese di riferimento</w:t>
      </w:r>
      <w:r>
        <w:rPr>
          <w:rFonts w:ascii="Arial" w:hAnsi="Arial" w:cs="Arial"/>
          <w:bCs/>
          <w:sz w:val="20"/>
          <w:szCs w:val="20"/>
        </w:rPr>
        <w:t xml:space="preserve"> e</w:t>
      </w:r>
      <w:r w:rsidRPr="00C9631A">
        <w:rPr>
          <w:rFonts w:ascii="Arial" w:hAnsi="Arial" w:cs="Arial"/>
          <w:bCs/>
          <w:sz w:val="20"/>
          <w:szCs w:val="20"/>
        </w:rPr>
        <w:t xml:space="preserve"> la trasmissione </w:t>
      </w:r>
      <w:r>
        <w:rPr>
          <w:rFonts w:ascii="Arial" w:hAnsi="Arial" w:cs="Arial"/>
          <w:bCs/>
          <w:sz w:val="20"/>
          <w:szCs w:val="20"/>
        </w:rPr>
        <w:t xml:space="preserve">deve </w:t>
      </w:r>
      <w:r w:rsidR="00AB0189">
        <w:rPr>
          <w:rFonts w:ascii="Arial" w:hAnsi="Arial" w:cs="Arial"/>
          <w:bCs/>
          <w:sz w:val="20"/>
          <w:szCs w:val="20"/>
        </w:rPr>
        <w:t>essere effettuata</w:t>
      </w:r>
      <w:r w:rsidRPr="00EE3D7B">
        <w:rPr>
          <w:rFonts w:ascii="Arial" w:hAnsi="Arial" w:cs="Arial"/>
          <w:bCs/>
          <w:sz w:val="20"/>
          <w:szCs w:val="20"/>
        </w:rPr>
        <w:t xml:space="preserve"> entro le date di</w:t>
      </w:r>
      <w:r>
        <w:rPr>
          <w:rFonts w:ascii="Arial" w:hAnsi="Arial" w:cs="Arial"/>
          <w:bCs/>
          <w:sz w:val="20"/>
          <w:szCs w:val="20"/>
        </w:rPr>
        <w:t xml:space="preserve"> indicate nella lettera informativa</w:t>
      </w:r>
      <w:r w:rsidRPr="00EE3D7B">
        <w:rPr>
          <w:rFonts w:ascii="Arial" w:hAnsi="Arial" w:cs="Arial"/>
          <w:bCs/>
          <w:sz w:val="20"/>
          <w:szCs w:val="20"/>
        </w:rPr>
        <w:t xml:space="preserve"> </w:t>
      </w:r>
      <w:r w:rsidRPr="00C9631A">
        <w:rPr>
          <w:rFonts w:ascii="Arial" w:hAnsi="Arial" w:cs="Arial"/>
          <w:bCs/>
          <w:sz w:val="20"/>
          <w:szCs w:val="20"/>
        </w:rPr>
        <w:t>al fine di poter rispettare le scadenze dei regolamenti europei</w:t>
      </w:r>
      <w:r>
        <w:rPr>
          <w:rFonts w:ascii="Arial" w:hAnsi="Arial" w:cs="Arial"/>
          <w:bCs/>
          <w:sz w:val="20"/>
          <w:szCs w:val="20"/>
        </w:rPr>
        <w:t>.</w:t>
      </w:r>
      <w:r w:rsidRPr="00C9631A">
        <w:rPr>
          <w:rFonts w:ascii="Arial" w:hAnsi="Arial" w:cs="Arial"/>
          <w:bCs/>
          <w:sz w:val="20"/>
          <w:szCs w:val="20"/>
        </w:rPr>
        <w:t xml:space="preserve"> </w:t>
      </w:r>
      <w:r>
        <w:rPr>
          <w:rFonts w:ascii="Arial" w:hAnsi="Arial" w:cs="Arial"/>
          <w:bCs/>
          <w:sz w:val="20"/>
          <w:szCs w:val="20"/>
        </w:rPr>
        <w:t>S</w:t>
      </w:r>
      <w:r w:rsidRPr="00C9631A">
        <w:rPr>
          <w:rFonts w:ascii="Arial" w:hAnsi="Arial" w:cs="Arial"/>
          <w:bCs/>
          <w:sz w:val="20"/>
          <w:szCs w:val="20"/>
        </w:rPr>
        <w:t>uccessivamente sono previste operazioni di sollecito e contatto delle unità non rispondenti al fine di aumentare la copertura delle stime provvisorie e definitive.</w:t>
      </w:r>
    </w:p>
    <w:p w14:paraId="4681F9B7" w14:textId="674296A4" w:rsidR="00501E02"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Il questionario è di tipo chiuso, riporta prestampato l’elenco dei prodotti sottoposti a osservazione; l’impresa, coerentemente con la denominazione del prodotto assegnato, individua le </w:t>
      </w:r>
      <w:r w:rsidRPr="00C9631A">
        <w:rPr>
          <w:rFonts w:ascii="Arial" w:hAnsi="Arial" w:cs="Arial"/>
          <w:bCs/>
          <w:i/>
          <w:sz w:val="20"/>
          <w:szCs w:val="20"/>
        </w:rPr>
        <w:t>tipologie di prodotto</w:t>
      </w:r>
      <w:r w:rsidRPr="00C9631A">
        <w:rPr>
          <w:rFonts w:ascii="Arial" w:hAnsi="Arial" w:cs="Arial"/>
          <w:bCs/>
          <w:sz w:val="20"/>
          <w:szCs w:val="20"/>
        </w:rPr>
        <w:t xml:space="preserve"> maggiormente rappresentative delle importazioni dell’impresa per le quali sia possibile determinare regolarmente un prezzo di </w:t>
      </w:r>
      <w:r>
        <w:rPr>
          <w:rFonts w:ascii="Arial" w:hAnsi="Arial" w:cs="Arial"/>
          <w:bCs/>
          <w:sz w:val="20"/>
          <w:szCs w:val="20"/>
        </w:rPr>
        <w:t>a</w:t>
      </w:r>
      <w:r w:rsidRPr="00C9631A">
        <w:rPr>
          <w:rFonts w:ascii="Arial" w:hAnsi="Arial" w:cs="Arial"/>
          <w:bCs/>
          <w:sz w:val="20"/>
          <w:szCs w:val="20"/>
        </w:rPr>
        <w:t xml:space="preserve">cquisto nel tempo. </w:t>
      </w:r>
    </w:p>
    <w:p w14:paraId="425606EE" w14:textId="77777777" w:rsidR="00874F65" w:rsidRDefault="00874F65" w:rsidP="00501E02">
      <w:pPr>
        <w:spacing w:after="120"/>
        <w:jc w:val="both"/>
        <w:rPr>
          <w:rFonts w:ascii="Arial" w:hAnsi="Arial" w:cs="Arial"/>
          <w:bCs/>
          <w:sz w:val="20"/>
          <w:szCs w:val="20"/>
        </w:rPr>
      </w:pPr>
    </w:p>
    <w:p w14:paraId="0355BB19" w14:textId="1CFA1DCD"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La variabile rilevata è il prezzo all’importazione ovvero un prezzo di acquisto di un prodotto ceduto da un operatore non residente da parte di un’impresa residente in Italia. </w:t>
      </w:r>
      <w:r w:rsidRPr="00C9631A">
        <w:rPr>
          <w:rFonts w:ascii="Arial" w:hAnsi="Arial" w:cs="Arial"/>
          <w:sz w:val="20"/>
          <w:szCs w:val="20"/>
        </w:rPr>
        <w:t xml:space="preserve">Si tratta di un prezzo di mercato o di transazione reale, cioè un prezzo che si riferisce a un acquisto effettivamente realizzato. I prezzi sono rilevati in euro secondo la clausola </w:t>
      </w:r>
      <w:r w:rsidRPr="00C9631A">
        <w:rPr>
          <w:rFonts w:ascii="Arial" w:hAnsi="Arial" w:cs="Arial"/>
          <w:iCs/>
          <w:sz w:val="20"/>
          <w:szCs w:val="20"/>
        </w:rPr>
        <w:t xml:space="preserve">Cif </w:t>
      </w:r>
      <w:r w:rsidRPr="00C9631A">
        <w:rPr>
          <w:rFonts w:ascii="Arial" w:hAnsi="Arial" w:cs="Arial"/>
          <w:sz w:val="20"/>
          <w:szCs w:val="20"/>
        </w:rPr>
        <w:t xml:space="preserve">(costo, assicurazione e nolo) alla frontiera nazionale; sono al netto dell'Iva e di ogni altro onere a carico dell'acquirente. </w:t>
      </w:r>
    </w:p>
    <w:p w14:paraId="0AF76ADA"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L’importazione è il </w:t>
      </w:r>
      <w:r w:rsidRPr="00C9631A">
        <w:rPr>
          <w:rFonts w:ascii="Arial" w:hAnsi="Arial" w:cs="Arial"/>
          <w:iCs/>
          <w:sz w:val="20"/>
          <w:szCs w:val="20"/>
        </w:rPr>
        <w:t>valore della merce acquistata all’estero dalle imprese industriali e commerciali, valutato Cif e riferito ai soli regimi definitivi (cioè al netto delle importazioni temporanee e delle reimportazioni), distinto per area di importazione euro/non euro.</w:t>
      </w:r>
    </w:p>
    <w:p w14:paraId="50CAEC95"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I dati raccolti sono sottoposti a un processo di controllo e correzione con integrazione delle mancate risposte. In particolare, si verifica la compatibilità dei valori con l’informazione richiesta (prezzo all’importazione), la coerenza intertemporale dei dati, la presenza di valori anomali; la validazione dei dati può richiedere il ritorno sul rispondente al fine di sanare i problemi rilevati. I dati mancanti sono stimati utilizzando l’ultima informazione disponibile validata.</w:t>
      </w:r>
    </w:p>
    <w:p w14:paraId="13E30399" w14:textId="067692F0" w:rsidR="00501E02" w:rsidRDefault="00501E02" w:rsidP="00501E02">
      <w:pPr>
        <w:spacing w:after="120"/>
        <w:jc w:val="both"/>
        <w:rPr>
          <w:rFonts w:ascii="Arial" w:hAnsi="Arial" w:cs="Arial"/>
          <w:bCs/>
          <w:sz w:val="20"/>
          <w:szCs w:val="20"/>
        </w:rPr>
      </w:pPr>
      <w:r w:rsidRPr="00C9631A">
        <w:rPr>
          <w:rFonts w:ascii="Arial" w:hAnsi="Arial" w:cs="Arial"/>
          <w:bCs/>
          <w:sz w:val="20"/>
          <w:szCs w:val="20"/>
        </w:rPr>
        <w:t>I dati raccolti mensilmente sono elaborati sotto forma di numeri indici di prezzo e sono diffusi in forma aggregata.</w:t>
      </w:r>
    </w:p>
    <w:p w14:paraId="0DEFAF1F" w14:textId="13B21FAC" w:rsidR="007815EF" w:rsidRDefault="007815EF" w:rsidP="00501E02">
      <w:pPr>
        <w:spacing w:after="120"/>
        <w:jc w:val="both"/>
        <w:rPr>
          <w:rFonts w:ascii="Arial" w:hAnsi="Arial" w:cs="Arial"/>
          <w:bCs/>
          <w:sz w:val="20"/>
          <w:szCs w:val="20"/>
        </w:rPr>
      </w:pPr>
      <w:r w:rsidRPr="00C9631A">
        <w:rPr>
          <w:rFonts w:ascii="Arial" w:hAnsi="Arial" w:cs="Arial"/>
          <w:sz w:val="20"/>
          <w:szCs w:val="20"/>
        </w:rPr>
        <w:t xml:space="preserve">A partire dal mese di </w:t>
      </w:r>
      <w:r>
        <w:rPr>
          <w:rFonts w:ascii="Arial" w:hAnsi="Arial" w:cs="Arial"/>
          <w:sz w:val="20"/>
          <w:szCs w:val="20"/>
        </w:rPr>
        <w:t>gennaio 2022</w:t>
      </w:r>
      <w:r w:rsidRPr="00C9631A">
        <w:rPr>
          <w:rFonts w:ascii="Arial" w:hAnsi="Arial" w:cs="Arial"/>
          <w:sz w:val="20"/>
          <w:szCs w:val="20"/>
        </w:rPr>
        <w:t xml:space="preserve"> è stata implementata una nuova metodologia di </w:t>
      </w:r>
      <w:r>
        <w:rPr>
          <w:rFonts w:ascii="Arial" w:hAnsi="Arial" w:cs="Arial"/>
          <w:sz w:val="20"/>
          <w:szCs w:val="20"/>
        </w:rPr>
        <w:t xml:space="preserve">calcolo degli indici dei prezzi all’importazione per alcuni prodotti energetici </w:t>
      </w:r>
      <w:r w:rsidRPr="00C9631A">
        <w:rPr>
          <w:rFonts w:ascii="Arial" w:hAnsi="Arial" w:cs="Arial"/>
          <w:sz w:val="20"/>
          <w:szCs w:val="20"/>
        </w:rPr>
        <w:t xml:space="preserve">che si basa </w:t>
      </w:r>
      <w:r>
        <w:rPr>
          <w:rFonts w:ascii="Arial" w:hAnsi="Arial" w:cs="Arial"/>
          <w:sz w:val="20"/>
          <w:szCs w:val="20"/>
        </w:rPr>
        <w:t>sulle informazioni mensili desunte dai dati di commercio con l’estero.</w:t>
      </w:r>
    </w:p>
    <w:p w14:paraId="070DB48A" w14:textId="77777777" w:rsidR="00501E02" w:rsidRDefault="00501E02" w:rsidP="00501E02">
      <w:pPr>
        <w:spacing w:after="120"/>
        <w:jc w:val="both"/>
        <w:rPr>
          <w:rFonts w:ascii="Arial" w:hAnsi="Arial" w:cs="Arial"/>
          <w:b/>
          <w:sz w:val="20"/>
          <w:szCs w:val="20"/>
        </w:rPr>
      </w:pPr>
    </w:p>
    <w:p w14:paraId="33D3CF33" w14:textId="77777777" w:rsidR="00501E02" w:rsidRDefault="00501E02" w:rsidP="00501E02">
      <w:pPr>
        <w:spacing w:after="120"/>
        <w:jc w:val="both"/>
        <w:rPr>
          <w:rFonts w:ascii="Arial" w:hAnsi="Arial" w:cs="Arial"/>
          <w:b/>
          <w:sz w:val="20"/>
          <w:szCs w:val="20"/>
        </w:rPr>
      </w:pPr>
      <w:r>
        <w:rPr>
          <w:rFonts w:ascii="Arial" w:hAnsi="Arial" w:cs="Arial"/>
          <w:b/>
          <w:sz w:val="20"/>
          <w:szCs w:val="20"/>
        </w:rPr>
        <w:t xml:space="preserve">Metodologia di calcolo del sistema </w:t>
      </w:r>
      <w:r w:rsidRPr="00C9631A">
        <w:rPr>
          <w:rFonts w:ascii="Arial" w:hAnsi="Arial" w:cs="Arial"/>
          <w:b/>
          <w:sz w:val="20"/>
          <w:szCs w:val="20"/>
        </w:rPr>
        <w:t>degli indici</w:t>
      </w:r>
    </w:p>
    <w:p w14:paraId="5FC0B2CA" w14:textId="77777777" w:rsidR="00501E02" w:rsidRDefault="00501E02" w:rsidP="00501E02">
      <w:pPr>
        <w:spacing w:after="120"/>
        <w:jc w:val="both"/>
        <w:rPr>
          <w:rFonts w:ascii="Arial" w:hAnsi="Arial" w:cs="Arial"/>
          <w:sz w:val="20"/>
          <w:szCs w:val="20"/>
        </w:rPr>
      </w:pPr>
      <w:r>
        <w:rPr>
          <w:rFonts w:ascii="Arial" w:hAnsi="Arial" w:cs="Arial"/>
          <w:sz w:val="20"/>
          <w:szCs w:val="20"/>
        </w:rPr>
        <w:t>D</w:t>
      </w:r>
      <w:r w:rsidRPr="00994100">
        <w:rPr>
          <w:rFonts w:ascii="Arial" w:hAnsi="Arial" w:cs="Arial"/>
          <w:sz w:val="20"/>
          <w:szCs w:val="20"/>
        </w:rPr>
        <w:t>a marzo 2022, con la diffusione dei dati riferiti a gennaio</w:t>
      </w:r>
      <w:r>
        <w:rPr>
          <w:rFonts w:ascii="Arial" w:hAnsi="Arial" w:cs="Arial"/>
          <w:sz w:val="20"/>
          <w:szCs w:val="20"/>
        </w:rPr>
        <w:t xml:space="preserve"> 2022</w:t>
      </w:r>
      <w:r w:rsidRPr="00994100">
        <w:rPr>
          <w:rFonts w:ascii="Arial" w:hAnsi="Arial" w:cs="Arial"/>
          <w:sz w:val="20"/>
          <w:szCs w:val="20"/>
        </w:rPr>
        <w:t xml:space="preserve">, gli indici dei prezzi </w:t>
      </w:r>
      <w:r w:rsidRPr="00C9631A">
        <w:rPr>
          <w:rFonts w:ascii="Arial" w:hAnsi="Arial" w:cs="Arial"/>
          <w:sz w:val="20"/>
          <w:szCs w:val="20"/>
        </w:rPr>
        <w:t>all’importazione</w:t>
      </w:r>
      <w:r w:rsidRPr="00994100">
        <w:rPr>
          <w:rFonts w:ascii="Arial" w:hAnsi="Arial" w:cs="Arial"/>
          <w:sz w:val="20"/>
          <w:szCs w:val="20"/>
        </w:rPr>
        <w:t xml:space="preserve"> </w:t>
      </w:r>
      <w:r>
        <w:rPr>
          <w:rFonts w:ascii="Arial" w:hAnsi="Arial" w:cs="Arial"/>
          <w:sz w:val="20"/>
          <w:szCs w:val="20"/>
        </w:rPr>
        <w:t>sono calcolati con il metodo del concatenamento annuale su base mensile; s</w:t>
      </w:r>
      <w:r w:rsidRPr="00994100">
        <w:rPr>
          <w:rFonts w:ascii="Arial" w:hAnsi="Arial" w:cs="Arial"/>
          <w:sz w:val="20"/>
          <w:szCs w:val="20"/>
        </w:rPr>
        <w:t xml:space="preserve">ono </w:t>
      </w:r>
      <w:r>
        <w:rPr>
          <w:rFonts w:ascii="Arial" w:hAnsi="Arial" w:cs="Arial"/>
          <w:sz w:val="20"/>
          <w:szCs w:val="20"/>
        </w:rPr>
        <w:t xml:space="preserve">pertanto </w:t>
      </w:r>
      <w:r w:rsidRPr="00994100">
        <w:rPr>
          <w:rFonts w:ascii="Arial" w:hAnsi="Arial" w:cs="Arial"/>
          <w:sz w:val="20"/>
          <w:szCs w:val="20"/>
        </w:rPr>
        <w:t>elaborati in base di calcolo dicembre 2021</w:t>
      </w:r>
      <w:r>
        <w:rPr>
          <w:rFonts w:ascii="Arial" w:hAnsi="Arial" w:cs="Arial"/>
          <w:sz w:val="20"/>
          <w:szCs w:val="20"/>
        </w:rPr>
        <w:t>. La base di riferimento resta l’anno</w:t>
      </w:r>
      <w:r w:rsidRPr="00994100">
        <w:rPr>
          <w:rFonts w:ascii="Arial" w:hAnsi="Arial" w:cs="Arial"/>
          <w:sz w:val="20"/>
          <w:szCs w:val="20"/>
        </w:rPr>
        <w:t xml:space="preserve"> 2015.</w:t>
      </w:r>
    </w:p>
    <w:p w14:paraId="7E97D25C" w14:textId="77777777" w:rsidR="00501E02" w:rsidRPr="00994100" w:rsidRDefault="00501E02" w:rsidP="00501E02">
      <w:pPr>
        <w:spacing w:after="120"/>
        <w:jc w:val="both"/>
        <w:rPr>
          <w:rFonts w:ascii="Arial" w:hAnsi="Arial" w:cs="Arial"/>
          <w:sz w:val="20"/>
          <w:szCs w:val="20"/>
        </w:rPr>
      </w:pPr>
      <w:r>
        <w:rPr>
          <w:rFonts w:ascii="Arial" w:hAnsi="Arial" w:cs="Arial"/>
          <w:sz w:val="20"/>
          <w:szCs w:val="20"/>
        </w:rPr>
        <w:t>Il sistema degli indici dei prezzi all’importazione è costituito da due variabili rilevate – riferite all’Area euro e all’Area non euro – e da una variabile di sintesi – totale (Area euro più Area non euro).</w:t>
      </w:r>
    </w:p>
    <w:p w14:paraId="216E119A" w14:textId="6256BC1A" w:rsidR="00501E02" w:rsidRPr="00942E72" w:rsidRDefault="00501E02" w:rsidP="00501E02">
      <w:pPr>
        <w:spacing w:after="120"/>
        <w:jc w:val="both"/>
        <w:rPr>
          <w:rFonts w:ascii="Arial" w:hAnsi="Arial" w:cs="Arial"/>
          <w:sz w:val="20"/>
          <w:szCs w:val="20"/>
        </w:rPr>
      </w:pPr>
      <w:r w:rsidRPr="00994100">
        <w:rPr>
          <w:rFonts w:ascii="Arial" w:hAnsi="Arial" w:cs="Arial"/>
          <w:sz w:val="20"/>
          <w:szCs w:val="20"/>
        </w:rPr>
        <w:t xml:space="preserve">Le variabili rilevate si calcolano prima longitudinalmente (o per colonna: indici in base di calcolo) quindi per riga (indici in base di riferimento). La procedura di calcolo è articolata in tre livelli: nel primo si definiscono i prezzi relativi (rapporti tra i prezzi correnti e quelli base </w:t>
      </w:r>
      <w:r w:rsidR="00AB0189">
        <w:rPr>
          <w:rFonts w:ascii="Arial" w:hAnsi="Arial" w:cs="Arial"/>
          <w:sz w:val="20"/>
          <w:szCs w:val="20"/>
        </w:rPr>
        <w:t>d</w:t>
      </w:r>
      <w:r w:rsidRPr="00994100">
        <w:rPr>
          <w:rFonts w:ascii="Arial" w:hAnsi="Arial" w:cs="Arial"/>
          <w:sz w:val="20"/>
          <w:szCs w:val="20"/>
        </w:rPr>
        <w:t xml:space="preserve">icembre 2021). Nel secondo, si aggregano in media geometrica semplice i prezzi relativi associati ai prodotti. Nel terzo si aggregano in media aritmetica ponderata gli indici dei sotto-aggregati, dai </w:t>
      </w:r>
      <w:r w:rsidRPr="00942E72">
        <w:rPr>
          <w:rFonts w:ascii="Arial" w:hAnsi="Arial" w:cs="Arial"/>
          <w:sz w:val="20"/>
          <w:szCs w:val="20"/>
        </w:rPr>
        <w:t xml:space="preserve">prodotti all’indice generale (formula tipo Laspeyres concatenato). </w:t>
      </w:r>
    </w:p>
    <w:p w14:paraId="16A6164B" w14:textId="77777777" w:rsidR="00501E02" w:rsidRPr="00994100" w:rsidRDefault="00501E02" w:rsidP="00501E02">
      <w:pPr>
        <w:spacing w:after="120"/>
        <w:jc w:val="both"/>
        <w:rPr>
          <w:rFonts w:ascii="Arial" w:hAnsi="Arial" w:cs="Arial"/>
          <w:sz w:val="20"/>
          <w:szCs w:val="20"/>
        </w:rPr>
      </w:pPr>
      <w:r w:rsidRPr="00942E72">
        <w:rPr>
          <w:rFonts w:ascii="Arial" w:hAnsi="Arial" w:cs="Arial"/>
          <w:sz w:val="20"/>
          <w:szCs w:val="20"/>
        </w:rPr>
        <w:t>Gli indici in base di riferimento dell</w:t>
      </w:r>
      <w:r>
        <w:rPr>
          <w:rFonts w:ascii="Arial" w:hAnsi="Arial" w:cs="Arial"/>
          <w:sz w:val="20"/>
          <w:szCs w:val="20"/>
        </w:rPr>
        <w:t>a variabile di sintesi</w:t>
      </w:r>
      <w:r w:rsidRPr="00942E72">
        <w:rPr>
          <w:rFonts w:ascii="Arial" w:hAnsi="Arial" w:cs="Arial"/>
          <w:sz w:val="20"/>
          <w:szCs w:val="20"/>
        </w:rPr>
        <w:t xml:space="preserve"> si definiscono a partire dalla media aritmetica ponderata degli indici in base di calcolo delle variabili rilevate, utilizzando – per ciascun aggregato – un coefficiente di ponderazione derivato dai pesi assoluti. Ottenuto l’indice in base di calcolo, quello in base di riferimento si deriva con la formula di concatenamento. Gli indici sono concatenati a partire dagli aggregati a 4 cifre Ateco 2007.</w:t>
      </w:r>
    </w:p>
    <w:p w14:paraId="7AA77186" w14:textId="77777777" w:rsidR="00501E02" w:rsidRDefault="00501E02" w:rsidP="00501E02">
      <w:pPr>
        <w:spacing w:after="120"/>
        <w:jc w:val="both"/>
        <w:rPr>
          <w:rFonts w:ascii="Arial" w:hAnsi="Arial" w:cs="Arial"/>
          <w:color w:val="000000"/>
          <w:sz w:val="20"/>
          <w:szCs w:val="20"/>
        </w:rPr>
      </w:pPr>
    </w:p>
    <w:p w14:paraId="04BB1898"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Struttura di ponderazione</w:t>
      </w:r>
    </w:p>
    <w:p w14:paraId="18AB3CE3"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sistemi di ponderazione degli indici dei prezzi dei prodotti industriali importati dalle imprese (Area euro e Area non euro) sono determinati utilizzando le informazioni desumibili dalle statistiche del commercio con l’estero.</w:t>
      </w:r>
    </w:p>
    <w:p w14:paraId="7C4B96BF"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La variabile utilizzata per la costruzione del sistema di ponderazione (a partire dalle voci di prodotto sino al totale dell’industria) è il valore annuale delle importazioni di prodotti industriali realizzato nell’anno 201</w:t>
      </w:r>
      <w:r>
        <w:rPr>
          <w:rFonts w:ascii="Arial" w:hAnsi="Arial" w:cs="Arial"/>
          <w:sz w:val="20"/>
          <w:szCs w:val="20"/>
        </w:rPr>
        <w:t>9</w:t>
      </w:r>
      <w:r w:rsidRPr="00C9631A">
        <w:rPr>
          <w:rFonts w:ascii="Arial" w:hAnsi="Arial" w:cs="Arial"/>
          <w:sz w:val="20"/>
          <w:szCs w:val="20"/>
        </w:rPr>
        <w:t xml:space="preserve"> nell’Area euro e nell’Area non euro, misurato dalle rilevazioni del commercio con l’estero a livello di merce (ovvero 8 cifre della Nomenclatura Combinata espressa secondo la classificazione CPA) per area di importazione (euro e non euro). </w:t>
      </w:r>
      <w:r>
        <w:rPr>
          <w:rFonts w:ascii="Arial" w:hAnsi="Arial" w:cs="Arial"/>
          <w:sz w:val="20"/>
          <w:szCs w:val="20"/>
        </w:rPr>
        <w:t>I valori 2019 sono stati attualizzati al mese di dicembre 2021.</w:t>
      </w:r>
    </w:p>
    <w:p w14:paraId="7AE305C2"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valori riferiti alle statistiche del commercio con l’estero - espressi inizialmente secondo i codici della Nomenclatura Combinata - sono riportati alla codifica della classificazione ProdCom (nelle prime 4 cifre derivata dalla Ateco 2007) mediante le tavole di corrispondenza messe a punto da Eurostat.</w:t>
      </w:r>
    </w:p>
    <w:p w14:paraId="7260E4BA" w14:textId="3DC10C6C"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Per l’indice all’importazione totale (sintesi delle due aree), la struttura di ponderazione è definita per ciascun livello di aggregazione settoriale sulla base dei pesi relativi delle due aree.</w:t>
      </w:r>
    </w:p>
    <w:p w14:paraId="0A339A27"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prodotti inclusi nel campione hanno pesi rappresentativi anche dei prodotti simili non selezionati e i loro indici sono espressi secondo la classificazione Ateco 2007.</w:t>
      </w:r>
    </w:p>
    <w:p w14:paraId="7D18B9C6" w14:textId="53593B22" w:rsidR="006A2C28" w:rsidRDefault="006A2C28" w:rsidP="006A2C28">
      <w:pPr>
        <w:jc w:val="both"/>
        <w:rPr>
          <w:rFonts w:ascii="Arial" w:hAnsi="Arial" w:cs="Arial"/>
          <w:b/>
          <w:bCs/>
          <w:sz w:val="20"/>
          <w:szCs w:val="20"/>
        </w:rPr>
      </w:pPr>
    </w:p>
    <w:p w14:paraId="213E7B7E" w14:textId="1D15883A" w:rsidR="00874F65" w:rsidRDefault="00874F65" w:rsidP="006A2C28">
      <w:pPr>
        <w:jc w:val="both"/>
        <w:rPr>
          <w:rFonts w:ascii="Arial" w:hAnsi="Arial" w:cs="Arial"/>
          <w:b/>
          <w:bCs/>
          <w:sz w:val="20"/>
          <w:szCs w:val="20"/>
        </w:rPr>
      </w:pPr>
    </w:p>
    <w:p w14:paraId="5E17CC65" w14:textId="77777777" w:rsidR="00874F65" w:rsidRDefault="00874F65" w:rsidP="006A2C28">
      <w:pPr>
        <w:jc w:val="both"/>
        <w:rPr>
          <w:rFonts w:ascii="Arial" w:hAnsi="Arial" w:cs="Arial"/>
          <w:b/>
          <w:bCs/>
          <w:sz w:val="20"/>
          <w:szCs w:val="20"/>
        </w:rPr>
      </w:pPr>
    </w:p>
    <w:p w14:paraId="3F0AE86E" w14:textId="77777777" w:rsidR="00874F65" w:rsidRDefault="00874F65" w:rsidP="00501E02">
      <w:pPr>
        <w:spacing w:after="120"/>
        <w:jc w:val="both"/>
        <w:rPr>
          <w:rFonts w:ascii="Arial" w:hAnsi="Arial" w:cs="Arial"/>
          <w:b/>
          <w:bCs/>
          <w:sz w:val="20"/>
          <w:szCs w:val="20"/>
        </w:rPr>
      </w:pPr>
    </w:p>
    <w:p w14:paraId="30D14A9A" w14:textId="4CFDC8BD"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Riservatezza</w:t>
      </w:r>
    </w:p>
    <w:p w14:paraId="6827B302"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 xml:space="preserve">I dati raccolti nell’ambito </w:t>
      </w:r>
      <w:r w:rsidRPr="00E660CB">
        <w:rPr>
          <w:rFonts w:ascii="Arial" w:hAnsi="Arial" w:cs="Arial"/>
          <w:bCs/>
          <w:sz w:val="20"/>
          <w:szCs w:val="20"/>
        </w:rPr>
        <w:t>della Rilevazione dei prezzi all’importazione</w:t>
      </w:r>
      <w:r w:rsidRPr="00C9631A">
        <w:rPr>
          <w:rFonts w:ascii="Arial" w:hAnsi="Arial" w:cs="Arial"/>
          <w:bCs/>
          <w:sz w:val="20"/>
          <w:szCs w:val="20"/>
        </w:rPr>
        <w:t xml:space="preserve"> sono tutelati dal segreto statistico (art. 9 d.lgs. n. 322/89) e sottoposti alla normativa relativa alla protezione e al trattamento dei dati personali (d.lgs. 30 giugno 2003, n. 196).</w:t>
      </w:r>
    </w:p>
    <w:p w14:paraId="560B555A" w14:textId="77777777" w:rsidR="00501E02" w:rsidRDefault="00501E02" w:rsidP="00501E02">
      <w:pPr>
        <w:spacing w:after="120"/>
        <w:jc w:val="both"/>
        <w:rPr>
          <w:rFonts w:ascii="Arial" w:hAnsi="Arial" w:cs="Arial"/>
          <w:b/>
          <w:bCs/>
          <w:sz w:val="21"/>
          <w:szCs w:val="21"/>
        </w:rPr>
      </w:pPr>
    </w:p>
    <w:p w14:paraId="0BD640AE" w14:textId="77777777" w:rsidR="00501E02" w:rsidRPr="001971DE" w:rsidRDefault="00501E02" w:rsidP="00501E02">
      <w:pPr>
        <w:spacing w:after="120"/>
        <w:jc w:val="both"/>
        <w:rPr>
          <w:rFonts w:ascii="Arial" w:hAnsi="Arial" w:cs="Arial"/>
          <w:b/>
          <w:bCs/>
          <w:sz w:val="21"/>
          <w:szCs w:val="21"/>
        </w:rPr>
      </w:pPr>
      <w:r w:rsidRPr="001971DE">
        <w:rPr>
          <w:rFonts w:ascii="Arial" w:hAnsi="Arial" w:cs="Arial"/>
          <w:b/>
          <w:bCs/>
          <w:sz w:val="21"/>
          <w:szCs w:val="21"/>
        </w:rPr>
        <w:t>Commercio estero e prezzi all’import: la diffusione dei dati</w:t>
      </w:r>
    </w:p>
    <w:p w14:paraId="357C04A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Tempestività del rilascio e revisione dei dati</w:t>
      </w:r>
    </w:p>
    <w:p w14:paraId="71CBC319" w14:textId="77777777" w:rsidR="00501E02" w:rsidRPr="00C9631A" w:rsidRDefault="00501E02" w:rsidP="00501E02">
      <w:pPr>
        <w:spacing w:after="120"/>
        <w:jc w:val="both"/>
        <w:rPr>
          <w:rFonts w:ascii="Arial" w:hAnsi="Arial" w:cs="Arial"/>
          <w:bCs/>
          <w:sz w:val="20"/>
          <w:szCs w:val="20"/>
        </w:rPr>
      </w:pPr>
      <w:r w:rsidRPr="00C9631A">
        <w:rPr>
          <w:rFonts w:ascii="Arial" w:hAnsi="Arial" w:cs="Arial"/>
          <w:sz w:val="20"/>
          <w:szCs w:val="20"/>
        </w:rPr>
        <w:t>I dati sono pubblicati a 45 giorni dal mese di riferimento.</w:t>
      </w:r>
      <w:r w:rsidRPr="00C9631A">
        <w:rPr>
          <w:rFonts w:ascii="Arial" w:hAnsi="Arial" w:cs="Arial"/>
          <w:bCs/>
          <w:sz w:val="20"/>
          <w:szCs w:val="20"/>
        </w:rPr>
        <w:t xml:space="preserve"> Il </w:t>
      </w:r>
      <w:hyperlink r:id="rId42" w:history="1">
        <w:r w:rsidRPr="00E660CB">
          <w:rPr>
            <w:rStyle w:val="Collegamentoipertestuale"/>
            <w:rFonts w:ascii="Arial" w:hAnsi="Arial" w:cs="Arial"/>
            <w:bCs/>
            <w:sz w:val="20"/>
            <w:szCs w:val="20"/>
          </w:rPr>
          <w:t>calendario della diffusione</w:t>
        </w:r>
      </w:hyperlink>
      <w:r w:rsidRPr="00C9631A">
        <w:rPr>
          <w:rFonts w:ascii="Arial" w:hAnsi="Arial" w:cs="Arial"/>
          <w:bCs/>
          <w:sz w:val="20"/>
          <w:szCs w:val="20"/>
        </w:rPr>
        <w:t xml:space="preserve"> è definito annualmente e pubblicato sul sito web dell’Istituto</w:t>
      </w:r>
      <w:r>
        <w:rPr>
          <w:rFonts w:ascii="Arial" w:hAnsi="Arial" w:cs="Arial"/>
          <w:bCs/>
          <w:sz w:val="20"/>
          <w:szCs w:val="20"/>
        </w:rPr>
        <w:t>.</w:t>
      </w:r>
    </w:p>
    <w:p w14:paraId="31089204"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Al momento della prima pubblicazione, i dati di commercio estero sono di natura provvisoria e sono soggetti a una prima revisione nel mese successivo, al fine di incorporare ulteriori informazioni che si rendono disponibili successivamente alla loro diffusione, per essere definitivamente consolidati nel mese di novembre dell’anno seguente. </w:t>
      </w:r>
    </w:p>
    <w:p w14:paraId="30D667B7" w14:textId="77777777" w:rsidR="00501E02" w:rsidRPr="00C9631A" w:rsidRDefault="00501E02" w:rsidP="00501E02">
      <w:pPr>
        <w:spacing w:after="120"/>
        <w:jc w:val="both"/>
        <w:rPr>
          <w:rFonts w:ascii="Arial" w:hAnsi="Arial" w:cs="Arial"/>
          <w:sz w:val="20"/>
          <w:szCs w:val="20"/>
        </w:rPr>
      </w:pPr>
      <w:r w:rsidRPr="00C9631A">
        <w:rPr>
          <w:rFonts w:ascii="Arial" w:hAnsi="Arial" w:cs="Arial"/>
          <w:bCs/>
          <w:sz w:val="20"/>
          <w:szCs w:val="20"/>
        </w:rPr>
        <w:t>I dati definitivi dei prezzi all’import vengono invece diffusi dopo 75 giorni</w:t>
      </w:r>
      <w:r>
        <w:rPr>
          <w:rFonts w:ascii="Arial" w:hAnsi="Arial" w:cs="Arial"/>
          <w:bCs/>
          <w:sz w:val="20"/>
          <w:szCs w:val="20"/>
        </w:rPr>
        <w:t xml:space="preserve">, nel rispetto delle </w:t>
      </w:r>
      <w:r w:rsidRPr="00C9631A">
        <w:rPr>
          <w:rFonts w:ascii="Arial" w:hAnsi="Arial" w:cs="Arial"/>
          <w:bCs/>
          <w:sz w:val="20"/>
          <w:szCs w:val="20"/>
        </w:rPr>
        <w:t xml:space="preserve">condizioni richieste da Eurostat. </w:t>
      </w:r>
    </w:p>
    <w:p w14:paraId="2C559D2A"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 xml:space="preserve">Per ulteriori informazioni relative alle revisioni degli indicatori congiunturali, consultare la </w:t>
      </w:r>
      <w:hyperlink r:id="rId43" w:history="1">
        <w:r w:rsidRPr="00C9631A">
          <w:rPr>
            <w:rStyle w:val="Collegamentoipertestuale"/>
            <w:rFonts w:ascii="Arial" w:hAnsi="Arial" w:cs="Arial"/>
            <w:sz w:val="20"/>
            <w:szCs w:val="20"/>
          </w:rPr>
          <w:t>sezione dedicata</w:t>
        </w:r>
      </w:hyperlink>
      <w:r w:rsidRPr="00C9631A">
        <w:rPr>
          <w:rFonts w:ascii="Arial" w:hAnsi="Arial" w:cs="Arial"/>
          <w:sz w:val="20"/>
          <w:szCs w:val="20"/>
        </w:rPr>
        <w:t xml:space="preserve">. Fare riferimento, in particolare, alla </w:t>
      </w:r>
      <w:hyperlink r:id="rId44" w:history="1">
        <w:r w:rsidRPr="00C9631A">
          <w:rPr>
            <w:rStyle w:val="Collegamentoipertestuale"/>
            <w:rFonts w:ascii="Arial" w:hAnsi="Arial" w:cs="Arial"/>
            <w:sz w:val="20"/>
            <w:szCs w:val="20"/>
          </w:rPr>
          <w:t>scheda</w:t>
        </w:r>
      </w:hyperlink>
      <w:r w:rsidRPr="00C9631A">
        <w:rPr>
          <w:rFonts w:ascii="Arial" w:hAnsi="Arial" w:cs="Arial"/>
          <w:sz w:val="20"/>
          <w:szCs w:val="20"/>
        </w:rPr>
        <w:t xml:space="preserve"> relativa alle politiche di revisione degli indicatori del commercio con l’estero e prezzi all’import.</w:t>
      </w:r>
    </w:p>
    <w:p w14:paraId="6B7B2B3F" w14:textId="77777777" w:rsidR="00501E02" w:rsidRDefault="00501E02" w:rsidP="00501E02">
      <w:pPr>
        <w:spacing w:after="120"/>
        <w:jc w:val="both"/>
        <w:rPr>
          <w:rFonts w:ascii="Arial" w:hAnsi="Arial" w:cs="Arial"/>
          <w:b/>
          <w:sz w:val="20"/>
          <w:szCs w:val="20"/>
        </w:rPr>
      </w:pPr>
    </w:p>
    <w:p w14:paraId="6F370BAA" w14:textId="77777777" w:rsidR="00501E02" w:rsidRPr="00C9631A" w:rsidRDefault="00501E02" w:rsidP="00501E02">
      <w:pPr>
        <w:spacing w:after="120"/>
        <w:jc w:val="both"/>
        <w:rPr>
          <w:rFonts w:ascii="Arial" w:hAnsi="Arial" w:cs="Arial"/>
          <w:b/>
          <w:sz w:val="20"/>
          <w:szCs w:val="20"/>
        </w:rPr>
      </w:pPr>
      <w:r w:rsidRPr="00C9631A">
        <w:rPr>
          <w:rFonts w:ascii="Arial" w:hAnsi="Arial" w:cs="Arial"/>
          <w:b/>
          <w:sz w:val="20"/>
          <w:szCs w:val="20"/>
        </w:rPr>
        <w:t>I canali di diffusione dei dati statistici</w:t>
      </w:r>
    </w:p>
    <w:p w14:paraId="2DC77BA9"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I dati sono diffusi simultaneamente a tutte le parti interessate mediante il comunicato stampa mensile - la Statistica Flash “Commercio con l’estero e prezzi all’import dei prodotti industriali” – pubblicato sul sito web dell’Istituto:</w:t>
      </w:r>
    </w:p>
    <w:p w14:paraId="58DFC275" w14:textId="77777777" w:rsidR="00501E02" w:rsidRPr="00C9631A" w:rsidRDefault="00423673" w:rsidP="00501E02">
      <w:pPr>
        <w:pStyle w:val="Paragrafoelenco"/>
        <w:numPr>
          <w:ilvl w:val="0"/>
          <w:numId w:val="34"/>
        </w:numPr>
        <w:tabs>
          <w:tab w:val="clear" w:pos="426"/>
        </w:tabs>
        <w:ind w:left="426"/>
        <w:rPr>
          <w:rFonts w:ascii="Arial" w:hAnsi="Arial" w:cs="Arial"/>
          <w:sz w:val="20"/>
          <w:szCs w:val="20"/>
        </w:rPr>
      </w:pPr>
      <w:hyperlink r:id="rId45" w:history="1">
        <w:r w:rsidR="00501E02" w:rsidRPr="00C9631A">
          <w:rPr>
            <w:rStyle w:val="Collegamentoipertestuale"/>
            <w:rFonts w:ascii="Arial" w:hAnsi="Arial" w:cs="Arial"/>
            <w:sz w:val="20"/>
            <w:szCs w:val="20"/>
          </w:rPr>
          <w:t>Commercio estero e prezzi all’import</w:t>
        </w:r>
      </w:hyperlink>
    </w:p>
    <w:p w14:paraId="1B33E7F6" w14:textId="77777777" w:rsidR="00501E02" w:rsidRPr="00C9631A" w:rsidRDefault="00501E02" w:rsidP="00501E02">
      <w:pPr>
        <w:spacing w:after="120"/>
        <w:jc w:val="both"/>
        <w:rPr>
          <w:rFonts w:ascii="Arial" w:hAnsi="Arial" w:cs="Arial"/>
          <w:bCs/>
          <w:sz w:val="20"/>
          <w:szCs w:val="20"/>
        </w:rPr>
      </w:pPr>
      <w:r w:rsidRPr="00C9631A">
        <w:rPr>
          <w:rFonts w:ascii="Arial" w:hAnsi="Arial" w:cs="Arial"/>
          <w:bCs/>
          <w:sz w:val="20"/>
          <w:szCs w:val="20"/>
        </w:rPr>
        <w:t>Le serie storiche aggiornate sono pubblicate in allegato al comunicato stampa.</w:t>
      </w:r>
    </w:p>
    <w:p w14:paraId="31567999" w14:textId="77777777" w:rsidR="00501E02" w:rsidRPr="00C9631A" w:rsidRDefault="00501E02" w:rsidP="00501E02">
      <w:pPr>
        <w:jc w:val="both"/>
        <w:rPr>
          <w:rFonts w:ascii="Arial" w:hAnsi="Arial" w:cs="Arial"/>
          <w:sz w:val="20"/>
          <w:szCs w:val="20"/>
        </w:rPr>
      </w:pPr>
      <w:r w:rsidRPr="00C9631A">
        <w:rPr>
          <w:rFonts w:ascii="Arial" w:hAnsi="Arial" w:cs="Arial"/>
          <w:sz w:val="20"/>
          <w:szCs w:val="20"/>
        </w:rPr>
        <w:t>Ulteriori comunicati stampa sul commercio estero:</w:t>
      </w:r>
    </w:p>
    <w:p w14:paraId="5D83A305" w14:textId="77777777" w:rsidR="00501E02" w:rsidRPr="00C9631A" w:rsidRDefault="00423673" w:rsidP="00501E02">
      <w:pPr>
        <w:pStyle w:val="Paragrafoelenco"/>
        <w:numPr>
          <w:ilvl w:val="0"/>
          <w:numId w:val="34"/>
        </w:numPr>
        <w:tabs>
          <w:tab w:val="clear" w:pos="426"/>
        </w:tabs>
        <w:spacing w:before="120"/>
        <w:ind w:left="425" w:hanging="357"/>
        <w:rPr>
          <w:rFonts w:ascii="Arial" w:hAnsi="Arial" w:cs="Arial"/>
          <w:sz w:val="20"/>
          <w:szCs w:val="20"/>
        </w:rPr>
      </w:pPr>
      <w:hyperlink r:id="rId46" w:history="1">
        <w:r w:rsidR="00501E02" w:rsidRPr="00C9631A">
          <w:rPr>
            <w:rStyle w:val="Collegamentoipertestuale"/>
            <w:rFonts w:ascii="Arial" w:hAnsi="Arial" w:cs="Arial"/>
            <w:sz w:val="20"/>
            <w:szCs w:val="20"/>
          </w:rPr>
          <w:t>Commercio estero con i paesi extra UE</w:t>
        </w:r>
      </w:hyperlink>
    </w:p>
    <w:p w14:paraId="1E11D8C0" w14:textId="77777777" w:rsidR="00501E02" w:rsidRPr="00C9631A" w:rsidRDefault="00423673" w:rsidP="00501E02">
      <w:pPr>
        <w:pStyle w:val="Paragrafoelenco"/>
        <w:numPr>
          <w:ilvl w:val="0"/>
          <w:numId w:val="34"/>
        </w:numPr>
        <w:tabs>
          <w:tab w:val="clear" w:pos="426"/>
        </w:tabs>
        <w:spacing w:before="240"/>
        <w:ind w:left="426"/>
        <w:rPr>
          <w:rFonts w:ascii="Arial" w:hAnsi="Arial" w:cs="Arial"/>
          <w:sz w:val="20"/>
          <w:szCs w:val="20"/>
        </w:rPr>
      </w:pPr>
      <w:hyperlink r:id="rId47" w:history="1">
        <w:r w:rsidR="00501E02" w:rsidRPr="00C9631A">
          <w:rPr>
            <w:rStyle w:val="Collegamentoipertestuale"/>
            <w:rFonts w:ascii="Arial" w:hAnsi="Arial" w:cs="Arial"/>
            <w:sz w:val="20"/>
            <w:szCs w:val="20"/>
          </w:rPr>
          <w:t>Le esportazioni delle regioni italiane</w:t>
        </w:r>
      </w:hyperlink>
    </w:p>
    <w:p w14:paraId="2DB500BD" w14:textId="77777777" w:rsidR="00501E02" w:rsidRPr="00C9631A" w:rsidRDefault="00501E02" w:rsidP="00501E02">
      <w:pPr>
        <w:spacing w:after="120"/>
        <w:jc w:val="both"/>
        <w:rPr>
          <w:rFonts w:ascii="Arial" w:hAnsi="Arial" w:cs="Arial"/>
          <w:bCs/>
          <w:sz w:val="20"/>
          <w:szCs w:val="20"/>
        </w:rPr>
      </w:pPr>
      <w:r>
        <w:rPr>
          <w:rFonts w:ascii="Arial" w:hAnsi="Arial" w:cs="Arial"/>
          <w:bCs/>
          <w:sz w:val="20"/>
          <w:szCs w:val="20"/>
        </w:rPr>
        <w:t>I</w:t>
      </w:r>
      <w:r w:rsidRPr="00C9631A">
        <w:rPr>
          <w:rFonts w:ascii="Arial" w:hAnsi="Arial" w:cs="Arial"/>
          <w:bCs/>
          <w:sz w:val="20"/>
          <w:szCs w:val="20"/>
        </w:rPr>
        <w:t xml:space="preserve"> dati sono trasmessi mensilmente ad Eurostat e consultabili all’indirizzo </w:t>
      </w:r>
      <w:hyperlink r:id="rId48" w:history="1">
        <w:r w:rsidRPr="00C9631A">
          <w:rPr>
            <w:rFonts w:ascii="Arial" w:hAnsi="Arial" w:cs="Arial"/>
            <w:bCs/>
            <w:color w:val="0000FF"/>
            <w:sz w:val="20"/>
            <w:szCs w:val="20"/>
            <w:u w:val="single"/>
          </w:rPr>
          <w:t>http://ec.europa.eu/eurostat/data/database</w:t>
        </w:r>
      </w:hyperlink>
      <w:r w:rsidRPr="00C9631A">
        <w:rPr>
          <w:rFonts w:ascii="Arial" w:hAnsi="Arial" w:cs="Arial"/>
          <w:bCs/>
          <w:sz w:val="20"/>
          <w:szCs w:val="20"/>
        </w:rPr>
        <w:t xml:space="preserve"> (Tema </w:t>
      </w:r>
      <w:r w:rsidRPr="00C9631A">
        <w:rPr>
          <w:rFonts w:ascii="Arial" w:hAnsi="Arial" w:cs="Arial"/>
          <w:bCs/>
          <w:i/>
          <w:sz w:val="20"/>
          <w:szCs w:val="20"/>
        </w:rPr>
        <w:t>Industry, trade and services</w:t>
      </w:r>
      <w:r w:rsidRPr="00C9631A">
        <w:rPr>
          <w:rFonts w:ascii="Arial" w:hAnsi="Arial" w:cs="Arial"/>
          <w:bCs/>
          <w:sz w:val="20"/>
          <w:szCs w:val="20"/>
        </w:rPr>
        <w:t xml:space="preserve">, argomento </w:t>
      </w:r>
      <w:r w:rsidRPr="00C9631A">
        <w:rPr>
          <w:rFonts w:ascii="Arial" w:hAnsi="Arial" w:cs="Arial"/>
          <w:bCs/>
          <w:i/>
          <w:sz w:val="20"/>
          <w:szCs w:val="20"/>
        </w:rPr>
        <w:t>Short-term business statistics (sts)</w:t>
      </w:r>
      <w:r w:rsidRPr="00C9631A">
        <w:rPr>
          <w:rFonts w:ascii="Arial" w:hAnsi="Arial" w:cs="Arial"/>
          <w:bCs/>
          <w:sz w:val="20"/>
          <w:szCs w:val="20"/>
        </w:rPr>
        <w:t>).</w:t>
      </w:r>
    </w:p>
    <w:p w14:paraId="4E69BA6E"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I dati di commercio estero sono disponibili su Coeweb, il datawarehouse completamente dedicato alle statistiche del commercio con l'estero, nel mese successivo all’uscita del comunicato. La banca dati fornisce, con cadenza mensile, un ricco patrimonio informativo sui flussi commerciali dell'Italia con il resto del mondo e contiene informazioni e serie storiche a partire dal 1991.</w:t>
      </w:r>
    </w:p>
    <w:p w14:paraId="4921F955" w14:textId="77777777" w:rsidR="00501E02" w:rsidRPr="00C9631A" w:rsidRDefault="00501E02" w:rsidP="00501E02">
      <w:pPr>
        <w:spacing w:after="120"/>
        <w:jc w:val="both"/>
        <w:rPr>
          <w:rFonts w:ascii="Arial" w:hAnsi="Arial" w:cs="Arial"/>
          <w:sz w:val="20"/>
          <w:szCs w:val="20"/>
        </w:rPr>
      </w:pPr>
      <w:r w:rsidRPr="00C9631A">
        <w:rPr>
          <w:rFonts w:ascii="Arial" w:hAnsi="Arial" w:cs="Arial"/>
          <w:sz w:val="20"/>
          <w:szCs w:val="20"/>
        </w:rPr>
        <w:t>Le serie aggiornate degli indici dei prezzi all’importazione sono pubblicate, in concomitanza con la diffusione del comunicato stampa, sul datawarehouse dell’Istituto (I.</w:t>
      </w:r>
      <w:r>
        <w:rPr>
          <w:rFonts w:ascii="Arial" w:hAnsi="Arial" w:cs="Arial"/>
          <w:sz w:val="20"/>
          <w:szCs w:val="20"/>
        </w:rPr>
        <w:t>S</w:t>
      </w:r>
      <w:r w:rsidRPr="00C9631A">
        <w:rPr>
          <w:rFonts w:ascii="Arial" w:hAnsi="Arial" w:cs="Arial"/>
          <w:sz w:val="20"/>
          <w:szCs w:val="20"/>
        </w:rPr>
        <w:t>tat) all’interno del tema Prezzi - Prezzi all'importazione.</w:t>
      </w:r>
    </w:p>
    <w:p w14:paraId="376716E2" w14:textId="77777777" w:rsidR="00501E02" w:rsidRPr="00C9631A" w:rsidRDefault="00501E02" w:rsidP="00501E02">
      <w:pPr>
        <w:spacing w:after="120"/>
        <w:jc w:val="both"/>
        <w:rPr>
          <w:rFonts w:ascii="Arial" w:hAnsi="Arial" w:cs="Arial"/>
          <w:sz w:val="20"/>
          <w:szCs w:val="20"/>
        </w:rPr>
      </w:pPr>
    </w:p>
    <w:p w14:paraId="08E5B040" w14:textId="77777777" w:rsidR="00501E02" w:rsidRPr="00C9631A" w:rsidRDefault="00501E02" w:rsidP="00501E02">
      <w:pPr>
        <w:spacing w:after="120"/>
        <w:jc w:val="both"/>
        <w:rPr>
          <w:rFonts w:ascii="Arial" w:hAnsi="Arial" w:cs="Arial"/>
          <w:b/>
          <w:bCs/>
          <w:sz w:val="20"/>
          <w:szCs w:val="20"/>
        </w:rPr>
      </w:pPr>
      <w:r w:rsidRPr="00C9631A">
        <w:rPr>
          <w:rFonts w:ascii="Arial" w:hAnsi="Arial" w:cs="Arial"/>
          <w:b/>
          <w:bCs/>
          <w:sz w:val="20"/>
          <w:szCs w:val="20"/>
        </w:rPr>
        <w:t>Approfondimenti</w:t>
      </w:r>
    </w:p>
    <w:p w14:paraId="6EA73A0D" w14:textId="77777777" w:rsidR="00501E02" w:rsidRPr="00C9631A" w:rsidRDefault="00423673" w:rsidP="00501E02">
      <w:pPr>
        <w:numPr>
          <w:ilvl w:val="0"/>
          <w:numId w:val="36"/>
        </w:numPr>
        <w:spacing w:after="120"/>
        <w:ind w:left="284" w:hanging="284"/>
        <w:jc w:val="both"/>
        <w:rPr>
          <w:rFonts w:ascii="Arial" w:hAnsi="Arial" w:cs="Arial"/>
          <w:sz w:val="20"/>
          <w:szCs w:val="20"/>
        </w:rPr>
      </w:pPr>
      <w:hyperlink r:id="rId49"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sulle caratteristiche dei nuovi indici del commercio con l’estero del 25/02/2008.</w:t>
      </w:r>
    </w:p>
    <w:p w14:paraId="206AE469" w14:textId="77777777" w:rsidR="00501E02" w:rsidRPr="00C9631A" w:rsidRDefault="00423673" w:rsidP="00501E02">
      <w:pPr>
        <w:numPr>
          <w:ilvl w:val="0"/>
          <w:numId w:val="36"/>
        </w:numPr>
        <w:spacing w:after="120"/>
        <w:ind w:left="284" w:hanging="284"/>
        <w:jc w:val="both"/>
        <w:rPr>
          <w:rFonts w:ascii="Arial" w:hAnsi="Arial" w:cs="Arial"/>
          <w:sz w:val="20"/>
          <w:szCs w:val="20"/>
        </w:rPr>
      </w:pPr>
      <w:hyperlink r:id="rId50"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 nuovo sistema di produzione delle statistiche sugli scambi con l’estero di gas naturale ed energia elettrica del 15/11/2011.</w:t>
      </w:r>
    </w:p>
    <w:p w14:paraId="3FC941F9" w14:textId="77777777" w:rsidR="00501E02" w:rsidRPr="00C9631A" w:rsidRDefault="00423673" w:rsidP="00501E02">
      <w:pPr>
        <w:numPr>
          <w:ilvl w:val="0"/>
          <w:numId w:val="36"/>
        </w:numPr>
        <w:spacing w:after="120"/>
        <w:ind w:left="284" w:hanging="284"/>
        <w:jc w:val="both"/>
        <w:rPr>
          <w:rFonts w:ascii="Arial" w:hAnsi="Arial" w:cs="Arial"/>
          <w:sz w:val="20"/>
          <w:szCs w:val="20"/>
        </w:rPr>
      </w:pPr>
      <w:hyperlink r:id="rId51" w:history="1">
        <w:r w:rsidR="00501E02" w:rsidRPr="00C9631A">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sull’avvio della rilevazione</w:t>
      </w:r>
      <w:r w:rsidR="00501E02">
        <w:rPr>
          <w:rFonts w:ascii="Arial" w:hAnsi="Arial" w:cs="Arial"/>
          <w:sz w:val="20"/>
          <w:szCs w:val="20"/>
        </w:rPr>
        <w:t xml:space="preserve"> dei prezzi all’import,</w:t>
      </w:r>
      <w:r w:rsidR="00501E02" w:rsidRPr="00C9631A">
        <w:rPr>
          <w:rFonts w:ascii="Arial" w:hAnsi="Arial" w:cs="Arial"/>
          <w:sz w:val="20"/>
          <w:szCs w:val="20"/>
        </w:rPr>
        <w:t xml:space="preserve"> del 24/02/2014. </w:t>
      </w:r>
    </w:p>
    <w:p w14:paraId="26F4BF48" w14:textId="111B1F9A" w:rsidR="00501E02" w:rsidRPr="00C9631A" w:rsidRDefault="00423673" w:rsidP="00501E02">
      <w:pPr>
        <w:numPr>
          <w:ilvl w:val="0"/>
          <w:numId w:val="36"/>
        </w:numPr>
        <w:spacing w:after="120"/>
        <w:ind w:left="284" w:hanging="284"/>
        <w:jc w:val="both"/>
        <w:rPr>
          <w:rFonts w:ascii="Arial" w:hAnsi="Arial" w:cs="Arial"/>
          <w:b/>
          <w:sz w:val="20"/>
          <w:szCs w:val="20"/>
        </w:rPr>
      </w:pPr>
      <w:hyperlink r:id="rId52" w:history="1">
        <w:r w:rsidR="00501E02" w:rsidRPr="008A6D09">
          <w:rPr>
            <w:rStyle w:val="Collegamentoipertestuale"/>
            <w:rFonts w:ascii="Arial" w:hAnsi="Arial" w:cs="Arial"/>
            <w:sz w:val="20"/>
            <w:szCs w:val="20"/>
          </w:rPr>
          <w:t>Nota informativa</w:t>
        </w:r>
      </w:hyperlink>
      <w:r w:rsidR="00501E02" w:rsidRPr="00C9631A">
        <w:rPr>
          <w:rFonts w:ascii="Arial" w:hAnsi="Arial" w:cs="Arial"/>
          <w:sz w:val="20"/>
          <w:szCs w:val="20"/>
        </w:rPr>
        <w:t xml:space="preserve"> sulla ricostruzione delle serie storiche </w:t>
      </w:r>
      <w:r w:rsidR="00501E02">
        <w:rPr>
          <w:rFonts w:ascii="Arial" w:hAnsi="Arial" w:cs="Arial"/>
          <w:sz w:val="20"/>
          <w:szCs w:val="20"/>
        </w:rPr>
        <w:t xml:space="preserve">degli indici dei prezzi all’import </w:t>
      </w:r>
      <w:r w:rsidR="00501E02" w:rsidRPr="00C9631A">
        <w:rPr>
          <w:rFonts w:ascii="Arial" w:hAnsi="Arial" w:cs="Arial"/>
          <w:sz w:val="20"/>
          <w:szCs w:val="20"/>
        </w:rPr>
        <w:t>per il periodo 2005 – 2009, del 16/10/2015.</w:t>
      </w:r>
    </w:p>
    <w:p w14:paraId="165AEE1F" w14:textId="77777777" w:rsidR="00501E02" w:rsidRPr="00222CB7" w:rsidRDefault="00423673" w:rsidP="00501E02">
      <w:pPr>
        <w:numPr>
          <w:ilvl w:val="0"/>
          <w:numId w:val="36"/>
        </w:numPr>
        <w:spacing w:after="120"/>
        <w:ind w:left="284" w:hanging="284"/>
        <w:jc w:val="both"/>
        <w:rPr>
          <w:rFonts w:ascii="Arial" w:hAnsi="Arial" w:cs="Arial"/>
          <w:sz w:val="20"/>
          <w:szCs w:val="20"/>
        </w:rPr>
      </w:pPr>
      <w:hyperlink r:id="rId53" w:history="1">
        <w:r w:rsidR="00501E02" w:rsidRPr="00222CB7">
          <w:rPr>
            <w:rStyle w:val="Collegamentoipertestuale"/>
            <w:rFonts w:ascii="Arial" w:hAnsi="Arial" w:cs="Arial"/>
            <w:sz w:val="20"/>
            <w:szCs w:val="20"/>
          </w:rPr>
          <w:t>Nota informativa</w:t>
        </w:r>
      </w:hyperlink>
      <w:r w:rsidR="00501E02" w:rsidRPr="00222CB7">
        <w:rPr>
          <w:rFonts w:ascii="Arial" w:hAnsi="Arial" w:cs="Arial"/>
          <w:sz w:val="20"/>
          <w:szCs w:val="20"/>
        </w:rPr>
        <w:t xml:space="preserve"> sulla nuova base 2015</w:t>
      </w:r>
      <w:r w:rsidR="00501E02">
        <w:rPr>
          <w:rFonts w:ascii="Arial" w:hAnsi="Arial" w:cs="Arial"/>
          <w:sz w:val="20"/>
          <w:szCs w:val="20"/>
        </w:rPr>
        <w:t xml:space="preserve"> degli indici dei prezzi all’import</w:t>
      </w:r>
      <w:r w:rsidR="00501E02" w:rsidRPr="00222CB7">
        <w:rPr>
          <w:rFonts w:ascii="Arial" w:hAnsi="Arial" w:cs="Arial"/>
          <w:sz w:val="20"/>
          <w:szCs w:val="20"/>
        </w:rPr>
        <w:t>, del 17/05/2018.</w:t>
      </w:r>
    </w:p>
    <w:p w14:paraId="396DE13F" w14:textId="263FBB8E" w:rsidR="00501E02" w:rsidRDefault="00423673" w:rsidP="00501E02">
      <w:pPr>
        <w:numPr>
          <w:ilvl w:val="0"/>
          <w:numId w:val="36"/>
        </w:numPr>
        <w:spacing w:after="120"/>
        <w:ind w:left="284" w:hanging="284"/>
        <w:jc w:val="both"/>
        <w:rPr>
          <w:rFonts w:ascii="Arial" w:hAnsi="Arial" w:cs="Arial"/>
          <w:sz w:val="20"/>
          <w:szCs w:val="20"/>
        </w:rPr>
      </w:pPr>
      <w:hyperlink r:id="rId54" w:history="1">
        <w:r w:rsidR="00501E02" w:rsidRPr="00DD73E1">
          <w:rPr>
            <w:rStyle w:val="Collegamentoipertestuale"/>
            <w:rFonts w:ascii="Arial" w:hAnsi="Arial" w:cs="Arial"/>
            <w:sz w:val="20"/>
            <w:szCs w:val="20"/>
          </w:rPr>
          <w:t>Nota informativa</w:t>
        </w:r>
      </w:hyperlink>
      <w:r w:rsidR="00501E02" w:rsidRPr="00DD73E1">
        <w:rPr>
          <w:rFonts w:ascii="Arial" w:hAnsi="Arial" w:cs="Arial"/>
          <w:sz w:val="20"/>
          <w:szCs w:val="20"/>
        </w:rPr>
        <w:t xml:space="preserve"> sulla revisione dei dati di commercio estero per il periodo 2019, gennaio-maggio 2020.</w:t>
      </w:r>
    </w:p>
    <w:p w14:paraId="150DD0CF" w14:textId="5219192D" w:rsidR="00EB3E42" w:rsidRPr="0053425B" w:rsidRDefault="00EB3E42" w:rsidP="00EB3E42">
      <w:pPr>
        <w:numPr>
          <w:ilvl w:val="0"/>
          <w:numId w:val="36"/>
        </w:numPr>
        <w:spacing w:after="120"/>
        <w:ind w:left="284" w:hanging="284"/>
        <w:jc w:val="both"/>
        <w:rPr>
          <w:rFonts w:ascii="Arial" w:hAnsi="Arial" w:cs="Arial"/>
          <w:sz w:val="20"/>
          <w:szCs w:val="20"/>
        </w:rPr>
      </w:pPr>
      <w:r w:rsidRPr="0053425B">
        <w:rPr>
          <w:rStyle w:val="Collegamentoipertestuale"/>
          <w:rFonts w:ascii="Arial" w:hAnsi="Arial" w:cs="Arial"/>
          <w:sz w:val="20"/>
          <w:szCs w:val="20"/>
        </w:rPr>
        <w:t>Nota informativa</w:t>
      </w:r>
      <w:r w:rsidRPr="0053425B">
        <w:rPr>
          <w:rFonts w:ascii="Arial" w:hAnsi="Arial" w:cs="Arial"/>
          <w:sz w:val="20"/>
          <w:szCs w:val="20"/>
        </w:rPr>
        <w:t xml:space="preserve"> </w:t>
      </w:r>
      <w:r w:rsidR="0053425B" w:rsidRPr="0053425B">
        <w:rPr>
          <w:rFonts w:ascii="Arial" w:hAnsi="Arial" w:cs="Arial"/>
          <w:sz w:val="20"/>
          <w:szCs w:val="20"/>
        </w:rPr>
        <w:t xml:space="preserve">sul passaggio </w:t>
      </w:r>
      <w:r w:rsidR="0053425B">
        <w:rPr>
          <w:rFonts w:ascii="Arial" w:hAnsi="Arial" w:cs="Arial"/>
          <w:sz w:val="20"/>
          <w:szCs w:val="20"/>
        </w:rPr>
        <w:t xml:space="preserve">da indici a </w:t>
      </w:r>
      <w:r w:rsidR="0053425B" w:rsidRPr="0053425B">
        <w:rPr>
          <w:rFonts w:ascii="Arial" w:hAnsi="Arial" w:cs="Arial"/>
          <w:sz w:val="20"/>
          <w:szCs w:val="20"/>
        </w:rPr>
        <w:t xml:space="preserve">base fissa a indici </w:t>
      </w:r>
      <w:r w:rsidR="0053425B">
        <w:rPr>
          <w:rFonts w:ascii="Arial" w:hAnsi="Arial" w:cs="Arial"/>
          <w:sz w:val="20"/>
          <w:szCs w:val="20"/>
        </w:rPr>
        <w:t>concatenati</w:t>
      </w:r>
      <w:r w:rsidR="006A2C28">
        <w:rPr>
          <w:rFonts w:ascii="Arial" w:hAnsi="Arial" w:cs="Arial"/>
          <w:sz w:val="20"/>
          <w:szCs w:val="20"/>
        </w:rPr>
        <w:t xml:space="preserve"> per i prezzi all’import</w:t>
      </w:r>
      <w:r w:rsidRPr="0053425B">
        <w:rPr>
          <w:rFonts w:ascii="Arial" w:hAnsi="Arial" w:cs="Arial"/>
          <w:sz w:val="20"/>
          <w:szCs w:val="20"/>
        </w:rPr>
        <w:t>, del 20/04/2022.</w:t>
      </w:r>
    </w:p>
    <w:p w14:paraId="097F327A" w14:textId="77777777" w:rsidR="00C50F34" w:rsidRDefault="00C50F34" w:rsidP="00220D58">
      <w:pPr>
        <w:pStyle w:val="NormaleWeb"/>
        <w:spacing w:before="360" w:beforeAutospacing="0" w:after="240" w:afterAutospacing="0"/>
        <w:rPr>
          <w:rFonts w:ascii="Arial" w:hAnsi="Arial" w:cs="Arial"/>
          <w:bCs/>
          <w:color w:val="CD242F"/>
          <w:sz w:val="36"/>
          <w:szCs w:val="36"/>
        </w:rPr>
      </w:pPr>
    </w:p>
    <w:p w14:paraId="096DC865" w14:textId="3DEDDF40" w:rsidR="00501E02" w:rsidRPr="002300D8" w:rsidRDefault="00501E02" w:rsidP="00220D58">
      <w:pPr>
        <w:pStyle w:val="NormaleWeb"/>
        <w:spacing w:before="120" w:beforeAutospacing="0" w:after="120" w:afterAutospacing="0"/>
        <w:rPr>
          <w:rFonts w:ascii="Arial" w:hAnsi="Arial" w:cs="Arial"/>
          <w:color w:val="CD242F"/>
          <w:sz w:val="36"/>
          <w:szCs w:val="36"/>
        </w:rPr>
      </w:pPr>
      <w:r w:rsidRPr="002300D8">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2835"/>
        <w:gridCol w:w="6979"/>
      </w:tblGrid>
      <w:tr w:rsidR="00501E02" w:rsidRPr="00E655EB" w14:paraId="40699954" w14:textId="77777777" w:rsidTr="002C489F">
        <w:trPr>
          <w:trHeight w:val="166"/>
        </w:trPr>
        <w:tc>
          <w:tcPr>
            <w:tcW w:w="9814" w:type="dxa"/>
            <w:gridSpan w:val="2"/>
            <w:shd w:val="clear" w:color="auto" w:fill="auto"/>
            <w:tcMar>
              <w:top w:w="170" w:type="dxa"/>
              <w:left w:w="0" w:type="dxa"/>
              <w:right w:w="0" w:type="dxa"/>
            </w:tcMar>
          </w:tcPr>
          <w:p w14:paraId="53AD74E0" w14:textId="77777777" w:rsidR="00501E02" w:rsidRPr="00E30D50" w:rsidRDefault="00501E02" w:rsidP="002C489F">
            <w:pPr>
              <w:pStyle w:val="NormaleWeb"/>
              <w:rPr>
                <w:rFonts w:ascii="Arial" w:hAnsi="Arial" w:cs="Arial"/>
                <w:b/>
              </w:rPr>
            </w:pPr>
            <w:r w:rsidRPr="00E30D50">
              <w:rPr>
                <w:rFonts w:ascii="Arial" w:hAnsi="Arial" w:cs="Arial"/>
                <w:b/>
                <w:bCs/>
              </w:rPr>
              <w:t>Commercio con l’estero</w:t>
            </w:r>
          </w:p>
        </w:tc>
      </w:tr>
      <w:tr w:rsidR="00501E02" w:rsidRPr="00E655EB" w14:paraId="2721D0A2" w14:textId="77777777" w:rsidTr="002C489F">
        <w:trPr>
          <w:trHeight w:val="1134"/>
        </w:trPr>
        <w:tc>
          <w:tcPr>
            <w:tcW w:w="2835" w:type="dxa"/>
            <w:shd w:val="clear" w:color="auto" w:fill="auto"/>
            <w:tcMar>
              <w:top w:w="170" w:type="dxa"/>
              <w:left w:w="0" w:type="dxa"/>
              <w:right w:w="0" w:type="dxa"/>
            </w:tcMar>
          </w:tcPr>
          <w:p w14:paraId="2E2C1132" w14:textId="77777777" w:rsidR="00501E02" w:rsidRPr="00E655EB" w:rsidRDefault="00501E02" w:rsidP="002C489F">
            <w:pPr>
              <w:pStyle w:val="NormaleWeb"/>
              <w:spacing w:beforeAutospacing="0" w:after="120" w:afterAutospacing="0"/>
              <w:rPr>
                <w:rFonts w:ascii="Arial" w:hAnsi="Arial" w:cs="Arial"/>
                <w:b/>
                <w:bCs/>
                <w:color w:val="CD242F"/>
                <w:sz w:val="22"/>
                <w:szCs w:val="22"/>
              </w:rPr>
            </w:pPr>
            <w:r>
              <w:rPr>
                <w:rFonts w:ascii="Arial" w:hAnsi="Arial" w:cs="Arial"/>
                <w:b/>
                <w:bCs/>
                <w:color w:val="CD242F"/>
                <w:sz w:val="22"/>
                <w:szCs w:val="22"/>
              </w:rPr>
              <w:t>Maria Serena Causo</w:t>
            </w:r>
          </w:p>
          <w:p w14:paraId="6B9C714B" w14:textId="77777777" w:rsidR="00501E02" w:rsidRPr="00E655EB" w:rsidRDefault="00501E02" w:rsidP="002C489F">
            <w:pPr>
              <w:pStyle w:val="NormaleWeb"/>
              <w:spacing w:beforeAutospacing="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 </w:t>
            </w:r>
            <w:r w:rsidRPr="00E655EB">
              <w:rPr>
                <w:rFonts w:ascii="Arial" w:hAnsi="Arial" w:cs="Arial"/>
                <w:color w:val="000000"/>
              </w:rPr>
              <w:t>06 4673.</w:t>
            </w:r>
            <w:r>
              <w:rPr>
                <w:rFonts w:ascii="Arial" w:hAnsi="Arial" w:cs="Arial"/>
                <w:color w:val="000000"/>
              </w:rPr>
              <w:t>6651</w:t>
            </w:r>
          </w:p>
          <w:p w14:paraId="6BB34B0C" w14:textId="77777777" w:rsidR="00501E02" w:rsidRPr="00E655EB" w:rsidRDefault="00423673" w:rsidP="002C489F">
            <w:pPr>
              <w:pStyle w:val="NormaleWeb"/>
              <w:spacing w:beforeAutospacing="0" w:after="120" w:afterAutospacing="0"/>
              <w:rPr>
                <w:rFonts w:ascii="Arial" w:hAnsi="Arial" w:cs="Arial"/>
                <w:color w:val="000000"/>
              </w:rPr>
            </w:pPr>
            <w:hyperlink r:id="rId55" w:history="1">
              <w:r w:rsidR="00501E02" w:rsidRPr="003E2D10">
                <w:rPr>
                  <w:rStyle w:val="Collegamentoipertestuale"/>
                  <w:rFonts w:ascii="Arial" w:hAnsi="Arial" w:cs="Arial"/>
                </w:rPr>
                <w:t>causo@istat.it</w:t>
              </w:r>
            </w:hyperlink>
          </w:p>
        </w:tc>
        <w:tc>
          <w:tcPr>
            <w:tcW w:w="6979" w:type="dxa"/>
            <w:shd w:val="clear" w:color="auto" w:fill="auto"/>
            <w:tcMar>
              <w:top w:w="170" w:type="dxa"/>
              <w:left w:w="0" w:type="dxa"/>
              <w:right w:w="0" w:type="dxa"/>
            </w:tcMar>
          </w:tcPr>
          <w:p w14:paraId="5852EE7D" w14:textId="77777777" w:rsidR="00501E02" w:rsidRPr="00E655EB" w:rsidRDefault="00501E02" w:rsidP="002C489F">
            <w:pPr>
              <w:pStyle w:val="NormaleWeb"/>
              <w:spacing w:beforeAutospacing="0" w:after="120" w:afterAutospacing="0"/>
              <w:rPr>
                <w:rFonts w:ascii="Arial" w:hAnsi="Arial" w:cs="Arial"/>
                <w:color w:val="CD242F"/>
              </w:rPr>
            </w:pPr>
            <w:r>
              <w:rPr>
                <w:rFonts w:ascii="Arial" w:hAnsi="Arial" w:cs="Arial"/>
                <w:b/>
                <w:bCs/>
                <w:color w:val="CD242F"/>
                <w:sz w:val="22"/>
                <w:szCs w:val="22"/>
              </w:rPr>
              <w:t>Adele Vendetti</w:t>
            </w:r>
          </w:p>
          <w:p w14:paraId="0094173E" w14:textId="77777777" w:rsidR="00501E02" w:rsidRPr="00E655EB" w:rsidRDefault="00501E02" w:rsidP="002C489F">
            <w:pPr>
              <w:pStyle w:val="NormaleWeb"/>
              <w:spacing w:beforeAutospacing="0" w:after="12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w:t>
            </w:r>
            <w:r w:rsidRPr="00E655EB">
              <w:rPr>
                <w:rFonts w:ascii="Arial" w:hAnsi="Arial" w:cs="Arial"/>
                <w:color w:val="000000"/>
              </w:rPr>
              <w:t xml:space="preserve"> 06 4673.</w:t>
            </w:r>
            <w:r>
              <w:rPr>
                <w:rFonts w:ascii="Arial" w:hAnsi="Arial" w:cs="Arial"/>
                <w:color w:val="000000"/>
              </w:rPr>
              <w:t>6342</w:t>
            </w:r>
            <w:r w:rsidRPr="00E655EB">
              <w:rPr>
                <w:rFonts w:ascii="Arial" w:hAnsi="Arial" w:cs="Arial"/>
                <w:color w:val="000000"/>
              </w:rPr>
              <w:br/>
            </w:r>
            <w:hyperlink r:id="rId56" w:history="1">
              <w:r w:rsidRPr="003E2D10">
                <w:rPr>
                  <w:rStyle w:val="Collegamentoipertestuale"/>
                  <w:rFonts w:ascii="Arial" w:hAnsi="Arial" w:cs="Arial"/>
                </w:rPr>
                <w:t>vendetti@istat.it</w:t>
              </w:r>
            </w:hyperlink>
          </w:p>
          <w:p w14:paraId="4C4C533B" w14:textId="77777777" w:rsidR="00501E02" w:rsidRPr="00E655EB" w:rsidRDefault="00501E02" w:rsidP="002C489F">
            <w:pPr>
              <w:pStyle w:val="NormaleWeb"/>
              <w:rPr>
                <w:rFonts w:ascii="Arial" w:hAnsi="Arial" w:cs="Arial"/>
                <w:color w:val="000000"/>
              </w:rPr>
            </w:pPr>
          </w:p>
        </w:tc>
      </w:tr>
      <w:tr w:rsidR="00501E02" w:rsidRPr="00E655EB" w14:paraId="57F6A533" w14:textId="77777777" w:rsidTr="002C489F">
        <w:trPr>
          <w:trHeight w:val="294"/>
        </w:trPr>
        <w:tc>
          <w:tcPr>
            <w:tcW w:w="9814" w:type="dxa"/>
            <w:gridSpan w:val="2"/>
            <w:shd w:val="clear" w:color="auto" w:fill="auto"/>
            <w:tcMar>
              <w:top w:w="170" w:type="dxa"/>
              <w:left w:w="0" w:type="dxa"/>
              <w:right w:w="0" w:type="dxa"/>
            </w:tcMar>
          </w:tcPr>
          <w:p w14:paraId="574D9FC1" w14:textId="77777777" w:rsidR="00501E02" w:rsidRPr="00E30D50" w:rsidRDefault="00501E02" w:rsidP="002C489F">
            <w:pPr>
              <w:pStyle w:val="NormaleWeb"/>
              <w:rPr>
                <w:rFonts w:ascii="Arial" w:hAnsi="Arial" w:cs="Arial"/>
                <w:b/>
                <w:bCs/>
                <w:sz w:val="22"/>
                <w:szCs w:val="22"/>
              </w:rPr>
            </w:pPr>
            <w:r w:rsidRPr="00E30D50">
              <w:rPr>
                <w:rFonts w:ascii="Arial" w:hAnsi="Arial" w:cs="Arial"/>
                <w:b/>
                <w:bCs/>
              </w:rPr>
              <w:t>Prezzi all’import</w:t>
            </w:r>
          </w:p>
        </w:tc>
      </w:tr>
      <w:tr w:rsidR="00501E02" w14:paraId="3D825D6F" w14:textId="77777777" w:rsidTr="002C489F">
        <w:trPr>
          <w:trHeight w:val="1134"/>
        </w:trPr>
        <w:tc>
          <w:tcPr>
            <w:tcW w:w="2835" w:type="dxa"/>
            <w:tcBorders>
              <w:top w:val="dotted" w:sz="4" w:space="0" w:color="808080"/>
              <w:left w:val="nil"/>
              <w:bottom w:val="nil"/>
              <w:right w:val="nil"/>
            </w:tcBorders>
            <w:tcMar>
              <w:top w:w="170" w:type="dxa"/>
              <w:left w:w="0" w:type="dxa"/>
              <w:bottom w:w="0" w:type="dxa"/>
              <w:right w:w="0" w:type="dxa"/>
            </w:tcMar>
            <w:hideMark/>
          </w:tcPr>
          <w:p w14:paraId="2C2C798F"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Emiliano Sibio</w:t>
            </w:r>
          </w:p>
          <w:p w14:paraId="4140293B"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4673.6028</w:t>
            </w:r>
          </w:p>
          <w:p w14:paraId="557AA4CF" w14:textId="77777777" w:rsidR="00501E02" w:rsidRDefault="00423673" w:rsidP="002C489F">
            <w:pPr>
              <w:pStyle w:val="NormaleWeb"/>
              <w:spacing w:beforeAutospacing="0" w:afterAutospacing="0" w:line="276" w:lineRule="auto"/>
              <w:rPr>
                <w:rFonts w:ascii="Arial" w:hAnsi="Arial" w:cs="Arial"/>
                <w:b/>
                <w:bCs/>
                <w:color w:val="CD242F"/>
                <w:sz w:val="22"/>
                <w:szCs w:val="22"/>
                <w:lang w:eastAsia="en-US"/>
              </w:rPr>
            </w:pPr>
            <w:hyperlink r:id="rId57" w:history="1">
              <w:r w:rsidR="00501E02">
                <w:rPr>
                  <w:rStyle w:val="Collegamentoipertestuale"/>
                  <w:rFonts w:ascii="Arial" w:hAnsi="Arial" w:cs="Arial"/>
                  <w:lang w:eastAsia="en-US"/>
                </w:rPr>
                <w:t>sibio@istat.it</w:t>
              </w:r>
            </w:hyperlink>
          </w:p>
        </w:tc>
        <w:tc>
          <w:tcPr>
            <w:tcW w:w="6979" w:type="dxa"/>
            <w:tcBorders>
              <w:top w:val="dotted" w:sz="4" w:space="0" w:color="808080"/>
              <w:left w:val="nil"/>
              <w:bottom w:val="nil"/>
              <w:right w:val="nil"/>
            </w:tcBorders>
            <w:tcMar>
              <w:top w:w="170" w:type="dxa"/>
              <w:left w:w="0" w:type="dxa"/>
              <w:bottom w:w="0" w:type="dxa"/>
              <w:right w:w="0" w:type="dxa"/>
            </w:tcMar>
            <w:hideMark/>
          </w:tcPr>
          <w:p w14:paraId="5D117403" w14:textId="77777777" w:rsidR="00501E02" w:rsidRDefault="00501E02" w:rsidP="002C489F">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Lorenzo D’Orazio</w:t>
            </w:r>
          </w:p>
          <w:p w14:paraId="019C76A1" w14:textId="77777777" w:rsidR="00501E02" w:rsidRDefault="00501E02" w:rsidP="002C489F">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4673.6281</w:t>
            </w:r>
          </w:p>
          <w:p w14:paraId="6A7FA24D" w14:textId="77777777" w:rsidR="00501E02" w:rsidRDefault="00423673" w:rsidP="002C489F">
            <w:pPr>
              <w:pStyle w:val="NormaleWeb"/>
              <w:spacing w:beforeAutospacing="0" w:afterAutospacing="0" w:line="276" w:lineRule="auto"/>
              <w:rPr>
                <w:rFonts w:ascii="Arial" w:hAnsi="Arial" w:cs="Arial"/>
                <w:b/>
                <w:bCs/>
                <w:color w:val="CD242F"/>
                <w:sz w:val="22"/>
                <w:szCs w:val="22"/>
                <w:lang w:eastAsia="en-US"/>
              </w:rPr>
            </w:pPr>
            <w:hyperlink r:id="rId58" w:history="1">
              <w:r w:rsidR="00501E02" w:rsidRPr="00B86CCC">
                <w:rPr>
                  <w:rStyle w:val="Collegamentoipertestuale"/>
                  <w:rFonts w:ascii="Arial" w:hAnsi="Arial" w:cs="Arial"/>
                  <w:lang w:eastAsia="en-US"/>
                </w:rPr>
                <w:t>lodorazi@istat.it</w:t>
              </w:r>
            </w:hyperlink>
          </w:p>
        </w:tc>
      </w:tr>
    </w:tbl>
    <w:p w14:paraId="4D473B1F" w14:textId="77777777" w:rsidR="00501E02" w:rsidRDefault="00501E02" w:rsidP="00501E02">
      <w:pPr>
        <w:pStyle w:val="Default"/>
        <w:spacing w:after="120"/>
        <w:jc w:val="both"/>
        <w:rPr>
          <w:rFonts w:ascii="Arial" w:hAnsi="Arial" w:cs="Arial"/>
          <w:sz w:val="20"/>
          <w:szCs w:val="20"/>
        </w:rPr>
      </w:pPr>
    </w:p>
    <w:p w14:paraId="40B3FF42" w14:textId="77777777" w:rsidR="00501E02" w:rsidRPr="00C9631A" w:rsidRDefault="00501E02" w:rsidP="00501E02">
      <w:pPr>
        <w:spacing w:after="120"/>
        <w:rPr>
          <w:rFonts w:ascii="Arial" w:hAnsi="Arial" w:cs="Arial"/>
          <w:sz w:val="20"/>
          <w:szCs w:val="20"/>
        </w:rPr>
      </w:pPr>
    </w:p>
    <w:p w14:paraId="47B26564" w14:textId="5D75F081" w:rsidR="00257DC4" w:rsidRPr="00397FAC" w:rsidRDefault="00257DC4" w:rsidP="00257DC4">
      <w:pPr>
        <w:spacing w:after="120"/>
        <w:rPr>
          <w:rFonts w:ascii="Arial" w:hAnsi="Arial" w:cs="Arial"/>
          <w:b/>
          <w:szCs w:val="28"/>
        </w:rPr>
      </w:pPr>
    </w:p>
    <w:sectPr w:rsidR="00257DC4" w:rsidRPr="00397FAC" w:rsidSect="00B81D29">
      <w:headerReference w:type="default" r:id="rId59"/>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3478C" w14:textId="77777777" w:rsidR="00B65C42" w:rsidRDefault="00B65C42">
      <w:r>
        <w:separator/>
      </w:r>
    </w:p>
  </w:endnote>
  <w:endnote w:type="continuationSeparator" w:id="0">
    <w:p w14:paraId="409819FE" w14:textId="77777777" w:rsidR="00B65C42" w:rsidRDefault="00B65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D454E" w14:textId="6E350494" w:rsidR="002A0930" w:rsidRPr="002548DD" w:rsidRDefault="002A0930" w:rsidP="002548DD">
    <w:pPr>
      <w:pStyle w:val="Pidipagina"/>
      <w:ind w:left="1560"/>
      <w:rPr>
        <w:rFonts w:ascii="Calibri" w:hAnsi="Calibri"/>
      </w:rPr>
    </w:pPr>
    <w:r w:rsidRPr="00AA5409">
      <w:rPr>
        <w:rFonts w:ascii="Calibri" w:hAnsi="Calibri"/>
        <w:b/>
        <w:noProof/>
        <w:color w:val="E42618"/>
        <w:szCs w:val="28"/>
      </w:rPr>
      <w:drawing>
        <wp:anchor distT="0" distB="0" distL="114300" distR="114300" simplePos="0" relativeHeight="251656192" behindDoc="0" locked="0" layoutInCell="1" allowOverlap="1" wp14:anchorId="75D3DE23" wp14:editId="3DC2B47C">
          <wp:simplePos x="0" y="0"/>
          <wp:positionH relativeFrom="column">
            <wp:posOffset>13335</wp:posOffset>
          </wp:positionH>
          <wp:positionV relativeFrom="paragraph">
            <wp:posOffset>-50800</wp:posOffset>
          </wp:positionV>
          <wp:extent cx="943610" cy="390525"/>
          <wp:effectExtent l="0" t="0" r="0" b="0"/>
          <wp:wrapNone/>
          <wp:docPr id="11"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anchor>
      </w:drawing>
    </w:r>
    <w:r w:rsidRPr="00AA5409">
      <w:rPr>
        <w:rStyle w:val="Numeropagina"/>
        <w:rFonts w:ascii="Calibri" w:hAnsi="Calibri"/>
        <w:b/>
        <w:color w:val="E42618"/>
        <w:szCs w:val="28"/>
      </w:rPr>
      <w:t>|</w:t>
    </w:r>
    <w:r>
      <w:rPr>
        <w:rStyle w:val="Numeropagina"/>
        <w:rFonts w:ascii="Calibri" w:hAnsi="Calibri"/>
        <w:color w:val="E31C18"/>
        <w:sz w:val="28"/>
        <w:szCs w:val="28"/>
      </w:rPr>
      <w:t xml:space="preserve"> </w:t>
    </w:r>
    <w:r w:rsidRPr="00AA5409">
      <w:rPr>
        <w:rFonts w:ascii="Calibri" w:hAnsi="Calibri" w:cs="Arial"/>
        <w:color w:val="5F5F5F"/>
      </w:rPr>
      <w:fldChar w:fldCharType="begin"/>
    </w:r>
    <w:r w:rsidRPr="00AA5409">
      <w:rPr>
        <w:rFonts w:ascii="Calibri" w:hAnsi="Calibri" w:cs="Arial"/>
        <w:color w:val="5F5F5F"/>
      </w:rPr>
      <w:instrText>PAGE   \* MERGEFORMAT</w:instrText>
    </w:r>
    <w:r w:rsidRPr="00AA5409">
      <w:rPr>
        <w:rFonts w:ascii="Calibri" w:hAnsi="Calibri" w:cs="Arial"/>
        <w:color w:val="5F5F5F"/>
      </w:rPr>
      <w:fldChar w:fldCharType="separate"/>
    </w:r>
    <w:r w:rsidR="00423673">
      <w:rPr>
        <w:rFonts w:ascii="Calibri" w:hAnsi="Calibri" w:cs="Arial"/>
        <w:noProof/>
        <w:color w:val="5F5F5F"/>
      </w:rPr>
      <w:t>17</w:t>
    </w:r>
    <w:r w:rsidRPr="00AA5409">
      <w:rPr>
        <w:rFonts w:ascii="Calibri" w:hAnsi="Calibri" w:cs="Arial"/>
        <w:color w:val="5F5F5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82B86" w14:textId="77777777" w:rsidR="00B65C42" w:rsidRDefault="00B65C42">
      <w:r>
        <w:separator/>
      </w:r>
    </w:p>
  </w:footnote>
  <w:footnote w:type="continuationSeparator" w:id="0">
    <w:p w14:paraId="27407762" w14:textId="77777777" w:rsidR="00B65C42" w:rsidRDefault="00B65C42">
      <w:r>
        <w:continuationSeparator/>
      </w:r>
    </w:p>
  </w:footnote>
  <w:footnote w:id="1">
    <w:p w14:paraId="54546F80" w14:textId="1DD8EB9B" w:rsidR="002A0930" w:rsidRPr="00E74CD4" w:rsidRDefault="002A0930" w:rsidP="00501E02">
      <w:pPr>
        <w:pStyle w:val="Testonotaapidipagina"/>
        <w:jc w:val="both"/>
        <w:rPr>
          <w:rFonts w:ascii="Arial Narrow" w:hAnsi="Arial Narrow"/>
          <w:sz w:val="15"/>
          <w:szCs w:val="15"/>
        </w:rPr>
      </w:pPr>
      <w:r w:rsidRPr="00AF0A9F">
        <w:rPr>
          <w:rFonts w:ascii="Arial Narrow" w:hAnsi="Arial Narrow" w:cs="Arial"/>
          <w:sz w:val="15"/>
          <w:szCs w:val="15"/>
          <w:vertAlign w:val="superscript"/>
        </w:rPr>
        <w:footnoteRef/>
      </w:r>
      <w:r w:rsidRPr="00E74CD4">
        <w:rPr>
          <w:rFonts w:ascii="Arial Narrow" w:hAnsi="Arial Narrow" w:cs="Arial"/>
          <w:sz w:val="15"/>
          <w:szCs w:val="15"/>
        </w:rPr>
        <w:t xml:space="preserve"> I</w:t>
      </w:r>
      <w:r>
        <w:rPr>
          <w:rFonts w:ascii="Arial Narrow" w:hAnsi="Arial Narrow" w:cs="Arial"/>
          <w:sz w:val="15"/>
          <w:szCs w:val="15"/>
        </w:rPr>
        <w:t>n conseguenza dell’innalzamento della soglia di esenzione introdotto a partire da gennaio 2022, il</w:t>
      </w:r>
      <w:r w:rsidRPr="00E74CD4">
        <w:rPr>
          <w:rFonts w:ascii="Arial Narrow" w:hAnsi="Arial Narrow" w:cs="Arial"/>
          <w:sz w:val="15"/>
          <w:szCs w:val="15"/>
        </w:rPr>
        <w:t xml:space="preserve"> numero degli operatori tenuti a presentare il modello mensile Intrastat per gli acquisti </w:t>
      </w:r>
      <w:r>
        <w:rPr>
          <w:rFonts w:ascii="Arial Narrow" w:hAnsi="Arial Narrow" w:cs="Arial"/>
          <w:sz w:val="15"/>
          <w:szCs w:val="15"/>
        </w:rPr>
        <w:t>passa a</w:t>
      </w:r>
      <w:r w:rsidRPr="00E74CD4">
        <w:rPr>
          <w:rFonts w:ascii="Arial Narrow" w:hAnsi="Arial Narrow" w:cs="Arial"/>
          <w:sz w:val="15"/>
          <w:szCs w:val="15"/>
        </w:rPr>
        <w:t xml:space="preserve"> </w:t>
      </w:r>
      <w:r>
        <w:rPr>
          <w:rFonts w:ascii="Arial Narrow" w:hAnsi="Arial Narrow" w:cs="Arial"/>
          <w:sz w:val="15"/>
          <w:szCs w:val="15"/>
        </w:rPr>
        <w:t xml:space="preserve">14.000 </w:t>
      </w:r>
      <w:r w:rsidRPr="00E74CD4">
        <w:rPr>
          <w:rFonts w:ascii="Arial Narrow" w:hAnsi="Arial Narrow" w:cs="Arial"/>
          <w:sz w:val="15"/>
          <w:szCs w:val="15"/>
        </w:rPr>
        <w:t xml:space="preserve">rispetto ai </w:t>
      </w:r>
      <w:r>
        <w:rPr>
          <w:rFonts w:ascii="Arial Narrow" w:hAnsi="Arial Narrow" w:cs="Arial"/>
          <w:sz w:val="15"/>
          <w:szCs w:val="15"/>
        </w:rPr>
        <w:t>18.</w:t>
      </w:r>
      <w:r w:rsidRPr="00D42794">
        <w:rPr>
          <w:rFonts w:ascii="Arial Narrow" w:hAnsi="Arial Narrow" w:cs="Arial"/>
          <w:sz w:val="15"/>
          <w:szCs w:val="15"/>
        </w:rPr>
        <w:t>000</w:t>
      </w:r>
      <w:r>
        <w:rPr>
          <w:rFonts w:ascii="Arial Narrow" w:hAnsi="Arial Narrow" w:cs="Arial"/>
          <w:sz w:val="15"/>
          <w:szCs w:val="15"/>
        </w:rPr>
        <w:t xml:space="preserve"> soggetti obbligati del 2021</w:t>
      </w:r>
      <w:r w:rsidRPr="00E74CD4">
        <w:rPr>
          <w:rFonts w:ascii="Arial Narrow" w:hAnsi="Arial Narrow" w:cs="Arial"/>
          <w:sz w:val="15"/>
          <w:szCs w:val="15"/>
        </w:rPr>
        <w:t>.</w:t>
      </w:r>
      <w:r w:rsidRPr="00E74CD4">
        <w:rPr>
          <w:rFonts w:ascii="Arial Narrow" w:hAnsi="Arial Narrow"/>
          <w:sz w:val="15"/>
          <w:szCs w:val="15"/>
        </w:rPr>
        <w:t xml:space="preserve"> </w:t>
      </w:r>
    </w:p>
  </w:footnote>
  <w:footnote w:id="2">
    <w:p w14:paraId="46466A40" w14:textId="77777777" w:rsidR="002A0930" w:rsidRPr="00E74CD4" w:rsidRDefault="002A0930" w:rsidP="00501E02">
      <w:pPr>
        <w:pStyle w:val="Testonotaapidipagina"/>
        <w:jc w:val="both"/>
        <w:rPr>
          <w:rFonts w:ascii="Arial Narrow" w:hAnsi="Arial Narrow" w:cs="Arial"/>
          <w:sz w:val="15"/>
          <w:szCs w:val="15"/>
        </w:rPr>
      </w:pPr>
      <w:r w:rsidRPr="00E74CD4">
        <w:rPr>
          <w:rStyle w:val="Rimandonotaapidipagina"/>
          <w:rFonts w:ascii="Arial Narrow" w:hAnsi="Arial Narrow"/>
          <w:sz w:val="15"/>
          <w:szCs w:val="15"/>
        </w:rPr>
        <w:footnoteRef/>
      </w:r>
      <w:r w:rsidRPr="00E74CD4">
        <w:rPr>
          <w:rFonts w:ascii="Arial Narrow" w:hAnsi="Arial Narrow"/>
          <w:sz w:val="15"/>
          <w:szCs w:val="15"/>
        </w:rPr>
        <w:t xml:space="preserve"> </w:t>
      </w:r>
      <w:r w:rsidRPr="00E74CD4">
        <w:rPr>
          <w:rFonts w:ascii="Arial Narrow" w:hAnsi="Arial Narrow" w:cs="Arial"/>
          <w:sz w:val="15"/>
          <w:szCs w:val="15"/>
        </w:rPr>
        <w:t>Le serie storiche dei valori di importazioni ed esportazioni per RPI sono state ricostruite e possono, quindi, differire da quelle precedentemente pubblicate.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2D952" w14:textId="77777777" w:rsidR="002A0930" w:rsidRPr="009E5F03" w:rsidRDefault="002A0930" w:rsidP="009E5F03">
    <w:pPr>
      <w:pStyle w:val="Intestazione"/>
    </w:pPr>
    <w:r>
      <w:rPr>
        <w:noProof/>
      </w:rPr>
      <mc:AlternateContent>
        <mc:Choice Requires="wps">
          <w:drawing>
            <wp:anchor distT="0" distB="0" distL="114300" distR="114300" simplePos="0" relativeHeight="251657216" behindDoc="0" locked="0" layoutInCell="1" allowOverlap="1" wp14:anchorId="7BFABAE4" wp14:editId="5CE0B1B7">
              <wp:simplePos x="0" y="0"/>
              <wp:positionH relativeFrom="column">
                <wp:posOffset>552450</wp:posOffset>
              </wp:positionH>
              <wp:positionV relativeFrom="paragraph">
                <wp:posOffset>65405</wp:posOffset>
              </wp:positionV>
              <wp:extent cx="1824355" cy="390525"/>
              <wp:effectExtent l="0" t="0" r="4445"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90525"/>
                      </a:xfrm>
                      <a:prstGeom prst="rect">
                        <a:avLst/>
                      </a:prstGeom>
                      <a:solidFill>
                        <a:srgbClr val="FFFFFF"/>
                      </a:solidFill>
                      <a:ln w="9525">
                        <a:solidFill>
                          <a:srgbClr val="FFFFFF"/>
                        </a:solidFill>
                        <a:miter lim="800000"/>
                        <a:headEnd/>
                        <a:tailEnd/>
                      </a:ln>
                    </wps:spPr>
                    <wps:txbx>
                      <w:txbxContent>
                        <w:p w14:paraId="0CF4011B" w14:textId="77777777" w:rsidR="002A0930" w:rsidRPr="000F5A7E" w:rsidRDefault="002A0930"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2A0930" w:rsidRPr="00E26DB7" w:rsidRDefault="002A0930" w:rsidP="00862146">
                          <w:pPr>
                            <w:pStyle w:val="Intestazione"/>
                            <w:spacing w:line="200" w:lineRule="exact"/>
                            <w:rPr>
                              <w:rFonts w:ascii="Arial Narrow" w:hAnsi="Arial Narrow"/>
                              <w:b/>
                              <w:color w:val="5F5F5F"/>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FABAE4" id="_x0000_t202" coordsize="21600,21600" o:spt="202" path="m,l,21600r21600,l21600,xe">
              <v:stroke joinstyle="miter"/>
              <v:path gradientshapeok="t" o:connecttype="rect"/>
            </v:shapetype>
            <v:shape id="_x0000_s1027" type="#_x0000_t202" style="position:absolute;margin-left:43.5pt;margin-top:5.15pt;width:143.65pt;height:3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ZqHQIAAEgEAAAOAAAAZHJzL2Uyb0RvYy54bWysVFFv0zAQfkfiP1h+p2k7irqo6TQ6ipDG&#10;QBr8gIvjJBaOz9huk/LrOTtNN+Btwg/WOT5/9913d9ncDJ1mR+m8QlPwxWzOmTQCK2Wagn//tn+z&#10;5swHMBVoNLLgJ+n5zfb1q01vc7nEFnUlHSMQ4/PeFrwNweZZ5kUrO/AztNLQZY2ug0BH12SVg57Q&#10;O50t5/N3WY+usg6F9J6+3o2XfJvw61qK8KWuvQxMF5y4hbS7tJdxz7YbyBsHtlXiTANewKIDZSjo&#10;BeoOArCDU/9AdUo49FiHmcAuw7pWQqYcKJvF/K9sHluwMuVC4nh7kcn/P1jxcPzqmKoKvuLMQEcl&#10;2oGXWgOrFAvSB2TLqFJvfU7Oj5bcw/AeB6p2ytjbexQ/PDO4a8E08tY57FsJFbFcxJfZs6cjjo8g&#10;Zf8ZKwoHh4AJaKhdFyUkURihU7VOlwrJITARQ66Xb69WRFXQ3dX1fLVcpRCQT6+t8+GjxI5Fo+CO&#10;OiChw/Heh8gG8sklBvOoVbVXWqeDa8qdduwI1C37tM7of7hpw/qCX8fYL4XoVKC216or+HoeV4wD&#10;eZTtg6mSHUDp0SbK2px1jNKNIoahHMgxiltidSJFHY7tTeNIRovuF2c9tXbB/c8DOMmZ/mSoKnEO&#10;JsNNRjkZYAQ9LXjgbDR3YZyXg3WqaQl5qvstVW6vkqhPLM48qV2T1ufRivPw/Jy8nn4A298AAAD/&#10;/wMAUEsDBBQABgAIAAAAIQBWSs0Z3AAAAAgBAAAPAAAAZHJzL2Rvd25yZXYueG1sTI9BT8MwDIXv&#10;SPsPkSdxY+koIqU0ndDQdhoHBtyzxmsrGqdq0q3995gT3Gy/p+fvFZvJdeKCQ2g9aVivEhBIlbct&#10;1Ro+P3Z3GYgQDVnTeUINMwbYlIubwuTWX+kdL8dYCw6hkBsNTYx9LmWoGnQmrHyPxNrZD85EXoda&#10;2sFcOdx18j5JHqUzLfGHxvS4bbD6Po5Ow9nJ9IsOW/Wkpv4w78d0fn0jrW+X08sziIhT/DPDLz6j&#10;Q8lMJz+SDaLTkCmuEvmepCBYT9UDDycNap2BLAv5v0D5AwAA//8DAFBLAQItABQABgAIAAAAIQC2&#10;gziS/gAAAOEBAAATAAAAAAAAAAAAAAAAAAAAAABbQ29udGVudF9UeXBlc10ueG1sUEsBAi0AFAAG&#10;AAgAAAAhADj9If/WAAAAlAEAAAsAAAAAAAAAAAAAAAAALwEAAF9yZWxzLy5yZWxzUEsBAi0AFAAG&#10;AAgAAAAhALbRJmodAgAASAQAAA4AAAAAAAAAAAAAAAAALgIAAGRycy9lMm9Eb2MueG1sUEsBAi0A&#10;FAAGAAgAAAAhAFZKzRncAAAACAEAAA8AAAAAAAAAAAAAAAAAdwQAAGRycy9kb3ducmV2LnhtbFBL&#10;BQYAAAAABAAEAPMAAACABQAAAAA=&#10;" strokecolor="white">
              <v:textbox style="mso-fit-shape-to-text:t" inset="0,0,0,0">
                <w:txbxContent>
                  <w:p w14:paraId="0CF4011B" w14:textId="77777777" w:rsidR="002A0930" w:rsidRPr="000F5A7E" w:rsidRDefault="002A0930"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2A0930" w:rsidRPr="00E26DB7" w:rsidRDefault="002A0930" w:rsidP="00862146">
                    <w:pPr>
                      <w:pStyle w:val="Intestazione"/>
                      <w:spacing w:line="200" w:lineRule="exact"/>
                      <w:rPr>
                        <w:rFonts w:ascii="Arial Narrow" w:hAnsi="Arial Narrow"/>
                        <w:b/>
                        <w:color w:val="5F5F5F"/>
                      </w:rPr>
                    </w:pPr>
                  </w:p>
                </w:txbxContent>
              </v:textbox>
            </v:shape>
          </w:pict>
        </mc:Fallback>
      </mc:AlternateContent>
    </w:r>
    <w:r>
      <w:rPr>
        <w:noProof/>
      </w:rPr>
      <w:drawing>
        <wp:inline distT="0" distB="0" distL="0" distR="0" wp14:anchorId="330EA11B" wp14:editId="53476AAA">
          <wp:extent cx="6477000" cy="581025"/>
          <wp:effectExtent l="0" t="0" r="0" b="0"/>
          <wp:docPr id="9" name="Immagine 9"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81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40CE" w14:textId="2D91102F" w:rsidR="002A0930" w:rsidRDefault="002A0930" w:rsidP="004342C5">
    <w:pPr>
      <w:pStyle w:val="Intestazione"/>
      <w:rPr>
        <w:sz w:val="20"/>
        <w:szCs w:val="20"/>
      </w:rPr>
    </w:pPr>
    <w:r>
      <w:rPr>
        <w:noProof/>
      </w:rPr>
      <w:drawing>
        <wp:anchor distT="0" distB="0" distL="114300" distR="114300" simplePos="0" relativeHeight="251665408" behindDoc="0" locked="0" layoutInCell="1" allowOverlap="1" wp14:anchorId="729C517F" wp14:editId="5D81AF42">
          <wp:simplePos x="0" y="0"/>
          <wp:positionH relativeFrom="column">
            <wp:posOffset>15875</wp:posOffset>
          </wp:positionH>
          <wp:positionV relativeFrom="paragraph">
            <wp:posOffset>-138430</wp:posOffset>
          </wp:positionV>
          <wp:extent cx="5332730" cy="1137920"/>
          <wp:effectExtent l="0" t="0" r="1270" b="5080"/>
          <wp:wrapNone/>
          <wp:docPr id="15" name="Immagine 15"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noChangeArrowheads="1"/>
                  </pic:cNvPicPr>
                </pic:nvPicPr>
                <pic:blipFill>
                  <a:blip r:embed="rId1">
                    <a:extLst>
                      <a:ext uri="{28A0092B-C50C-407E-A947-70E740481C1C}">
                        <a14:useLocalDpi xmlns:a14="http://schemas.microsoft.com/office/drawing/2010/main" val="0"/>
                      </a:ext>
                    </a:extLst>
                  </a:blip>
                  <a:srcRect l="5" t="-12706" r="16052" b="7286"/>
                  <a:stretch>
                    <a:fillRect/>
                  </a:stretch>
                </pic:blipFill>
                <pic:spPr bwMode="auto">
                  <a:xfrm>
                    <a:off x="0" y="0"/>
                    <a:ext cx="5332730" cy="11379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1EF73FD" wp14:editId="002A6955">
              <wp:simplePos x="0" y="0"/>
              <wp:positionH relativeFrom="column">
                <wp:posOffset>5434965</wp:posOffset>
              </wp:positionH>
              <wp:positionV relativeFrom="paragraph">
                <wp:posOffset>363855</wp:posOffset>
              </wp:positionV>
              <wp:extent cx="994410" cy="701675"/>
              <wp:effectExtent l="0" t="0" r="0" b="3175"/>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701675"/>
                      </a:xfrm>
                      <a:prstGeom prst="rect">
                        <a:avLst/>
                      </a:prstGeom>
                      <a:solidFill>
                        <a:sysClr val="window" lastClr="FFFFFF"/>
                      </a:solidFill>
                      <a:ln w="6350">
                        <a:noFill/>
                      </a:ln>
                    </wps:spPr>
                    <wps:txbx>
                      <w:txbxContent>
                        <w:p w14:paraId="12715719" w14:textId="77777777" w:rsidR="002A0930" w:rsidRPr="004342C5" w:rsidRDefault="002A0930"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2A0930" w:rsidRDefault="002A0930"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2A0930" w:rsidRDefault="002A0930"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2A0930" w:rsidRDefault="002A0930" w:rsidP="004342C5">
                          <w:pPr>
                            <w:rPr>
                              <w:rFonts w:ascii="Arial Narrow" w:hAnsi="Arial Narrow"/>
                              <w:b/>
                              <w:bCs/>
                              <w:color w:val="7F7F7F"/>
                              <w:sz w:val="18"/>
                              <w:szCs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F73FD" id="_x0000_t202" coordsize="21600,21600" o:spt="202" path="m,l,21600r21600,l21600,xe">
              <v:stroke joinstyle="miter"/>
              <v:path gradientshapeok="t" o:connecttype="rect"/>
            </v:shapetype>
            <v:shape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jdVAIAAKMEAAAOAAAAZHJzL2Uyb0RvYy54bWysVN1v2jAQf5+0/8Hy+0joB20RoWJUTJNQ&#10;W4lOfTaOA9Ycn+czJOyv39lJ2q7b0zQezNn3/bvfZXbb1oYdlUcNtuDjUc6ZshJKbXcF//a0+nTN&#10;GQZhS2HAqoKfFPLb+ccPs8ZN1RnswZTKMwpicdq4gu9DcNMsQ7lXtcAROGVJWYGvRaCr32WlFw1F&#10;r012lueTrAFfOg9SIdLrXafk8xS/qpQMD1WFKjBTcKotpNOncxvPbD4T050Xbq9lX4b4hypqoS0l&#10;fQl1J4JgB6//CFVr6QGhCiMJdQZVpaVKPVA34/xdN5u9cCr1QuCge4EJ/19YeX989EyXBT+fcGZF&#10;TTNaClTGCFZqFhQGYKQinBqHUzLfOHII7Wdoad6pZ3RrkN+RTLI3Np0DknXEpa18Hf+pY0aONIrT&#10;C/yqDUzS483NxcWYNJJUV/l4cnUZ02avzs5j+KKgZlEouKfppgLEcY2hMx1MYi4Eo8uVNiZdTrg0&#10;nh0FEYH4U0LDmREY6LHgq/Trs/3mZixrCj45v8xTJgsxXpfK2L7hrsfYemi3bQJzPAC2hfJEeHno&#10;mIdOrjQVv6bMj8IT1ahfWp/wQEdlgHJBL3G2B//zb+/RnhhAWs4aom7B8cdBeEUNfbXEjcjzQfCD&#10;sB0Ee6iXQCCMaTGdTCI5+GAGsfJQP9NWLWIWUgkrKVfBwyAuQ7dAtJVSLRbJiNjsRFjbjZMDLeIo&#10;ntpn4V0/r0CDvoeB1GL6bmydbZyVhcUhQKXTTCOuHYo93LQJiRX91sZVe3tPVq/flvkvAAAA//8D&#10;AFBLAwQUAAYACAAAACEAtZAJSuEAAAALAQAADwAAAGRycy9kb3ducmV2LnhtbEyPwU7DMAyG70i8&#10;Q2QkbizdULeuNJ0QGhw4bKLlAbzGa8sap2rSrbw92WncbPnT7+/PNpPpxJkG11pWMJ9FIIgrq1uu&#10;FXyX708JCOeRNXaWScEvOdjk93cZptpe+IvOha9FCGGXooLG+z6V0lUNGXQz2xOH29EOBn1Yh1rq&#10;AS8h3HRyEUVLabDl8KHBnt4aqk7FaBTg5347JuV+akv5sT0V6139c9wp9fgwvb6A8DT5GwxX/aAO&#10;eXA62JG1E52CJI7XAVUQr55BXIFovohBHMK0XCUg80z+75D/AQAA//8DAFBLAQItABQABgAIAAAA&#10;IQC2gziS/gAAAOEBAAATAAAAAAAAAAAAAAAAAAAAAABbQ29udGVudF9UeXBlc10ueG1sUEsBAi0A&#10;FAAGAAgAAAAhADj9If/WAAAAlAEAAAsAAAAAAAAAAAAAAAAALwEAAF9yZWxzLy5yZWxzUEsBAi0A&#10;FAAGAAgAAAAhAITlSN1UAgAAowQAAA4AAAAAAAAAAAAAAAAALgIAAGRycy9lMm9Eb2MueG1sUEsB&#10;Ai0AFAAGAAgAAAAhALWQCUrhAAAACwEAAA8AAAAAAAAAAAAAAAAArgQAAGRycy9kb3ducmV2Lnht&#10;bFBLBQYAAAAABAAEAPMAAAC8BQAAAAA=&#10;" fillcolor="window" stroked="f" strokeweight=".5pt">
              <v:path arrowok="t"/>
              <v:textbox inset="0,0,0,0">
                <w:txbxContent>
                  <w:p w14:paraId="12715719" w14:textId="77777777" w:rsidR="002A0930" w:rsidRPr="004342C5" w:rsidRDefault="002A0930"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2A0930" w:rsidRDefault="002A0930"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2A0930" w:rsidRDefault="002A0930"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2A0930" w:rsidRDefault="002A0930" w:rsidP="004342C5">
                    <w:pPr>
                      <w:rPr>
                        <w:rFonts w:ascii="Arial Narrow" w:hAnsi="Arial Narrow"/>
                        <w:b/>
                        <w:bCs/>
                        <w:color w:val="7F7F7F"/>
                        <w:sz w:val="18"/>
                        <w:szCs w:val="18"/>
                        <w:lang w:val="en-US"/>
                      </w:rPr>
                    </w:pPr>
                  </w:p>
                </w:txbxContent>
              </v:textbox>
            </v:shape>
          </w:pict>
        </mc:Fallback>
      </mc:AlternateContent>
    </w:r>
    <w:r>
      <w:rPr>
        <w:noProof/>
      </w:rPr>
      <mc:AlternateContent>
        <mc:Choice Requires="wps">
          <w:drawing>
            <wp:anchor distT="4294967295" distB="4294967295" distL="114300" distR="114300" simplePos="0" relativeHeight="251664384" behindDoc="0" locked="0" layoutInCell="1" allowOverlap="1" wp14:anchorId="0A419EAF" wp14:editId="1D103BB8">
              <wp:simplePos x="0" y="0"/>
              <wp:positionH relativeFrom="column">
                <wp:posOffset>0</wp:posOffset>
              </wp:positionH>
              <wp:positionV relativeFrom="paragraph">
                <wp:posOffset>1082039</wp:posOffset>
              </wp:positionV>
              <wp:extent cx="6414770" cy="0"/>
              <wp:effectExtent l="0" t="0" r="24130" b="19050"/>
              <wp:wrapNone/>
              <wp:docPr id="37"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4770" cy="0"/>
                      </a:xfrm>
                      <a:prstGeom prst="line">
                        <a:avLst/>
                      </a:prstGeom>
                      <a:noFill/>
                      <a:ln w="952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59623B" id="Connettore diritto 3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hj6QEAAMMDAAAOAAAAZHJzL2Uyb0RvYy54bWysU0tvGjEQvlfqf7B8Lws0hHTFkgOIXtIW&#10;Ke0PmNhe1qpf8jjs8u879gKh7a2qD9Z4Ht+8Pq8eB2vYUUXU3jV8NplyppzwUrtDw39833144AwT&#10;OAnGO9Xwk0L+uH7/btWHWs19541UkRGIw7oPDe9SCnVVoeiUBZz4oBwZWx8tJHrGQyUj9IRuTTWf&#10;Tu+r3kcZohcKkbTb0cjXBb9tlUjf2hZVYqbhVFsqdyz3S76r9QrqQ4TQaXEuA/6hCgvaUdIr1BYS&#10;sNeo/4KyWkSPvk0T4W3l21YLVXqgbmbTP7p57iCo0gsNB8N1TPj/YMXX4z4yLRv+ccmZA0s72njn&#10;VEo+KiZ11CQxMtKk+oA1BWzcPuZexeCew5MXP5Fs1W/G/MAwug1ttNmdmmVDmfzpOnk1JCZIeX83&#10;u1suaUHiYqugvgSGiOmz8pZloeFGuzwUqOH4hCmnhvriktXO77QxZbHGsb7hnxbzBSED0as1kEi0&#10;gRpGd+AMzIF4K1IsiOiNljk64+AJNyayIxB1iHHS95wZwETKhu/KKUHm1X7xcvRbTOnkUVFNY/wo&#10;3uLmWreA3RhRUo40tDrRXzDaNvwh41yAjMvlqMLmc8dv883Si5enfbwsgZhSkp5Znal4+yb59u+t&#10;fwEAAP//AwBQSwMEFAAGAAgAAAAhAArmGR7dAAAACQEAAA8AAABkcnMvZG93bnJldi54bWxMj09L&#10;AzEQxe+C3yGM4M0mreKfdbOlFSuIB3UVvE43083SzWRJ0nb99qYg6HHee7z5vXI+ul7sKcTOs4bp&#10;RIEgbrzpuNXw+bG6uAURE7LB3jNp+KYI8+r0pMTC+AO/075OrcglHAvUYFMaCiljY8lhnPiBOHsb&#10;HxymfIZWmoCHXO56OVPqWjrsOH+wONCDpWZb75wGfnqNd2+r7WN8vqzDJi2WX8sXq/X52bi4B5Fo&#10;TH9hOOJndKgy09rv2ETRa8hDUlZv1BWIo62magZi/SvJqpT/F1Q/AAAA//8DAFBLAQItABQABgAI&#10;AAAAIQC2gziS/gAAAOEBAAATAAAAAAAAAAAAAAAAAAAAAABbQ29udGVudF9UeXBlc10ueG1sUEsB&#10;Ai0AFAAGAAgAAAAhADj9If/WAAAAlAEAAAsAAAAAAAAAAAAAAAAALwEAAF9yZWxzLy5yZWxzUEsB&#10;Ai0AFAAGAAgAAAAhAFQMGGPpAQAAwwMAAA4AAAAAAAAAAAAAAAAALgIAAGRycy9lMm9Eb2MueG1s&#10;UEsBAi0AFAAGAAgAAAAhAArmGR7dAAAACQEAAA8AAAAAAAAAAAAAAAAAQwQAAGRycy9kb3ducmV2&#10;LnhtbFBLBQYAAAAABAAEAPMAAABNBQAAAAA=&#10;" strokecolor="#7f7f7f">
              <v:stroke joinstyle="miter"/>
              <o:lock v:ext="edit" shapetype="f"/>
            </v:line>
          </w:pict>
        </mc:Fallback>
      </mc:AlternateContent>
    </w:r>
  </w:p>
  <w:p w14:paraId="314B2889" w14:textId="428A5D81" w:rsidR="002A0930" w:rsidRPr="004342C5" w:rsidRDefault="002A0930" w:rsidP="004342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DA63" w14:textId="77777777" w:rsidR="002A0930" w:rsidRPr="009E5F03" w:rsidRDefault="002A0930" w:rsidP="009E5F03">
    <w:pPr>
      <w:pStyle w:val="Intestazione"/>
    </w:pPr>
    <w:r>
      <w:rPr>
        <w:noProof/>
      </w:rPr>
      <mc:AlternateContent>
        <mc:Choice Requires="wps">
          <w:drawing>
            <wp:anchor distT="0" distB="0" distL="114300" distR="114300" simplePos="0" relativeHeight="251659264" behindDoc="0" locked="0" layoutInCell="1" allowOverlap="1" wp14:anchorId="587627AC" wp14:editId="47DCDAFC">
              <wp:simplePos x="0" y="0"/>
              <wp:positionH relativeFrom="column">
                <wp:posOffset>536575</wp:posOffset>
              </wp:positionH>
              <wp:positionV relativeFrom="paragraph">
                <wp:posOffset>60960</wp:posOffset>
              </wp:positionV>
              <wp:extent cx="1752600" cy="390525"/>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90525"/>
                      </a:xfrm>
                      <a:prstGeom prst="rect">
                        <a:avLst/>
                      </a:prstGeom>
                      <a:solidFill>
                        <a:srgbClr val="FFFFFF"/>
                      </a:solidFill>
                      <a:ln w="9525">
                        <a:solidFill>
                          <a:srgbClr val="FFFFFF"/>
                        </a:solidFill>
                        <a:miter lim="800000"/>
                        <a:headEnd/>
                        <a:tailEnd/>
                      </a:ln>
                    </wps:spPr>
                    <wps:txbx>
                      <w:txbxContent>
                        <w:p w14:paraId="57DE39C9" w14:textId="77777777" w:rsidR="002A0930" w:rsidRPr="000F5A7E" w:rsidRDefault="002A0930"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2A0930" w:rsidRPr="0017508C" w:rsidRDefault="002A0930" w:rsidP="00B249D0">
                          <w:pPr>
                            <w:pStyle w:val="Intestazione"/>
                            <w:spacing w:line="200" w:lineRule="exact"/>
                            <w:rPr>
                              <w:rFonts w:ascii="Arial Narrow" w:hAnsi="Arial Narrow"/>
                              <w:b/>
                              <w:color w:val="999999"/>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7627AC" id="_x0000_t202" coordsize="21600,21600" o:spt="202" path="m,l,21600r21600,l21600,xe">
              <v:stroke joinstyle="miter"/>
              <v:path gradientshapeok="t" o:connecttype="rect"/>
            </v:shapetype>
            <v:shape id="_x0000_s1029" type="#_x0000_t202" style="position:absolute;margin-left:42.25pt;margin-top:4.8pt;width:138pt;height:3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HbIAIAAE8EAAAOAAAAZHJzL2Uyb0RvYy54bWysVNtu2zAMfR+wfxD0vtjJlq414hRdugwD&#10;ugvQ7QNoWbaFyaImKbG7ry8lx1m3vRXTg0BZ1CF5DunN9dhrdpTOKzQlXy5yzqQRWCvTlvz7t/2r&#10;S858AFODRiNL/iA9v96+fLEZbCFX2KGupWMEYnwx2JJ3Idgiy7zoZA9+gVYaumzQ9RDo6NqsdjAQ&#10;eq+zVZ5fZAO62joU0nv6ejtd8m3Cbxopwpem8TIwXXLKLaTdpb2Ke7bdQNE6sJ0SpzTgGVn0oAwF&#10;PUPdQgB2cOofqF4Jhx6bsBDYZ9g0SshUA1WzzP+q5r4DK1MtRI63Z5r8/4MVn49fHVN1yd9wZqAn&#10;iXbgpdbAasWC9AHZKrI0WF+Q870l9zC+w5HUThV7e4fih2cGdx2YVt44h0MnoaYsl/Fl9uTphOMj&#10;SDV8wprCwSFgAhob10cKiRRG6KTWw1khOQYmYsi369VFTleC7l5f5evVOoWAYn5tnQ8fJPYsGiV3&#10;1AEJHY53PsRsoJhdYjCPWtV7pXU6uLbaaceOQN2yT+uE/oebNmwo+VWM/VyIXgVqe636kl/mccU4&#10;UETa3ps62QGUnmxKWZsTj5G6icQwVmMS7ixPhfUDEetw6nKaSjI6dL84G6jDS+5/HsBJzvRHQ+LE&#10;cZgNNxvVbIAR9LTkgbPJ3IVpbA7WqbYj5Fn+GxJwrxK3Uekpi1O61LWJ8tOExbF4ek5ev/8D20cA&#10;AAD//wMAUEsDBBQABgAIAAAAIQAIJ6bz2wAAAAcBAAAPAAAAZHJzL2Rvd25yZXYueG1sTI7BToNA&#10;FEX3Jv7D5Jm4swOi0FIejanRVbuw6n7KvAIp84YwQwt/77jS5c29OfcUm8l04kKDay0jxIsIBHFl&#10;dcs1wtfn28MShPOKteosE8JMDjbl7U2hcm2v/EGXg69FgLDLFULjfZ9L6aqGjHIL2xOH7mQHo3yI&#10;Qy31oK4Bbjr5GEWpNKrl8NConrYNVefDaBBORibfvNtmq2zqd/P7mMyve0a8v5te1iA8Tf5vDL/6&#10;QR3K4HS0I2snOoTl03NYIqxSEKFO0ijkI0IWxyDLQv73L38AAAD//wMAUEsBAi0AFAAGAAgAAAAh&#10;ALaDOJL+AAAA4QEAABMAAAAAAAAAAAAAAAAAAAAAAFtDb250ZW50X1R5cGVzXS54bWxQSwECLQAU&#10;AAYACAAAACEAOP0h/9YAAACUAQAACwAAAAAAAAAAAAAAAAAvAQAAX3JlbHMvLnJlbHNQSwECLQAU&#10;AAYACAAAACEAT4hh2yACAABPBAAADgAAAAAAAAAAAAAAAAAuAgAAZHJzL2Uyb0RvYy54bWxQSwEC&#10;LQAUAAYACAAAACEACCem89sAAAAHAQAADwAAAAAAAAAAAAAAAAB6BAAAZHJzL2Rvd25yZXYueG1s&#10;UEsFBgAAAAAEAAQA8wAAAIIFAAAAAA==&#10;" strokecolor="white">
              <v:textbox style="mso-fit-shape-to-text:t" inset="0,0,0,0">
                <w:txbxContent>
                  <w:p w14:paraId="57DE39C9" w14:textId="77777777" w:rsidR="002A0930" w:rsidRPr="000F5A7E" w:rsidRDefault="002A0930"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2A0930" w:rsidRPr="0017508C" w:rsidRDefault="002A0930" w:rsidP="00B249D0">
                    <w:pPr>
                      <w:pStyle w:val="Intestazione"/>
                      <w:spacing w:line="200" w:lineRule="exact"/>
                      <w:rPr>
                        <w:rFonts w:ascii="Arial Narrow" w:hAnsi="Arial Narrow"/>
                        <w:b/>
                        <w:color w:val="999999"/>
                      </w:rPr>
                    </w:pPr>
                  </w:p>
                </w:txbxContent>
              </v:textbox>
            </v:shape>
          </w:pict>
        </mc:Fallback>
      </mc:AlternateContent>
    </w:r>
    <w:r w:rsidRPr="00287543">
      <w:rPr>
        <w:noProof/>
      </w:rPr>
      <w:drawing>
        <wp:inline distT="0" distB="0" distL="0" distR="0" wp14:anchorId="7EC9C5CB" wp14:editId="1DB5EB31">
          <wp:extent cx="6477000" cy="590550"/>
          <wp:effectExtent l="0" t="0" r="0" b="0"/>
          <wp:docPr id="7" name="Immagine 7"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4C4D9" w14:textId="77777777" w:rsidR="002A0930" w:rsidRPr="009E5F03" w:rsidRDefault="002A0930" w:rsidP="009E5F03">
    <w:pPr>
      <w:pStyle w:val="Intestazione"/>
    </w:pPr>
    <w:r>
      <w:rPr>
        <w:noProof/>
      </w:rPr>
      <mc:AlternateContent>
        <mc:Choice Requires="wps">
          <w:drawing>
            <wp:anchor distT="0" distB="0" distL="114300" distR="114300" simplePos="0" relativeHeight="251660288" behindDoc="0" locked="0" layoutInCell="1" allowOverlap="1" wp14:anchorId="670C86BF" wp14:editId="669A4652">
              <wp:simplePos x="0" y="0"/>
              <wp:positionH relativeFrom="column">
                <wp:posOffset>536575</wp:posOffset>
              </wp:positionH>
              <wp:positionV relativeFrom="paragraph">
                <wp:posOffset>60960</wp:posOffset>
              </wp:positionV>
              <wp:extent cx="1752600" cy="263525"/>
              <wp:effectExtent l="0" t="0" r="0" b="381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3525"/>
                      </a:xfrm>
                      <a:prstGeom prst="rect">
                        <a:avLst/>
                      </a:prstGeom>
                      <a:solidFill>
                        <a:srgbClr val="FFFFFF"/>
                      </a:solidFill>
                      <a:ln w="9525">
                        <a:solidFill>
                          <a:srgbClr val="FFFFFF"/>
                        </a:solidFill>
                        <a:miter lim="800000"/>
                        <a:headEnd/>
                        <a:tailEnd/>
                      </a:ln>
                    </wps:spPr>
                    <wps:txbx>
                      <w:txbxContent>
                        <w:p w14:paraId="0F39A46F" w14:textId="77777777" w:rsidR="002A0930" w:rsidRPr="00E74CD4" w:rsidRDefault="002A0930"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70C86BF" id="_x0000_t202" coordsize="21600,21600" o:spt="202" path="m,l,21600r21600,l21600,xe">
              <v:stroke joinstyle="miter"/>
              <v:path gradientshapeok="t" o:connecttype="rect"/>
            </v:shapetype>
            <v:shape id="_x0000_s1030" type="#_x0000_t202" style="position:absolute;margin-left:42.25pt;margin-top:4.8pt;width:138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TXHwIAAE8EAAAOAAAAZHJzL2Uyb0RvYy54bWysVFGP0zAMfkfiP0R5Z9162jiqdadjxxDS&#10;cSAd/AA3TdeINA5Jtnb8epy02x3wdiIPkVPbn+3Pdtc3Q6fZUTqv0JR8MZtzJo3AWpl9yb9/2725&#10;5swHMDVoNLLkJ+n5zeb1q3VvC5lji7qWjhGI8UVvS96GYIss86KVHfgZWmlI2aDrINDT7bPaQU/o&#10;nc7y+XyV9ehq61BI7+nr3ajkm4TfNFKEL03jZWC65JRbSLdLdxXvbLOGYu/AtkpMacALsuhAGQp6&#10;gbqDAOzg1D9QnRIOPTZhJrDLsGmUkKkGqmYx/6uaxxasTLUQOd5eaPL/D1Y8HL86puqSX3FmoKMW&#10;bcFLrYHVigXpA7I8stRbX5DxoyXzMLzHgbqdKvb2HsUPzwxuWzB7eesc9q2EmrJcRM/smeuI4yNI&#10;1X/GmsLBIWACGhrXRQqJFEbo1K3TpUNyCEzEkG+X+WpOKkG6fHW1zJcpBBRnb+t8+CixY1EouaMJ&#10;SOhwvPchZgPF2SQG86hVvVNap4fbV1vt2BFoWnbpTOh/mGnD+pK/i7FfCtGpQGOvVVfy63k8MQ4U&#10;kbYPpk5yAKVHmVLWZuIxUjeSGIZqmBpH9pHjCusTEetwnHLaShJadL8462nCS+5/HsBJzvQnQ82J&#10;63AW3FmozgIYQa4lD5yN4jaMa3OwTu1bQj63/5YauFOJ26cspnRpahPl04bFtXj+TlZP/4HNbwAA&#10;AP//AwBQSwMEFAAGAAgAAAAhAADdYDTeAAAABwEAAA8AAABkcnMvZG93bnJldi54bWxMjs1OwzAQ&#10;hO9IvIO1SFwQdVKaqIQ4FVSCVuKACDyAE29+1HgdxW4beHqWExxHM/rmyzezHcQJJ987UhAvIhBI&#10;tTM9tQo+P55v1yB80GT04AgVfKGHTXF5kevMuDO946kMrWAI+Uwr6EIYMyl93aHVfuFGJO4aN1kd&#10;OE6tNJM+M9wOchlFqbS6J37o9IjbDutDebQKbPPUlNtqZ76Tt8PuZf/qlu5mpdT11fz4ACLgHP7G&#10;8KvP6lCwU+WOZLwYFKxXCS8V3KcguL5LI86VgiSOQRa5/O9f/AAAAP//AwBQSwECLQAUAAYACAAA&#10;ACEAtoM4kv4AAADhAQAAEwAAAAAAAAAAAAAAAAAAAAAAW0NvbnRlbnRfVHlwZXNdLnhtbFBLAQIt&#10;ABQABgAIAAAAIQA4/SH/1gAAAJQBAAALAAAAAAAAAAAAAAAAAC8BAABfcmVscy8ucmVsc1BLAQIt&#10;ABQABgAIAAAAIQB5tsTXHwIAAE8EAAAOAAAAAAAAAAAAAAAAAC4CAABkcnMvZTJvRG9jLnhtbFBL&#10;AQItABQABgAIAAAAIQAA3WA03gAAAAcBAAAPAAAAAAAAAAAAAAAAAHkEAABkcnMvZG93bnJldi54&#10;bWxQSwUGAAAAAAQABADzAAAAhAUAAAAA&#10;" strokecolor="white">
              <v:textbox style="mso-fit-shape-to-text:t" inset="0,0,0,0">
                <w:txbxContent>
                  <w:p w14:paraId="0F39A46F" w14:textId="77777777" w:rsidR="002A0930" w:rsidRPr="00E74CD4" w:rsidRDefault="002A0930"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v:textbox>
            </v:shape>
          </w:pict>
        </mc:Fallback>
      </mc:AlternateContent>
    </w:r>
    <w:r>
      <w:rPr>
        <w:noProof/>
      </w:rPr>
      <w:drawing>
        <wp:inline distT="0" distB="0" distL="0" distR="0" wp14:anchorId="47889812" wp14:editId="5E3ED409">
          <wp:extent cx="6477000" cy="590550"/>
          <wp:effectExtent l="0" t="0" r="0" b="0"/>
          <wp:docPr id="21" name="Immagine 21" descr="iconeComunicat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eComunicati-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CCA90" w14:textId="77777777" w:rsidR="002A0930" w:rsidRPr="009E5F03" w:rsidRDefault="002A0930" w:rsidP="009E5F03">
    <w:pPr>
      <w:pStyle w:val="Intestazione"/>
    </w:pPr>
    <w:r>
      <w:rPr>
        <w:noProof/>
      </w:rPr>
      <mc:AlternateContent>
        <mc:Choice Requires="wps">
          <w:drawing>
            <wp:anchor distT="0" distB="0" distL="114300" distR="114300" simplePos="0" relativeHeight="251655168" behindDoc="0" locked="0" layoutInCell="1" allowOverlap="1" wp14:anchorId="2B5953E2" wp14:editId="1CF3CD2F">
              <wp:simplePos x="0" y="0"/>
              <wp:positionH relativeFrom="column">
                <wp:posOffset>536575</wp:posOffset>
              </wp:positionH>
              <wp:positionV relativeFrom="paragraph">
                <wp:posOffset>60960</wp:posOffset>
              </wp:positionV>
              <wp:extent cx="1965325" cy="39052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300BD506" w14:textId="77777777" w:rsidR="002A0930" w:rsidRPr="00E74CD4" w:rsidRDefault="002A0930"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2A0930" w:rsidRPr="00B81D29" w:rsidRDefault="002A0930"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5953E2" id="_x0000_t202" coordsize="21600,21600" o:spt="202" path="m,l,21600r21600,l21600,xe">
              <v:stroke joinstyle="miter"/>
              <v:path gradientshapeok="t" o:connecttype="rect"/>
            </v:shapetype>
            <v:shape id="_x0000_s1031" type="#_x0000_t202" style="position:absolute;margin-left:42.25pt;margin-top:4.8pt;width:154.75pt;height:30.7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O0HwIAAE8EAAAOAAAAZHJzL2Uyb0RvYy54bWysVNtu2zAMfR+wfxD0vthJl6Ix4hRdugwD&#10;ugvQ7QNoWY6FyaImKbGzrx8lx2m3vRXzg3AUkYfkIZn17dBpdpTOKzQln89yzqQRWCuzL/n3b7s3&#10;N5z5AKYGjUaW/CQ9v928frXubSEX2KKupWNEYnzR25K3Idgiy7xoZQd+hlYaemzQdRDo6vZZ7aAn&#10;9k5nizy/znp0tXUopPf06/34yDeJv2mkCF+axsvAdMkpt5BOl84qntlmDcXegW2VOKcBL8iiA2Uo&#10;6IXqHgKwg1P/UHVKOPTYhJnALsOmUUKmGqiaef5XNY8tWJlqIXG8vcjk/x+t+Hz86piqS77gzEBH&#10;LdqCl1oDqxUL0gdki6hSb31Bxo+WzMPwDgfqdqrY2wcUPzwzuG3B7OWdc9i3EmrKch49s2euI4+P&#10;JFX/CWsKB4eAiWhoXBclJFEYsVO3TpcOySEwEUOurpdXiyVngt6uVvmScAwBxeRtnQ8fJHYsgpI7&#10;moDEDscHH0bTySQG86hVvVNap4vbV1vt2BFoWnbpO7P/YaYN60u+irFfStGpQGOvVVfymzx+MQ4U&#10;Ubb3pk44gNIjpuq0OesYpRtFDEM1pMa9jb5R4wrrEwnrcJxy2koCLbpfnPU04SX3Pw/gJGf6o6Hm&#10;xHWYgJtANQEwglxLHjgb4TaMa3OwTu1bYp7af0cN3Kmk7VMW53RpalN3zhsW1+L5PVk9/Q9sfgMA&#10;AP//AwBQSwMEFAAGAAgAAAAhAGdvBqbcAAAABwEAAA8AAABkcnMvZG93bnJldi54bWxMj0FPg0AU&#10;hO8m/ofNM/FmF6QtBVkaU6OnerDqfcu+ApF9S9ilhX/v60mPk5nMfFNsJ9uJMw6+daQgXkQgkCpn&#10;WqoVfH2+PmxA+KDJ6M4RKpjRw7a8vSl0btyFPvB8CLXgEvK5VtCE0OdS+qpBq/3C9UjsndxgdWA5&#10;1NIM+sLltpOPUbSWVrfEC43ucddg9XMYrYKTlck37Xdplk79fn4bk/nlnZS6v5uen0AEnMJfGK74&#10;jA4lMx3dSMaLTsFmueKkgmwNgu0kW/K1o4I0jkGWhfzPX/4CAAD//wMAUEsBAi0AFAAGAAgAAAAh&#10;ALaDOJL+AAAA4QEAABMAAAAAAAAAAAAAAAAAAAAAAFtDb250ZW50X1R5cGVzXS54bWxQSwECLQAU&#10;AAYACAAAACEAOP0h/9YAAACUAQAACwAAAAAAAAAAAAAAAAAvAQAAX3JlbHMvLnJlbHNQSwECLQAU&#10;AAYACAAAACEA4HwDtB8CAABPBAAADgAAAAAAAAAAAAAAAAAuAgAAZHJzL2Uyb0RvYy54bWxQSwEC&#10;LQAUAAYACAAAACEAZ28GptwAAAAHAQAADwAAAAAAAAAAAAAAAAB5BAAAZHJzL2Rvd25yZXYueG1s&#10;UEsFBgAAAAAEAAQA8wAAAIIFAAAAAA==&#10;" strokecolor="white">
              <v:textbox style="mso-fit-shape-to-text:t" inset="0,0,0,0">
                <w:txbxContent>
                  <w:p w14:paraId="300BD506" w14:textId="77777777" w:rsidR="002A0930" w:rsidRPr="00E74CD4" w:rsidRDefault="002A0930"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2A0930" w:rsidRPr="00B81D29" w:rsidRDefault="002A0930" w:rsidP="00B249D0">
                    <w:pPr>
                      <w:pStyle w:val="Intestazione"/>
                      <w:spacing w:line="200" w:lineRule="exact"/>
                      <w:rPr>
                        <w:rFonts w:ascii="Arial Narrow" w:hAnsi="Arial Narrow"/>
                        <w:b/>
                        <w:color w:val="808080"/>
                      </w:rPr>
                    </w:pPr>
                  </w:p>
                </w:txbxContent>
              </v:textbox>
            </v:shape>
          </w:pict>
        </mc:Fallback>
      </mc:AlternateContent>
    </w:r>
    <w:r w:rsidRPr="00670D3C">
      <w:rPr>
        <w:noProof/>
      </w:rPr>
      <w:drawing>
        <wp:inline distT="0" distB="0" distL="0" distR="0" wp14:anchorId="501353DF" wp14:editId="10857D03">
          <wp:extent cx="6477000" cy="590550"/>
          <wp:effectExtent l="0" t="0" r="0" b="0"/>
          <wp:docPr id="22" name="Immagine 22"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C4C28" w14:textId="77777777" w:rsidR="002A0930" w:rsidRPr="009E5F03" w:rsidRDefault="002A0930" w:rsidP="009E5F03">
    <w:pPr>
      <w:pStyle w:val="Intestazione"/>
    </w:pPr>
    <w:r>
      <w:rPr>
        <w:noProof/>
      </w:rPr>
      <mc:AlternateContent>
        <mc:Choice Requires="wps">
          <w:drawing>
            <wp:anchor distT="0" distB="0" distL="114300" distR="114300" simplePos="0" relativeHeight="251667456" behindDoc="0" locked="0" layoutInCell="1" allowOverlap="1" wp14:anchorId="283D027B" wp14:editId="4794F03D">
              <wp:simplePos x="0" y="0"/>
              <wp:positionH relativeFrom="column">
                <wp:posOffset>536575</wp:posOffset>
              </wp:positionH>
              <wp:positionV relativeFrom="paragraph">
                <wp:posOffset>60960</wp:posOffset>
              </wp:positionV>
              <wp:extent cx="1965325" cy="39052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0626CF6E" w14:textId="77777777" w:rsidR="002A0930" w:rsidRPr="00E74CD4" w:rsidRDefault="002A0930"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19F054A7" w14:textId="77777777" w:rsidR="002A0930" w:rsidRPr="00B81D29" w:rsidRDefault="002A0930"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3D027B" id="_x0000_t202" coordsize="21600,21600" o:spt="202" path="m,l,21600r21600,l21600,xe">
              <v:stroke joinstyle="miter"/>
              <v:path gradientshapeok="t" o:connecttype="rect"/>
            </v:shapetype>
            <v:shape id="_x0000_s1032" type="#_x0000_t202" style="position:absolute;margin-left:42.25pt;margin-top:4.8pt;width:154.75pt;height:30.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38HQIAAFAEAAAOAAAAZHJzL2Uyb0RvYy54bWysVMFu2zAMvQ/YPwi6L3ZSpGiMOEWXLsOA&#10;bh3Q7QMYWbaFyaImKbGzrx8lx2m33Yr5IDxF5CP5SGZ9O3SaHaXzCk3J57OcM2kEVso0Jf/+bffu&#10;hjMfwFSg0ciSn6Tnt5u3b9a9LeQCW9SVdIxIjC96W/I2BFtkmRet7MDP0EpDjzW6DgJdXZNVDnpi&#10;73S2yPPrrEdXWYdCek+/3o+PfJP461qK8FjXXgamS065hXS6dO7jmW3WUDQObKvEOQ14RRYdKENB&#10;L1T3EIAdnPqHqlPCocc6zAR2Gda1EjLVQNXM87+qeWrBylQLiePtRSb//2jFl+NXx1RFvSN5DHTU&#10;oy14qTWwSrEgfUC2iDL11hdk/WTJPgzvcSCXVLK3Dyh+eGZw24Jp5J1z2LcSKkpzHj2zF64jj48k&#10;+/4zVhQODgET0VC7LmpIqjBip3xOlxbJITARQ66ul1eLJWeC3q5W+ZJwDAHF5G2dDx8ldiyCkjsa&#10;gcQOxwcfRtPJJAbzqFW1U1qni2v2W+3YEWhcduk7s/9hpg3rS76KsV9L0alAc69VV/KbPH4xDhRR&#10;tg+mSjiA0iOm6rQ56xilG0UMw35InUsKRI33WJ1IWIfjmNNaEmjR/eKspxEvuf95ACc5058MNSfu&#10;wwTcBPYTACPIteSBsxFuw7g3B+tU0xLz1P47auBOJW2fszinS2ObunNesbgXL+/J6vmPYPMbAAD/&#10;/wMAUEsDBBQABgAIAAAAIQBnbwam3AAAAAcBAAAPAAAAZHJzL2Rvd25yZXYueG1sTI9BT4NAFITv&#10;Jv6HzTPxZhekLQVZGlOjp3qw6n3LvgKRfUvYpYV/7+tJj5OZzHxTbCfbiTMOvnWkIF5EIJAqZ1qq&#10;FXx9vj5sQPigyejOESqY0cO2vL0pdG7chT7wfAi14BLyuVbQhNDnUvqqQav9wvVI7J3cYHVgOdTS&#10;DPrC5baTj1G0lla3xAuN7nHXYPVzGK2Ck5XJN+13aZZO/X5+G5P55Z2Uur+bnp9ABJzCXxiu+IwO&#10;JTMd3UjGi07BZrnipIJsDYLtJFvytaOCNI5BloX8z1/+AgAA//8DAFBLAQItABQABgAIAAAAIQC2&#10;gziS/gAAAOEBAAATAAAAAAAAAAAAAAAAAAAAAABbQ29udGVudF9UeXBlc10ueG1sUEsBAi0AFAAG&#10;AAgAAAAhADj9If/WAAAAlAEAAAsAAAAAAAAAAAAAAAAALwEAAF9yZWxzLy5yZWxzUEsBAi0AFAAG&#10;AAgAAAAhABIgDfwdAgAAUAQAAA4AAAAAAAAAAAAAAAAALgIAAGRycy9lMm9Eb2MueG1sUEsBAi0A&#10;FAAGAAgAAAAhAGdvBqbcAAAABwEAAA8AAAAAAAAAAAAAAAAAdwQAAGRycy9kb3ducmV2LnhtbFBL&#10;BQYAAAAABAAEAPMAAACABQAAAAA=&#10;" strokecolor="white">
              <v:textbox style="mso-fit-shape-to-text:t" inset="0,0,0,0">
                <w:txbxContent>
                  <w:p w14:paraId="0626CF6E" w14:textId="77777777" w:rsidR="002A0930" w:rsidRPr="00E74CD4" w:rsidRDefault="002A0930"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19F054A7" w14:textId="77777777" w:rsidR="002A0930" w:rsidRPr="00B81D29" w:rsidRDefault="002A0930" w:rsidP="00B249D0">
                    <w:pPr>
                      <w:pStyle w:val="Intestazione"/>
                      <w:spacing w:line="200" w:lineRule="exact"/>
                      <w:rPr>
                        <w:rFonts w:ascii="Arial Narrow" w:hAnsi="Arial Narrow"/>
                        <w:b/>
                        <w:color w:val="808080"/>
                      </w:rPr>
                    </w:pPr>
                  </w:p>
                </w:txbxContent>
              </v:textbox>
            </v:shape>
          </w:pict>
        </mc:Fallback>
      </mc:AlternateContent>
    </w:r>
    <w:r w:rsidRPr="0052352C">
      <w:rPr>
        <w:noProof/>
      </w:rPr>
      <w:drawing>
        <wp:inline distT="0" distB="0" distL="0" distR="0" wp14:anchorId="37D13FE8" wp14:editId="718D88C3">
          <wp:extent cx="6477000" cy="590550"/>
          <wp:effectExtent l="0" t="0" r="0" b="0"/>
          <wp:docPr id="13" name="Immagine 13"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5pt;height:8.45pt" o:bullet="t">
        <v:imagedata r:id="rId1" o:title=""/>
      </v:shape>
    </w:pict>
  </w:numPicBullet>
  <w:numPicBullet w:numPicBulletId="1">
    <w:pict>
      <v:shape id="_x0000_i1027" type="#_x0000_t75" style="width:4.5pt;height:7.2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3B30D2B"/>
    <w:multiLevelType w:val="hybridMultilevel"/>
    <w:tmpl w:val="5CEC454A"/>
    <w:lvl w:ilvl="0" w:tplc="785E333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E056BD"/>
    <w:multiLevelType w:val="hybridMultilevel"/>
    <w:tmpl w:val="93188842"/>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5"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3B7600"/>
    <w:multiLevelType w:val="hybridMultilevel"/>
    <w:tmpl w:val="857A09D8"/>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15:restartNumberingAfterBreak="0">
    <w:nsid w:val="09B04BFB"/>
    <w:multiLevelType w:val="hybridMultilevel"/>
    <w:tmpl w:val="41BE7B76"/>
    <w:lvl w:ilvl="0" w:tplc="C8782680">
      <w:start w:val="1"/>
      <w:numFmt w:val="bullet"/>
      <w:lvlText w:val=""/>
      <w:lvlJc w:val="left"/>
      <w:pPr>
        <w:ind w:left="360" w:hanging="360"/>
      </w:pPr>
      <w:rPr>
        <w:rFonts w:ascii="Wingdings" w:hAnsi="Wingdings"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9EC4AD0"/>
    <w:multiLevelType w:val="multilevel"/>
    <w:tmpl w:val="781664CC"/>
    <w:lvl w:ilvl="0">
      <w:start w:val="1"/>
      <w:numFmt w:val="lowerLetter"/>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B86367"/>
    <w:multiLevelType w:val="hybridMultilevel"/>
    <w:tmpl w:val="4FFCC8F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2" w15:restartNumberingAfterBreak="0">
    <w:nsid w:val="0B643584"/>
    <w:multiLevelType w:val="hybridMultilevel"/>
    <w:tmpl w:val="51E2D8B6"/>
    <w:lvl w:ilvl="0" w:tplc="46243AC4">
      <w:start w:val="1"/>
      <w:numFmt w:val="lowerLetter"/>
      <w:lvlText w:val="%1)"/>
      <w:lvlJc w:val="left"/>
      <w:pPr>
        <w:ind w:left="2517" w:hanging="360"/>
      </w:pPr>
      <w:rPr>
        <w:rFonts w:ascii="Arial" w:eastAsia="Times New Roman" w:hAnsi="Arial" w:cs="Arial"/>
      </w:r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13"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407BCC"/>
    <w:multiLevelType w:val="hybridMultilevel"/>
    <w:tmpl w:val="F20AF4D8"/>
    <w:lvl w:ilvl="0" w:tplc="5270E3B4">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5"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C24545E"/>
    <w:multiLevelType w:val="hybridMultilevel"/>
    <w:tmpl w:val="2BE66A3A"/>
    <w:lvl w:ilvl="0" w:tplc="6888BADE">
      <w:start w:val="1"/>
      <w:numFmt w:val="bullet"/>
      <w:lvlText w:val=""/>
      <w:lvlJc w:val="left"/>
      <w:pPr>
        <w:tabs>
          <w:tab w:val="num" w:pos="340"/>
        </w:tabs>
      </w:pPr>
      <w:rPr>
        <w:rFonts w:ascii="Webdings" w:hAnsi="Webdings" w:hint="default"/>
        <w:b w:val="0"/>
        <w:i w:val="0"/>
        <w:color w:val="E42618"/>
        <w:spacing w:val="0"/>
        <w:sz w:val="24"/>
        <w:szCs w:val="18"/>
      </w:rPr>
    </w:lvl>
    <w:lvl w:ilvl="1" w:tplc="E8FCC02E">
      <w:start w:val="1"/>
      <w:numFmt w:val="bullet"/>
      <w:lvlText w:val="o"/>
      <w:lvlJc w:val="left"/>
      <w:pPr>
        <w:tabs>
          <w:tab w:val="num" w:pos="1440"/>
        </w:tabs>
        <w:ind w:left="1440" w:hanging="360"/>
      </w:pPr>
      <w:rPr>
        <w:rFonts w:ascii="Courier New" w:hAnsi="Courier New"/>
      </w:rPr>
    </w:lvl>
    <w:lvl w:ilvl="2" w:tplc="57B2E412">
      <w:start w:val="1"/>
      <w:numFmt w:val="bullet"/>
      <w:lvlText w:val=""/>
      <w:lvlJc w:val="left"/>
      <w:pPr>
        <w:tabs>
          <w:tab w:val="num" w:pos="2160"/>
        </w:tabs>
        <w:ind w:left="2160" w:hanging="360"/>
      </w:pPr>
      <w:rPr>
        <w:rFonts w:ascii="Wingdings" w:hAnsi="Wingdings"/>
      </w:rPr>
    </w:lvl>
    <w:lvl w:ilvl="3" w:tplc="31BA2B30">
      <w:start w:val="1"/>
      <w:numFmt w:val="bullet"/>
      <w:lvlText w:val=""/>
      <w:lvlJc w:val="left"/>
      <w:pPr>
        <w:tabs>
          <w:tab w:val="num" w:pos="2880"/>
        </w:tabs>
        <w:ind w:left="2880" w:hanging="360"/>
      </w:pPr>
      <w:rPr>
        <w:rFonts w:ascii="Symbol" w:hAnsi="Symbol"/>
      </w:rPr>
    </w:lvl>
    <w:lvl w:ilvl="4" w:tplc="2C2276D6">
      <w:start w:val="1"/>
      <w:numFmt w:val="bullet"/>
      <w:lvlText w:val="o"/>
      <w:lvlJc w:val="left"/>
      <w:pPr>
        <w:tabs>
          <w:tab w:val="num" w:pos="3600"/>
        </w:tabs>
        <w:ind w:left="3600" w:hanging="360"/>
      </w:pPr>
      <w:rPr>
        <w:rFonts w:ascii="Courier New" w:hAnsi="Courier New"/>
      </w:rPr>
    </w:lvl>
    <w:lvl w:ilvl="5" w:tplc="85BACC6E">
      <w:start w:val="1"/>
      <w:numFmt w:val="bullet"/>
      <w:lvlText w:val=""/>
      <w:lvlJc w:val="left"/>
      <w:pPr>
        <w:tabs>
          <w:tab w:val="num" w:pos="4320"/>
        </w:tabs>
        <w:ind w:left="4320" w:hanging="360"/>
      </w:pPr>
      <w:rPr>
        <w:rFonts w:ascii="Wingdings" w:hAnsi="Wingdings"/>
      </w:rPr>
    </w:lvl>
    <w:lvl w:ilvl="6" w:tplc="1F3EF924">
      <w:start w:val="1"/>
      <w:numFmt w:val="bullet"/>
      <w:lvlText w:val=""/>
      <w:lvlJc w:val="left"/>
      <w:pPr>
        <w:tabs>
          <w:tab w:val="num" w:pos="5040"/>
        </w:tabs>
        <w:ind w:left="5040" w:hanging="360"/>
      </w:pPr>
      <w:rPr>
        <w:rFonts w:ascii="Symbol" w:hAnsi="Symbol"/>
      </w:rPr>
    </w:lvl>
    <w:lvl w:ilvl="7" w:tplc="6D82A608">
      <w:start w:val="1"/>
      <w:numFmt w:val="bullet"/>
      <w:lvlText w:val="o"/>
      <w:lvlJc w:val="left"/>
      <w:pPr>
        <w:tabs>
          <w:tab w:val="num" w:pos="5760"/>
        </w:tabs>
        <w:ind w:left="5760" w:hanging="360"/>
      </w:pPr>
      <w:rPr>
        <w:rFonts w:ascii="Courier New" w:hAnsi="Courier New"/>
      </w:rPr>
    </w:lvl>
    <w:lvl w:ilvl="8" w:tplc="11E84114">
      <w:start w:val="1"/>
      <w:numFmt w:val="bullet"/>
      <w:lvlText w:val=""/>
      <w:lvlJc w:val="left"/>
      <w:pPr>
        <w:tabs>
          <w:tab w:val="num" w:pos="6480"/>
        </w:tabs>
        <w:ind w:left="6480" w:hanging="360"/>
      </w:pPr>
      <w:rPr>
        <w:rFonts w:ascii="Wingdings" w:hAnsi="Wingdings"/>
      </w:rPr>
    </w:lvl>
  </w:abstractNum>
  <w:abstractNum w:abstractNumId="17" w15:restartNumberingAfterBreak="0">
    <w:nsid w:val="1C424650"/>
    <w:multiLevelType w:val="hybridMultilevel"/>
    <w:tmpl w:val="4FC00012"/>
    <w:lvl w:ilvl="0" w:tplc="086C8314">
      <w:start w:val="1"/>
      <w:numFmt w:val="bullet"/>
      <w:lvlText w:val=""/>
      <w:lvlJc w:val="left"/>
      <w:pPr>
        <w:tabs>
          <w:tab w:val="num" w:pos="340"/>
        </w:tabs>
        <w:ind w:left="0" w:firstLine="0"/>
      </w:pPr>
      <w:rPr>
        <w:rFonts w:ascii="Wingdings" w:hAnsi="Wingdings" w:hint="default"/>
        <w:b w:val="0"/>
        <w:i w:val="0"/>
        <w:color w:val="E42618"/>
        <w:spacing w:val="0"/>
        <w:sz w:val="26"/>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343AE3"/>
    <w:multiLevelType w:val="hybridMultilevel"/>
    <w:tmpl w:val="6EC29A46"/>
    <w:lvl w:ilvl="0" w:tplc="DB7A5FB8">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9" w15:restartNumberingAfterBreak="0">
    <w:nsid w:val="21557202"/>
    <w:multiLevelType w:val="hybridMultilevel"/>
    <w:tmpl w:val="0A3276F0"/>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1"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08A6599"/>
    <w:multiLevelType w:val="hybridMultilevel"/>
    <w:tmpl w:val="B76E8456"/>
    <w:lvl w:ilvl="0" w:tplc="2B42CDCC">
      <w:start w:val="1"/>
      <w:numFmt w:val="bullet"/>
      <w:lvlText w:val=""/>
      <w:lvlJc w:val="left"/>
      <w:pPr>
        <w:tabs>
          <w:tab w:val="num" w:pos="340"/>
        </w:tabs>
      </w:pPr>
      <w:rPr>
        <w:rFonts w:ascii="Wingdings" w:hAnsi="Wingdings" w:hint="default"/>
        <w:b w:val="0"/>
        <w:i w:val="0"/>
        <w:color w:val="FF0000"/>
        <w:spacing w:val="0"/>
        <w:sz w:val="26"/>
      </w:rPr>
    </w:lvl>
    <w:lvl w:ilvl="1" w:tplc="BEA8D876">
      <w:start w:val="1"/>
      <w:numFmt w:val="bullet"/>
      <w:lvlText w:val="o"/>
      <w:lvlJc w:val="left"/>
      <w:pPr>
        <w:tabs>
          <w:tab w:val="num" w:pos="1440"/>
        </w:tabs>
        <w:ind w:left="1440" w:hanging="360"/>
      </w:pPr>
      <w:rPr>
        <w:rFonts w:ascii="Courier New" w:hAnsi="Courier New" w:hint="default"/>
      </w:rPr>
    </w:lvl>
    <w:lvl w:ilvl="2" w:tplc="CA689E7A">
      <w:start w:val="1"/>
      <w:numFmt w:val="bullet"/>
      <w:lvlText w:val=""/>
      <w:lvlJc w:val="left"/>
      <w:pPr>
        <w:tabs>
          <w:tab w:val="num" w:pos="2160"/>
        </w:tabs>
        <w:ind w:left="2160" w:hanging="360"/>
      </w:pPr>
      <w:rPr>
        <w:rFonts w:ascii="Wingdings" w:hAnsi="Wingdings" w:hint="default"/>
      </w:rPr>
    </w:lvl>
    <w:lvl w:ilvl="3" w:tplc="1B16916C">
      <w:start w:val="1"/>
      <w:numFmt w:val="bullet"/>
      <w:lvlText w:val=""/>
      <w:lvlJc w:val="left"/>
      <w:pPr>
        <w:tabs>
          <w:tab w:val="num" w:pos="2880"/>
        </w:tabs>
        <w:ind w:left="2880" w:hanging="360"/>
      </w:pPr>
      <w:rPr>
        <w:rFonts w:ascii="Symbol" w:hAnsi="Symbol" w:hint="default"/>
      </w:rPr>
    </w:lvl>
    <w:lvl w:ilvl="4" w:tplc="8584BC78">
      <w:start w:val="1"/>
      <w:numFmt w:val="bullet"/>
      <w:lvlText w:val="o"/>
      <w:lvlJc w:val="left"/>
      <w:pPr>
        <w:tabs>
          <w:tab w:val="num" w:pos="3600"/>
        </w:tabs>
        <w:ind w:left="3600" w:hanging="360"/>
      </w:pPr>
      <w:rPr>
        <w:rFonts w:ascii="Courier New" w:hAnsi="Courier New" w:hint="default"/>
      </w:rPr>
    </w:lvl>
    <w:lvl w:ilvl="5" w:tplc="FE628432">
      <w:start w:val="1"/>
      <w:numFmt w:val="bullet"/>
      <w:lvlText w:val=""/>
      <w:lvlJc w:val="left"/>
      <w:pPr>
        <w:tabs>
          <w:tab w:val="num" w:pos="4320"/>
        </w:tabs>
        <w:ind w:left="4320" w:hanging="360"/>
      </w:pPr>
      <w:rPr>
        <w:rFonts w:ascii="Wingdings" w:hAnsi="Wingdings" w:hint="default"/>
      </w:rPr>
    </w:lvl>
    <w:lvl w:ilvl="6" w:tplc="DA4E5C98">
      <w:start w:val="1"/>
      <w:numFmt w:val="bullet"/>
      <w:lvlText w:val=""/>
      <w:lvlJc w:val="left"/>
      <w:pPr>
        <w:tabs>
          <w:tab w:val="num" w:pos="5040"/>
        </w:tabs>
        <w:ind w:left="5040" w:hanging="360"/>
      </w:pPr>
      <w:rPr>
        <w:rFonts w:ascii="Symbol" w:hAnsi="Symbol" w:hint="default"/>
      </w:rPr>
    </w:lvl>
    <w:lvl w:ilvl="7" w:tplc="CF50E1B2">
      <w:start w:val="1"/>
      <w:numFmt w:val="bullet"/>
      <w:lvlText w:val="o"/>
      <w:lvlJc w:val="left"/>
      <w:pPr>
        <w:tabs>
          <w:tab w:val="num" w:pos="5760"/>
        </w:tabs>
        <w:ind w:left="5760" w:hanging="360"/>
      </w:pPr>
      <w:rPr>
        <w:rFonts w:ascii="Courier New" w:hAnsi="Courier New" w:hint="default"/>
      </w:rPr>
    </w:lvl>
    <w:lvl w:ilvl="8" w:tplc="E9CCC43E">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133F22"/>
    <w:multiLevelType w:val="hybridMultilevel"/>
    <w:tmpl w:val="07B4D620"/>
    <w:lvl w:ilvl="0" w:tplc="894A4710">
      <w:start w:val="1"/>
      <w:numFmt w:val="lowerLetter"/>
      <w:lvlText w:val="(%1)"/>
      <w:lvlJc w:val="left"/>
      <w:pPr>
        <w:tabs>
          <w:tab w:val="num" w:pos="2202"/>
        </w:tabs>
        <w:ind w:left="2202" w:hanging="360"/>
      </w:pPr>
      <w:rPr>
        <w:rFonts w:hint="default"/>
      </w:rPr>
    </w:lvl>
    <w:lvl w:ilvl="1" w:tplc="04100019" w:tentative="1">
      <w:start w:val="1"/>
      <w:numFmt w:val="lowerLetter"/>
      <w:lvlText w:val="%2."/>
      <w:lvlJc w:val="left"/>
      <w:pPr>
        <w:tabs>
          <w:tab w:val="num" w:pos="2922"/>
        </w:tabs>
        <w:ind w:left="2922" w:hanging="360"/>
      </w:pPr>
    </w:lvl>
    <w:lvl w:ilvl="2" w:tplc="0410001B" w:tentative="1">
      <w:start w:val="1"/>
      <w:numFmt w:val="lowerRoman"/>
      <w:lvlText w:val="%3."/>
      <w:lvlJc w:val="right"/>
      <w:pPr>
        <w:tabs>
          <w:tab w:val="num" w:pos="3642"/>
        </w:tabs>
        <w:ind w:left="3642" w:hanging="180"/>
      </w:pPr>
    </w:lvl>
    <w:lvl w:ilvl="3" w:tplc="0410000F" w:tentative="1">
      <w:start w:val="1"/>
      <w:numFmt w:val="decimal"/>
      <w:lvlText w:val="%4."/>
      <w:lvlJc w:val="left"/>
      <w:pPr>
        <w:tabs>
          <w:tab w:val="num" w:pos="4362"/>
        </w:tabs>
        <w:ind w:left="4362" w:hanging="360"/>
      </w:pPr>
    </w:lvl>
    <w:lvl w:ilvl="4" w:tplc="04100019" w:tentative="1">
      <w:start w:val="1"/>
      <w:numFmt w:val="lowerLetter"/>
      <w:lvlText w:val="%5."/>
      <w:lvlJc w:val="left"/>
      <w:pPr>
        <w:tabs>
          <w:tab w:val="num" w:pos="5082"/>
        </w:tabs>
        <w:ind w:left="5082" w:hanging="360"/>
      </w:pPr>
    </w:lvl>
    <w:lvl w:ilvl="5" w:tplc="0410001B" w:tentative="1">
      <w:start w:val="1"/>
      <w:numFmt w:val="lowerRoman"/>
      <w:lvlText w:val="%6."/>
      <w:lvlJc w:val="right"/>
      <w:pPr>
        <w:tabs>
          <w:tab w:val="num" w:pos="5802"/>
        </w:tabs>
        <w:ind w:left="5802" w:hanging="180"/>
      </w:pPr>
    </w:lvl>
    <w:lvl w:ilvl="6" w:tplc="0410000F" w:tentative="1">
      <w:start w:val="1"/>
      <w:numFmt w:val="decimal"/>
      <w:lvlText w:val="%7."/>
      <w:lvlJc w:val="left"/>
      <w:pPr>
        <w:tabs>
          <w:tab w:val="num" w:pos="6522"/>
        </w:tabs>
        <w:ind w:left="6522" w:hanging="360"/>
      </w:pPr>
    </w:lvl>
    <w:lvl w:ilvl="7" w:tplc="04100019" w:tentative="1">
      <w:start w:val="1"/>
      <w:numFmt w:val="lowerLetter"/>
      <w:lvlText w:val="%8."/>
      <w:lvlJc w:val="left"/>
      <w:pPr>
        <w:tabs>
          <w:tab w:val="num" w:pos="7242"/>
        </w:tabs>
        <w:ind w:left="7242" w:hanging="360"/>
      </w:pPr>
    </w:lvl>
    <w:lvl w:ilvl="8" w:tplc="0410001B" w:tentative="1">
      <w:start w:val="1"/>
      <w:numFmt w:val="lowerRoman"/>
      <w:lvlText w:val="%9."/>
      <w:lvlJc w:val="right"/>
      <w:pPr>
        <w:tabs>
          <w:tab w:val="num" w:pos="7962"/>
        </w:tabs>
        <w:ind w:left="7962" w:hanging="180"/>
      </w:pPr>
    </w:lvl>
  </w:abstractNum>
  <w:abstractNum w:abstractNumId="24"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3D95BC4"/>
    <w:multiLevelType w:val="hybridMultilevel"/>
    <w:tmpl w:val="A086B6BA"/>
    <w:lvl w:ilvl="0" w:tplc="973C3CC0">
      <w:start w:val="1"/>
      <w:numFmt w:val="lowerLetter"/>
      <w:lvlText w:val="(%1)"/>
      <w:lvlJc w:val="left"/>
      <w:pPr>
        <w:ind w:left="420" w:hanging="360"/>
      </w:pPr>
      <w:rPr>
        <w:rFonts w:ascii="Arial Narrow" w:hAnsi="Arial Narrow" w:hint="default"/>
        <w:sz w:val="15"/>
        <w:szCs w:val="15"/>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6"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7"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03F6CFD"/>
    <w:multiLevelType w:val="hybridMultilevel"/>
    <w:tmpl w:val="DB5CFE1A"/>
    <w:lvl w:ilvl="0" w:tplc="A8762A92">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46526AED"/>
    <w:multiLevelType w:val="hybridMultilevel"/>
    <w:tmpl w:val="F10A9D34"/>
    <w:lvl w:ilvl="0" w:tplc="680C282C">
      <w:start w:val="1"/>
      <w:numFmt w:val="bullet"/>
      <w:lvlText w:val="n"/>
      <w:lvlJc w:val="left"/>
      <w:pPr>
        <w:tabs>
          <w:tab w:val="num" w:pos="360"/>
        </w:tabs>
        <w:ind w:left="360" w:hanging="360"/>
      </w:pPr>
      <w:rPr>
        <w:rFonts w:ascii="Wingdings" w:hAnsi="Wingdings" w:hint="default"/>
        <w:color w:val="E42618"/>
        <w:sz w:val="24"/>
        <w:szCs w:val="24"/>
      </w:rPr>
    </w:lvl>
    <w:lvl w:ilvl="1" w:tplc="E7AC5A20">
      <w:start w:val="1"/>
      <w:numFmt w:val="bullet"/>
      <w:lvlText w:val=""/>
      <w:lvlJc w:val="left"/>
      <w:pPr>
        <w:tabs>
          <w:tab w:val="num" w:pos="1440"/>
        </w:tabs>
        <w:ind w:left="1440" w:hanging="360"/>
      </w:pPr>
      <w:rPr>
        <w:rFonts w:ascii="Symbol" w:hAnsi="Symbol"/>
      </w:rPr>
    </w:lvl>
    <w:lvl w:ilvl="2" w:tplc="050AAA86">
      <w:start w:val="1"/>
      <w:numFmt w:val="bullet"/>
      <w:lvlText w:val=""/>
      <w:lvlJc w:val="left"/>
      <w:pPr>
        <w:tabs>
          <w:tab w:val="num" w:pos="2160"/>
        </w:tabs>
        <w:ind w:left="2160" w:hanging="360"/>
      </w:pPr>
      <w:rPr>
        <w:rFonts w:ascii="Symbol" w:hAnsi="Symbol"/>
      </w:rPr>
    </w:lvl>
    <w:lvl w:ilvl="3" w:tplc="8B3E2E4E">
      <w:start w:val="1"/>
      <w:numFmt w:val="bullet"/>
      <w:lvlText w:val=""/>
      <w:lvlJc w:val="left"/>
      <w:pPr>
        <w:tabs>
          <w:tab w:val="num" w:pos="2880"/>
        </w:tabs>
        <w:ind w:left="2880" w:hanging="360"/>
      </w:pPr>
      <w:rPr>
        <w:rFonts w:ascii="Symbol" w:hAnsi="Symbol"/>
      </w:rPr>
    </w:lvl>
    <w:lvl w:ilvl="4" w:tplc="D36450B0">
      <w:start w:val="1"/>
      <w:numFmt w:val="bullet"/>
      <w:lvlText w:val=""/>
      <w:lvlJc w:val="left"/>
      <w:pPr>
        <w:tabs>
          <w:tab w:val="num" w:pos="3600"/>
        </w:tabs>
        <w:ind w:left="3600" w:hanging="360"/>
      </w:pPr>
      <w:rPr>
        <w:rFonts w:ascii="Symbol" w:hAnsi="Symbol"/>
      </w:rPr>
    </w:lvl>
    <w:lvl w:ilvl="5" w:tplc="EB62B692">
      <w:start w:val="1"/>
      <w:numFmt w:val="bullet"/>
      <w:lvlText w:val=""/>
      <w:lvlJc w:val="left"/>
      <w:pPr>
        <w:tabs>
          <w:tab w:val="num" w:pos="4320"/>
        </w:tabs>
        <w:ind w:left="4320" w:hanging="360"/>
      </w:pPr>
      <w:rPr>
        <w:rFonts w:ascii="Symbol" w:hAnsi="Symbol"/>
      </w:rPr>
    </w:lvl>
    <w:lvl w:ilvl="6" w:tplc="A796B456">
      <w:start w:val="1"/>
      <w:numFmt w:val="bullet"/>
      <w:lvlText w:val=""/>
      <w:lvlJc w:val="left"/>
      <w:pPr>
        <w:tabs>
          <w:tab w:val="num" w:pos="5040"/>
        </w:tabs>
        <w:ind w:left="5040" w:hanging="360"/>
      </w:pPr>
      <w:rPr>
        <w:rFonts w:ascii="Symbol" w:hAnsi="Symbol"/>
      </w:rPr>
    </w:lvl>
    <w:lvl w:ilvl="7" w:tplc="F144444C">
      <w:start w:val="1"/>
      <w:numFmt w:val="bullet"/>
      <w:lvlText w:val=""/>
      <w:lvlJc w:val="left"/>
      <w:pPr>
        <w:tabs>
          <w:tab w:val="num" w:pos="5760"/>
        </w:tabs>
        <w:ind w:left="5760" w:hanging="360"/>
      </w:pPr>
      <w:rPr>
        <w:rFonts w:ascii="Symbol" w:hAnsi="Symbol"/>
      </w:rPr>
    </w:lvl>
    <w:lvl w:ilvl="8" w:tplc="AC58295C">
      <w:start w:val="1"/>
      <w:numFmt w:val="bullet"/>
      <w:lvlText w:val=""/>
      <w:lvlJc w:val="left"/>
      <w:pPr>
        <w:tabs>
          <w:tab w:val="num" w:pos="6480"/>
        </w:tabs>
        <w:ind w:left="6480" w:hanging="360"/>
      </w:pPr>
      <w:rPr>
        <w:rFonts w:ascii="Symbol" w:hAnsi="Symbol"/>
      </w:rPr>
    </w:lvl>
  </w:abstractNum>
  <w:abstractNum w:abstractNumId="31"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2" w15:restartNumberingAfterBreak="0">
    <w:nsid w:val="52F30A1F"/>
    <w:multiLevelType w:val="hybridMultilevel"/>
    <w:tmpl w:val="02607124"/>
    <w:lvl w:ilvl="0" w:tplc="04090001">
      <w:start w:val="1"/>
      <w:numFmt w:val="bullet"/>
      <w:lvlText w:val=""/>
      <w:lvlJc w:val="left"/>
      <w:pPr>
        <w:ind w:left="2534" w:hanging="360"/>
      </w:pPr>
      <w:rPr>
        <w:rFonts w:ascii="Symbol" w:hAnsi="Symbol" w:hint="default"/>
      </w:rPr>
    </w:lvl>
    <w:lvl w:ilvl="1" w:tplc="04090003" w:tentative="1">
      <w:start w:val="1"/>
      <w:numFmt w:val="bullet"/>
      <w:lvlText w:val="o"/>
      <w:lvlJc w:val="left"/>
      <w:pPr>
        <w:ind w:left="3254" w:hanging="360"/>
      </w:pPr>
      <w:rPr>
        <w:rFonts w:ascii="Courier New" w:hAnsi="Courier New" w:cs="Courier New"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33" w15:restartNumberingAfterBreak="0">
    <w:nsid w:val="549A678C"/>
    <w:multiLevelType w:val="hybridMultilevel"/>
    <w:tmpl w:val="7EFE57B6"/>
    <w:lvl w:ilvl="0" w:tplc="7ED098F6">
      <w:start w:val="1"/>
      <w:numFmt w:val="lowerLetter"/>
      <w:lvlText w:val="%1)"/>
      <w:lvlJc w:val="left"/>
      <w:pPr>
        <w:ind w:left="25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20E061A"/>
    <w:multiLevelType w:val="multilevel"/>
    <w:tmpl w:val="A14EDF6A"/>
    <w:lvl w:ilvl="0">
      <w:start w:val="1"/>
      <w:numFmt w:val="lowerLetter"/>
      <w:lvlText w:val="(%1)"/>
      <w:lvlJc w:val="left"/>
      <w:pPr>
        <w:tabs>
          <w:tab w:val="num" w:pos="1980"/>
        </w:tabs>
        <w:ind w:left="19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1F92649"/>
    <w:multiLevelType w:val="hybridMultilevel"/>
    <w:tmpl w:val="1644907C"/>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7" w15:restartNumberingAfterBreak="0">
    <w:nsid w:val="72F1680C"/>
    <w:multiLevelType w:val="hybridMultilevel"/>
    <w:tmpl w:val="D9427482"/>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num w:numId="1">
    <w:abstractNumId w:val="15"/>
  </w:num>
  <w:num w:numId="2">
    <w:abstractNumId w:val="27"/>
  </w:num>
  <w:num w:numId="3">
    <w:abstractNumId w:val="31"/>
  </w:num>
  <w:num w:numId="4">
    <w:abstractNumId w:val="6"/>
  </w:num>
  <w:num w:numId="5">
    <w:abstractNumId w:val="20"/>
  </w:num>
  <w:num w:numId="6">
    <w:abstractNumId w:val="5"/>
  </w:num>
  <w:num w:numId="7">
    <w:abstractNumId w:val="0"/>
  </w:num>
  <w:num w:numId="8">
    <w:abstractNumId w:val="21"/>
  </w:num>
  <w:num w:numId="9">
    <w:abstractNumId w:val="28"/>
  </w:num>
  <w:num w:numId="10">
    <w:abstractNumId w:val="11"/>
  </w:num>
  <w:num w:numId="11">
    <w:abstractNumId w:val="26"/>
  </w:num>
  <w:num w:numId="12">
    <w:abstractNumId w:val="2"/>
  </w:num>
  <w:num w:numId="13">
    <w:abstractNumId w:val="35"/>
  </w:num>
  <w:num w:numId="14">
    <w:abstractNumId w:val="8"/>
  </w:num>
  <w:num w:numId="15">
    <w:abstractNumId w:val="37"/>
  </w:num>
  <w:num w:numId="16">
    <w:abstractNumId w:val="13"/>
  </w:num>
  <w:num w:numId="17">
    <w:abstractNumId w:val="24"/>
  </w:num>
  <w:num w:numId="18">
    <w:abstractNumId w:val="1"/>
  </w:num>
  <w:num w:numId="19">
    <w:abstractNumId w:val="17"/>
  </w:num>
  <w:num w:numId="20">
    <w:abstractNumId w:val="30"/>
  </w:num>
  <w:num w:numId="21">
    <w:abstractNumId w:val="9"/>
  </w:num>
  <w:num w:numId="22">
    <w:abstractNumId w:val="29"/>
  </w:num>
  <w:num w:numId="23">
    <w:abstractNumId w:val="34"/>
  </w:num>
  <w:num w:numId="24">
    <w:abstractNumId w:val="23"/>
  </w:num>
  <w:num w:numId="25">
    <w:abstractNumId w:val="10"/>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2"/>
  </w:num>
  <w:num w:numId="29">
    <w:abstractNumId w:val="14"/>
  </w:num>
  <w:num w:numId="30">
    <w:abstractNumId w:val="12"/>
  </w:num>
  <w:num w:numId="31">
    <w:abstractNumId w:val="4"/>
  </w:num>
  <w:num w:numId="32">
    <w:abstractNumId w:val="36"/>
  </w:num>
  <w:num w:numId="33">
    <w:abstractNumId w:val="7"/>
  </w:num>
  <w:num w:numId="34">
    <w:abstractNumId w:val="32"/>
  </w:num>
  <w:num w:numId="35">
    <w:abstractNumId w:val="16"/>
  </w:num>
  <w:num w:numId="36">
    <w:abstractNumId w:val="19"/>
  </w:num>
  <w:num w:numId="37">
    <w:abstractNumId w:val="3"/>
  </w:num>
  <w:num w:numId="38">
    <w:abstractNumId w:val="25"/>
  </w:num>
  <w:num w:numId="39">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hideSpellingErrors/>
  <w:hideGrammatical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01C"/>
    <w:rsid w:val="000000E6"/>
    <w:rsid w:val="00000148"/>
    <w:rsid w:val="00000728"/>
    <w:rsid w:val="000008B7"/>
    <w:rsid w:val="00000A07"/>
    <w:rsid w:val="00000B94"/>
    <w:rsid w:val="00001548"/>
    <w:rsid w:val="000015D1"/>
    <w:rsid w:val="00001605"/>
    <w:rsid w:val="00001C85"/>
    <w:rsid w:val="000020B7"/>
    <w:rsid w:val="0000242C"/>
    <w:rsid w:val="000026DF"/>
    <w:rsid w:val="00002F2D"/>
    <w:rsid w:val="000034C8"/>
    <w:rsid w:val="00003834"/>
    <w:rsid w:val="000039B0"/>
    <w:rsid w:val="00003AAA"/>
    <w:rsid w:val="00003AB5"/>
    <w:rsid w:val="00003AD9"/>
    <w:rsid w:val="00003F46"/>
    <w:rsid w:val="00003F7B"/>
    <w:rsid w:val="000041BD"/>
    <w:rsid w:val="000043D5"/>
    <w:rsid w:val="00004794"/>
    <w:rsid w:val="000049DD"/>
    <w:rsid w:val="00004CF5"/>
    <w:rsid w:val="00004D99"/>
    <w:rsid w:val="00004DDD"/>
    <w:rsid w:val="00004DF3"/>
    <w:rsid w:val="00004E38"/>
    <w:rsid w:val="0000500C"/>
    <w:rsid w:val="000054F2"/>
    <w:rsid w:val="00005A6B"/>
    <w:rsid w:val="00006709"/>
    <w:rsid w:val="0000683C"/>
    <w:rsid w:val="000068CA"/>
    <w:rsid w:val="00006A17"/>
    <w:rsid w:val="00006DB7"/>
    <w:rsid w:val="00006E53"/>
    <w:rsid w:val="00007042"/>
    <w:rsid w:val="0000740E"/>
    <w:rsid w:val="000077FA"/>
    <w:rsid w:val="00007876"/>
    <w:rsid w:val="00010006"/>
    <w:rsid w:val="00010041"/>
    <w:rsid w:val="000101B6"/>
    <w:rsid w:val="0001021B"/>
    <w:rsid w:val="000102D5"/>
    <w:rsid w:val="00010573"/>
    <w:rsid w:val="0001089C"/>
    <w:rsid w:val="000108ED"/>
    <w:rsid w:val="00010957"/>
    <w:rsid w:val="0001097F"/>
    <w:rsid w:val="000109E3"/>
    <w:rsid w:val="00010A46"/>
    <w:rsid w:val="00010B15"/>
    <w:rsid w:val="00010B3C"/>
    <w:rsid w:val="00010B8D"/>
    <w:rsid w:val="00010C7B"/>
    <w:rsid w:val="00010D06"/>
    <w:rsid w:val="00011270"/>
    <w:rsid w:val="000113F8"/>
    <w:rsid w:val="00011473"/>
    <w:rsid w:val="00011610"/>
    <w:rsid w:val="0001181A"/>
    <w:rsid w:val="000119A0"/>
    <w:rsid w:val="00011A51"/>
    <w:rsid w:val="00011DC6"/>
    <w:rsid w:val="00011EAF"/>
    <w:rsid w:val="00011F76"/>
    <w:rsid w:val="00012364"/>
    <w:rsid w:val="0001244E"/>
    <w:rsid w:val="00012499"/>
    <w:rsid w:val="0001283C"/>
    <w:rsid w:val="0001287A"/>
    <w:rsid w:val="00012A11"/>
    <w:rsid w:val="00012FD3"/>
    <w:rsid w:val="0001319C"/>
    <w:rsid w:val="000134A3"/>
    <w:rsid w:val="0001357A"/>
    <w:rsid w:val="000135AB"/>
    <w:rsid w:val="00013751"/>
    <w:rsid w:val="00013995"/>
    <w:rsid w:val="00013A1E"/>
    <w:rsid w:val="00013F41"/>
    <w:rsid w:val="00014269"/>
    <w:rsid w:val="000142DC"/>
    <w:rsid w:val="000143E3"/>
    <w:rsid w:val="000146B3"/>
    <w:rsid w:val="00014863"/>
    <w:rsid w:val="00014927"/>
    <w:rsid w:val="0001494F"/>
    <w:rsid w:val="000152B4"/>
    <w:rsid w:val="00015517"/>
    <w:rsid w:val="0001561A"/>
    <w:rsid w:val="00015D22"/>
    <w:rsid w:val="00015DAF"/>
    <w:rsid w:val="00015EAD"/>
    <w:rsid w:val="00016024"/>
    <w:rsid w:val="0001638E"/>
    <w:rsid w:val="000167F5"/>
    <w:rsid w:val="00016974"/>
    <w:rsid w:val="00016B13"/>
    <w:rsid w:val="00016C00"/>
    <w:rsid w:val="00016C6A"/>
    <w:rsid w:val="00017353"/>
    <w:rsid w:val="0001745D"/>
    <w:rsid w:val="00017951"/>
    <w:rsid w:val="000204CC"/>
    <w:rsid w:val="000204D8"/>
    <w:rsid w:val="000205CA"/>
    <w:rsid w:val="0002065A"/>
    <w:rsid w:val="000208F9"/>
    <w:rsid w:val="000211AD"/>
    <w:rsid w:val="000213E2"/>
    <w:rsid w:val="00021652"/>
    <w:rsid w:val="0002181D"/>
    <w:rsid w:val="00021B34"/>
    <w:rsid w:val="00022197"/>
    <w:rsid w:val="00022763"/>
    <w:rsid w:val="000228CB"/>
    <w:rsid w:val="000233BC"/>
    <w:rsid w:val="000235E9"/>
    <w:rsid w:val="000235FB"/>
    <w:rsid w:val="00023D90"/>
    <w:rsid w:val="00024050"/>
    <w:rsid w:val="000241B7"/>
    <w:rsid w:val="00024474"/>
    <w:rsid w:val="00024BDA"/>
    <w:rsid w:val="00024DBE"/>
    <w:rsid w:val="000250BC"/>
    <w:rsid w:val="0002515C"/>
    <w:rsid w:val="0002519B"/>
    <w:rsid w:val="00025294"/>
    <w:rsid w:val="000253FD"/>
    <w:rsid w:val="000254AC"/>
    <w:rsid w:val="0002574E"/>
    <w:rsid w:val="000257C6"/>
    <w:rsid w:val="00025822"/>
    <w:rsid w:val="00025AA7"/>
    <w:rsid w:val="00025C48"/>
    <w:rsid w:val="00026495"/>
    <w:rsid w:val="000266A7"/>
    <w:rsid w:val="000271F4"/>
    <w:rsid w:val="00027F95"/>
    <w:rsid w:val="00027FBC"/>
    <w:rsid w:val="000305B0"/>
    <w:rsid w:val="00030AB8"/>
    <w:rsid w:val="00030BEE"/>
    <w:rsid w:val="00030C3A"/>
    <w:rsid w:val="00030D02"/>
    <w:rsid w:val="00030DD9"/>
    <w:rsid w:val="0003114F"/>
    <w:rsid w:val="00031258"/>
    <w:rsid w:val="00031311"/>
    <w:rsid w:val="000317E1"/>
    <w:rsid w:val="00031864"/>
    <w:rsid w:val="00031934"/>
    <w:rsid w:val="00031C2E"/>
    <w:rsid w:val="00031E4E"/>
    <w:rsid w:val="000320B7"/>
    <w:rsid w:val="00032111"/>
    <w:rsid w:val="0003236F"/>
    <w:rsid w:val="00032A4E"/>
    <w:rsid w:val="00032BB1"/>
    <w:rsid w:val="00033432"/>
    <w:rsid w:val="00033801"/>
    <w:rsid w:val="0003391B"/>
    <w:rsid w:val="000344D7"/>
    <w:rsid w:val="00034CCB"/>
    <w:rsid w:val="00034D9C"/>
    <w:rsid w:val="00034E73"/>
    <w:rsid w:val="00034F28"/>
    <w:rsid w:val="0003502D"/>
    <w:rsid w:val="000350E3"/>
    <w:rsid w:val="00035164"/>
    <w:rsid w:val="0003517C"/>
    <w:rsid w:val="000352CC"/>
    <w:rsid w:val="00035555"/>
    <w:rsid w:val="00035837"/>
    <w:rsid w:val="0003608C"/>
    <w:rsid w:val="0003629C"/>
    <w:rsid w:val="000363D3"/>
    <w:rsid w:val="000366BA"/>
    <w:rsid w:val="0003704B"/>
    <w:rsid w:val="00037BBD"/>
    <w:rsid w:val="00037F26"/>
    <w:rsid w:val="0004002D"/>
    <w:rsid w:val="00040033"/>
    <w:rsid w:val="000402DE"/>
    <w:rsid w:val="00040619"/>
    <w:rsid w:val="000408F2"/>
    <w:rsid w:val="00041081"/>
    <w:rsid w:val="000410DD"/>
    <w:rsid w:val="00041445"/>
    <w:rsid w:val="000418D6"/>
    <w:rsid w:val="00041D3A"/>
    <w:rsid w:val="00041D56"/>
    <w:rsid w:val="00041DD2"/>
    <w:rsid w:val="00041DDD"/>
    <w:rsid w:val="00041DEF"/>
    <w:rsid w:val="0004257E"/>
    <w:rsid w:val="000425DB"/>
    <w:rsid w:val="00042B16"/>
    <w:rsid w:val="00042D21"/>
    <w:rsid w:val="00042E71"/>
    <w:rsid w:val="00042F77"/>
    <w:rsid w:val="000433C2"/>
    <w:rsid w:val="0004346C"/>
    <w:rsid w:val="000437DE"/>
    <w:rsid w:val="00043C45"/>
    <w:rsid w:val="00043C67"/>
    <w:rsid w:val="00043F9E"/>
    <w:rsid w:val="0004409E"/>
    <w:rsid w:val="000445F5"/>
    <w:rsid w:val="0004471F"/>
    <w:rsid w:val="00044806"/>
    <w:rsid w:val="00044845"/>
    <w:rsid w:val="0004496E"/>
    <w:rsid w:val="00044B3D"/>
    <w:rsid w:val="00044BA2"/>
    <w:rsid w:val="00044D3A"/>
    <w:rsid w:val="0004504F"/>
    <w:rsid w:val="000450EF"/>
    <w:rsid w:val="000452A7"/>
    <w:rsid w:val="000455A6"/>
    <w:rsid w:val="00045656"/>
    <w:rsid w:val="000456DB"/>
    <w:rsid w:val="000457A7"/>
    <w:rsid w:val="00045BC9"/>
    <w:rsid w:val="000462ED"/>
    <w:rsid w:val="00046401"/>
    <w:rsid w:val="00046645"/>
    <w:rsid w:val="00046668"/>
    <w:rsid w:val="00046881"/>
    <w:rsid w:val="00046950"/>
    <w:rsid w:val="00046AF5"/>
    <w:rsid w:val="00046F8A"/>
    <w:rsid w:val="000474A3"/>
    <w:rsid w:val="000474EA"/>
    <w:rsid w:val="000478E6"/>
    <w:rsid w:val="0004797F"/>
    <w:rsid w:val="000479D4"/>
    <w:rsid w:val="00047CCE"/>
    <w:rsid w:val="00047E42"/>
    <w:rsid w:val="00047EA6"/>
    <w:rsid w:val="00050117"/>
    <w:rsid w:val="00050441"/>
    <w:rsid w:val="00050489"/>
    <w:rsid w:val="00050496"/>
    <w:rsid w:val="000506A1"/>
    <w:rsid w:val="000508D1"/>
    <w:rsid w:val="00050B87"/>
    <w:rsid w:val="00051081"/>
    <w:rsid w:val="000512D1"/>
    <w:rsid w:val="0005132D"/>
    <w:rsid w:val="0005182E"/>
    <w:rsid w:val="00051CCA"/>
    <w:rsid w:val="00051D92"/>
    <w:rsid w:val="00051E6A"/>
    <w:rsid w:val="00051FC2"/>
    <w:rsid w:val="000525CE"/>
    <w:rsid w:val="00052A04"/>
    <w:rsid w:val="00052D6F"/>
    <w:rsid w:val="0005317F"/>
    <w:rsid w:val="00053471"/>
    <w:rsid w:val="000537BB"/>
    <w:rsid w:val="00053850"/>
    <w:rsid w:val="000538A1"/>
    <w:rsid w:val="000541C7"/>
    <w:rsid w:val="00054645"/>
    <w:rsid w:val="00054A4F"/>
    <w:rsid w:val="00054ACA"/>
    <w:rsid w:val="00054B66"/>
    <w:rsid w:val="00054E68"/>
    <w:rsid w:val="0005548B"/>
    <w:rsid w:val="0005548D"/>
    <w:rsid w:val="000557ED"/>
    <w:rsid w:val="00055990"/>
    <w:rsid w:val="00055CB6"/>
    <w:rsid w:val="00055E26"/>
    <w:rsid w:val="00056137"/>
    <w:rsid w:val="00056138"/>
    <w:rsid w:val="000565A3"/>
    <w:rsid w:val="00056612"/>
    <w:rsid w:val="00056635"/>
    <w:rsid w:val="000567BC"/>
    <w:rsid w:val="000569E0"/>
    <w:rsid w:val="00056DA9"/>
    <w:rsid w:val="00056EEF"/>
    <w:rsid w:val="00057588"/>
    <w:rsid w:val="00057640"/>
    <w:rsid w:val="000578A2"/>
    <w:rsid w:val="00057CB1"/>
    <w:rsid w:val="00060045"/>
    <w:rsid w:val="00060073"/>
    <w:rsid w:val="00060194"/>
    <w:rsid w:val="0006043F"/>
    <w:rsid w:val="0006068C"/>
    <w:rsid w:val="00060769"/>
    <w:rsid w:val="000607A6"/>
    <w:rsid w:val="00061253"/>
    <w:rsid w:val="00061378"/>
    <w:rsid w:val="0006148E"/>
    <w:rsid w:val="00061580"/>
    <w:rsid w:val="000617F3"/>
    <w:rsid w:val="000617FF"/>
    <w:rsid w:val="00061BEA"/>
    <w:rsid w:val="00061DC7"/>
    <w:rsid w:val="00061E48"/>
    <w:rsid w:val="00061E67"/>
    <w:rsid w:val="00061EE4"/>
    <w:rsid w:val="000620FB"/>
    <w:rsid w:val="000621DF"/>
    <w:rsid w:val="00062354"/>
    <w:rsid w:val="00062437"/>
    <w:rsid w:val="000626C4"/>
    <w:rsid w:val="00062926"/>
    <w:rsid w:val="000629AB"/>
    <w:rsid w:val="00062C7C"/>
    <w:rsid w:val="00062E45"/>
    <w:rsid w:val="00063308"/>
    <w:rsid w:val="000635F7"/>
    <w:rsid w:val="00063D28"/>
    <w:rsid w:val="000641F8"/>
    <w:rsid w:val="000643F7"/>
    <w:rsid w:val="00064404"/>
    <w:rsid w:val="000646B8"/>
    <w:rsid w:val="00064936"/>
    <w:rsid w:val="00064E2A"/>
    <w:rsid w:val="00064F58"/>
    <w:rsid w:val="00065001"/>
    <w:rsid w:val="000651DE"/>
    <w:rsid w:val="00065319"/>
    <w:rsid w:val="0006537C"/>
    <w:rsid w:val="000653E1"/>
    <w:rsid w:val="00065467"/>
    <w:rsid w:val="00065496"/>
    <w:rsid w:val="000657E2"/>
    <w:rsid w:val="00065B83"/>
    <w:rsid w:val="000662FB"/>
    <w:rsid w:val="0006665B"/>
    <w:rsid w:val="0006690F"/>
    <w:rsid w:val="00067188"/>
    <w:rsid w:val="00067292"/>
    <w:rsid w:val="00067430"/>
    <w:rsid w:val="000674B5"/>
    <w:rsid w:val="0006757F"/>
    <w:rsid w:val="00067AB5"/>
    <w:rsid w:val="00067F81"/>
    <w:rsid w:val="00070718"/>
    <w:rsid w:val="0007076D"/>
    <w:rsid w:val="000708D3"/>
    <w:rsid w:val="00070B2A"/>
    <w:rsid w:val="00070E18"/>
    <w:rsid w:val="00070F2A"/>
    <w:rsid w:val="00071DBD"/>
    <w:rsid w:val="00071EFA"/>
    <w:rsid w:val="000720F5"/>
    <w:rsid w:val="000720F8"/>
    <w:rsid w:val="00072142"/>
    <w:rsid w:val="00072711"/>
    <w:rsid w:val="00072728"/>
    <w:rsid w:val="000727B5"/>
    <w:rsid w:val="00072B3F"/>
    <w:rsid w:val="00072BE2"/>
    <w:rsid w:val="00072C03"/>
    <w:rsid w:val="00072DD4"/>
    <w:rsid w:val="00073223"/>
    <w:rsid w:val="000732DF"/>
    <w:rsid w:val="000732FD"/>
    <w:rsid w:val="0007358E"/>
    <w:rsid w:val="00073792"/>
    <w:rsid w:val="00073872"/>
    <w:rsid w:val="00073A89"/>
    <w:rsid w:val="00073CEC"/>
    <w:rsid w:val="00073D34"/>
    <w:rsid w:val="00073F42"/>
    <w:rsid w:val="00073FA9"/>
    <w:rsid w:val="00074665"/>
    <w:rsid w:val="000746D5"/>
    <w:rsid w:val="00074709"/>
    <w:rsid w:val="000749B9"/>
    <w:rsid w:val="00074D11"/>
    <w:rsid w:val="00074DA1"/>
    <w:rsid w:val="000754FC"/>
    <w:rsid w:val="000755F9"/>
    <w:rsid w:val="000756DF"/>
    <w:rsid w:val="00075941"/>
    <w:rsid w:val="00075CC6"/>
    <w:rsid w:val="00075E7A"/>
    <w:rsid w:val="0007633F"/>
    <w:rsid w:val="000764A2"/>
    <w:rsid w:val="0007650D"/>
    <w:rsid w:val="000765B6"/>
    <w:rsid w:val="00076C27"/>
    <w:rsid w:val="00076D5D"/>
    <w:rsid w:val="00076DE8"/>
    <w:rsid w:val="0007706A"/>
    <w:rsid w:val="00077534"/>
    <w:rsid w:val="0007754A"/>
    <w:rsid w:val="00077592"/>
    <w:rsid w:val="0007778B"/>
    <w:rsid w:val="000778A2"/>
    <w:rsid w:val="00077E7D"/>
    <w:rsid w:val="00080263"/>
    <w:rsid w:val="000803AD"/>
    <w:rsid w:val="000806D4"/>
    <w:rsid w:val="00080736"/>
    <w:rsid w:val="00080844"/>
    <w:rsid w:val="000808E3"/>
    <w:rsid w:val="00080B60"/>
    <w:rsid w:val="00080F62"/>
    <w:rsid w:val="000811D8"/>
    <w:rsid w:val="000817F5"/>
    <w:rsid w:val="000818DD"/>
    <w:rsid w:val="000819D4"/>
    <w:rsid w:val="000828E6"/>
    <w:rsid w:val="000829B6"/>
    <w:rsid w:val="000829D1"/>
    <w:rsid w:val="00082A62"/>
    <w:rsid w:val="00082D10"/>
    <w:rsid w:val="00082E1E"/>
    <w:rsid w:val="00083173"/>
    <w:rsid w:val="00083421"/>
    <w:rsid w:val="00083429"/>
    <w:rsid w:val="00083FA8"/>
    <w:rsid w:val="00083FE3"/>
    <w:rsid w:val="0008411D"/>
    <w:rsid w:val="00084387"/>
    <w:rsid w:val="00084761"/>
    <w:rsid w:val="000849DF"/>
    <w:rsid w:val="00084AF6"/>
    <w:rsid w:val="00084E02"/>
    <w:rsid w:val="00084EA2"/>
    <w:rsid w:val="00084EE6"/>
    <w:rsid w:val="00084F63"/>
    <w:rsid w:val="0008506C"/>
    <w:rsid w:val="0008524E"/>
    <w:rsid w:val="0008527C"/>
    <w:rsid w:val="0008545A"/>
    <w:rsid w:val="00085AC2"/>
    <w:rsid w:val="00085AFD"/>
    <w:rsid w:val="00085BC7"/>
    <w:rsid w:val="00085C22"/>
    <w:rsid w:val="00085C51"/>
    <w:rsid w:val="00085D7F"/>
    <w:rsid w:val="00085E26"/>
    <w:rsid w:val="0008600B"/>
    <w:rsid w:val="0008600F"/>
    <w:rsid w:val="00086154"/>
    <w:rsid w:val="000868F5"/>
    <w:rsid w:val="00086C43"/>
    <w:rsid w:val="00086C83"/>
    <w:rsid w:val="000873CD"/>
    <w:rsid w:val="000873E7"/>
    <w:rsid w:val="000876D8"/>
    <w:rsid w:val="000876FA"/>
    <w:rsid w:val="00087774"/>
    <w:rsid w:val="00087BB3"/>
    <w:rsid w:val="00087C9E"/>
    <w:rsid w:val="0009016A"/>
    <w:rsid w:val="000901BC"/>
    <w:rsid w:val="000909B9"/>
    <w:rsid w:val="00090A07"/>
    <w:rsid w:val="00090B9F"/>
    <w:rsid w:val="00090D41"/>
    <w:rsid w:val="00090DE6"/>
    <w:rsid w:val="00090F1B"/>
    <w:rsid w:val="0009127D"/>
    <w:rsid w:val="00091382"/>
    <w:rsid w:val="000917F4"/>
    <w:rsid w:val="00091AA3"/>
    <w:rsid w:val="00091AFB"/>
    <w:rsid w:val="00091D57"/>
    <w:rsid w:val="00092358"/>
    <w:rsid w:val="00092391"/>
    <w:rsid w:val="000924A8"/>
    <w:rsid w:val="000924D4"/>
    <w:rsid w:val="00092C29"/>
    <w:rsid w:val="00093042"/>
    <w:rsid w:val="00093540"/>
    <w:rsid w:val="0009393D"/>
    <w:rsid w:val="00093DB0"/>
    <w:rsid w:val="0009434D"/>
    <w:rsid w:val="00094463"/>
    <w:rsid w:val="00094B3C"/>
    <w:rsid w:val="00094CB4"/>
    <w:rsid w:val="000951A2"/>
    <w:rsid w:val="00095213"/>
    <w:rsid w:val="00095528"/>
    <w:rsid w:val="00095538"/>
    <w:rsid w:val="00095ABF"/>
    <w:rsid w:val="00096313"/>
    <w:rsid w:val="00096371"/>
    <w:rsid w:val="000964A7"/>
    <w:rsid w:val="0009657B"/>
    <w:rsid w:val="00096954"/>
    <w:rsid w:val="00096C13"/>
    <w:rsid w:val="00096DB8"/>
    <w:rsid w:val="0009700D"/>
    <w:rsid w:val="00097014"/>
    <w:rsid w:val="0009723F"/>
    <w:rsid w:val="000972EF"/>
    <w:rsid w:val="000977C6"/>
    <w:rsid w:val="00097C94"/>
    <w:rsid w:val="000A085E"/>
    <w:rsid w:val="000A0936"/>
    <w:rsid w:val="000A09E7"/>
    <w:rsid w:val="000A0AC7"/>
    <w:rsid w:val="000A0D56"/>
    <w:rsid w:val="000A0D76"/>
    <w:rsid w:val="000A0DC1"/>
    <w:rsid w:val="000A0F77"/>
    <w:rsid w:val="000A1070"/>
    <w:rsid w:val="000A10AB"/>
    <w:rsid w:val="000A123E"/>
    <w:rsid w:val="000A1285"/>
    <w:rsid w:val="000A169F"/>
    <w:rsid w:val="000A1D68"/>
    <w:rsid w:val="000A2640"/>
    <w:rsid w:val="000A27BB"/>
    <w:rsid w:val="000A29A5"/>
    <w:rsid w:val="000A2EB6"/>
    <w:rsid w:val="000A2EFD"/>
    <w:rsid w:val="000A32BD"/>
    <w:rsid w:val="000A353C"/>
    <w:rsid w:val="000A3E31"/>
    <w:rsid w:val="000A3EBA"/>
    <w:rsid w:val="000A4087"/>
    <w:rsid w:val="000A40C6"/>
    <w:rsid w:val="000A40FD"/>
    <w:rsid w:val="000A4124"/>
    <w:rsid w:val="000A4139"/>
    <w:rsid w:val="000A4871"/>
    <w:rsid w:val="000A4E9A"/>
    <w:rsid w:val="000A510B"/>
    <w:rsid w:val="000A5314"/>
    <w:rsid w:val="000A539F"/>
    <w:rsid w:val="000A5A83"/>
    <w:rsid w:val="000A5D8F"/>
    <w:rsid w:val="000A5D99"/>
    <w:rsid w:val="000A6163"/>
    <w:rsid w:val="000A630E"/>
    <w:rsid w:val="000A63AD"/>
    <w:rsid w:val="000A6591"/>
    <w:rsid w:val="000A677A"/>
    <w:rsid w:val="000A69D2"/>
    <w:rsid w:val="000A77D6"/>
    <w:rsid w:val="000A78EC"/>
    <w:rsid w:val="000A7B77"/>
    <w:rsid w:val="000A7C4C"/>
    <w:rsid w:val="000A7CF9"/>
    <w:rsid w:val="000A7D15"/>
    <w:rsid w:val="000A7D4B"/>
    <w:rsid w:val="000A7F51"/>
    <w:rsid w:val="000B01FA"/>
    <w:rsid w:val="000B022B"/>
    <w:rsid w:val="000B02ED"/>
    <w:rsid w:val="000B06A7"/>
    <w:rsid w:val="000B0DCE"/>
    <w:rsid w:val="000B14E7"/>
    <w:rsid w:val="000B1BA4"/>
    <w:rsid w:val="000B1F20"/>
    <w:rsid w:val="000B1F2B"/>
    <w:rsid w:val="000B20D4"/>
    <w:rsid w:val="000B2213"/>
    <w:rsid w:val="000B233D"/>
    <w:rsid w:val="000B27E0"/>
    <w:rsid w:val="000B2A82"/>
    <w:rsid w:val="000B2AAC"/>
    <w:rsid w:val="000B2B3C"/>
    <w:rsid w:val="000B2CD6"/>
    <w:rsid w:val="000B2FC3"/>
    <w:rsid w:val="000B32C5"/>
    <w:rsid w:val="000B32E4"/>
    <w:rsid w:val="000B3304"/>
    <w:rsid w:val="000B3667"/>
    <w:rsid w:val="000B38EA"/>
    <w:rsid w:val="000B3C3F"/>
    <w:rsid w:val="000B3D51"/>
    <w:rsid w:val="000B3EAD"/>
    <w:rsid w:val="000B3F89"/>
    <w:rsid w:val="000B4C82"/>
    <w:rsid w:val="000B51E7"/>
    <w:rsid w:val="000B53F2"/>
    <w:rsid w:val="000B56C0"/>
    <w:rsid w:val="000B57DB"/>
    <w:rsid w:val="000B5A90"/>
    <w:rsid w:val="000B5B83"/>
    <w:rsid w:val="000B5DC1"/>
    <w:rsid w:val="000B5F3D"/>
    <w:rsid w:val="000B5FA3"/>
    <w:rsid w:val="000B60D2"/>
    <w:rsid w:val="000B6575"/>
    <w:rsid w:val="000B6801"/>
    <w:rsid w:val="000B6A87"/>
    <w:rsid w:val="000B6B12"/>
    <w:rsid w:val="000B6C6C"/>
    <w:rsid w:val="000B6CD3"/>
    <w:rsid w:val="000B6D0F"/>
    <w:rsid w:val="000B6E6D"/>
    <w:rsid w:val="000B72E0"/>
    <w:rsid w:val="000B7600"/>
    <w:rsid w:val="000B7664"/>
    <w:rsid w:val="000B7680"/>
    <w:rsid w:val="000B7989"/>
    <w:rsid w:val="000B7AE5"/>
    <w:rsid w:val="000B7E0D"/>
    <w:rsid w:val="000C01F6"/>
    <w:rsid w:val="000C0226"/>
    <w:rsid w:val="000C023A"/>
    <w:rsid w:val="000C0726"/>
    <w:rsid w:val="000C076E"/>
    <w:rsid w:val="000C099C"/>
    <w:rsid w:val="000C0F55"/>
    <w:rsid w:val="000C1097"/>
    <w:rsid w:val="000C139B"/>
    <w:rsid w:val="000C140B"/>
    <w:rsid w:val="000C15E3"/>
    <w:rsid w:val="000C1C3E"/>
    <w:rsid w:val="000C233C"/>
    <w:rsid w:val="000C24DA"/>
    <w:rsid w:val="000C25D8"/>
    <w:rsid w:val="000C267B"/>
    <w:rsid w:val="000C2980"/>
    <w:rsid w:val="000C2FB7"/>
    <w:rsid w:val="000C30CB"/>
    <w:rsid w:val="000C35FB"/>
    <w:rsid w:val="000C3630"/>
    <w:rsid w:val="000C3830"/>
    <w:rsid w:val="000C399A"/>
    <w:rsid w:val="000C39B4"/>
    <w:rsid w:val="000C3AD0"/>
    <w:rsid w:val="000C3DA5"/>
    <w:rsid w:val="000C42ED"/>
    <w:rsid w:val="000C4457"/>
    <w:rsid w:val="000C4589"/>
    <w:rsid w:val="000C4689"/>
    <w:rsid w:val="000C4738"/>
    <w:rsid w:val="000C4968"/>
    <w:rsid w:val="000C4CC0"/>
    <w:rsid w:val="000C4D5C"/>
    <w:rsid w:val="000C5202"/>
    <w:rsid w:val="000C53F5"/>
    <w:rsid w:val="000C5564"/>
    <w:rsid w:val="000C55DB"/>
    <w:rsid w:val="000C5602"/>
    <w:rsid w:val="000C584E"/>
    <w:rsid w:val="000C59C4"/>
    <w:rsid w:val="000C5B36"/>
    <w:rsid w:val="000C5D65"/>
    <w:rsid w:val="000C627A"/>
    <w:rsid w:val="000C6F05"/>
    <w:rsid w:val="000C71C5"/>
    <w:rsid w:val="000C727A"/>
    <w:rsid w:val="000C730E"/>
    <w:rsid w:val="000C7450"/>
    <w:rsid w:val="000C7697"/>
    <w:rsid w:val="000C76DA"/>
    <w:rsid w:val="000C789E"/>
    <w:rsid w:val="000C79D0"/>
    <w:rsid w:val="000C7ABE"/>
    <w:rsid w:val="000C7B4C"/>
    <w:rsid w:val="000C7D70"/>
    <w:rsid w:val="000C7EF4"/>
    <w:rsid w:val="000D0459"/>
    <w:rsid w:val="000D072A"/>
    <w:rsid w:val="000D09C3"/>
    <w:rsid w:val="000D0B34"/>
    <w:rsid w:val="000D0EC2"/>
    <w:rsid w:val="000D0F51"/>
    <w:rsid w:val="000D1221"/>
    <w:rsid w:val="000D17A9"/>
    <w:rsid w:val="000D1B06"/>
    <w:rsid w:val="000D1D83"/>
    <w:rsid w:val="000D1E54"/>
    <w:rsid w:val="000D215B"/>
    <w:rsid w:val="000D24E2"/>
    <w:rsid w:val="000D2BA7"/>
    <w:rsid w:val="000D2CA8"/>
    <w:rsid w:val="000D3585"/>
    <w:rsid w:val="000D3A7C"/>
    <w:rsid w:val="000D3CAE"/>
    <w:rsid w:val="000D42CA"/>
    <w:rsid w:val="000D4498"/>
    <w:rsid w:val="000D4568"/>
    <w:rsid w:val="000D4A0C"/>
    <w:rsid w:val="000D4EE8"/>
    <w:rsid w:val="000D4FE9"/>
    <w:rsid w:val="000D5383"/>
    <w:rsid w:val="000D53B8"/>
    <w:rsid w:val="000D5624"/>
    <w:rsid w:val="000D5955"/>
    <w:rsid w:val="000D68E4"/>
    <w:rsid w:val="000D70CE"/>
    <w:rsid w:val="000D70FA"/>
    <w:rsid w:val="000D7279"/>
    <w:rsid w:val="000D74A4"/>
    <w:rsid w:val="000D7679"/>
    <w:rsid w:val="000D7CD3"/>
    <w:rsid w:val="000E0C8A"/>
    <w:rsid w:val="000E0D71"/>
    <w:rsid w:val="000E0DD4"/>
    <w:rsid w:val="000E0F62"/>
    <w:rsid w:val="000E0FC9"/>
    <w:rsid w:val="000E1054"/>
    <w:rsid w:val="000E1158"/>
    <w:rsid w:val="000E13B0"/>
    <w:rsid w:val="000E1473"/>
    <w:rsid w:val="000E162A"/>
    <w:rsid w:val="000E177D"/>
    <w:rsid w:val="000E19F0"/>
    <w:rsid w:val="000E1E6F"/>
    <w:rsid w:val="000E2098"/>
    <w:rsid w:val="000E21B1"/>
    <w:rsid w:val="000E22B3"/>
    <w:rsid w:val="000E237E"/>
    <w:rsid w:val="000E23BF"/>
    <w:rsid w:val="000E23EF"/>
    <w:rsid w:val="000E2664"/>
    <w:rsid w:val="000E2903"/>
    <w:rsid w:val="000E2BE0"/>
    <w:rsid w:val="000E2C2B"/>
    <w:rsid w:val="000E2E1B"/>
    <w:rsid w:val="000E327D"/>
    <w:rsid w:val="000E32BE"/>
    <w:rsid w:val="000E32CD"/>
    <w:rsid w:val="000E3463"/>
    <w:rsid w:val="000E3464"/>
    <w:rsid w:val="000E3886"/>
    <w:rsid w:val="000E3CFC"/>
    <w:rsid w:val="000E404D"/>
    <w:rsid w:val="000E40CB"/>
    <w:rsid w:val="000E420F"/>
    <w:rsid w:val="000E42F6"/>
    <w:rsid w:val="000E44A9"/>
    <w:rsid w:val="000E4A6D"/>
    <w:rsid w:val="000E4D8F"/>
    <w:rsid w:val="000E5429"/>
    <w:rsid w:val="000E5B28"/>
    <w:rsid w:val="000E5D0D"/>
    <w:rsid w:val="000E62CE"/>
    <w:rsid w:val="000E63BC"/>
    <w:rsid w:val="000E649F"/>
    <w:rsid w:val="000E66DF"/>
    <w:rsid w:val="000E6AF8"/>
    <w:rsid w:val="000E6B08"/>
    <w:rsid w:val="000E70A5"/>
    <w:rsid w:val="000E70F6"/>
    <w:rsid w:val="000E7523"/>
    <w:rsid w:val="000E77B0"/>
    <w:rsid w:val="000E78BC"/>
    <w:rsid w:val="000E7960"/>
    <w:rsid w:val="000E7F42"/>
    <w:rsid w:val="000F01EE"/>
    <w:rsid w:val="000F034B"/>
    <w:rsid w:val="000F039B"/>
    <w:rsid w:val="000F0528"/>
    <w:rsid w:val="000F06DE"/>
    <w:rsid w:val="000F0888"/>
    <w:rsid w:val="000F0DEA"/>
    <w:rsid w:val="000F0DFE"/>
    <w:rsid w:val="000F0E8F"/>
    <w:rsid w:val="000F1394"/>
    <w:rsid w:val="000F1519"/>
    <w:rsid w:val="000F18A3"/>
    <w:rsid w:val="000F19CA"/>
    <w:rsid w:val="000F1A51"/>
    <w:rsid w:val="000F1CEF"/>
    <w:rsid w:val="000F25EE"/>
    <w:rsid w:val="000F269A"/>
    <w:rsid w:val="000F26C0"/>
    <w:rsid w:val="000F2852"/>
    <w:rsid w:val="000F2873"/>
    <w:rsid w:val="000F2BE7"/>
    <w:rsid w:val="000F2CE4"/>
    <w:rsid w:val="000F2DD7"/>
    <w:rsid w:val="000F2FB2"/>
    <w:rsid w:val="000F32AC"/>
    <w:rsid w:val="000F3597"/>
    <w:rsid w:val="000F370D"/>
    <w:rsid w:val="000F376F"/>
    <w:rsid w:val="000F37E4"/>
    <w:rsid w:val="000F3856"/>
    <w:rsid w:val="000F3E1E"/>
    <w:rsid w:val="000F3E50"/>
    <w:rsid w:val="000F41E0"/>
    <w:rsid w:val="000F43CA"/>
    <w:rsid w:val="000F4698"/>
    <w:rsid w:val="000F48B5"/>
    <w:rsid w:val="000F4AF1"/>
    <w:rsid w:val="000F4D00"/>
    <w:rsid w:val="000F4E41"/>
    <w:rsid w:val="000F4FE7"/>
    <w:rsid w:val="000F5554"/>
    <w:rsid w:val="000F57C2"/>
    <w:rsid w:val="000F5A7E"/>
    <w:rsid w:val="000F5D44"/>
    <w:rsid w:val="000F5E41"/>
    <w:rsid w:val="000F5E6F"/>
    <w:rsid w:val="000F5EC4"/>
    <w:rsid w:val="000F60AC"/>
    <w:rsid w:val="000F6152"/>
    <w:rsid w:val="000F6161"/>
    <w:rsid w:val="000F63EF"/>
    <w:rsid w:val="000F6442"/>
    <w:rsid w:val="000F68EC"/>
    <w:rsid w:val="000F75A1"/>
    <w:rsid w:val="000F763F"/>
    <w:rsid w:val="000F7AD5"/>
    <w:rsid w:val="000F7CB4"/>
    <w:rsid w:val="000F7F64"/>
    <w:rsid w:val="000F7FAE"/>
    <w:rsid w:val="00100058"/>
    <w:rsid w:val="00100268"/>
    <w:rsid w:val="00100472"/>
    <w:rsid w:val="001008F0"/>
    <w:rsid w:val="001009C1"/>
    <w:rsid w:val="00100B0C"/>
    <w:rsid w:val="00101A55"/>
    <w:rsid w:val="00101B88"/>
    <w:rsid w:val="00101EC8"/>
    <w:rsid w:val="00101F21"/>
    <w:rsid w:val="0010203F"/>
    <w:rsid w:val="0010243C"/>
    <w:rsid w:val="00102509"/>
    <w:rsid w:val="00102B37"/>
    <w:rsid w:val="00102E12"/>
    <w:rsid w:val="001030AE"/>
    <w:rsid w:val="0010327A"/>
    <w:rsid w:val="001032AD"/>
    <w:rsid w:val="00103356"/>
    <w:rsid w:val="00103433"/>
    <w:rsid w:val="001035FC"/>
    <w:rsid w:val="0010374F"/>
    <w:rsid w:val="0010385A"/>
    <w:rsid w:val="00103A48"/>
    <w:rsid w:val="0010401A"/>
    <w:rsid w:val="00104132"/>
    <w:rsid w:val="00104168"/>
    <w:rsid w:val="00104365"/>
    <w:rsid w:val="001045C8"/>
    <w:rsid w:val="00104992"/>
    <w:rsid w:val="00104E68"/>
    <w:rsid w:val="00104EC6"/>
    <w:rsid w:val="00104EE9"/>
    <w:rsid w:val="00105326"/>
    <w:rsid w:val="001054A5"/>
    <w:rsid w:val="00105774"/>
    <w:rsid w:val="00105B08"/>
    <w:rsid w:val="0010607E"/>
    <w:rsid w:val="001062CA"/>
    <w:rsid w:val="0010642A"/>
    <w:rsid w:val="0010687A"/>
    <w:rsid w:val="00106AA3"/>
    <w:rsid w:val="001070B0"/>
    <w:rsid w:val="00107126"/>
    <w:rsid w:val="001075A8"/>
    <w:rsid w:val="001079C3"/>
    <w:rsid w:val="00107B24"/>
    <w:rsid w:val="00110342"/>
    <w:rsid w:val="00110856"/>
    <w:rsid w:val="00111160"/>
    <w:rsid w:val="001112CB"/>
    <w:rsid w:val="00111347"/>
    <w:rsid w:val="001113CA"/>
    <w:rsid w:val="001115C7"/>
    <w:rsid w:val="00111823"/>
    <w:rsid w:val="00111D39"/>
    <w:rsid w:val="00111D49"/>
    <w:rsid w:val="00111E5D"/>
    <w:rsid w:val="00111EC4"/>
    <w:rsid w:val="001120AE"/>
    <w:rsid w:val="001124E6"/>
    <w:rsid w:val="001127A0"/>
    <w:rsid w:val="001128FF"/>
    <w:rsid w:val="00112A83"/>
    <w:rsid w:val="00112D15"/>
    <w:rsid w:val="00112EAD"/>
    <w:rsid w:val="00112FD6"/>
    <w:rsid w:val="00113224"/>
    <w:rsid w:val="00113274"/>
    <w:rsid w:val="0011349E"/>
    <w:rsid w:val="00113A3A"/>
    <w:rsid w:val="00113BDB"/>
    <w:rsid w:val="00113CDF"/>
    <w:rsid w:val="00113DC8"/>
    <w:rsid w:val="00113E20"/>
    <w:rsid w:val="00113E61"/>
    <w:rsid w:val="00113F0D"/>
    <w:rsid w:val="00114045"/>
    <w:rsid w:val="001143AE"/>
    <w:rsid w:val="001143D0"/>
    <w:rsid w:val="001144D0"/>
    <w:rsid w:val="0011455D"/>
    <w:rsid w:val="001146BF"/>
    <w:rsid w:val="00114704"/>
    <w:rsid w:val="001148C3"/>
    <w:rsid w:val="00114F41"/>
    <w:rsid w:val="0011506B"/>
    <w:rsid w:val="0011508E"/>
    <w:rsid w:val="0011562D"/>
    <w:rsid w:val="00115651"/>
    <w:rsid w:val="001156D5"/>
    <w:rsid w:val="00115AB8"/>
    <w:rsid w:val="00115FBE"/>
    <w:rsid w:val="001169B6"/>
    <w:rsid w:val="00116AB6"/>
    <w:rsid w:val="00116DD5"/>
    <w:rsid w:val="00117309"/>
    <w:rsid w:val="00117AF1"/>
    <w:rsid w:val="00117B03"/>
    <w:rsid w:val="00117BB0"/>
    <w:rsid w:val="00117CBF"/>
    <w:rsid w:val="0012007E"/>
    <w:rsid w:val="0012011D"/>
    <w:rsid w:val="00120457"/>
    <w:rsid w:val="00120D62"/>
    <w:rsid w:val="00120D7F"/>
    <w:rsid w:val="00120F89"/>
    <w:rsid w:val="00121090"/>
    <w:rsid w:val="00121177"/>
    <w:rsid w:val="001211E8"/>
    <w:rsid w:val="00121299"/>
    <w:rsid w:val="001213F2"/>
    <w:rsid w:val="001216FA"/>
    <w:rsid w:val="00121DFD"/>
    <w:rsid w:val="00121F1E"/>
    <w:rsid w:val="00122786"/>
    <w:rsid w:val="001228C0"/>
    <w:rsid w:val="00122912"/>
    <w:rsid w:val="00122976"/>
    <w:rsid w:val="00122ECC"/>
    <w:rsid w:val="00123742"/>
    <w:rsid w:val="0012380F"/>
    <w:rsid w:val="00123A77"/>
    <w:rsid w:val="00123C76"/>
    <w:rsid w:val="0012468A"/>
    <w:rsid w:val="001248B9"/>
    <w:rsid w:val="00124943"/>
    <w:rsid w:val="001249B2"/>
    <w:rsid w:val="00124A96"/>
    <w:rsid w:val="00124D62"/>
    <w:rsid w:val="0012503F"/>
    <w:rsid w:val="00125420"/>
    <w:rsid w:val="001254C6"/>
    <w:rsid w:val="00125651"/>
    <w:rsid w:val="00125958"/>
    <w:rsid w:val="00125AC1"/>
    <w:rsid w:val="00125C51"/>
    <w:rsid w:val="00125D56"/>
    <w:rsid w:val="00125FC1"/>
    <w:rsid w:val="001261E2"/>
    <w:rsid w:val="00126235"/>
    <w:rsid w:val="0012664B"/>
    <w:rsid w:val="001267F9"/>
    <w:rsid w:val="00126876"/>
    <w:rsid w:val="00126F68"/>
    <w:rsid w:val="00126F98"/>
    <w:rsid w:val="00127273"/>
    <w:rsid w:val="001273DA"/>
    <w:rsid w:val="00127CCE"/>
    <w:rsid w:val="00127DBA"/>
    <w:rsid w:val="001304C0"/>
    <w:rsid w:val="0013060B"/>
    <w:rsid w:val="001306A7"/>
    <w:rsid w:val="00131084"/>
    <w:rsid w:val="0013108B"/>
    <w:rsid w:val="0013114E"/>
    <w:rsid w:val="001315D4"/>
    <w:rsid w:val="001315EA"/>
    <w:rsid w:val="0013171C"/>
    <w:rsid w:val="001319AE"/>
    <w:rsid w:val="00131E75"/>
    <w:rsid w:val="00132098"/>
    <w:rsid w:val="00132391"/>
    <w:rsid w:val="0013239A"/>
    <w:rsid w:val="00132472"/>
    <w:rsid w:val="001324FE"/>
    <w:rsid w:val="00132674"/>
    <w:rsid w:val="00132A09"/>
    <w:rsid w:val="00132D0E"/>
    <w:rsid w:val="00132DBF"/>
    <w:rsid w:val="00132E23"/>
    <w:rsid w:val="00132F27"/>
    <w:rsid w:val="001334D9"/>
    <w:rsid w:val="001335FA"/>
    <w:rsid w:val="00133862"/>
    <w:rsid w:val="0013399B"/>
    <w:rsid w:val="00133D17"/>
    <w:rsid w:val="00134308"/>
    <w:rsid w:val="0013455F"/>
    <w:rsid w:val="00134704"/>
    <w:rsid w:val="001348C2"/>
    <w:rsid w:val="0013505A"/>
    <w:rsid w:val="00135140"/>
    <w:rsid w:val="00135207"/>
    <w:rsid w:val="00135418"/>
    <w:rsid w:val="001358CD"/>
    <w:rsid w:val="00135D93"/>
    <w:rsid w:val="00135EC9"/>
    <w:rsid w:val="001360C7"/>
    <w:rsid w:val="00136252"/>
    <w:rsid w:val="00136843"/>
    <w:rsid w:val="00136895"/>
    <w:rsid w:val="00136EF3"/>
    <w:rsid w:val="001371D2"/>
    <w:rsid w:val="00137464"/>
    <w:rsid w:val="001376AE"/>
    <w:rsid w:val="00137940"/>
    <w:rsid w:val="00137B50"/>
    <w:rsid w:val="00137F30"/>
    <w:rsid w:val="00137FEB"/>
    <w:rsid w:val="0014041C"/>
    <w:rsid w:val="00141831"/>
    <w:rsid w:val="001418F8"/>
    <w:rsid w:val="001419EF"/>
    <w:rsid w:val="00141A22"/>
    <w:rsid w:val="00141A37"/>
    <w:rsid w:val="00141B4A"/>
    <w:rsid w:val="00141C42"/>
    <w:rsid w:val="00141F60"/>
    <w:rsid w:val="001421E4"/>
    <w:rsid w:val="00142813"/>
    <w:rsid w:val="00142C78"/>
    <w:rsid w:val="00142EF1"/>
    <w:rsid w:val="00142F44"/>
    <w:rsid w:val="00142F8B"/>
    <w:rsid w:val="00143151"/>
    <w:rsid w:val="001431DB"/>
    <w:rsid w:val="001433D4"/>
    <w:rsid w:val="00143799"/>
    <w:rsid w:val="00143A1B"/>
    <w:rsid w:val="00143A49"/>
    <w:rsid w:val="00143C18"/>
    <w:rsid w:val="00143EB8"/>
    <w:rsid w:val="001440DD"/>
    <w:rsid w:val="001446B2"/>
    <w:rsid w:val="00144813"/>
    <w:rsid w:val="00144ADB"/>
    <w:rsid w:val="00144DF8"/>
    <w:rsid w:val="0014539F"/>
    <w:rsid w:val="00145468"/>
    <w:rsid w:val="00145A1D"/>
    <w:rsid w:val="00145ED6"/>
    <w:rsid w:val="00146099"/>
    <w:rsid w:val="00146396"/>
    <w:rsid w:val="001463B3"/>
    <w:rsid w:val="00146D9F"/>
    <w:rsid w:val="00146F6C"/>
    <w:rsid w:val="00147253"/>
    <w:rsid w:val="00147422"/>
    <w:rsid w:val="0014748A"/>
    <w:rsid w:val="00147559"/>
    <w:rsid w:val="001478BA"/>
    <w:rsid w:val="00147CB5"/>
    <w:rsid w:val="00147CF6"/>
    <w:rsid w:val="001509A4"/>
    <w:rsid w:val="001511A4"/>
    <w:rsid w:val="00151214"/>
    <w:rsid w:val="0015128D"/>
    <w:rsid w:val="00151343"/>
    <w:rsid w:val="001514E2"/>
    <w:rsid w:val="001516DB"/>
    <w:rsid w:val="00151BB3"/>
    <w:rsid w:val="0015208C"/>
    <w:rsid w:val="001523C9"/>
    <w:rsid w:val="001524CE"/>
    <w:rsid w:val="00152751"/>
    <w:rsid w:val="00152E56"/>
    <w:rsid w:val="00153176"/>
    <w:rsid w:val="001531DE"/>
    <w:rsid w:val="00153299"/>
    <w:rsid w:val="001532E5"/>
    <w:rsid w:val="001536EB"/>
    <w:rsid w:val="001538D3"/>
    <w:rsid w:val="0015390C"/>
    <w:rsid w:val="00153A3C"/>
    <w:rsid w:val="00153DCC"/>
    <w:rsid w:val="00153E1C"/>
    <w:rsid w:val="001546D3"/>
    <w:rsid w:val="00154733"/>
    <w:rsid w:val="0015479F"/>
    <w:rsid w:val="001547AB"/>
    <w:rsid w:val="00154850"/>
    <w:rsid w:val="0015485C"/>
    <w:rsid w:val="00154B63"/>
    <w:rsid w:val="00154CB3"/>
    <w:rsid w:val="00154E23"/>
    <w:rsid w:val="00155117"/>
    <w:rsid w:val="001555D0"/>
    <w:rsid w:val="001559AA"/>
    <w:rsid w:val="00155EC4"/>
    <w:rsid w:val="0015634E"/>
    <w:rsid w:val="0015639F"/>
    <w:rsid w:val="001564C3"/>
    <w:rsid w:val="00156C7D"/>
    <w:rsid w:val="00156D13"/>
    <w:rsid w:val="001570B0"/>
    <w:rsid w:val="00157260"/>
    <w:rsid w:val="001575B4"/>
    <w:rsid w:val="001575D8"/>
    <w:rsid w:val="00157664"/>
    <w:rsid w:val="00157E6E"/>
    <w:rsid w:val="001600DF"/>
    <w:rsid w:val="00160180"/>
    <w:rsid w:val="0016038B"/>
    <w:rsid w:val="00160503"/>
    <w:rsid w:val="00160627"/>
    <w:rsid w:val="001606AA"/>
    <w:rsid w:val="00160985"/>
    <w:rsid w:val="00160B79"/>
    <w:rsid w:val="00161148"/>
    <w:rsid w:val="001611C8"/>
    <w:rsid w:val="00161230"/>
    <w:rsid w:val="00161280"/>
    <w:rsid w:val="00161444"/>
    <w:rsid w:val="0016149C"/>
    <w:rsid w:val="001614D8"/>
    <w:rsid w:val="0016192A"/>
    <w:rsid w:val="0016195F"/>
    <w:rsid w:val="00161A69"/>
    <w:rsid w:val="00161A6B"/>
    <w:rsid w:val="00161AEE"/>
    <w:rsid w:val="00161BFF"/>
    <w:rsid w:val="00161D72"/>
    <w:rsid w:val="00162056"/>
    <w:rsid w:val="001622D3"/>
    <w:rsid w:val="001622ED"/>
    <w:rsid w:val="00162C0B"/>
    <w:rsid w:val="00162F8F"/>
    <w:rsid w:val="0016306C"/>
    <w:rsid w:val="0016323D"/>
    <w:rsid w:val="001632FB"/>
    <w:rsid w:val="0016343C"/>
    <w:rsid w:val="00163477"/>
    <w:rsid w:val="00163540"/>
    <w:rsid w:val="00163E5A"/>
    <w:rsid w:val="00164204"/>
    <w:rsid w:val="00164402"/>
    <w:rsid w:val="001645B6"/>
    <w:rsid w:val="00164720"/>
    <w:rsid w:val="00164938"/>
    <w:rsid w:val="00164B50"/>
    <w:rsid w:val="00164DAA"/>
    <w:rsid w:val="00165041"/>
    <w:rsid w:val="0016523C"/>
    <w:rsid w:val="001657D2"/>
    <w:rsid w:val="001657F8"/>
    <w:rsid w:val="00165947"/>
    <w:rsid w:val="00165C17"/>
    <w:rsid w:val="00165C76"/>
    <w:rsid w:val="00165E0A"/>
    <w:rsid w:val="001661D3"/>
    <w:rsid w:val="00166288"/>
    <w:rsid w:val="00166316"/>
    <w:rsid w:val="00166319"/>
    <w:rsid w:val="001664CA"/>
    <w:rsid w:val="0016655B"/>
    <w:rsid w:val="00166759"/>
    <w:rsid w:val="001667BA"/>
    <w:rsid w:val="00166956"/>
    <w:rsid w:val="001669F6"/>
    <w:rsid w:val="001671CF"/>
    <w:rsid w:val="00167305"/>
    <w:rsid w:val="001674B4"/>
    <w:rsid w:val="00167687"/>
    <w:rsid w:val="00167757"/>
    <w:rsid w:val="00167891"/>
    <w:rsid w:val="00167A99"/>
    <w:rsid w:val="00167C39"/>
    <w:rsid w:val="00167FAA"/>
    <w:rsid w:val="00167FBE"/>
    <w:rsid w:val="00167FDD"/>
    <w:rsid w:val="001703A0"/>
    <w:rsid w:val="00170967"/>
    <w:rsid w:val="00170991"/>
    <w:rsid w:val="001709E7"/>
    <w:rsid w:val="00170A4B"/>
    <w:rsid w:val="00170D6A"/>
    <w:rsid w:val="00170E15"/>
    <w:rsid w:val="00170E70"/>
    <w:rsid w:val="00170F0C"/>
    <w:rsid w:val="0017188E"/>
    <w:rsid w:val="00171F12"/>
    <w:rsid w:val="00172E48"/>
    <w:rsid w:val="00173151"/>
    <w:rsid w:val="0017316E"/>
    <w:rsid w:val="00173439"/>
    <w:rsid w:val="00173944"/>
    <w:rsid w:val="00174622"/>
    <w:rsid w:val="001747FB"/>
    <w:rsid w:val="00174879"/>
    <w:rsid w:val="0017489B"/>
    <w:rsid w:val="00174B36"/>
    <w:rsid w:val="00174D35"/>
    <w:rsid w:val="00174DDB"/>
    <w:rsid w:val="0017508C"/>
    <w:rsid w:val="00175120"/>
    <w:rsid w:val="001751D9"/>
    <w:rsid w:val="00175364"/>
    <w:rsid w:val="00175897"/>
    <w:rsid w:val="00175B59"/>
    <w:rsid w:val="00175DBA"/>
    <w:rsid w:val="00175FBA"/>
    <w:rsid w:val="0017600F"/>
    <w:rsid w:val="00176295"/>
    <w:rsid w:val="00176CF4"/>
    <w:rsid w:val="00176E46"/>
    <w:rsid w:val="00176F23"/>
    <w:rsid w:val="00176FA2"/>
    <w:rsid w:val="001770F1"/>
    <w:rsid w:val="001772A7"/>
    <w:rsid w:val="0017738A"/>
    <w:rsid w:val="0017799F"/>
    <w:rsid w:val="0018016F"/>
    <w:rsid w:val="001801A0"/>
    <w:rsid w:val="00180464"/>
    <w:rsid w:val="00180A46"/>
    <w:rsid w:val="00180B4B"/>
    <w:rsid w:val="00180BAF"/>
    <w:rsid w:val="00180C96"/>
    <w:rsid w:val="00180F58"/>
    <w:rsid w:val="00181180"/>
    <w:rsid w:val="00181281"/>
    <w:rsid w:val="00181340"/>
    <w:rsid w:val="00181353"/>
    <w:rsid w:val="00181555"/>
    <w:rsid w:val="001818AE"/>
    <w:rsid w:val="00181A1C"/>
    <w:rsid w:val="00182103"/>
    <w:rsid w:val="00182179"/>
    <w:rsid w:val="001822CF"/>
    <w:rsid w:val="001823B9"/>
    <w:rsid w:val="001828BF"/>
    <w:rsid w:val="00182997"/>
    <w:rsid w:val="00182A18"/>
    <w:rsid w:val="00182B9D"/>
    <w:rsid w:val="00182F7C"/>
    <w:rsid w:val="001832AE"/>
    <w:rsid w:val="001834C2"/>
    <w:rsid w:val="001836BE"/>
    <w:rsid w:val="0018384A"/>
    <w:rsid w:val="00183A63"/>
    <w:rsid w:val="00183ACA"/>
    <w:rsid w:val="00184065"/>
    <w:rsid w:val="00184632"/>
    <w:rsid w:val="00184694"/>
    <w:rsid w:val="00184D24"/>
    <w:rsid w:val="00185048"/>
    <w:rsid w:val="001857BC"/>
    <w:rsid w:val="00185B90"/>
    <w:rsid w:val="00185DEC"/>
    <w:rsid w:val="00185DFF"/>
    <w:rsid w:val="00185E3F"/>
    <w:rsid w:val="00185F1A"/>
    <w:rsid w:val="00185FCF"/>
    <w:rsid w:val="00186029"/>
    <w:rsid w:val="00186A54"/>
    <w:rsid w:val="00186CB1"/>
    <w:rsid w:val="0018714C"/>
    <w:rsid w:val="001871F1"/>
    <w:rsid w:val="00187799"/>
    <w:rsid w:val="00187ED5"/>
    <w:rsid w:val="00190077"/>
    <w:rsid w:val="00190333"/>
    <w:rsid w:val="001904EF"/>
    <w:rsid w:val="001906DB"/>
    <w:rsid w:val="0019079B"/>
    <w:rsid w:val="00190D9D"/>
    <w:rsid w:val="001910F4"/>
    <w:rsid w:val="00191237"/>
    <w:rsid w:val="001914C0"/>
    <w:rsid w:val="0019150C"/>
    <w:rsid w:val="00191515"/>
    <w:rsid w:val="0019163F"/>
    <w:rsid w:val="001919AA"/>
    <w:rsid w:val="00191B28"/>
    <w:rsid w:val="00191D63"/>
    <w:rsid w:val="00191F98"/>
    <w:rsid w:val="00192227"/>
    <w:rsid w:val="00192293"/>
    <w:rsid w:val="001927F0"/>
    <w:rsid w:val="00192880"/>
    <w:rsid w:val="00192C9C"/>
    <w:rsid w:val="00192E96"/>
    <w:rsid w:val="00192F98"/>
    <w:rsid w:val="00193A14"/>
    <w:rsid w:val="00193A4B"/>
    <w:rsid w:val="00193CF7"/>
    <w:rsid w:val="00193D54"/>
    <w:rsid w:val="00193F94"/>
    <w:rsid w:val="00194279"/>
    <w:rsid w:val="00194384"/>
    <w:rsid w:val="00194DAF"/>
    <w:rsid w:val="0019511A"/>
    <w:rsid w:val="0019536B"/>
    <w:rsid w:val="00195459"/>
    <w:rsid w:val="001954B1"/>
    <w:rsid w:val="00195940"/>
    <w:rsid w:val="001959E9"/>
    <w:rsid w:val="00195C16"/>
    <w:rsid w:val="00196479"/>
    <w:rsid w:val="00196515"/>
    <w:rsid w:val="001966A2"/>
    <w:rsid w:val="001967B2"/>
    <w:rsid w:val="00196C94"/>
    <w:rsid w:val="00196D70"/>
    <w:rsid w:val="00196DE0"/>
    <w:rsid w:val="0019709D"/>
    <w:rsid w:val="001971CB"/>
    <w:rsid w:val="001971DE"/>
    <w:rsid w:val="0019720C"/>
    <w:rsid w:val="0019728F"/>
    <w:rsid w:val="001972CA"/>
    <w:rsid w:val="0019772C"/>
    <w:rsid w:val="001977AD"/>
    <w:rsid w:val="00197AD3"/>
    <w:rsid w:val="00197B08"/>
    <w:rsid w:val="001A02BF"/>
    <w:rsid w:val="001A047F"/>
    <w:rsid w:val="001A0668"/>
    <w:rsid w:val="001A0BBB"/>
    <w:rsid w:val="001A0D3B"/>
    <w:rsid w:val="001A0DDA"/>
    <w:rsid w:val="001A11E5"/>
    <w:rsid w:val="001A13B6"/>
    <w:rsid w:val="001A14D5"/>
    <w:rsid w:val="001A19E6"/>
    <w:rsid w:val="001A20C6"/>
    <w:rsid w:val="001A21CD"/>
    <w:rsid w:val="001A22C1"/>
    <w:rsid w:val="001A2616"/>
    <w:rsid w:val="001A28FB"/>
    <w:rsid w:val="001A2902"/>
    <w:rsid w:val="001A291E"/>
    <w:rsid w:val="001A2B66"/>
    <w:rsid w:val="001A2C55"/>
    <w:rsid w:val="001A30F6"/>
    <w:rsid w:val="001A34D7"/>
    <w:rsid w:val="001A3A0A"/>
    <w:rsid w:val="001A3ADB"/>
    <w:rsid w:val="001A3BCF"/>
    <w:rsid w:val="001A3D26"/>
    <w:rsid w:val="001A3EFA"/>
    <w:rsid w:val="001A3F3F"/>
    <w:rsid w:val="001A41BF"/>
    <w:rsid w:val="001A424B"/>
    <w:rsid w:val="001A4D76"/>
    <w:rsid w:val="001A50F8"/>
    <w:rsid w:val="001A5199"/>
    <w:rsid w:val="001A51B6"/>
    <w:rsid w:val="001A54BF"/>
    <w:rsid w:val="001A55A4"/>
    <w:rsid w:val="001A57C1"/>
    <w:rsid w:val="001A5AFA"/>
    <w:rsid w:val="001A609A"/>
    <w:rsid w:val="001A78C8"/>
    <w:rsid w:val="001A7AAD"/>
    <w:rsid w:val="001A7D5A"/>
    <w:rsid w:val="001A7EAD"/>
    <w:rsid w:val="001B000F"/>
    <w:rsid w:val="001B01CB"/>
    <w:rsid w:val="001B01D9"/>
    <w:rsid w:val="001B0702"/>
    <w:rsid w:val="001B07B9"/>
    <w:rsid w:val="001B0ADE"/>
    <w:rsid w:val="001B10B4"/>
    <w:rsid w:val="001B1426"/>
    <w:rsid w:val="001B15BA"/>
    <w:rsid w:val="001B1A43"/>
    <w:rsid w:val="001B20F5"/>
    <w:rsid w:val="001B22E2"/>
    <w:rsid w:val="001B2305"/>
    <w:rsid w:val="001B28C7"/>
    <w:rsid w:val="001B2A8B"/>
    <w:rsid w:val="001B2B8F"/>
    <w:rsid w:val="001B2BF1"/>
    <w:rsid w:val="001B3221"/>
    <w:rsid w:val="001B3415"/>
    <w:rsid w:val="001B34BB"/>
    <w:rsid w:val="001B3775"/>
    <w:rsid w:val="001B38A3"/>
    <w:rsid w:val="001B3AD8"/>
    <w:rsid w:val="001B4143"/>
    <w:rsid w:val="001B434B"/>
    <w:rsid w:val="001B4695"/>
    <w:rsid w:val="001B47C2"/>
    <w:rsid w:val="001B4EA0"/>
    <w:rsid w:val="001B52C9"/>
    <w:rsid w:val="001B5337"/>
    <w:rsid w:val="001B5342"/>
    <w:rsid w:val="001B53B1"/>
    <w:rsid w:val="001B53BC"/>
    <w:rsid w:val="001B57BC"/>
    <w:rsid w:val="001B599E"/>
    <w:rsid w:val="001B5A78"/>
    <w:rsid w:val="001B5CAF"/>
    <w:rsid w:val="001B5DA8"/>
    <w:rsid w:val="001B6B0B"/>
    <w:rsid w:val="001B6C59"/>
    <w:rsid w:val="001B72FD"/>
    <w:rsid w:val="001B752E"/>
    <w:rsid w:val="001B7735"/>
    <w:rsid w:val="001B7B68"/>
    <w:rsid w:val="001C0172"/>
    <w:rsid w:val="001C061E"/>
    <w:rsid w:val="001C0AA2"/>
    <w:rsid w:val="001C0BB3"/>
    <w:rsid w:val="001C0C12"/>
    <w:rsid w:val="001C0F2E"/>
    <w:rsid w:val="001C0F4B"/>
    <w:rsid w:val="001C0FBC"/>
    <w:rsid w:val="001C129F"/>
    <w:rsid w:val="001C13AD"/>
    <w:rsid w:val="001C190B"/>
    <w:rsid w:val="001C1BCC"/>
    <w:rsid w:val="001C1F72"/>
    <w:rsid w:val="001C218A"/>
    <w:rsid w:val="001C2213"/>
    <w:rsid w:val="001C26AF"/>
    <w:rsid w:val="001C29AF"/>
    <w:rsid w:val="001C2C8A"/>
    <w:rsid w:val="001C2E71"/>
    <w:rsid w:val="001C2F22"/>
    <w:rsid w:val="001C3CD9"/>
    <w:rsid w:val="001C41AB"/>
    <w:rsid w:val="001C44B6"/>
    <w:rsid w:val="001C4DF7"/>
    <w:rsid w:val="001C506B"/>
    <w:rsid w:val="001C51E1"/>
    <w:rsid w:val="001C5236"/>
    <w:rsid w:val="001C58B2"/>
    <w:rsid w:val="001C59A7"/>
    <w:rsid w:val="001C5F64"/>
    <w:rsid w:val="001C6181"/>
    <w:rsid w:val="001C6347"/>
    <w:rsid w:val="001C6ACC"/>
    <w:rsid w:val="001C6B2C"/>
    <w:rsid w:val="001C736C"/>
    <w:rsid w:val="001C749C"/>
    <w:rsid w:val="001C78BB"/>
    <w:rsid w:val="001D03F2"/>
    <w:rsid w:val="001D053B"/>
    <w:rsid w:val="001D07C1"/>
    <w:rsid w:val="001D09ED"/>
    <w:rsid w:val="001D0D4A"/>
    <w:rsid w:val="001D0DC3"/>
    <w:rsid w:val="001D1045"/>
    <w:rsid w:val="001D2416"/>
    <w:rsid w:val="001D2592"/>
    <w:rsid w:val="001D2606"/>
    <w:rsid w:val="001D26FF"/>
    <w:rsid w:val="001D2B1F"/>
    <w:rsid w:val="001D2C5F"/>
    <w:rsid w:val="001D2EDE"/>
    <w:rsid w:val="001D2F90"/>
    <w:rsid w:val="001D2FB6"/>
    <w:rsid w:val="001D3010"/>
    <w:rsid w:val="001D3155"/>
    <w:rsid w:val="001D3456"/>
    <w:rsid w:val="001D34EF"/>
    <w:rsid w:val="001D3505"/>
    <w:rsid w:val="001D35C0"/>
    <w:rsid w:val="001D39BA"/>
    <w:rsid w:val="001D3A08"/>
    <w:rsid w:val="001D4279"/>
    <w:rsid w:val="001D42D4"/>
    <w:rsid w:val="001D447C"/>
    <w:rsid w:val="001D44A2"/>
    <w:rsid w:val="001D4555"/>
    <w:rsid w:val="001D4709"/>
    <w:rsid w:val="001D48D8"/>
    <w:rsid w:val="001D4A08"/>
    <w:rsid w:val="001D4AD4"/>
    <w:rsid w:val="001D4BF0"/>
    <w:rsid w:val="001D4CAA"/>
    <w:rsid w:val="001D4CDE"/>
    <w:rsid w:val="001D4E3C"/>
    <w:rsid w:val="001D4FB9"/>
    <w:rsid w:val="001D5006"/>
    <w:rsid w:val="001D55C6"/>
    <w:rsid w:val="001D58AB"/>
    <w:rsid w:val="001D5E51"/>
    <w:rsid w:val="001D6B45"/>
    <w:rsid w:val="001D744B"/>
    <w:rsid w:val="001D7569"/>
    <w:rsid w:val="001D7807"/>
    <w:rsid w:val="001D794C"/>
    <w:rsid w:val="001D7CAD"/>
    <w:rsid w:val="001E059D"/>
    <w:rsid w:val="001E079A"/>
    <w:rsid w:val="001E081F"/>
    <w:rsid w:val="001E08DA"/>
    <w:rsid w:val="001E0CC3"/>
    <w:rsid w:val="001E0EDB"/>
    <w:rsid w:val="001E15E8"/>
    <w:rsid w:val="001E1B40"/>
    <w:rsid w:val="001E1DF0"/>
    <w:rsid w:val="001E22BC"/>
    <w:rsid w:val="001E2459"/>
    <w:rsid w:val="001E24EA"/>
    <w:rsid w:val="001E2B29"/>
    <w:rsid w:val="001E2EC4"/>
    <w:rsid w:val="001E2F57"/>
    <w:rsid w:val="001E3688"/>
    <w:rsid w:val="001E3BFC"/>
    <w:rsid w:val="001E3D9F"/>
    <w:rsid w:val="001E46D9"/>
    <w:rsid w:val="001E4755"/>
    <w:rsid w:val="001E4769"/>
    <w:rsid w:val="001E4804"/>
    <w:rsid w:val="001E4DD5"/>
    <w:rsid w:val="001E4F73"/>
    <w:rsid w:val="001E50FE"/>
    <w:rsid w:val="001E51F7"/>
    <w:rsid w:val="001E52C1"/>
    <w:rsid w:val="001E531B"/>
    <w:rsid w:val="001E54C0"/>
    <w:rsid w:val="001E551F"/>
    <w:rsid w:val="001E5A1D"/>
    <w:rsid w:val="001E5D07"/>
    <w:rsid w:val="001E5DAC"/>
    <w:rsid w:val="001E5ECB"/>
    <w:rsid w:val="001E6089"/>
    <w:rsid w:val="001E67C4"/>
    <w:rsid w:val="001E70D2"/>
    <w:rsid w:val="001E711C"/>
    <w:rsid w:val="001E722D"/>
    <w:rsid w:val="001E7354"/>
    <w:rsid w:val="001E74DB"/>
    <w:rsid w:val="001E7779"/>
    <w:rsid w:val="001E779F"/>
    <w:rsid w:val="001E77DD"/>
    <w:rsid w:val="001E79F6"/>
    <w:rsid w:val="001E7BE6"/>
    <w:rsid w:val="001F0235"/>
    <w:rsid w:val="001F0698"/>
    <w:rsid w:val="001F0A5F"/>
    <w:rsid w:val="001F0E8E"/>
    <w:rsid w:val="001F1597"/>
    <w:rsid w:val="001F1ABF"/>
    <w:rsid w:val="001F1DAA"/>
    <w:rsid w:val="001F1EA6"/>
    <w:rsid w:val="001F1F05"/>
    <w:rsid w:val="001F21DC"/>
    <w:rsid w:val="001F21EC"/>
    <w:rsid w:val="001F2819"/>
    <w:rsid w:val="001F3366"/>
    <w:rsid w:val="001F352E"/>
    <w:rsid w:val="001F38BF"/>
    <w:rsid w:val="001F38D3"/>
    <w:rsid w:val="001F3938"/>
    <w:rsid w:val="001F3958"/>
    <w:rsid w:val="001F3C81"/>
    <w:rsid w:val="001F3E90"/>
    <w:rsid w:val="001F3EF9"/>
    <w:rsid w:val="001F4595"/>
    <w:rsid w:val="001F4642"/>
    <w:rsid w:val="001F4743"/>
    <w:rsid w:val="001F53EF"/>
    <w:rsid w:val="001F5726"/>
    <w:rsid w:val="001F573B"/>
    <w:rsid w:val="001F5C37"/>
    <w:rsid w:val="001F5EA0"/>
    <w:rsid w:val="001F60A2"/>
    <w:rsid w:val="001F62FE"/>
    <w:rsid w:val="001F6302"/>
    <w:rsid w:val="001F64D7"/>
    <w:rsid w:val="001F66D3"/>
    <w:rsid w:val="001F6803"/>
    <w:rsid w:val="001F6C4F"/>
    <w:rsid w:val="001F7077"/>
    <w:rsid w:val="001F70B7"/>
    <w:rsid w:val="001F7282"/>
    <w:rsid w:val="001F76C7"/>
    <w:rsid w:val="001F780C"/>
    <w:rsid w:val="001F7CF5"/>
    <w:rsid w:val="001F7D1B"/>
    <w:rsid w:val="001F7DF9"/>
    <w:rsid w:val="002000D5"/>
    <w:rsid w:val="002000EB"/>
    <w:rsid w:val="002005A8"/>
    <w:rsid w:val="002005F7"/>
    <w:rsid w:val="0020091F"/>
    <w:rsid w:val="00200A45"/>
    <w:rsid w:val="00200C03"/>
    <w:rsid w:val="00200EAC"/>
    <w:rsid w:val="0020169C"/>
    <w:rsid w:val="0020174D"/>
    <w:rsid w:val="00201B43"/>
    <w:rsid w:val="00201D00"/>
    <w:rsid w:val="00201D2E"/>
    <w:rsid w:val="00201ED0"/>
    <w:rsid w:val="002021CD"/>
    <w:rsid w:val="002023EE"/>
    <w:rsid w:val="002027C7"/>
    <w:rsid w:val="00202B77"/>
    <w:rsid w:val="00202FBE"/>
    <w:rsid w:val="0020342C"/>
    <w:rsid w:val="002034BA"/>
    <w:rsid w:val="0020368C"/>
    <w:rsid w:val="002039D7"/>
    <w:rsid w:val="00203B8B"/>
    <w:rsid w:val="00203C61"/>
    <w:rsid w:val="002044A4"/>
    <w:rsid w:val="0020473B"/>
    <w:rsid w:val="00204871"/>
    <w:rsid w:val="00204C24"/>
    <w:rsid w:val="00204C57"/>
    <w:rsid w:val="00204C6A"/>
    <w:rsid w:val="002056AA"/>
    <w:rsid w:val="002057AA"/>
    <w:rsid w:val="00205C4E"/>
    <w:rsid w:val="00205C76"/>
    <w:rsid w:val="002066AC"/>
    <w:rsid w:val="002066DE"/>
    <w:rsid w:val="002068C9"/>
    <w:rsid w:val="00206A18"/>
    <w:rsid w:val="00206B94"/>
    <w:rsid w:val="00206BBF"/>
    <w:rsid w:val="00206E6F"/>
    <w:rsid w:val="00207188"/>
    <w:rsid w:val="002073C2"/>
    <w:rsid w:val="0020766F"/>
    <w:rsid w:val="00207BBC"/>
    <w:rsid w:val="00207C1A"/>
    <w:rsid w:val="00207DA8"/>
    <w:rsid w:val="00207EF4"/>
    <w:rsid w:val="0021014C"/>
    <w:rsid w:val="00210301"/>
    <w:rsid w:val="00210662"/>
    <w:rsid w:val="00210DD3"/>
    <w:rsid w:val="00210F10"/>
    <w:rsid w:val="00211045"/>
    <w:rsid w:val="00211212"/>
    <w:rsid w:val="002113A9"/>
    <w:rsid w:val="00211448"/>
    <w:rsid w:val="002115AB"/>
    <w:rsid w:val="0021161A"/>
    <w:rsid w:val="00211886"/>
    <w:rsid w:val="00211E2E"/>
    <w:rsid w:val="00211EC0"/>
    <w:rsid w:val="00211EF1"/>
    <w:rsid w:val="00212443"/>
    <w:rsid w:val="00212661"/>
    <w:rsid w:val="00212E5D"/>
    <w:rsid w:val="0021357B"/>
    <w:rsid w:val="00213BB5"/>
    <w:rsid w:val="002142A5"/>
    <w:rsid w:val="0021442F"/>
    <w:rsid w:val="00214777"/>
    <w:rsid w:val="00214A66"/>
    <w:rsid w:val="00214B5D"/>
    <w:rsid w:val="00214D0C"/>
    <w:rsid w:val="00214DFD"/>
    <w:rsid w:val="002152D5"/>
    <w:rsid w:val="00215554"/>
    <w:rsid w:val="0021563A"/>
    <w:rsid w:val="00215733"/>
    <w:rsid w:val="0021595C"/>
    <w:rsid w:val="00215FC4"/>
    <w:rsid w:val="002161F6"/>
    <w:rsid w:val="0021649E"/>
    <w:rsid w:val="002165F4"/>
    <w:rsid w:val="00216B43"/>
    <w:rsid w:val="00217777"/>
    <w:rsid w:val="00217C10"/>
    <w:rsid w:val="00217F9A"/>
    <w:rsid w:val="002200A5"/>
    <w:rsid w:val="00220978"/>
    <w:rsid w:val="00220D58"/>
    <w:rsid w:val="002210D5"/>
    <w:rsid w:val="00221867"/>
    <w:rsid w:val="00221BAA"/>
    <w:rsid w:val="00221EF9"/>
    <w:rsid w:val="00222251"/>
    <w:rsid w:val="002222B9"/>
    <w:rsid w:val="0022256F"/>
    <w:rsid w:val="002227FF"/>
    <w:rsid w:val="0022293C"/>
    <w:rsid w:val="00222B53"/>
    <w:rsid w:val="00223166"/>
    <w:rsid w:val="00223903"/>
    <w:rsid w:val="00223A96"/>
    <w:rsid w:val="00223EEC"/>
    <w:rsid w:val="002243CC"/>
    <w:rsid w:val="002244A4"/>
    <w:rsid w:val="002244F6"/>
    <w:rsid w:val="002244FD"/>
    <w:rsid w:val="0022476B"/>
    <w:rsid w:val="002248A7"/>
    <w:rsid w:val="00224A5E"/>
    <w:rsid w:val="00224BE7"/>
    <w:rsid w:val="00224DC1"/>
    <w:rsid w:val="00224E8B"/>
    <w:rsid w:val="00225129"/>
    <w:rsid w:val="0022532F"/>
    <w:rsid w:val="0022535F"/>
    <w:rsid w:val="0022556A"/>
    <w:rsid w:val="002258B8"/>
    <w:rsid w:val="00225979"/>
    <w:rsid w:val="00225B5B"/>
    <w:rsid w:val="00225C8E"/>
    <w:rsid w:val="002262D0"/>
    <w:rsid w:val="00226403"/>
    <w:rsid w:val="00226461"/>
    <w:rsid w:val="00226679"/>
    <w:rsid w:val="00226782"/>
    <w:rsid w:val="00226932"/>
    <w:rsid w:val="00226EB9"/>
    <w:rsid w:val="002272AB"/>
    <w:rsid w:val="002274CB"/>
    <w:rsid w:val="00227555"/>
    <w:rsid w:val="002277F5"/>
    <w:rsid w:val="00227B3D"/>
    <w:rsid w:val="002300AE"/>
    <w:rsid w:val="00230515"/>
    <w:rsid w:val="0023087D"/>
    <w:rsid w:val="00230ABF"/>
    <w:rsid w:val="00230B28"/>
    <w:rsid w:val="00230E55"/>
    <w:rsid w:val="00230F62"/>
    <w:rsid w:val="002311C5"/>
    <w:rsid w:val="002311F1"/>
    <w:rsid w:val="002312ED"/>
    <w:rsid w:val="002317F6"/>
    <w:rsid w:val="0023184A"/>
    <w:rsid w:val="00231891"/>
    <w:rsid w:val="00231899"/>
    <w:rsid w:val="00232082"/>
    <w:rsid w:val="002320ED"/>
    <w:rsid w:val="00232443"/>
    <w:rsid w:val="00232684"/>
    <w:rsid w:val="002328F7"/>
    <w:rsid w:val="00232AB9"/>
    <w:rsid w:val="00232CBC"/>
    <w:rsid w:val="00233142"/>
    <w:rsid w:val="00233167"/>
    <w:rsid w:val="0023361F"/>
    <w:rsid w:val="002336B8"/>
    <w:rsid w:val="002338C4"/>
    <w:rsid w:val="00233B11"/>
    <w:rsid w:val="00233B58"/>
    <w:rsid w:val="00233C5C"/>
    <w:rsid w:val="002344A7"/>
    <w:rsid w:val="002346FD"/>
    <w:rsid w:val="00234B37"/>
    <w:rsid w:val="00234D9F"/>
    <w:rsid w:val="00234F0F"/>
    <w:rsid w:val="00235417"/>
    <w:rsid w:val="00235535"/>
    <w:rsid w:val="0023575A"/>
    <w:rsid w:val="00235A66"/>
    <w:rsid w:val="00235AA6"/>
    <w:rsid w:val="00235EFE"/>
    <w:rsid w:val="0023612D"/>
    <w:rsid w:val="0023622A"/>
    <w:rsid w:val="002363B1"/>
    <w:rsid w:val="002366EE"/>
    <w:rsid w:val="00236734"/>
    <w:rsid w:val="002367E7"/>
    <w:rsid w:val="0023687E"/>
    <w:rsid w:val="0023707F"/>
    <w:rsid w:val="00237263"/>
    <w:rsid w:val="00237837"/>
    <w:rsid w:val="00237909"/>
    <w:rsid w:val="00240008"/>
    <w:rsid w:val="00240394"/>
    <w:rsid w:val="00240C21"/>
    <w:rsid w:val="002410A5"/>
    <w:rsid w:val="00241295"/>
    <w:rsid w:val="00241566"/>
    <w:rsid w:val="002417D6"/>
    <w:rsid w:val="002417F9"/>
    <w:rsid w:val="00241BE0"/>
    <w:rsid w:val="0024212F"/>
    <w:rsid w:val="00242210"/>
    <w:rsid w:val="00242456"/>
    <w:rsid w:val="002429F4"/>
    <w:rsid w:val="00242CF9"/>
    <w:rsid w:val="00242E35"/>
    <w:rsid w:val="00243133"/>
    <w:rsid w:val="0024336A"/>
    <w:rsid w:val="00243604"/>
    <w:rsid w:val="00243660"/>
    <w:rsid w:val="00243992"/>
    <w:rsid w:val="00243A79"/>
    <w:rsid w:val="00243B1E"/>
    <w:rsid w:val="00243B6A"/>
    <w:rsid w:val="00243CF9"/>
    <w:rsid w:val="00243D71"/>
    <w:rsid w:val="00243EB0"/>
    <w:rsid w:val="00244133"/>
    <w:rsid w:val="00244169"/>
    <w:rsid w:val="00244198"/>
    <w:rsid w:val="002443A9"/>
    <w:rsid w:val="00244441"/>
    <w:rsid w:val="002447BE"/>
    <w:rsid w:val="0024489D"/>
    <w:rsid w:val="00244C69"/>
    <w:rsid w:val="002450DB"/>
    <w:rsid w:val="0024513A"/>
    <w:rsid w:val="0024526D"/>
    <w:rsid w:val="002452F4"/>
    <w:rsid w:val="002455DB"/>
    <w:rsid w:val="00245D91"/>
    <w:rsid w:val="00245E94"/>
    <w:rsid w:val="00245ECC"/>
    <w:rsid w:val="00246367"/>
    <w:rsid w:val="0024683F"/>
    <w:rsid w:val="00246CF4"/>
    <w:rsid w:val="002471C5"/>
    <w:rsid w:val="002473BB"/>
    <w:rsid w:val="0024768D"/>
    <w:rsid w:val="00247B54"/>
    <w:rsid w:val="00247D0F"/>
    <w:rsid w:val="00250052"/>
    <w:rsid w:val="002500FB"/>
    <w:rsid w:val="0025034A"/>
    <w:rsid w:val="00250697"/>
    <w:rsid w:val="00250829"/>
    <w:rsid w:val="00250BDF"/>
    <w:rsid w:val="0025136E"/>
    <w:rsid w:val="002513EA"/>
    <w:rsid w:val="00251428"/>
    <w:rsid w:val="0025163C"/>
    <w:rsid w:val="002516EC"/>
    <w:rsid w:val="00251722"/>
    <w:rsid w:val="00251B16"/>
    <w:rsid w:val="00251D0B"/>
    <w:rsid w:val="002523C9"/>
    <w:rsid w:val="0025254B"/>
    <w:rsid w:val="00252584"/>
    <w:rsid w:val="00252594"/>
    <w:rsid w:val="00252BBA"/>
    <w:rsid w:val="00252F1D"/>
    <w:rsid w:val="002532EB"/>
    <w:rsid w:val="002534FD"/>
    <w:rsid w:val="002538A9"/>
    <w:rsid w:val="002538CC"/>
    <w:rsid w:val="00253BC4"/>
    <w:rsid w:val="00253E7F"/>
    <w:rsid w:val="002546FF"/>
    <w:rsid w:val="00254781"/>
    <w:rsid w:val="002548A2"/>
    <w:rsid w:val="002548DD"/>
    <w:rsid w:val="00254C07"/>
    <w:rsid w:val="002550C2"/>
    <w:rsid w:val="00255B18"/>
    <w:rsid w:val="00255B2E"/>
    <w:rsid w:val="0025622B"/>
    <w:rsid w:val="0025636A"/>
    <w:rsid w:val="00256443"/>
    <w:rsid w:val="002564F9"/>
    <w:rsid w:val="00256A69"/>
    <w:rsid w:val="00256AA0"/>
    <w:rsid w:val="00256C8A"/>
    <w:rsid w:val="00256E1E"/>
    <w:rsid w:val="002570B1"/>
    <w:rsid w:val="00257380"/>
    <w:rsid w:val="0025771E"/>
    <w:rsid w:val="00257DC4"/>
    <w:rsid w:val="00257EA6"/>
    <w:rsid w:val="00257F9D"/>
    <w:rsid w:val="0026018C"/>
    <w:rsid w:val="00260508"/>
    <w:rsid w:val="00260841"/>
    <w:rsid w:val="00260A10"/>
    <w:rsid w:val="00260A19"/>
    <w:rsid w:val="00260B0F"/>
    <w:rsid w:val="00260C44"/>
    <w:rsid w:val="00260CD6"/>
    <w:rsid w:val="00261067"/>
    <w:rsid w:val="002610AB"/>
    <w:rsid w:val="002612CB"/>
    <w:rsid w:val="0026158D"/>
    <w:rsid w:val="00261836"/>
    <w:rsid w:val="00261967"/>
    <w:rsid w:val="0026196A"/>
    <w:rsid w:val="002619F6"/>
    <w:rsid w:val="00261DB4"/>
    <w:rsid w:val="00262092"/>
    <w:rsid w:val="002620CD"/>
    <w:rsid w:val="002621B0"/>
    <w:rsid w:val="0026234A"/>
    <w:rsid w:val="0026239E"/>
    <w:rsid w:val="0026240F"/>
    <w:rsid w:val="002625ED"/>
    <w:rsid w:val="00262636"/>
    <w:rsid w:val="00262690"/>
    <w:rsid w:val="00262C3B"/>
    <w:rsid w:val="00263374"/>
    <w:rsid w:val="002639B6"/>
    <w:rsid w:val="00263B9E"/>
    <w:rsid w:val="0026417C"/>
    <w:rsid w:val="002641E5"/>
    <w:rsid w:val="00264262"/>
    <w:rsid w:val="002643AD"/>
    <w:rsid w:val="002645E0"/>
    <w:rsid w:val="002646BC"/>
    <w:rsid w:val="002646D6"/>
    <w:rsid w:val="00264C3C"/>
    <w:rsid w:val="00264D1C"/>
    <w:rsid w:val="00264EF6"/>
    <w:rsid w:val="00264FD3"/>
    <w:rsid w:val="002651C4"/>
    <w:rsid w:val="002652E2"/>
    <w:rsid w:val="0026533A"/>
    <w:rsid w:val="00265594"/>
    <w:rsid w:val="002655A1"/>
    <w:rsid w:val="002656E7"/>
    <w:rsid w:val="00265A7E"/>
    <w:rsid w:val="00265D49"/>
    <w:rsid w:val="00265E8B"/>
    <w:rsid w:val="0026602E"/>
    <w:rsid w:val="002660E7"/>
    <w:rsid w:val="002662C0"/>
    <w:rsid w:val="00266427"/>
    <w:rsid w:val="002668FD"/>
    <w:rsid w:val="0026698A"/>
    <w:rsid w:val="00266999"/>
    <w:rsid w:val="002669DF"/>
    <w:rsid w:val="00266A37"/>
    <w:rsid w:val="00266A4E"/>
    <w:rsid w:val="00266C19"/>
    <w:rsid w:val="00266C25"/>
    <w:rsid w:val="00266C71"/>
    <w:rsid w:val="0026788C"/>
    <w:rsid w:val="002703EE"/>
    <w:rsid w:val="00270486"/>
    <w:rsid w:val="00270922"/>
    <w:rsid w:val="00270AB8"/>
    <w:rsid w:val="00270B75"/>
    <w:rsid w:val="00270BA6"/>
    <w:rsid w:val="00270E82"/>
    <w:rsid w:val="00271495"/>
    <w:rsid w:val="002719F7"/>
    <w:rsid w:val="00271BB0"/>
    <w:rsid w:val="00271F9E"/>
    <w:rsid w:val="00272239"/>
    <w:rsid w:val="0027241B"/>
    <w:rsid w:val="002724D9"/>
    <w:rsid w:val="0027254B"/>
    <w:rsid w:val="0027257D"/>
    <w:rsid w:val="0027278D"/>
    <w:rsid w:val="002727F1"/>
    <w:rsid w:val="0027284A"/>
    <w:rsid w:val="0027289D"/>
    <w:rsid w:val="002733D4"/>
    <w:rsid w:val="0027349E"/>
    <w:rsid w:val="00273798"/>
    <w:rsid w:val="0027381D"/>
    <w:rsid w:val="0027386A"/>
    <w:rsid w:val="00273960"/>
    <w:rsid w:val="00273D39"/>
    <w:rsid w:val="002743FA"/>
    <w:rsid w:val="00274620"/>
    <w:rsid w:val="00274738"/>
    <w:rsid w:val="0027489C"/>
    <w:rsid w:val="00274BBB"/>
    <w:rsid w:val="00274CF9"/>
    <w:rsid w:val="0027566E"/>
    <w:rsid w:val="002756DD"/>
    <w:rsid w:val="00275729"/>
    <w:rsid w:val="00275A35"/>
    <w:rsid w:val="00275D3C"/>
    <w:rsid w:val="00275D68"/>
    <w:rsid w:val="00276171"/>
    <w:rsid w:val="00276900"/>
    <w:rsid w:val="00276C62"/>
    <w:rsid w:val="00276DA5"/>
    <w:rsid w:val="00276F21"/>
    <w:rsid w:val="0027710B"/>
    <w:rsid w:val="0027752A"/>
    <w:rsid w:val="002775B4"/>
    <w:rsid w:val="00277A13"/>
    <w:rsid w:val="00277C1C"/>
    <w:rsid w:val="00277CCE"/>
    <w:rsid w:val="00277D4A"/>
    <w:rsid w:val="00277E37"/>
    <w:rsid w:val="00277E82"/>
    <w:rsid w:val="00280061"/>
    <w:rsid w:val="0028035C"/>
    <w:rsid w:val="00280377"/>
    <w:rsid w:val="002804AC"/>
    <w:rsid w:val="002804EB"/>
    <w:rsid w:val="00280DF7"/>
    <w:rsid w:val="00280DFA"/>
    <w:rsid w:val="00281059"/>
    <w:rsid w:val="002812BC"/>
    <w:rsid w:val="00281554"/>
    <w:rsid w:val="00281A05"/>
    <w:rsid w:val="00281C4A"/>
    <w:rsid w:val="00282236"/>
    <w:rsid w:val="0028242F"/>
    <w:rsid w:val="002828FD"/>
    <w:rsid w:val="00282B90"/>
    <w:rsid w:val="00282F5A"/>
    <w:rsid w:val="00283108"/>
    <w:rsid w:val="00283A8A"/>
    <w:rsid w:val="00283AE9"/>
    <w:rsid w:val="00283CFC"/>
    <w:rsid w:val="00283E15"/>
    <w:rsid w:val="00283F8C"/>
    <w:rsid w:val="002840A3"/>
    <w:rsid w:val="002843F0"/>
    <w:rsid w:val="00284988"/>
    <w:rsid w:val="00284AB7"/>
    <w:rsid w:val="00284D53"/>
    <w:rsid w:val="00284F38"/>
    <w:rsid w:val="002850B0"/>
    <w:rsid w:val="002850DB"/>
    <w:rsid w:val="002859B9"/>
    <w:rsid w:val="00285BFF"/>
    <w:rsid w:val="00285C5D"/>
    <w:rsid w:val="00285D73"/>
    <w:rsid w:val="00285F5C"/>
    <w:rsid w:val="002862AB"/>
    <w:rsid w:val="002862DE"/>
    <w:rsid w:val="002863A8"/>
    <w:rsid w:val="002865B7"/>
    <w:rsid w:val="002865EA"/>
    <w:rsid w:val="002868AA"/>
    <w:rsid w:val="00286B7C"/>
    <w:rsid w:val="00286C49"/>
    <w:rsid w:val="00286CE5"/>
    <w:rsid w:val="00286CFA"/>
    <w:rsid w:val="00286D69"/>
    <w:rsid w:val="00286F5A"/>
    <w:rsid w:val="002871C8"/>
    <w:rsid w:val="00287290"/>
    <w:rsid w:val="00287543"/>
    <w:rsid w:val="002875CB"/>
    <w:rsid w:val="0028777D"/>
    <w:rsid w:val="00287B33"/>
    <w:rsid w:val="002900F6"/>
    <w:rsid w:val="00290211"/>
    <w:rsid w:val="00290CF7"/>
    <w:rsid w:val="00290DD8"/>
    <w:rsid w:val="002910C5"/>
    <w:rsid w:val="002915CF"/>
    <w:rsid w:val="002915D7"/>
    <w:rsid w:val="002915EA"/>
    <w:rsid w:val="0029194F"/>
    <w:rsid w:val="00291D10"/>
    <w:rsid w:val="00291E21"/>
    <w:rsid w:val="00291E77"/>
    <w:rsid w:val="0029200F"/>
    <w:rsid w:val="002920FE"/>
    <w:rsid w:val="00292686"/>
    <w:rsid w:val="00292729"/>
    <w:rsid w:val="00292C6D"/>
    <w:rsid w:val="00292E42"/>
    <w:rsid w:val="00292EB6"/>
    <w:rsid w:val="002930F0"/>
    <w:rsid w:val="0029317C"/>
    <w:rsid w:val="00293972"/>
    <w:rsid w:val="002939A1"/>
    <w:rsid w:val="00293E11"/>
    <w:rsid w:val="00294271"/>
    <w:rsid w:val="0029428F"/>
    <w:rsid w:val="002943C8"/>
    <w:rsid w:val="002943D6"/>
    <w:rsid w:val="002946D7"/>
    <w:rsid w:val="00294B12"/>
    <w:rsid w:val="00294CC4"/>
    <w:rsid w:val="00294DB4"/>
    <w:rsid w:val="00294E55"/>
    <w:rsid w:val="00294E58"/>
    <w:rsid w:val="002950D8"/>
    <w:rsid w:val="00295425"/>
    <w:rsid w:val="002957D8"/>
    <w:rsid w:val="00295FAD"/>
    <w:rsid w:val="002965FA"/>
    <w:rsid w:val="0029661E"/>
    <w:rsid w:val="00296AA9"/>
    <w:rsid w:val="00296BFD"/>
    <w:rsid w:val="00296C8E"/>
    <w:rsid w:val="00296CA0"/>
    <w:rsid w:val="00296E94"/>
    <w:rsid w:val="0029700A"/>
    <w:rsid w:val="00297049"/>
    <w:rsid w:val="00297394"/>
    <w:rsid w:val="00297619"/>
    <w:rsid w:val="00297699"/>
    <w:rsid w:val="00297761"/>
    <w:rsid w:val="002978BE"/>
    <w:rsid w:val="00297947"/>
    <w:rsid w:val="00297C04"/>
    <w:rsid w:val="00297E84"/>
    <w:rsid w:val="002A0347"/>
    <w:rsid w:val="002A03DC"/>
    <w:rsid w:val="002A0843"/>
    <w:rsid w:val="002A0930"/>
    <w:rsid w:val="002A0A1D"/>
    <w:rsid w:val="002A0B81"/>
    <w:rsid w:val="002A10BF"/>
    <w:rsid w:val="002A12C9"/>
    <w:rsid w:val="002A153A"/>
    <w:rsid w:val="002A1652"/>
    <w:rsid w:val="002A22B8"/>
    <w:rsid w:val="002A2528"/>
    <w:rsid w:val="002A2A2D"/>
    <w:rsid w:val="002A34BD"/>
    <w:rsid w:val="002A373D"/>
    <w:rsid w:val="002A3A3A"/>
    <w:rsid w:val="002A3DE5"/>
    <w:rsid w:val="002A3E42"/>
    <w:rsid w:val="002A3E83"/>
    <w:rsid w:val="002A3ED7"/>
    <w:rsid w:val="002A3EE0"/>
    <w:rsid w:val="002A3FE5"/>
    <w:rsid w:val="002A44A4"/>
    <w:rsid w:val="002A4657"/>
    <w:rsid w:val="002A4670"/>
    <w:rsid w:val="002A47AF"/>
    <w:rsid w:val="002A484E"/>
    <w:rsid w:val="002A48FF"/>
    <w:rsid w:val="002A49A1"/>
    <w:rsid w:val="002A4BAE"/>
    <w:rsid w:val="002A50F1"/>
    <w:rsid w:val="002A5DF7"/>
    <w:rsid w:val="002A61A8"/>
    <w:rsid w:val="002A629A"/>
    <w:rsid w:val="002A670F"/>
    <w:rsid w:val="002A6EF8"/>
    <w:rsid w:val="002A76E0"/>
    <w:rsid w:val="002A78AC"/>
    <w:rsid w:val="002A7B14"/>
    <w:rsid w:val="002A7D91"/>
    <w:rsid w:val="002A7EC9"/>
    <w:rsid w:val="002B0249"/>
    <w:rsid w:val="002B03F7"/>
    <w:rsid w:val="002B0481"/>
    <w:rsid w:val="002B089E"/>
    <w:rsid w:val="002B0CB4"/>
    <w:rsid w:val="002B0E38"/>
    <w:rsid w:val="002B0FC9"/>
    <w:rsid w:val="002B113A"/>
    <w:rsid w:val="002B130B"/>
    <w:rsid w:val="002B13A6"/>
    <w:rsid w:val="002B141C"/>
    <w:rsid w:val="002B1735"/>
    <w:rsid w:val="002B1812"/>
    <w:rsid w:val="002B1B4B"/>
    <w:rsid w:val="002B1B53"/>
    <w:rsid w:val="002B1B82"/>
    <w:rsid w:val="002B1F2C"/>
    <w:rsid w:val="002B1FD9"/>
    <w:rsid w:val="002B24A5"/>
    <w:rsid w:val="002B25FB"/>
    <w:rsid w:val="002B2A7B"/>
    <w:rsid w:val="002B3064"/>
    <w:rsid w:val="002B323E"/>
    <w:rsid w:val="002B3294"/>
    <w:rsid w:val="002B3352"/>
    <w:rsid w:val="002B3371"/>
    <w:rsid w:val="002B34FF"/>
    <w:rsid w:val="002B3890"/>
    <w:rsid w:val="002B3A6B"/>
    <w:rsid w:val="002B3BA3"/>
    <w:rsid w:val="002B3C30"/>
    <w:rsid w:val="002B3D63"/>
    <w:rsid w:val="002B3EB9"/>
    <w:rsid w:val="002B42A0"/>
    <w:rsid w:val="002B42C8"/>
    <w:rsid w:val="002B487A"/>
    <w:rsid w:val="002B4B86"/>
    <w:rsid w:val="002B4EA8"/>
    <w:rsid w:val="002B575D"/>
    <w:rsid w:val="002B596F"/>
    <w:rsid w:val="002B5A11"/>
    <w:rsid w:val="002B5B1A"/>
    <w:rsid w:val="002B5BCB"/>
    <w:rsid w:val="002B5D15"/>
    <w:rsid w:val="002B5D56"/>
    <w:rsid w:val="002B5EAA"/>
    <w:rsid w:val="002B633E"/>
    <w:rsid w:val="002B645E"/>
    <w:rsid w:val="002B6831"/>
    <w:rsid w:val="002B692F"/>
    <w:rsid w:val="002B6F8C"/>
    <w:rsid w:val="002B706E"/>
    <w:rsid w:val="002B73B6"/>
    <w:rsid w:val="002B745C"/>
    <w:rsid w:val="002B7529"/>
    <w:rsid w:val="002B75CB"/>
    <w:rsid w:val="002B76A5"/>
    <w:rsid w:val="002B7983"/>
    <w:rsid w:val="002C0080"/>
    <w:rsid w:val="002C0147"/>
    <w:rsid w:val="002C032B"/>
    <w:rsid w:val="002C03CE"/>
    <w:rsid w:val="002C04B2"/>
    <w:rsid w:val="002C0E2C"/>
    <w:rsid w:val="002C0ECE"/>
    <w:rsid w:val="002C112A"/>
    <w:rsid w:val="002C13AE"/>
    <w:rsid w:val="002C1564"/>
    <w:rsid w:val="002C17A3"/>
    <w:rsid w:val="002C1BD4"/>
    <w:rsid w:val="002C1C92"/>
    <w:rsid w:val="002C1FF9"/>
    <w:rsid w:val="002C2097"/>
    <w:rsid w:val="002C269B"/>
    <w:rsid w:val="002C2756"/>
    <w:rsid w:val="002C28FB"/>
    <w:rsid w:val="002C29DD"/>
    <w:rsid w:val="002C2BAC"/>
    <w:rsid w:val="002C2EEC"/>
    <w:rsid w:val="002C2FD9"/>
    <w:rsid w:val="002C3122"/>
    <w:rsid w:val="002C362C"/>
    <w:rsid w:val="002C3714"/>
    <w:rsid w:val="002C3A95"/>
    <w:rsid w:val="002C3E89"/>
    <w:rsid w:val="002C421F"/>
    <w:rsid w:val="002C44A8"/>
    <w:rsid w:val="002C489F"/>
    <w:rsid w:val="002C4BCB"/>
    <w:rsid w:val="002C4EEE"/>
    <w:rsid w:val="002C4F15"/>
    <w:rsid w:val="002C4F8C"/>
    <w:rsid w:val="002C500F"/>
    <w:rsid w:val="002C63C4"/>
    <w:rsid w:val="002C64C2"/>
    <w:rsid w:val="002C667B"/>
    <w:rsid w:val="002C6AB6"/>
    <w:rsid w:val="002C6C39"/>
    <w:rsid w:val="002C702C"/>
    <w:rsid w:val="002C7275"/>
    <w:rsid w:val="002C77D8"/>
    <w:rsid w:val="002C7905"/>
    <w:rsid w:val="002C7A4F"/>
    <w:rsid w:val="002C7D73"/>
    <w:rsid w:val="002C7E45"/>
    <w:rsid w:val="002D0179"/>
    <w:rsid w:val="002D0197"/>
    <w:rsid w:val="002D0339"/>
    <w:rsid w:val="002D07EA"/>
    <w:rsid w:val="002D08F7"/>
    <w:rsid w:val="002D0DC9"/>
    <w:rsid w:val="002D14C1"/>
    <w:rsid w:val="002D19C2"/>
    <w:rsid w:val="002D1E8F"/>
    <w:rsid w:val="002D206A"/>
    <w:rsid w:val="002D209B"/>
    <w:rsid w:val="002D24AF"/>
    <w:rsid w:val="002D2D74"/>
    <w:rsid w:val="002D2FA6"/>
    <w:rsid w:val="002D3487"/>
    <w:rsid w:val="002D3666"/>
    <w:rsid w:val="002D377F"/>
    <w:rsid w:val="002D37B7"/>
    <w:rsid w:val="002D3AE9"/>
    <w:rsid w:val="002D3D34"/>
    <w:rsid w:val="002D40B9"/>
    <w:rsid w:val="002D44D5"/>
    <w:rsid w:val="002D45C1"/>
    <w:rsid w:val="002D45DD"/>
    <w:rsid w:val="002D465E"/>
    <w:rsid w:val="002D56AD"/>
    <w:rsid w:val="002D583E"/>
    <w:rsid w:val="002D60F0"/>
    <w:rsid w:val="002D6341"/>
    <w:rsid w:val="002D66F4"/>
    <w:rsid w:val="002D6B88"/>
    <w:rsid w:val="002D719A"/>
    <w:rsid w:val="002D72B4"/>
    <w:rsid w:val="002D7C26"/>
    <w:rsid w:val="002E039D"/>
    <w:rsid w:val="002E0647"/>
    <w:rsid w:val="002E071A"/>
    <w:rsid w:val="002E09D6"/>
    <w:rsid w:val="002E0A17"/>
    <w:rsid w:val="002E0BFA"/>
    <w:rsid w:val="002E0E0F"/>
    <w:rsid w:val="002E1638"/>
    <w:rsid w:val="002E167C"/>
    <w:rsid w:val="002E18AC"/>
    <w:rsid w:val="002E1E79"/>
    <w:rsid w:val="002E223A"/>
    <w:rsid w:val="002E27E0"/>
    <w:rsid w:val="002E2D2B"/>
    <w:rsid w:val="002E35E0"/>
    <w:rsid w:val="002E35E8"/>
    <w:rsid w:val="002E3DCA"/>
    <w:rsid w:val="002E4450"/>
    <w:rsid w:val="002E4604"/>
    <w:rsid w:val="002E478E"/>
    <w:rsid w:val="002E4DA4"/>
    <w:rsid w:val="002E4EF4"/>
    <w:rsid w:val="002E525F"/>
    <w:rsid w:val="002E52A5"/>
    <w:rsid w:val="002E54A7"/>
    <w:rsid w:val="002E5E0C"/>
    <w:rsid w:val="002E60B7"/>
    <w:rsid w:val="002E62E9"/>
    <w:rsid w:val="002E6345"/>
    <w:rsid w:val="002E6375"/>
    <w:rsid w:val="002E6590"/>
    <w:rsid w:val="002E663C"/>
    <w:rsid w:val="002E6B6F"/>
    <w:rsid w:val="002E6D9D"/>
    <w:rsid w:val="002E6F10"/>
    <w:rsid w:val="002E70D8"/>
    <w:rsid w:val="002E71EE"/>
    <w:rsid w:val="002E72A9"/>
    <w:rsid w:val="002E7D00"/>
    <w:rsid w:val="002F0225"/>
    <w:rsid w:val="002F03F0"/>
    <w:rsid w:val="002F0E56"/>
    <w:rsid w:val="002F0EBD"/>
    <w:rsid w:val="002F0F72"/>
    <w:rsid w:val="002F119D"/>
    <w:rsid w:val="002F1260"/>
    <w:rsid w:val="002F12FC"/>
    <w:rsid w:val="002F14CD"/>
    <w:rsid w:val="002F15AD"/>
    <w:rsid w:val="002F1774"/>
    <w:rsid w:val="002F17CD"/>
    <w:rsid w:val="002F1834"/>
    <w:rsid w:val="002F19C1"/>
    <w:rsid w:val="002F1EC3"/>
    <w:rsid w:val="002F1F01"/>
    <w:rsid w:val="002F204E"/>
    <w:rsid w:val="002F20D7"/>
    <w:rsid w:val="002F2129"/>
    <w:rsid w:val="002F2215"/>
    <w:rsid w:val="002F245A"/>
    <w:rsid w:val="002F2678"/>
    <w:rsid w:val="002F27B8"/>
    <w:rsid w:val="002F2916"/>
    <w:rsid w:val="002F2CD0"/>
    <w:rsid w:val="002F2D41"/>
    <w:rsid w:val="002F2DB7"/>
    <w:rsid w:val="002F3222"/>
    <w:rsid w:val="002F34EB"/>
    <w:rsid w:val="002F37DE"/>
    <w:rsid w:val="002F3B21"/>
    <w:rsid w:val="002F3B64"/>
    <w:rsid w:val="002F3DA7"/>
    <w:rsid w:val="002F4141"/>
    <w:rsid w:val="002F4710"/>
    <w:rsid w:val="002F48E0"/>
    <w:rsid w:val="002F498C"/>
    <w:rsid w:val="002F50BF"/>
    <w:rsid w:val="002F51B1"/>
    <w:rsid w:val="002F53DF"/>
    <w:rsid w:val="002F576D"/>
    <w:rsid w:val="002F57F2"/>
    <w:rsid w:val="002F5CD6"/>
    <w:rsid w:val="002F5D43"/>
    <w:rsid w:val="002F5DE5"/>
    <w:rsid w:val="002F5E1F"/>
    <w:rsid w:val="002F62AC"/>
    <w:rsid w:val="002F6355"/>
    <w:rsid w:val="002F6395"/>
    <w:rsid w:val="002F67F1"/>
    <w:rsid w:val="002F68A4"/>
    <w:rsid w:val="002F7122"/>
    <w:rsid w:val="002F72FC"/>
    <w:rsid w:val="002F7538"/>
    <w:rsid w:val="002F75C8"/>
    <w:rsid w:val="002F7D08"/>
    <w:rsid w:val="002F7D8B"/>
    <w:rsid w:val="002F7ED7"/>
    <w:rsid w:val="0030020B"/>
    <w:rsid w:val="0030043E"/>
    <w:rsid w:val="00300706"/>
    <w:rsid w:val="0030088A"/>
    <w:rsid w:val="0030190B"/>
    <w:rsid w:val="00301A87"/>
    <w:rsid w:val="00301DD8"/>
    <w:rsid w:val="00301E6E"/>
    <w:rsid w:val="0030234B"/>
    <w:rsid w:val="003026B2"/>
    <w:rsid w:val="00302920"/>
    <w:rsid w:val="00302A3F"/>
    <w:rsid w:val="00302FF0"/>
    <w:rsid w:val="00303223"/>
    <w:rsid w:val="00303350"/>
    <w:rsid w:val="00303393"/>
    <w:rsid w:val="00303585"/>
    <w:rsid w:val="003037E8"/>
    <w:rsid w:val="00303AD6"/>
    <w:rsid w:val="00303B74"/>
    <w:rsid w:val="00303D6C"/>
    <w:rsid w:val="00304690"/>
    <w:rsid w:val="003048AB"/>
    <w:rsid w:val="00304ACC"/>
    <w:rsid w:val="00304B6B"/>
    <w:rsid w:val="00304B86"/>
    <w:rsid w:val="00304EC3"/>
    <w:rsid w:val="003051F6"/>
    <w:rsid w:val="0030522F"/>
    <w:rsid w:val="003055A0"/>
    <w:rsid w:val="003056FE"/>
    <w:rsid w:val="00305772"/>
    <w:rsid w:val="003057A5"/>
    <w:rsid w:val="00305834"/>
    <w:rsid w:val="0030595E"/>
    <w:rsid w:val="00305B1A"/>
    <w:rsid w:val="00305F64"/>
    <w:rsid w:val="0030644E"/>
    <w:rsid w:val="003065A1"/>
    <w:rsid w:val="00306CEE"/>
    <w:rsid w:val="00306EE6"/>
    <w:rsid w:val="00307292"/>
    <w:rsid w:val="0030729E"/>
    <w:rsid w:val="003075F3"/>
    <w:rsid w:val="00307B6D"/>
    <w:rsid w:val="00307D3C"/>
    <w:rsid w:val="00307EA9"/>
    <w:rsid w:val="00307F9B"/>
    <w:rsid w:val="00310271"/>
    <w:rsid w:val="003104E1"/>
    <w:rsid w:val="003106A2"/>
    <w:rsid w:val="0031082C"/>
    <w:rsid w:val="0031090A"/>
    <w:rsid w:val="00310C18"/>
    <w:rsid w:val="00310D0E"/>
    <w:rsid w:val="00311741"/>
    <w:rsid w:val="003118F8"/>
    <w:rsid w:val="00311FF1"/>
    <w:rsid w:val="003122C6"/>
    <w:rsid w:val="00312636"/>
    <w:rsid w:val="0031271D"/>
    <w:rsid w:val="00312A54"/>
    <w:rsid w:val="00312BD8"/>
    <w:rsid w:val="00312F3A"/>
    <w:rsid w:val="00313640"/>
    <w:rsid w:val="003137B8"/>
    <w:rsid w:val="003138A5"/>
    <w:rsid w:val="00313A64"/>
    <w:rsid w:val="00313B75"/>
    <w:rsid w:val="00313CAA"/>
    <w:rsid w:val="00313E32"/>
    <w:rsid w:val="00313E74"/>
    <w:rsid w:val="00313E95"/>
    <w:rsid w:val="00314383"/>
    <w:rsid w:val="003143E5"/>
    <w:rsid w:val="0031492A"/>
    <w:rsid w:val="00314DE9"/>
    <w:rsid w:val="00314E9E"/>
    <w:rsid w:val="003155AC"/>
    <w:rsid w:val="00315C41"/>
    <w:rsid w:val="00315EBD"/>
    <w:rsid w:val="00316068"/>
    <w:rsid w:val="003161BB"/>
    <w:rsid w:val="00316818"/>
    <w:rsid w:val="00316C26"/>
    <w:rsid w:val="0031766A"/>
    <w:rsid w:val="003179CC"/>
    <w:rsid w:val="00317F2C"/>
    <w:rsid w:val="00320129"/>
    <w:rsid w:val="00320150"/>
    <w:rsid w:val="003201D6"/>
    <w:rsid w:val="00320550"/>
    <w:rsid w:val="0032072B"/>
    <w:rsid w:val="003207B6"/>
    <w:rsid w:val="00320DF2"/>
    <w:rsid w:val="00321E0F"/>
    <w:rsid w:val="00321E1C"/>
    <w:rsid w:val="003227AE"/>
    <w:rsid w:val="00322877"/>
    <w:rsid w:val="00322CF8"/>
    <w:rsid w:val="00322E45"/>
    <w:rsid w:val="003230EF"/>
    <w:rsid w:val="0032311C"/>
    <w:rsid w:val="00323185"/>
    <w:rsid w:val="003231D1"/>
    <w:rsid w:val="0032353D"/>
    <w:rsid w:val="00323903"/>
    <w:rsid w:val="0032400C"/>
    <w:rsid w:val="00324153"/>
    <w:rsid w:val="003241B5"/>
    <w:rsid w:val="00324289"/>
    <w:rsid w:val="00324396"/>
    <w:rsid w:val="00324B8F"/>
    <w:rsid w:val="00324DEB"/>
    <w:rsid w:val="00325667"/>
    <w:rsid w:val="003261B1"/>
    <w:rsid w:val="00326311"/>
    <w:rsid w:val="003266E3"/>
    <w:rsid w:val="003267AB"/>
    <w:rsid w:val="00326A33"/>
    <w:rsid w:val="00326ED5"/>
    <w:rsid w:val="0032779B"/>
    <w:rsid w:val="003277C6"/>
    <w:rsid w:val="0032797F"/>
    <w:rsid w:val="003279B1"/>
    <w:rsid w:val="00327A93"/>
    <w:rsid w:val="00327CA3"/>
    <w:rsid w:val="00330CD1"/>
    <w:rsid w:val="00330E78"/>
    <w:rsid w:val="00330F96"/>
    <w:rsid w:val="00331402"/>
    <w:rsid w:val="003314E4"/>
    <w:rsid w:val="00331564"/>
    <w:rsid w:val="00331C83"/>
    <w:rsid w:val="00331F43"/>
    <w:rsid w:val="00332085"/>
    <w:rsid w:val="00332258"/>
    <w:rsid w:val="003322D5"/>
    <w:rsid w:val="0033240F"/>
    <w:rsid w:val="00332651"/>
    <w:rsid w:val="0033282D"/>
    <w:rsid w:val="00332A28"/>
    <w:rsid w:val="00332C71"/>
    <w:rsid w:val="00332E1C"/>
    <w:rsid w:val="00332FE7"/>
    <w:rsid w:val="003330AE"/>
    <w:rsid w:val="0033326F"/>
    <w:rsid w:val="00334216"/>
    <w:rsid w:val="00334694"/>
    <w:rsid w:val="00334FEC"/>
    <w:rsid w:val="00334FFB"/>
    <w:rsid w:val="00335234"/>
    <w:rsid w:val="00335424"/>
    <w:rsid w:val="003355DC"/>
    <w:rsid w:val="003356BD"/>
    <w:rsid w:val="003357A5"/>
    <w:rsid w:val="003358AC"/>
    <w:rsid w:val="0033590A"/>
    <w:rsid w:val="00335A67"/>
    <w:rsid w:val="00335ACF"/>
    <w:rsid w:val="00335C69"/>
    <w:rsid w:val="00335DFC"/>
    <w:rsid w:val="003362C7"/>
    <w:rsid w:val="00336743"/>
    <w:rsid w:val="003369E9"/>
    <w:rsid w:val="00336AF8"/>
    <w:rsid w:val="00336D82"/>
    <w:rsid w:val="00336E00"/>
    <w:rsid w:val="00336FCE"/>
    <w:rsid w:val="00340100"/>
    <w:rsid w:val="0034014F"/>
    <w:rsid w:val="00340212"/>
    <w:rsid w:val="00340640"/>
    <w:rsid w:val="00340943"/>
    <w:rsid w:val="00340A08"/>
    <w:rsid w:val="00340D6C"/>
    <w:rsid w:val="00340F93"/>
    <w:rsid w:val="00340F98"/>
    <w:rsid w:val="00341201"/>
    <w:rsid w:val="0034151E"/>
    <w:rsid w:val="00341652"/>
    <w:rsid w:val="003416F3"/>
    <w:rsid w:val="003417A1"/>
    <w:rsid w:val="00341C4E"/>
    <w:rsid w:val="00341F7B"/>
    <w:rsid w:val="0034221D"/>
    <w:rsid w:val="00342284"/>
    <w:rsid w:val="00342417"/>
    <w:rsid w:val="003428A8"/>
    <w:rsid w:val="0034294A"/>
    <w:rsid w:val="00342971"/>
    <w:rsid w:val="00342A71"/>
    <w:rsid w:val="00342BC2"/>
    <w:rsid w:val="00342CDD"/>
    <w:rsid w:val="00342F43"/>
    <w:rsid w:val="003433E1"/>
    <w:rsid w:val="0034376F"/>
    <w:rsid w:val="0034379A"/>
    <w:rsid w:val="00343A06"/>
    <w:rsid w:val="00343C4C"/>
    <w:rsid w:val="003444EA"/>
    <w:rsid w:val="00344816"/>
    <w:rsid w:val="00344820"/>
    <w:rsid w:val="00344BB7"/>
    <w:rsid w:val="00345096"/>
    <w:rsid w:val="003456ED"/>
    <w:rsid w:val="00345DA7"/>
    <w:rsid w:val="00345E28"/>
    <w:rsid w:val="00345F3F"/>
    <w:rsid w:val="00346061"/>
    <w:rsid w:val="003466C2"/>
    <w:rsid w:val="00346AE9"/>
    <w:rsid w:val="00346CD9"/>
    <w:rsid w:val="00346FC5"/>
    <w:rsid w:val="0034755D"/>
    <w:rsid w:val="0034781D"/>
    <w:rsid w:val="00347A7B"/>
    <w:rsid w:val="00347C78"/>
    <w:rsid w:val="00350336"/>
    <w:rsid w:val="0035069C"/>
    <w:rsid w:val="003506A3"/>
    <w:rsid w:val="0035073E"/>
    <w:rsid w:val="003508F5"/>
    <w:rsid w:val="00350AA8"/>
    <w:rsid w:val="00350ED6"/>
    <w:rsid w:val="00351508"/>
    <w:rsid w:val="00351659"/>
    <w:rsid w:val="003516AB"/>
    <w:rsid w:val="00351756"/>
    <w:rsid w:val="00351791"/>
    <w:rsid w:val="00352059"/>
    <w:rsid w:val="003520F2"/>
    <w:rsid w:val="00352478"/>
    <w:rsid w:val="003525F3"/>
    <w:rsid w:val="00352844"/>
    <w:rsid w:val="00352B30"/>
    <w:rsid w:val="00352DD2"/>
    <w:rsid w:val="00352F42"/>
    <w:rsid w:val="00353066"/>
    <w:rsid w:val="003530D0"/>
    <w:rsid w:val="003534F2"/>
    <w:rsid w:val="00353955"/>
    <w:rsid w:val="00353A33"/>
    <w:rsid w:val="00353B9E"/>
    <w:rsid w:val="00353F86"/>
    <w:rsid w:val="00354081"/>
    <w:rsid w:val="00354271"/>
    <w:rsid w:val="00354501"/>
    <w:rsid w:val="003546A4"/>
    <w:rsid w:val="003547A7"/>
    <w:rsid w:val="00354EA0"/>
    <w:rsid w:val="003552DE"/>
    <w:rsid w:val="003552EC"/>
    <w:rsid w:val="00355346"/>
    <w:rsid w:val="0035597C"/>
    <w:rsid w:val="00355B7C"/>
    <w:rsid w:val="00356327"/>
    <w:rsid w:val="00356459"/>
    <w:rsid w:val="00357042"/>
    <w:rsid w:val="0035733C"/>
    <w:rsid w:val="00357450"/>
    <w:rsid w:val="003574CB"/>
    <w:rsid w:val="00357726"/>
    <w:rsid w:val="00357DB0"/>
    <w:rsid w:val="0036024D"/>
    <w:rsid w:val="003602E7"/>
    <w:rsid w:val="00360878"/>
    <w:rsid w:val="00360ADD"/>
    <w:rsid w:val="00360CF8"/>
    <w:rsid w:val="00361074"/>
    <w:rsid w:val="003611DC"/>
    <w:rsid w:val="00361487"/>
    <w:rsid w:val="003617E9"/>
    <w:rsid w:val="003618BA"/>
    <w:rsid w:val="00361AD2"/>
    <w:rsid w:val="00362655"/>
    <w:rsid w:val="00362B31"/>
    <w:rsid w:val="00362D34"/>
    <w:rsid w:val="00362ED6"/>
    <w:rsid w:val="00363320"/>
    <w:rsid w:val="00363362"/>
    <w:rsid w:val="0036364D"/>
    <w:rsid w:val="00363751"/>
    <w:rsid w:val="00363892"/>
    <w:rsid w:val="00363BA9"/>
    <w:rsid w:val="00363C34"/>
    <w:rsid w:val="00363C4E"/>
    <w:rsid w:val="00363F79"/>
    <w:rsid w:val="003642CF"/>
    <w:rsid w:val="003643A6"/>
    <w:rsid w:val="003645AF"/>
    <w:rsid w:val="003646B0"/>
    <w:rsid w:val="00364B65"/>
    <w:rsid w:val="00364C67"/>
    <w:rsid w:val="003655D7"/>
    <w:rsid w:val="003656F1"/>
    <w:rsid w:val="003658FF"/>
    <w:rsid w:val="0036595E"/>
    <w:rsid w:val="003662D4"/>
    <w:rsid w:val="00366483"/>
    <w:rsid w:val="003664C9"/>
    <w:rsid w:val="0036650E"/>
    <w:rsid w:val="0036682B"/>
    <w:rsid w:val="003668BF"/>
    <w:rsid w:val="0036699E"/>
    <w:rsid w:val="00366C9B"/>
    <w:rsid w:val="00366D2A"/>
    <w:rsid w:val="00366D35"/>
    <w:rsid w:val="003672B7"/>
    <w:rsid w:val="00367842"/>
    <w:rsid w:val="00367843"/>
    <w:rsid w:val="00367F22"/>
    <w:rsid w:val="003705A2"/>
    <w:rsid w:val="003706BB"/>
    <w:rsid w:val="00370778"/>
    <w:rsid w:val="00370DCA"/>
    <w:rsid w:val="0037158A"/>
    <w:rsid w:val="003715A2"/>
    <w:rsid w:val="00371ABC"/>
    <w:rsid w:val="0037211E"/>
    <w:rsid w:val="00372319"/>
    <w:rsid w:val="00372368"/>
    <w:rsid w:val="00372586"/>
    <w:rsid w:val="003725DB"/>
    <w:rsid w:val="00372DEF"/>
    <w:rsid w:val="0037347F"/>
    <w:rsid w:val="00373511"/>
    <w:rsid w:val="003735B2"/>
    <w:rsid w:val="003739FC"/>
    <w:rsid w:val="00373C22"/>
    <w:rsid w:val="00373C52"/>
    <w:rsid w:val="00373ED7"/>
    <w:rsid w:val="003742E8"/>
    <w:rsid w:val="003749B0"/>
    <w:rsid w:val="00374C56"/>
    <w:rsid w:val="003752B5"/>
    <w:rsid w:val="0037537D"/>
    <w:rsid w:val="00375811"/>
    <w:rsid w:val="00375BF6"/>
    <w:rsid w:val="00375E18"/>
    <w:rsid w:val="0037600D"/>
    <w:rsid w:val="003760B4"/>
    <w:rsid w:val="0037631A"/>
    <w:rsid w:val="0037686F"/>
    <w:rsid w:val="00376A03"/>
    <w:rsid w:val="00376C06"/>
    <w:rsid w:val="00376CE6"/>
    <w:rsid w:val="00377031"/>
    <w:rsid w:val="00377094"/>
    <w:rsid w:val="0037737E"/>
    <w:rsid w:val="00377691"/>
    <w:rsid w:val="003779B7"/>
    <w:rsid w:val="00377ACB"/>
    <w:rsid w:val="00377BBF"/>
    <w:rsid w:val="00377D23"/>
    <w:rsid w:val="0038003F"/>
    <w:rsid w:val="0038018E"/>
    <w:rsid w:val="00380240"/>
    <w:rsid w:val="00380298"/>
    <w:rsid w:val="003803AA"/>
    <w:rsid w:val="00380666"/>
    <w:rsid w:val="00380684"/>
    <w:rsid w:val="003808B0"/>
    <w:rsid w:val="00380FB8"/>
    <w:rsid w:val="003812C2"/>
    <w:rsid w:val="0038131C"/>
    <w:rsid w:val="00381419"/>
    <w:rsid w:val="0038149D"/>
    <w:rsid w:val="00381751"/>
    <w:rsid w:val="003818C4"/>
    <w:rsid w:val="00381B5C"/>
    <w:rsid w:val="00381C1B"/>
    <w:rsid w:val="00381C48"/>
    <w:rsid w:val="00381DE4"/>
    <w:rsid w:val="0038218E"/>
    <w:rsid w:val="003825B1"/>
    <w:rsid w:val="0038287A"/>
    <w:rsid w:val="00382C4F"/>
    <w:rsid w:val="00382D37"/>
    <w:rsid w:val="00382DFD"/>
    <w:rsid w:val="003830F2"/>
    <w:rsid w:val="003831BB"/>
    <w:rsid w:val="00383286"/>
    <w:rsid w:val="00383416"/>
    <w:rsid w:val="0038342A"/>
    <w:rsid w:val="0038386C"/>
    <w:rsid w:val="00383AEB"/>
    <w:rsid w:val="0038448A"/>
    <w:rsid w:val="003846D9"/>
    <w:rsid w:val="003847F8"/>
    <w:rsid w:val="00384DCF"/>
    <w:rsid w:val="003851B1"/>
    <w:rsid w:val="0038537B"/>
    <w:rsid w:val="0038543F"/>
    <w:rsid w:val="003855EC"/>
    <w:rsid w:val="0038587C"/>
    <w:rsid w:val="003858E3"/>
    <w:rsid w:val="003859A7"/>
    <w:rsid w:val="00385B90"/>
    <w:rsid w:val="003860BA"/>
    <w:rsid w:val="003865BC"/>
    <w:rsid w:val="00386705"/>
    <w:rsid w:val="00386BE2"/>
    <w:rsid w:val="00386BF7"/>
    <w:rsid w:val="00386C51"/>
    <w:rsid w:val="00386EB7"/>
    <w:rsid w:val="00386FD7"/>
    <w:rsid w:val="003870C7"/>
    <w:rsid w:val="003871E9"/>
    <w:rsid w:val="00387279"/>
    <w:rsid w:val="003873EC"/>
    <w:rsid w:val="0038751B"/>
    <w:rsid w:val="0038758C"/>
    <w:rsid w:val="0038769F"/>
    <w:rsid w:val="003877FA"/>
    <w:rsid w:val="00387954"/>
    <w:rsid w:val="00387B14"/>
    <w:rsid w:val="00387F54"/>
    <w:rsid w:val="0039050A"/>
    <w:rsid w:val="00390AC4"/>
    <w:rsid w:val="00390BBB"/>
    <w:rsid w:val="00390D82"/>
    <w:rsid w:val="00390DCA"/>
    <w:rsid w:val="00391051"/>
    <w:rsid w:val="00391722"/>
    <w:rsid w:val="003918C2"/>
    <w:rsid w:val="00391ADB"/>
    <w:rsid w:val="00391F7C"/>
    <w:rsid w:val="003923C9"/>
    <w:rsid w:val="0039298D"/>
    <w:rsid w:val="003929B9"/>
    <w:rsid w:val="0039302C"/>
    <w:rsid w:val="003930E4"/>
    <w:rsid w:val="003932BB"/>
    <w:rsid w:val="00393835"/>
    <w:rsid w:val="0039389D"/>
    <w:rsid w:val="00393B51"/>
    <w:rsid w:val="00393D4D"/>
    <w:rsid w:val="0039447D"/>
    <w:rsid w:val="0039486E"/>
    <w:rsid w:val="00394F9A"/>
    <w:rsid w:val="00395136"/>
    <w:rsid w:val="003951DA"/>
    <w:rsid w:val="003953BC"/>
    <w:rsid w:val="003953F6"/>
    <w:rsid w:val="0039581F"/>
    <w:rsid w:val="00395BF7"/>
    <w:rsid w:val="00395D05"/>
    <w:rsid w:val="00395D07"/>
    <w:rsid w:val="00395D70"/>
    <w:rsid w:val="0039625A"/>
    <w:rsid w:val="00396664"/>
    <w:rsid w:val="00396DE8"/>
    <w:rsid w:val="00396E03"/>
    <w:rsid w:val="00397213"/>
    <w:rsid w:val="003974F3"/>
    <w:rsid w:val="003977A3"/>
    <w:rsid w:val="00397B3F"/>
    <w:rsid w:val="00397D59"/>
    <w:rsid w:val="00397E52"/>
    <w:rsid w:val="00397FAC"/>
    <w:rsid w:val="003A02E4"/>
    <w:rsid w:val="003A050D"/>
    <w:rsid w:val="003A0852"/>
    <w:rsid w:val="003A0B9D"/>
    <w:rsid w:val="003A0C00"/>
    <w:rsid w:val="003A0E36"/>
    <w:rsid w:val="003A1006"/>
    <w:rsid w:val="003A117A"/>
    <w:rsid w:val="003A13A2"/>
    <w:rsid w:val="003A1761"/>
    <w:rsid w:val="003A1781"/>
    <w:rsid w:val="003A1870"/>
    <w:rsid w:val="003A1A49"/>
    <w:rsid w:val="003A2171"/>
    <w:rsid w:val="003A2214"/>
    <w:rsid w:val="003A2282"/>
    <w:rsid w:val="003A2290"/>
    <w:rsid w:val="003A2350"/>
    <w:rsid w:val="003A265D"/>
    <w:rsid w:val="003A33FB"/>
    <w:rsid w:val="003A36FC"/>
    <w:rsid w:val="003A3841"/>
    <w:rsid w:val="003A3DF1"/>
    <w:rsid w:val="003A3F86"/>
    <w:rsid w:val="003A3FE5"/>
    <w:rsid w:val="003A49A1"/>
    <w:rsid w:val="003A49F1"/>
    <w:rsid w:val="003A518A"/>
    <w:rsid w:val="003A577F"/>
    <w:rsid w:val="003A5977"/>
    <w:rsid w:val="003A5B17"/>
    <w:rsid w:val="003A5F33"/>
    <w:rsid w:val="003A5FD3"/>
    <w:rsid w:val="003A6105"/>
    <w:rsid w:val="003A61A8"/>
    <w:rsid w:val="003A6494"/>
    <w:rsid w:val="003A6CD3"/>
    <w:rsid w:val="003A7DC3"/>
    <w:rsid w:val="003A7FE6"/>
    <w:rsid w:val="003B030F"/>
    <w:rsid w:val="003B0761"/>
    <w:rsid w:val="003B076F"/>
    <w:rsid w:val="003B0AB5"/>
    <w:rsid w:val="003B0C3B"/>
    <w:rsid w:val="003B0E7D"/>
    <w:rsid w:val="003B1525"/>
    <w:rsid w:val="003B184B"/>
    <w:rsid w:val="003B1CD3"/>
    <w:rsid w:val="003B1D7D"/>
    <w:rsid w:val="003B1EF7"/>
    <w:rsid w:val="003B220C"/>
    <w:rsid w:val="003B2492"/>
    <w:rsid w:val="003B2805"/>
    <w:rsid w:val="003B2C01"/>
    <w:rsid w:val="003B2C22"/>
    <w:rsid w:val="003B2C2C"/>
    <w:rsid w:val="003B2CB9"/>
    <w:rsid w:val="003B2F20"/>
    <w:rsid w:val="003B2F26"/>
    <w:rsid w:val="003B3529"/>
    <w:rsid w:val="003B384A"/>
    <w:rsid w:val="003B38CA"/>
    <w:rsid w:val="003B3A3F"/>
    <w:rsid w:val="003B3E08"/>
    <w:rsid w:val="003B40B4"/>
    <w:rsid w:val="003B413A"/>
    <w:rsid w:val="003B428D"/>
    <w:rsid w:val="003B4338"/>
    <w:rsid w:val="003B451E"/>
    <w:rsid w:val="003B4529"/>
    <w:rsid w:val="003B4643"/>
    <w:rsid w:val="003B46B1"/>
    <w:rsid w:val="003B4B61"/>
    <w:rsid w:val="003B4C8E"/>
    <w:rsid w:val="003B53D3"/>
    <w:rsid w:val="003B545E"/>
    <w:rsid w:val="003B54AA"/>
    <w:rsid w:val="003B561B"/>
    <w:rsid w:val="003B573B"/>
    <w:rsid w:val="003B574D"/>
    <w:rsid w:val="003B5971"/>
    <w:rsid w:val="003B5B18"/>
    <w:rsid w:val="003B5E91"/>
    <w:rsid w:val="003B5F5D"/>
    <w:rsid w:val="003B5FFA"/>
    <w:rsid w:val="003B635A"/>
    <w:rsid w:val="003B64EB"/>
    <w:rsid w:val="003B65BB"/>
    <w:rsid w:val="003B6BED"/>
    <w:rsid w:val="003B6C70"/>
    <w:rsid w:val="003B6EA9"/>
    <w:rsid w:val="003B6FCF"/>
    <w:rsid w:val="003B7026"/>
    <w:rsid w:val="003B70A3"/>
    <w:rsid w:val="003B76C8"/>
    <w:rsid w:val="003B7844"/>
    <w:rsid w:val="003B7859"/>
    <w:rsid w:val="003B7C67"/>
    <w:rsid w:val="003B7D50"/>
    <w:rsid w:val="003B7DDB"/>
    <w:rsid w:val="003B7E52"/>
    <w:rsid w:val="003B7E9F"/>
    <w:rsid w:val="003C017E"/>
    <w:rsid w:val="003C06C4"/>
    <w:rsid w:val="003C09F5"/>
    <w:rsid w:val="003C101C"/>
    <w:rsid w:val="003C11C5"/>
    <w:rsid w:val="003C1208"/>
    <w:rsid w:val="003C1441"/>
    <w:rsid w:val="003C14F9"/>
    <w:rsid w:val="003C1B9D"/>
    <w:rsid w:val="003C1BBD"/>
    <w:rsid w:val="003C2370"/>
    <w:rsid w:val="003C23B9"/>
    <w:rsid w:val="003C2520"/>
    <w:rsid w:val="003C25CD"/>
    <w:rsid w:val="003C292B"/>
    <w:rsid w:val="003C2DCA"/>
    <w:rsid w:val="003C3836"/>
    <w:rsid w:val="003C3B3F"/>
    <w:rsid w:val="003C42CD"/>
    <w:rsid w:val="003C44CC"/>
    <w:rsid w:val="003C4600"/>
    <w:rsid w:val="003C47CE"/>
    <w:rsid w:val="003C48A9"/>
    <w:rsid w:val="003C48AB"/>
    <w:rsid w:val="003C4A98"/>
    <w:rsid w:val="003C4BDA"/>
    <w:rsid w:val="003C4DED"/>
    <w:rsid w:val="003C4E2D"/>
    <w:rsid w:val="003C4EEE"/>
    <w:rsid w:val="003C547D"/>
    <w:rsid w:val="003C56AF"/>
    <w:rsid w:val="003C57FE"/>
    <w:rsid w:val="003C5803"/>
    <w:rsid w:val="003C69E7"/>
    <w:rsid w:val="003C6B1B"/>
    <w:rsid w:val="003C6D66"/>
    <w:rsid w:val="003C741B"/>
    <w:rsid w:val="003C7722"/>
    <w:rsid w:val="003C7D1B"/>
    <w:rsid w:val="003D0918"/>
    <w:rsid w:val="003D097D"/>
    <w:rsid w:val="003D1233"/>
    <w:rsid w:val="003D1432"/>
    <w:rsid w:val="003D17D8"/>
    <w:rsid w:val="003D1848"/>
    <w:rsid w:val="003D1C2B"/>
    <w:rsid w:val="003D21BE"/>
    <w:rsid w:val="003D22C2"/>
    <w:rsid w:val="003D2311"/>
    <w:rsid w:val="003D25ED"/>
    <w:rsid w:val="003D2A7F"/>
    <w:rsid w:val="003D2CD5"/>
    <w:rsid w:val="003D2D9F"/>
    <w:rsid w:val="003D30AC"/>
    <w:rsid w:val="003D33F5"/>
    <w:rsid w:val="003D364B"/>
    <w:rsid w:val="003D3945"/>
    <w:rsid w:val="003D3F63"/>
    <w:rsid w:val="003D434D"/>
    <w:rsid w:val="003D4770"/>
    <w:rsid w:val="003D4993"/>
    <w:rsid w:val="003D4BFD"/>
    <w:rsid w:val="003D4FFD"/>
    <w:rsid w:val="003D52BE"/>
    <w:rsid w:val="003D52C2"/>
    <w:rsid w:val="003D560D"/>
    <w:rsid w:val="003D5AA5"/>
    <w:rsid w:val="003D615C"/>
    <w:rsid w:val="003D634A"/>
    <w:rsid w:val="003D64AC"/>
    <w:rsid w:val="003D6539"/>
    <w:rsid w:val="003D65F6"/>
    <w:rsid w:val="003D6953"/>
    <w:rsid w:val="003D6A3A"/>
    <w:rsid w:val="003D6ABA"/>
    <w:rsid w:val="003D6C84"/>
    <w:rsid w:val="003D6F1B"/>
    <w:rsid w:val="003D6F97"/>
    <w:rsid w:val="003D7233"/>
    <w:rsid w:val="003D74ED"/>
    <w:rsid w:val="003D77A5"/>
    <w:rsid w:val="003D78BB"/>
    <w:rsid w:val="003D7AD3"/>
    <w:rsid w:val="003E05F3"/>
    <w:rsid w:val="003E06FC"/>
    <w:rsid w:val="003E14E7"/>
    <w:rsid w:val="003E1514"/>
    <w:rsid w:val="003E16A5"/>
    <w:rsid w:val="003E17A7"/>
    <w:rsid w:val="003E17C2"/>
    <w:rsid w:val="003E18FD"/>
    <w:rsid w:val="003E1BDD"/>
    <w:rsid w:val="003E2081"/>
    <w:rsid w:val="003E2087"/>
    <w:rsid w:val="003E22BD"/>
    <w:rsid w:val="003E2BD1"/>
    <w:rsid w:val="003E3529"/>
    <w:rsid w:val="003E3688"/>
    <w:rsid w:val="003E399B"/>
    <w:rsid w:val="003E3B7C"/>
    <w:rsid w:val="003E3B8B"/>
    <w:rsid w:val="003E40B3"/>
    <w:rsid w:val="003E42DF"/>
    <w:rsid w:val="003E457C"/>
    <w:rsid w:val="003E477B"/>
    <w:rsid w:val="003E4A69"/>
    <w:rsid w:val="003E50B6"/>
    <w:rsid w:val="003E5238"/>
    <w:rsid w:val="003E5560"/>
    <w:rsid w:val="003E5695"/>
    <w:rsid w:val="003E584F"/>
    <w:rsid w:val="003E5B51"/>
    <w:rsid w:val="003E5D2A"/>
    <w:rsid w:val="003E5D7F"/>
    <w:rsid w:val="003E5E29"/>
    <w:rsid w:val="003E6098"/>
    <w:rsid w:val="003E6167"/>
    <w:rsid w:val="003E6417"/>
    <w:rsid w:val="003E6717"/>
    <w:rsid w:val="003E675A"/>
    <w:rsid w:val="003E689E"/>
    <w:rsid w:val="003E6E80"/>
    <w:rsid w:val="003E7764"/>
    <w:rsid w:val="003E7F5A"/>
    <w:rsid w:val="003F0B3C"/>
    <w:rsid w:val="003F0C5A"/>
    <w:rsid w:val="003F0D44"/>
    <w:rsid w:val="003F12A2"/>
    <w:rsid w:val="003F14CC"/>
    <w:rsid w:val="003F1748"/>
    <w:rsid w:val="003F1B38"/>
    <w:rsid w:val="003F1DD9"/>
    <w:rsid w:val="003F223B"/>
    <w:rsid w:val="003F22A7"/>
    <w:rsid w:val="003F22EA"/>
    <w:rsid w:val="003F25E0"/>
    <w:rsid w:val="003F2A8E"/>
    <w:rsid w:val="003F2DC8"/>
    <w:rsid w:val="003F361C"/>
    <w:rsid w:val="003F3AEF"/>
    <w:rsid w:val="003F3C01"/>
    <w:rsid w:val="003F3CEC"/>
    <w:rsid w:val="003F3D11"/>
    <w:rsid w:val="003F3D77"/>
    <w:rsid w:val="003F3F99"/>
    <w:rsid w:val="003F4863"/>
    <w:rsid w:val="003F4893"/>
    <w:rsid w:val="003F49EB"/>
    <w:rsid w:val="003F4E7B"/>
    <w:rsid w:val="003F5231"/>
    <w:rsid w:val="003F53A1"/>
    <w:rsid w:val="003F53E7"/>
    <w:rsid w:val="003F5639"/>
    <w:rsid w:val="003F56A8"/>
    <w:rsid w:val="003F5E6C"/>
    <w:rsid w:val="003F601F"/>
    <w:rsid w:val="003F614A"/>
    <w:rsid w:val="003F617A"/>
    <w:rsid w:val="003F620B"/>
    <w:rsid w:val="003F6302"/>
    <w:rsid w:val="003F63A9"/>
    <w:rsid w:val="003F63EC"/>
    <w:rsid w:val="003F6511"/>
    <w:rsid w:val="003F682F"/>
    <w:rsid w:val="003F6ACA"/>
    <w:rsid w:val="003F6B5B"/>
    <w:rsid w:val="003F6BDC"/>
    <w:rsid w:val="003F6CD8"/>
    <w:rsid w:val="003F6D10"/>
    <w:rsid w:val="003F6D4B"/>
    <w:rsid w:val="003F734A"/>
    <w:rsid w:val="003F7809"/>
    <w:rsid w:val="003F7DC6"/>
    <w:rsid w:val="004003B9"/>
    <w:rsid w:val="00400764"/>
    <w:rsid w:val="00400936"/>
    <w:rsid w:val="00400939"/>
    <w:rsid w:val="00400BDB"/>
    <w:rsid w:val="00400C57"/>
    <w:rsid w:val="00400E9B"/>
    <w:rsid w:val="00400F9C"/>
    <w:rsid w:val="00401217"/>
    <w:rsid w:val="004012D2"/>
    <w:rsid w:val="00401933"/>
    <w:rsid w:val="00401A73"/>
    <w:rsid w:val="00401D27"/>
    <w:rsid w:val="00401ED6"/>
    <w:rsid w:val="00402141"/>
    <w:rsid w:val="00402420"/>
    <w:rsid w:val="004025BF"/>
    <w:rsid w:val="004027F2"/>
    <w:rsid w:val="00402935"/>
    <w:rsid w:val="00402936"/>
    <w:rsid w:val="00402C58"/>
    <w:rsid w:val="00403189"/>
    <w:rsid w:val="0040329B"/>
    <w:rsid w:val="004032AB"/>
    <w:rsid w:val="0040359C"/>
    <w:rsid w:val="004035CE"/>
    <w:rsid w:val="00403738"/>
    <w:rsid w:val="00403783"/>
    <w:rsid w:val="00403CC8"/>
    <w:rsid w:val="00403CE2"/>
    <w:rsid w:val="004048C7"/>
    <w:rsid w:val="00404B2C"/>
    <w:rsid w:val="00404BA0"/>
    <w:rsid w:val="00404D59"/>
    <w:rsid w:val="0040523B"/>
    <w:rsid w:val="004057E0"/>
    <w:rsid w:val="00405905"/>
    <w:rsid w:val="00405963"/>
    <w:rsid w:val="00405A4B"/>
    <w:rsid w:val="00405D4C"/>
    <w:rsid w:val="004065D7"/>
    <w:rsid w:val="0040672B"/>
    <w:rsid w:val="004069A7"/>
    <w:rsid w:val="00406A92"/>
    <w:rsid w:val="00406BFA"/>
    <w:rsid w:val="00406CA5"/>
    <w:rsid w:val="00406E02"/>
    <w:rsid w:val="00406F16"/>
    <w:rsid w:val="00406F3B"/>
    <w:rsid w:val="00406F3C"/>
    <w:rsid w:val="00407435"/>
    <w:rsid w:val="004077BD"/>
    <w:rsid w:val="00407978"/>
    <w:rsid w:val="00407D29"/>
    <w:rsid w:val="00407EDC"/>
    <w:rsid w:val="004106ED"/>
    <w:rsid w:val="00410931"/>
    <w:rsid w:val="00410977"/>
    <w:rsid w:val="00410B07"/>
    <w:rsid w:val="00410BEC"/>
    <w:rsid w:val="0041103D"/>
    <w:rsid w:val="0041201D"/>
    <w:rsid w:val="004120EB"/>
    <w:rsid w:val="00412449"/>
    <w:rsid w:val="004124B7"/>
    <w:rsid w:val="00412A58"/>
    <w:rsid w:val="00412A73"/>
    <w:rsid w:val="004132A8"/>
    <w:rsid w:val="00413355"/>
    <w:rsid w:val="004133BF"/>
    <w:rsid w:val="004134A7"/>
    <w:rsid w:val="004135B3"/>
    <w:rsid w:val="00414009"/>
    <w:rsid w:val="004158A8"/>
    <w:rsid w:val="00415C52"/>
    <w:rsid w:val="00415DE2"/>
    <w:rsid w:val="0041602E"/>
    <w:rsid w:val="0041615B"/>
    <w:rsid w:val="004166D8"/>
    <w:rsid w:val="00416739"/>
    <w:rsid w:val="0041679A"/>
    <w:rsid w:val="00416911"/>
    <w:rsid w:val="004169B9"/>
    <w:rsid w:val="00416A32"/>
    <w:rsid w:val="00416A9D"/>
    <w:rsid w:val="00417504"/>
    <w:rsid w:val="004175B6"/>
    <w:rsid w:val="00417714"/>
    <w:rsid w:val="004177D7"/>
    <w:rsid w:val="004179B1"/>
    <w:rsid w:val="00417BB4"/>
    <w:rsid w:val="00417C33"/>
    <w:rsid w:val="00417CC4"/>
    <w:rsid w:val="00417D16"/>
    <w:rsid w:val="00417E1D"/>
    <w:rsid w:val="00417ECD"/>
    <w:rsid w:val="0042033F"/>
    <w:rsid w:val="00420545"/>
    <w:rsid w:val="00420620"/>
    <w:rsid w:val="004206CC"/>
    <w:rsid w:val="00420946"/>
    <w:rsid w:val="00420AA9"/>
    <w:rsid w:val="00420CB5"/>
    <w:rsid w:val="00420F56"/>
    <w:rsid w:val="00420F97"/>
    <w:rsid w:val="00421232"/>
    <w:rsid w:val="004212F8"/>
    <w:rsid w:val="00421615"/>
    <w:rsid w:val="00421675"/>
    <w:rsid w:val="00421A7F"/>
    <w:rsid w:val="00421B69"/>
    <w:rsid w:val="00421D67"/>
    <w:rsid w:val="00421DCE"/>
    <w:rsid w:val="00421ED1"/>
    <w:rsid w:val="00422146"/>
    <w:rsid w:val="00422204"/>
    <w:rsid w:val="0042262B"/>
    <w:rsid w:val="00422630"/>
    <w:rsid w:val="004229CF"/>
    <w:rsid w:val="00422ED6"/>
    <w:rsid w:val="00422EED"/>
    <w:rsid w:val="00423484"/>
    <w:rsid w:val="00423673"/>
    <w:rsid w:val="004236AB"/>
    <w:rsid w:val="00423811"/>
    <w:rsid w:val="004239FF"/>
    <w:rsid w:val="00423A39"/>
    <w:rsid w:val="00423C08"/>
    <w:rsid w:val="004243F9"/>
    <w:rsid w:val="004244D4"/>
    <w:rsid w:val="00424636"/>
    <w:rsid w:val="00424647"/>
    <w:rsid w:val="00425437"/>
    <w:rsid w:val="00425724"/>
    <w:rsid w:val="004257D5"/>
    <w:rsid w:val="00425AC0"/>
    <w:rsid w:val="00425AED"/>
    <w:rsid w:val="00425B02"/>
    <w:rsid w:val="00425BD6"/>
    <w:rsid w:val="00425DA0"/>
    <w:rsid w:val="00425E97"/>
    <w:rsid w:val="0042609B"/>
    <w:rsid w:val="00426210"/>
    <w:rsid w:val="00426293"/>
    <w:rsid w:val="004267C2"/>
    <w:rsid w:val="00426B1C"/>
    <w:rsid w:val="00426B82"/>
    <w:rsid w:val="00426E6B"/>
    <w:rsid w:val="00426F10"/>
    <w:rsid w:val="0042730F"/>
    <w:rsid w:val="004279EA"/>
    <w:rsid w:val="00427B02"/>
    <w:rsid w:val="00427ED8"/>
    <w:rsid w:val="00427FF2"/>
    <w:rsid w:val="00430300"/>
    <w:rsid w:val="00430489"/>
    <w:rsid w:val="00430931"/>
    <w:rsid w:val="004309C8"/>
    <w:rsid w:val="00430B6C"/>
    <w:rsid w:val="00430B7F"/>
    <w:rsid w:val="00430EA4"/>
    <w:rsid w:val="00430F36"/>
    <w:rsid w:val="00431596"/>
    <w:rsid w:val="00431975"/>
    <w:rsid w:val="00431E54"/>
    <w:rsid w:val="00431E9A"/>
    <w:rsid w:val="004320E6"/>
    <w:rsid w:val="004323D0"/>
    <w:rsid w:val="00432528"/>
    <w:rsid w:val="00432932"/>
    <w:rsid w:val="00432A85"/>
    <w:rsid w:val="00432A8E"/>
    <w:rsid w:val="00432B6E"/>
    <w:rsid w:val="00432E67"/>
    <w:rsid w:val="00432E68"/>
    <w:rsid w:val="00433863"/>
    <w:rsid w:val="00433B94"/>
    <w:rsid w:val="00434015"/>
    <w:rsid w:val="004342C5"/>
    <w:rsid w:val="00434325"/>
    <w:rsid w:val="0043456C"/>
    <w:rsid w:val="004348C5"/>
    <w:rsid w:val="00434932"/>
    <w:rsid w:val="004349F7"/>
    <w:rsid w:val="00434A21"/>
    <w:rsid w:val="00434CE4"/>
    <w:rsid w:val="00434D0D"/>
    <w:rsid w:val="004350BA"/>
    <w:rsid w:val="00435802"/>
    <w:rsid w:val="004358FA"/>
    <w:rsid w:val="00435A1B"/>
    <w:rsid w:val="00435D51"/>
    <w:rsid w:val="00435E9A"/>
    <w:rsid w:val="00436758"/>
    <w:rsid w:val="00436860"/>
    <w:rsid w:val="00436BBA"/>
    <w:rsid w:val="00436D25"/>
    <w:rsid w:val="00437253"/>
    <w:rsid w:val="004375A1"/>
    <w:rsid w:val="004375D1"/>
    <w:rsid w:val="004379D2"/>
    <w:rsid w:val="004404A2"/>
    <w:rsid w:val="0044098D"/>
    <w:rsid w:val="00440A2D"/>
    <w:rsid w:val="00440C89"/>
    <w:rsid w:val="00440F98"/>
    <w:rsid w:val="004416A0"/>
    <w:rsid w:val="00441AF8"/>
    <w:rsid w:val="00441B06"/>
    <w:rsid w:val="004423DE"/>
    <w:rsid w:val="004424F6"/>
    <w:rsid w:val="004426FE"/>
    <w:rsid w:val="004429EF"/>
    <w:rsid w:val="00442A1A"/>
    <w:rsid w:val="00442C1F"/>
    <w:rsid w:val="00442DCC"/>
    <w:rsid w:val="00443806"/>
    <w:rsid w:val="00443AE4"/>
    <w:rsid w:val="00443AEA"/>
    <w:rsid w:val="0044408A"/>
    <w:rsid w:val="0044429F"/>
    <w:rsid w:val="004442BA"/>
    <w:rsid w:val="00444495"/>
    <w:rsid w:val="00444508"/>
    <w:rsid w:val="00444509"/>
    <w:rsid w:val="00444DBA"/>
    <w:rsid w:val="00445096"/>
    <w:rsid w:val="0044536C"/>
    <w:rsid w:val="00445B5C"/>
    <w:rsid w:val="00445DEB"/>
    <w:rsid w:val="00445FBF"/>
    <w:rsid w:val="0044605D"/>
    <w:rsid w:val="004461DD"/>
    <w:rsid w:val="00446341"/>
    <w:rsid w:val="0044666B"/>
    <w:rsid w:val="004467B6"/>
    <w:rsid w:val="0044694C"/>
    <w:rsid w:val="00446A13"/>
    <w:rsid w:val="00446AD8"/>
    <w:rsid w:val="00446DD3"/>
    <w:rsid w:val="004474D4"/>
    <w:rsid w:val="00447576"/>
    <w:rsid w:val="00447A29"/>
    <w:rsid w:val="00447EA3"/>
    <w:rsid w:val="00450A3E"/>
    <w:rsid w:val="00450DD9"/>
    <w:rsid w:val="00450FD5"/>
    <w:rsid w:val="00451137"/>
    <w:rsid w:val="0045113B"/>
    <w:rsid w:val="0045113E"/>
    <w:rsid w:val="004513FE"/>
    <w:rsid w:val="004514A2"/>
    <w:rsid w:val="00451D14"/>
    <w:rsid w:val="00451FAA"/>
    <w:rsid w:val="00452D69"/>
    <w:rsid w:val="00452E3B"/>
    <w:rsid w:val="00452E5E"/>
    <w:rsid w:val="00452F7A"/>
    <w:rsid w:val="00453222"/>
    <w:rsid w:val="004535F3"/>
    <w:rsid w:val="00453AA8"/>
    <w:rsid w:val="00453F23"/>
    <w:rsid w:val="004541FD"/>
    <w:rsid w:val="00454311"/>
    <w:rsid w:val="004544EF"/>
    <w:rsid w:val="0045489F"/>
    <w:rsid w:val="00454A7B"/>
    <w:rsid w:val="00454AF8"/>
    <w:rsid w:val="00454BC1"/>
    <w:rsid w:val="00454C5D"/>
    <w:rsid w:val="00454D1F"/>
    <w:rsid w:val="00454F83"/>
    <w:rsid w:val="00455414"/>
    <w:rsid w:val="0045558E"/>
    <w:rsid w:val="0045580C"/>
    <w:rsid w:val="004559EF"/>
    <w:rsid w:val="00455A1A"/>
    <w:rsid w:val="00455B62"/>
    <w:rsid w:val="00455EA4"/>
    <w:rsid w:val="004565F8"/>
    <w:rsid w:val="004567AC"/>
    <w:rsid w:val="00456900"/>
    <w:rsid w:val="00456A29"/>
    <w:rsid w:val="004570C4"/>
    <w:rsid w:val="00457534"/>
    <w:rsid w:val="00457730"/>
    <w:rsid w:val="0045799C"/>
    <w:rsid w:val="00457A73"/>
    <w:rsid w:val="00457ACC"/>
    <w:rsid w:val="004600F6"/>
    <w:rsid w:val="00460457"/>
    <w:rsid w:val="00460B08"/>
    <w:rsid w:val="00460CE5"/>
    <w:rsid w:val="00460D19"/>
    <w:rsid w:val="00460F8C"/>
    <w:rsid w:val="00461421"/>
    <w:rsid w:val="004617BA"/>
    <w:rsid w:val="00461920"/>
    <w:rsid w:val="00461E39"/>
    <w:rsid w:val="00461F7F"/>
    <w:rsid w:val="00461FA6"/>
    <w:rsid w:val="0046221A"/>
    <w:rsid w:val="00462336"/>
    <w:rsid w:val="0046283C"/>
    <w:rsid w:val="004628B2"/>
    <w:rsid w:val="0046299E"/>
    <w:rsid w:val="00462B13"/>
    <w:rsid w:val="00462C08"/>
    <w:rsid w:val="00462F69"/>
    <w:rsid w:val="00463017"/>
    <w:rsid w:val="004630A9"/>
    <w:rsid w:val="004638F8"/>
    <w:rsid w:val="004639FB"/>
    <w:rsid w:val="00463A4F"/>
    <w:rsid w:val="00464124"/>
    <w:rsid w:val="004643BC"/>
    <w:rsid w:val="0046482D"/>
    <w:rsid w:val="00464EF5"/>
    <w:rsid w:val="00464F80"/>
    <w:rsid w:val="00464FF5"/>
    <w:rsid w:val="00464FFD"/>
    <w:rsid w:val="004651F3"/>
    <w:rsid w:val="004656C0"/>
    <w:rsid w:val="00465E44"/>
    <w:rsid w:val="00465E50"/>
    <w:rsid w:val="00465FDA"/>
    <w:rsid w:val="00466218"/>
    <w:rsid w:val="004664D0"/>
    <w:rsid w:val="00466BDF"/>
    <w:rsid w:val="00467305"/>
    <w:rsid w:val="004676F6"/>
    <w:rsid w:val="00467A80"/>
    <w:rsid w:val="00467E05"/>
    <w:rsid w:val="0047006B"/>
    <w:rsid w:val="0047052B"/>
    <w:rsid w:val="0047052C"/>
    <w:rsid w:val="00470611"/>
    <w:rsid w:val="0047080E"/>
    <w:rsid w:val="00470865"/>
    <w:rsid w:val="00470876"/>
    <w:rsid w:val="00470A44"/>
    <w:rsid w:val="00470B42"/>
    <w:rsid w:val="00470B67"/>
    <w:rsid w:val="00470E31"/>
    <w:rsid w:val="00470EB6"/>
    <w:rsid w:val="0047136E"/>
    <w:rsid w:val="004713E7"/>
    <w:rsid w:val="00471561"/>
    <w:rsid w:val="00471613"/>
    <w:rsid w:val="004719C9"/>
    <w:rsid w:val="00471A4D"/>
    <w:rsid w:val="00471AB2"/>
    <w:rsid w:val="00471E45"/>
    <w:rsid w:val="00471E6F"/>
    <w:rsid w:val="00472254"/>
    <w:rsid w:val="004723FC"/>
    <w:rsid w:val="0047242E"/>
    <w:rsid w:val="004725CA"/>
    <w:rsid w:val="004727E6"/>
    <w:rsid w:val="00472862"/>
    <w:rsid w:val="00472E10"/>
    <w:rsid w:val="00472E8B"/>
    <w:rsid w:val="004730F6"/>
    <w:rsid w:val="00473249"/>
    <w:rsid w:val="004732E0"/>
    <w:rsid w:val="004736F1"/>
    <w:rsid w:val="00473874"/>
    <w:rsid w:val="00474027"/>
    <w:rsid w:val="004742D9"/>
    <w:rsid w:val="00474822"/>
    <w:rsid w:val="004748AB"/>
    <w:rsid w:val="004748D5"/>
    <w:rsid w:val="00474A02"/>
    <w:rsid w:val="00474AF7"/>
    <w:rsid w:val="00474D30"/>
    <w:rsid w:val="00474E36"/>
    <w:rsid w:val="00474E52"/>
    <w:rsid w:val="004754ED"/>
    <w:rsid w:val="004756C6"/>
    <w:rsid w:val="00475715"/>
    <w:rsid w:val="00475B31"/>
    <w:rsid w:val="00475CE1"/>
    <w:rsid w:val="00476048"/>
    <w:rsid w:val="00476080"/>
    <w:rsid w:val="004760B5"/>
    <w:rsid w:val="0047614F"/>
    <w:rsid w:val="00476711"/>
    <w:rsid w:val="004768BA"/>
    <w:rsid w:val="00476AEB"/>
    <w:rsid w:val="00476BDE"/>
    <w:rsid w:val="00476C2A"/>
    <w:rsid w:val="00476E97"/>
    <w:rsid w:val="00477657"/>
    <w:rsid w:val="00477A5B"/>
    <w:rsid w:val="00480B2A"/>
    <w:rsid w:val="00480D93"/>
    <w:rsid w:val="00480DE1"/>
    <w:rsid w:val="00480FF9"/>
    <w:rsid w:val="004810CF"/>
    <w:rsid w:val="004812B0"/>
    <w:rsid w:val="00481340"/>
    <w:rsid w:val="004814B3"/>
    <w:rsid w:val="004815C2"/>
    <w:rsid w:val="004818A1"/>
    <w:rsid w:val="004818D5"/>
    <w:rsid w:val="00481F78"/>
    <w:rsid w:val="00482465"/>
    <w:rsid w:val="004826CF"/>
    <w:rsid w:val="004828B2"/>
    <w:rsid w:val="004828ED"/>
    <w:rsid w:val="00482C3D"/>
    <w:rsid w:val="00482DD6"/>
    <w:rsid w:val="00482DFE"/>
    <w:rsid w:val="00482FFB"/>
    <w:rsid w:val="004830AA"/>
    <w:rsid w:val="004835A5"/>
    <w:rsid w:val="00483737"/>
    <w:rsid w:val="00483858"/>
    <w:rsid w:val="00483AF3"/>
    <w:rsid w:val="00483E9E"/>
    <w:rsid w:val="00484066"/>
    <w:rsid w:val="0048428E"/>
    <w:rsid w:val="00484A4E"/>
    <w:rsid w:val="00484A6A"/>
    <w:rsid w:val="00484ABB"/>
    <w:rsid w:val="00484DF8"/>
    <w:rsid w:val="00484F00"/>
    <w:rsid w:val="004850A6"/>
    <w:rsid w:val="00485189"/>
    <w:rsid w:val="00485453"/>
    <w:rsid w:val="0048546D"/>
    <w:rsid w:val="004859C1"/>
    <w:rsid w:val="00485A12"/>
    <w:rsid w:val="00485C0A"/>
    <w:rsid w:val="00485C19"/>
    <w:rsid w:val="00485CF8"/>
    <w:rsid w:val="0048614A"/>
    <w:rsid w:val="00486649"/>
    <w:rsid w:val="004867B9"/>
    <w:rsid w:val="00486B32"/>
    <w:rsid w:val="00486F36"/>
    <w:rsid w:val="004871AC"/>
    <w:rsid w:val="004871D6"/>
    <w:rsid w:val="00487EDC"/>
    <w:rsid w:val="004903B1"/>
    <w:rsid w:val="00490A4A"/>
    <w:rsid w:val="00490BD2"/>
    <w:rsid w:val="00491400"/>
    <w:rsid w:val="0049192C"/>
    <w:rsid w:val="00491BE4"/>
    <w:rsid w:val="00491D4B"/>
    <w:rsid w:val="00491F82"/>
    <w:rsid w:val="00492044"/>
    <w:rsid w:val="0049220C"/>
    <w:rsid w:val="00492783"/>
    <w:rsid w:val="0049283C"/>
    <w:rsid w:val="00492FB0"/>
    <w:rsid w:val="00493157"/>
    <w:rsid w:val="00493428"/>
    <w:rsid w:val="00493451"/>
    <w:rsid w:val="0049365E"/>
    <w:rsid w:val="004939E0"/>
    <w:rsid w:val="00493A19"/>
    <w:rsid w:val="00493C5A"/>
    <w:rsid w:val="00493D0C"/>
    <w:rsid w:val="00493D86"/>
    <w:rsid w:val="00493FBF"/>
    <w:rsid w:val="004942B5"/>
    <w:rsid w:val="0049470F"/>
    <w:rsid w:val="00494DAD"/>
    <w:rsid w:val="00495060"/>
    <w:rsid w:val="004950C9"/>
    <w:rsid w:val="00495493"/>
    <w:rsid w:val="0049579F"/>
    <w:rsid w:val="004959DC"/>
    <w:rsid w:val="00495A78"/>
    <w:rsid w:val="00495FFC"/>
    <w:rsid w:val="0049618F"/>
    <w:rsid w:val="0049623F"/>
    <w:rsid w:val="004964F6"/>
    <w:rsid w:val="0049652D"/>
    <w:rsid w:val="004967C5"/>
    <w:rsid w:val="00496D53"/>
    <w:rsid w:val="004973CB"/>
    <w:rsid w:val="004975D3"/>
    <w:rsid w:val="004A0BDF"/>
    <w:rsid w:val="004A0E1D"/>
    <w:rsid w:val="004A13A5"/>
    <w:rsid w:val="004A16A1"/>
    <w:rsid w:val="004A16BC"/>
    <w:rsid w:val="004A1E2A"/>
    <w:rsid w:val="004A2072"/>
    <w:rsid w:val="004A211E"/>
    <w:rsid w:val="004A294B"/>
    <w:rsid w:val="004A2E90"/>
    <w:rsid w:val="004A3338"/>
    <w:rsid w:val="004A382E"/>
    <w:rsid w:val="004A3B43"/>
    <w:rsid w:val="004A4236"/>
    <w:rsid w:val="004A446A"/>
    <w:rsid w:val="004A47C4"/>
    <w:rsid w:val="004A49DA"/>
    <w:rsid w:val="004A4AD2"/>
    <w:rsid w:val="004A5238"/>
    <w:rsid w:val="004A52D6"/>
    <w:rsid w:val="004A5940"/>
    <w:rsid w:val="004A5C6D"/>
    <w:rsid w:val="004A627E"/>
    <w:rsid w:val="004A6374"/>
    <w:rsid w:val="004A6626"/>
    <w:rsid w:val="004A6663"/>
    <w:rsid w:val="004A6853"/>
    <w:rsid w:val="004A68A5"/>
    <w:rsid w:val="004A69E2"/>
    <w:rsid w:val="004A6D0F"/>
    <w:rsid w:val="004A6FC8"/>
    <w:rsid w:val="004A753E"/>
    <w:rsid w:val="004A764F"/>
    <w:rsid w:val="004A78DA"/>
    <w:rsid w:val="004A7B47"/>
    <w:rsid w:val="004A7B8D"/>
    <w:rsid w:val="004B022E"/>
    <w:rsid w:val="004B02F9"/>
    <w:rsid w:val="004B062D"/>
    <w:rsid w:val="004B06FF"/>
    <w:rsid w:val="004B07B8"/>
    <w:rsid w:val="004B07E8"/>
    <w:rsid w:val="004B09BF"/>
    <w:rsid w:val="004B0CFF"/>
    <w:rsid w:val="004B0EA3"/>
    <w:rsid w:val="004B111F"/>
    <w:rsid w:val="004B1640"/>
    <w:rsid w:val="004B1AB5"/>
    <w:rsid w:val="004B1E23"/>
    <w:rsid w:val="004B2CA3"/>
    <w:rsid w:val="004B3513"/>
    <w:rsid w:val="004B35E9"/>
    <w:rsid w:val="004B36DA"/>
    <w:rsid w:val="004B371A"/>
    <w:rsid w:val="004B3A98"/>
    <w:rsid w:val="004B3BF8"/>
    <w:rsid w:val="004B3C8C"/>
    <w:rsid w:val="004B4635"/>
    <w:rsid w:val="004B4978"/>
    <w:rsid w:val="004B49EC"/>
    <w:rsid w:val="004B4CBB"/>
    <w:rsid w:val="004B5039"/>
    <w:rsid w:val="004B561B"/>
    <w:rsid w:val="004B56FB"/>
    <w:rsid w:val="004B5A8F"/>
    <w:rsid w:val="004B5FB2"/>
    <w:rsid w:val="004B5FCF"/>
    <w:rsid w:val="004B60B9"/>
    <w:rsid w:val="004B6153"/>
    <w:rsid w:val="004B6418"/>
    <w:rsid w:val="004B6F69"/>
    <w:rsid w:val="004B6FB0"/>
    <w:rsid w:val="004B72C1"/>
    <w:rsid w:val="004B7989"/>
    <w:rsid w:val="004B7AED"/>
    <w:rsid w:val="004B7DCA"/>
    <w:rsid w:val="004B7EA2"/>
    <w:rsid w:val="004C0362"/>
    <w:rsid w:val="004C0458"/>
    <w:rsid w:val="004C0BCE"/>
    <w:rsid w:val="004C0C66"/>
    <w:rsid w:val="004C0D32"/>
    <w:rsid w:val="004C0D51"/>
    <w:rsid w:val="004C0F9B"/>
    <w:rsid w:val="004C1055"/>
    <w:rsid w:val="004C120F"/>
    <w:rsid w:val="004C1282"/>
    <w:rsid w:val="004C13AD"/>
    <w:rsid w:val="004C1A08"/>
    <w:rsid w:val="004C1AC5"/>
    <w:rsid w:val="004C1B74"/>
    <w:rsid w:val="004C1E20"/>
    <w:rsid w:val="004C1E26"/>
    <w:rsid w:val="004C1F2B"/>
    <w:rsid w:val="004C204F"/>
    <w:rsid w:val="004C2078"/>
    <w:rsid w:val="004C229A"/>
    <w:rsid w:val="004C23A0"/>
    <w:rsid w:val="004C2741"/>
    <w:rsid w:val="004C28FA"/>
    <w:rsid w:val="004C2C14"/>
    <w:rsid w:val="004C30CB"/>
    <w:rsid w:val="004C3215"/>
    <w:rsid w:val="004C359C"/>
    <w:rsid w:val="004C359F"/>
    <w:rsid w:val="004C3CD2"/>
    <w:rsid w:val="004C3D63"/>
    <w:rsid w:val="004C3F05"/>
    <w:rsid w:val="004C412C"/>
    <w:rsid w:val="004C42BF"/>
    <w:rsid w:val="004C4446"/>
    <w:rsid w:val="004C4C21"/>
    <w:rsid w:val="004C50EA"/>
    <w:rsid w:val="004C525C"/>
    <w:rsid w:val="004C5631"/>
    <w:rsid w:val="004C5984"/>
    <w:rsid w:val="004C61A1"/>
    <w:rsid w:val="004C6254"/>
    <w:rsid w:val="004C6290"/>
    <w:rsid w:val="004C66C7"/>
    <w:rsid w:val="004C6F2C"/>
    <w:rsid w:val="004C71AB"/>
    <w:rsid w:val="004C7541"/>
    <w:rsid w:val="004C75F5"/>
    <w:rsid w:val="004C77EE"/>
    <w:rsid w:val="004C7973"/>
    <w:rsid w:val="004C7ABD"/>
    <w:rsid w:val="004C7FB0"/>
    <w:rsid w:val="004D084F"/>
    <w:rsid w:val="004D0A7F"/>
    <w:rsid w:val="004D1173"/>
    <w:rsid w:val="004D11BC"/>
    <w:rsid w:val="004D11E2"/>
    <w:rsid w:val="004D1777"/>
    <w:rsid w:val="004D1AF0"/>
    <w:rsid w:val="004D1ED3"/>
    <w:rsid w:val="004D1F46"/>
    <w:rsid w:val="004D21F5"/>
    <w:rsid w:val="004D22C1"/>
    <w:rsid w:val="004D2648"/>
    <w:rsid w:val="004D273F"/>
    <w:rsid w:val="004D2796"/>
    <w:rsid w:val="004D291C"/>
    <w:rsid w:val="004D33E7"/>
    <w:rsid w:val="004D34CA"/>
    <w:rsid w:val="004D3724"/>
    <w:rsid w:val="004D3F5B"/>
    <w:rsid w:val="004D4106"/>
    <w:rsid w:val="004D44D5"/>
    <w:rsid w:val="004D4529"/>
    <w:rsid w:val="004D4755"/>
    <w:rsid w:val="004D487E"/>
    <w:rsid w:val="004D49E9"/>
    <w:rsid w:val="004D4ACB"/>
    <w:rsid w:val="004D54C6"/>
    <w:rsid w:val="004D55F2"/>
    <w:rsid w:val="004D5867"/>
    <w:rsid w:val="004D587F"/>
    <w:rsid w:val="004D5BB2"/>
    <w:rsid w:val="004D5D1A"/>
    <w:rsid w:val="004D5D79"/>
    <w:rsid w:val="004D5E96"/>
    <w:rsid w:val="004D600D"/>
    <w:rsid w:val="004D6A6F"/>
    <w:rsid w:val="004D6AEA"/>
    <w:rsid w:val="004D745E"/>
    <w:rsid w:val="004D766D"/>
    <w:rsid w:val="004D79B1"/>
    <w:rsid w:val="004D7AEA"/>
    <w:rsid w:val="004D7D67"/>
    <w:rsid w:val="004D7ECE"/>
    <w:rsid w:val="004E0290"/>
    <w:rsid w:val="004E0357"/>
    <w:rsid w:val="004E04BF"/>
    <w:rsid w:val="004E0770"/>
    <w:rsid w:val="004E0995"/>
    <w:rsid w:val="004E0A8C"/>
    <w:rsid w:val="004E0EA4"/>
    <w:rsid w:val="004E111C"/>
    <w:rsid w:val="004E1451"/>
    <w:rsid w:val="004E1867"/>
    <w:rsid w:val="004E18AB"/>
    <w:rsid w:val="004E1E5A"/>
    <w:rsid w:val="004E1F74"/>
    <w:rsid w:val="004E1FA3"/>
    <w:rsid w:val="004E24A1"/>
    <w:rsid w:val="004E276C"/>
    <w:rsid w:val="004E27A6"/>
    <w:rsid w:val="004E28F0"/>
    <w:rsid w:val="004E3690"/>
    <w:rsid w:val="004E3C60"/>
    <w:rsid w:val="004E427E"/>
    <w:rsid w:val="004E4484"/>
    <w:rsid w:val="004E4512"/>
    <w:rsid w:val="004E4626"/>
    <w:rsid w:val="004E464D"/>
    <w:rsid w:val="004E46F6"/>
    <w:rsid w:val="004E4733"/>
    <w:rsid w:val="004E4797"/>
    <w:rsid w:val="004E494A"/>
    <w:rsid w:val="004E49C7"/>
    <w:rsid w:val="004E50E3"/>
    <w:rsid w:val="004E5438"/>
    <w:rsid w:val="004E5B05"/>
    <w:rsid w:val="004E5B47"/>
    <w:rsid w:val="004E5BE2"/>
    <w:rsid w:val="004E5DBD"/>
    <w:rsid w:val="004E5FE2"/>
    <w:rsid w:val="004E61B1"/>
    <w:rsid w:val="004E6686"/>
    <w:rsid w:val="004E6C70"/>
    <w:rsid w:val="004E71BF"/>
    <w:rsid w:val="004E7563"/>
    <w:rsid w:val="004E7996"/>
    <w:rsid w:val="004E7A1D"/>
    <w:rsid w:val="004E7DDD"/>
    <w:rsid w:val="004E7E80"/>
    <w:rsid w:val="004E7ED1"/>
    <w:rsid w:val="004F0195"/>
    <w:rsid w:val="004F023A"/>
    <w:rsid w:val="004F0402"/>
    <w:rsid w:val="004F0475"/>
    <w:rsid w:val="004F0EA3"/>
    <w:rsid w:val="004F0F5F"/>
    <w:rsid w:val="004F1036"/>
    <w:rsid w:val="004F13FA"/>
    <w:rsid w:val="004F1721"/>
    <w:rsid w:val="004F1952"/>
    <w:rsid w:val="004F1B8E"/>
    <w:rsid w:val="004F1E23"/>
    <w:rsid w:val="004F2160"/>
    <w:rsid w:val="004F2293"/>
    <w:rsid w:val="004F236E"/>
    <w:rsid w:val="004F275E"/>
    <w:rsid w:val="004F296C"/>
    <w:rsid w:val="004F2DC7"/>
    <w:rsid w:val="004F2EEE"/>
    <w:rsid w:val="004F3958"/>
    <w:rsid w:val="004F44BE"/>
    <w:rsid w:val="004F44F5"/>
    <w:rsid w:val="004F4635"/>
    <w:rsid w:val="004F466B"/>
    <w:rsid w:val="004F47B9"/>
    <w:rsid w:val="004F48D3"/>
    <w:rsid w:val="004F4C5B"/>
    <w:rsid w:val="004F52EC"/>
    <w:rsid w:val="004F53E9"/>
    <w:rsid w:val="004F5506"/>
    <w:rsid w:val="004F5B9D"/>
    <w:rsid w:val="004F5DFE"/>
    <w:rsid w:val="004F5F3C"/>
    <w:rsid w:val="004F61B7"/>
    <w:rsid w:val="004F6307"/>
    <w:rsid w:val="004F6C1F"/>
    <w:rsid w:val="004F6CCC"/>
    <w:rsid w:val="004F6D60"/>
    <w:rsid w:val="004F6E58"/>
    <w:rsid w:val="004F6FE6"/>
    <w:rsid w:val="004F7063"/>
    <w:rsid w:val="004F7698"/>
    <w:rsid w:val="004F7981"/>
    <w:rsid w:val="004F7AF8"/>
    <w:rsid w:val="004F7E2E"/>
    <w:rsid w:val="0050006D"/>
    <w:rsid w:val="00500159"/>
    <w:rsid w:val="00500993"/>
    <w:rsid w:val="005009E7"/>
    <w:rsid w:val="00500A9D"/>
    <w:rsid w:val="00500AED"/>
    <w:rsid w:val="00500BCA"/>
    <w:rsid w:val="00500CF0"/>
    <w:rsid w:val="00501278"/>
    <w:rsid w:val="00501559"/>
    <w:rsid w:val="005016C2"/>
    <w:rsid w:val="005017AA"/>
    <w:rsid w:val="005018C8"/>
    <w:rsid w:val="00501900"/>
    <w:rsid w:val="005019C1"/>
    <w:rsid w:val="005019CE"/>
    <w:rsid w:val="00501A5B"/>
    <w:rsid w:val="00501C42"/>
    <w:rsid w:val="00501E02"/>
    <w:rsid w:val="00501FAE"/>
    <w:rsid w:val="00502520"/>
    <w:rsid w:val="005029EA"/>
    <w:rsid w:val="00502B83"/>
    <w:rsid w:val="00502B94"/>
    <w:rsid w:val="00502C39"/>
    <w:rsid w:val="0050352B"/>
    <w:rsid w:val="005044FD"/>
    <w:rsid w:val="005047FD"/>
    <w:rsid w:val="00504CBF"/>
    <w:rsid w:val="00504D52"/>
    <w:rsid w:val="00504E66"/>
    <w:rsid w:val="005052E6"/>
    <w:rsid w:val="005054CE"/>
    <w:rsid w:val="00505513"/>
    <w:rsid w:val="005055AD"/>
    <w:rsid w:val="005055E7"/>
    <w:rsid w:val="00505A02"/>
    <w:rsid w:val="00505A25"/>
    <w:rsid w:val="00505ADA"/>
    <w:rsid w:val="00505B4F"/>
    <w:rsid w:val="00505C93"/>
    <w:rsid w:val="00506072"/>
    <w:rsid w:val="00506382"/>
    <w:rsid w:val="005069A4"/>
    <w:rsid w:val="00506C0D"/>
    <w:rsid w:val="00506C79"/>
    <w:rsid w:val="00507015"/>
    <w:rsid w:val="005071B5"/>
    <w:rsid w:val="00507492"/>
    <w:rsid w:val="0050766C"/>
    <w:rsid w:val="005078A9"/>
    <w:rsid w:val="005078D2"/>
    <w:rsid w:val="00507B2F"/>
    <w:rsid w:val="00507D67"/>
    <w:rsid w:val="00507E53"/>
    <w:rsid w:val="00507FE0"/>
    <w:rsid w:val="005100B9"/>
    <w:rsid w:val="005104E5"/>
    <w:rsid w:val="00510628"/>
    <w:rsid w:val="00510C33"/>
    <w:rsid w:val="00510E9E"/>
    <w:rsid w:val="005114B4"/>
    <w:rsid w:val="005115E1"/>
    <w:rsid w:val="00511695"/>
    <w:rsid w:val="00511D35"/>
    <w:rsid w:val="00511D69"/>
    <w:rsid w:val="00512064"/>
    <w:rsid w:val="0051206F"/>
    <w:rsid w:val="0051213E"/>
    <w:rsid w:val="00512229"/>
    <w:rsid w:val="00512939"/>
    <w:rsid w:val="00512C1C"/>
    <w:rsid w:val="00512C7E"/>
    <w:rsid w:val="00512CAF"/>
    <w:rsid w:val="00512E73"/>
    <w:rsid w:val="005130D9"/>
    <w:rsid w:val="00513189"/>
    <w:rsid w:val="00513274"/>
    <w:rsid w:val="00513535"/>
    <w:rsid w:val="00513571"/>
    <w:rsid w:val="00513577"/>
    <w:rsid w:val="0051411A"/>
    <w:rsid w:val="005141D8"/>
    <w:rsid w:val="005144CB"/>
    <w:rsid w:val="005147EC"/>
    <w:rsid w:val="00514DE6"/>
    <w:rsid w:val="005157CB"/>
    <w:rsid w:val="00515AA5"/>
    <w:rsid w:val="00515FDC"/>
    <w:rsid w:val="005160A7"/>
    <w:rsid w:val="00516615"/>
    <w:rsid w:val="00516959"/>
    <w:rsid w:val="005169FE"/>
    <w:rsid w:val="00516EEC"/>
    <w:rsid w:val="00517372"/>
    <w:rsid w:val="005177D9"/>
    <w:rsid w:val="005200D1"/>
    <w:rsid w:val="005203BD"/>
    <w:rsid w:val="00520551"/>
    <w:rsid w:val="005206AD"/>
    <w:rsid w:val="005207C3"/>
    <w:rsid w:val="00520D81"/>
    <w:rsid w:val="00520EA3"/>
    <w:rsid w:val="00521000"/>
    <w:rsid w:val="00521384"/>
    <w:rsid w:val="00521472"/>
    <w:rsid w:val="00521AA6"/>
    <w:rsid w:val="00521C29"/>
    <w:rsid w:val="0052214D"/>
    <w:rsid w:val="005226FB"/>
    <w:rsid w:val="00522A6E"/>
    <w:rsid w:val="00522C59"/>
    <w:rsid w:val="00522E13"/>
    <w:rsid w:val="0052319B"/>
    <w:rsid w:val="005234E8"/>
    <w:rsid w:val="005235A4"/>
    <w:rsid w:val="0052375D"/>
    <w:rsid w:val="0052427A"/>
    <w:rsid w:val="005243CA"/>
    <w:rsid w:val="0052472C"/>
    <w:rsid w:val="00524751"/>
    <w:rsid w:val="00524881"/>
    <w:rsid w:val="00524EF6"/>
    <w:rsid w:val="0052550B"/>
    <w:rsid w:val="00525F9A"/>
    <w:rsid w:val="00525FC3"/>
    <w:rsid w:val="00526219"/>
    <w:rsid w:val="00526407"/>
    <w:rsid w:val="0052642A"/>
    <w:rsid w:val="005264A6"/>
    <w:rsid w:val="005266AC"/>
    <w:rsid w:val="005267FF"/>
    <w:rsid w:val="00526ACD"/>
    <w:rsid w:val="00526DCA"/>
    <w:rsid w:val="00527709"/>
    <w:rsid w:val="00527A51"/>
    <w:rsid w:val="00527A76"/>
    <w:rsid w:val="00527D95"/>
    <w:rsid w:val="00530159"/>
    <w:rsid w:val="005301CF"/>
    <w:rsid w:val="0053040B"/>
    <w:rsid w:val="0053046D"/>
    <w:rsid w:val="0053049D"/>
    <w:rsid w:val="0053075E"/>
    <w:rsid w:val="005309D5"/>
    <w:rsid w:val="00530E63"/>
    <w:rsid w:val="00530F11"/>
    <w:rsid w:val="00531036"/>
    <w:rsid w:val="0053181C"/>
    <w:rsid w:val="00531B2A"/>
    <w:rsid w:val="00531E86"/>
    <w:rsid w:val="00531E8E"/>
    <w:rsid w:val="00531EE1"/>
    <w:rsid w:val="0053248E"/>
    <w:rsid w:val="0053256F"/>
    <w:rsid w:val="00532982"/>
    <w:rsid w:val="00532C0D"/>
    <w:rsid w:val="00532DE3"/>
    <w:rsid w:val="0053314D"/>
    <w:rsid w:val="00533494"/>
    <w:rsid w:val="005335A3"/>
    <w:rsid w:val="005337BB"/>
    <w:rsid w:val="005339F1"/>
    <w:rsid w:val="00533F2D"/>
    <w:rsid w:val="00533F71"/>
    <w:rsid w:val="00533FC9"/>
    <w:rsid w:val="0053425B"/>
    <w:rsid w:val="00534409"/>
    <w:rsid w:val="005346DF"/>
    <w:rsid w:val="00534755"/>
    <w:rsid w:val="005347E5"/>
    <w:rsid w:val="00534B54"/>
    <w:rsid w:val="00534C88"/>
    <w:rsid w:val="0053524F"/>
    <w:rsid w:val="0053543D"/>
    <w:rsid w:val="005359C9"/>
    <w:rsid w:val="00535A7E"/>
    <w:rsid w:val="00535C5F"/>
    <w:rsid w:val="00535D75"/>
    <w:rsid w:val="00535D87"/>
    <w:rsid w:val="00536101"/>
    <w:rsid w:val="00536135"/>
    <w:rsid w:val="005362EC"/>
    <w:rsid w:val="00536602"/>
    <w:rsid w:val="00536812"/>
    <w:rsid w:val="00536978"/>
    <w:rsid w:val="00537009"/>
    <w:rsid w:val="005370CE"/>
    <w:rsid w:val="0053731C"/>
    <w:rsid w:val="0053731D"/>
    <w:rsid w:val="00537340"/>
    <w:rsid w:val="00537574"/>
    <w:rsid w:val="005376BD"/>
    <w:rsid w:val="00537993"/>
    <w:rsid w:val="00537B6E"/>
    <w:rsid w:val="00537BEB"/>
    <w:rsid w:val="00537FAB"/>
    <w:rsid w:val="00540326"/>
    <w:rsid w:val="0054037E"/>
    <w:rsid w:val="00540397"/>
    <w:rsid w:val="005408C2"/>
    <w:rsid w:val="00540B14"/>
    <w:rsid w:val="00541120"/>
    <w:rsid w:val="00541190"/>
    <w:rsid w:val="0054190B"/>
    <w:rsid w:val="00541995"/>
    <w:rsid w:val="00541C8C"/>
    <w:rsid w:val="00541EE6"/>
    <w:rsid w:val="00542A12"/>
    <w:rsid w:val="00542C96"/>
    <w:rsid w:val="00542D7D"/>
    <w:rsid w:val="00543162"/>
    <w:rsid w:val="00543451"/>
    <w:rsid w:val="00543577"/>
    <w:rsid w:val="005436DD"/>
    <w:rsid w:val="00543A13"/>
    <w:rsid w:val="00543A24"/>
    <w:rsid w:val="00543A6E"/>
    <w:rsid w:val="00543CFF"/>
    <w:rsid w:val="00543ED7"/>
    <w:rsid w:val="005445B1"/>
    <w:rsid w:val="005445FE"/>
    <w:rsid w:val="0054464D"/>
    <w:rsid w:val="0054476C"/>
    <w:rsid w:val="00544853"/>
    <w:rsid w:val="00544C51"/>
    <w:rsid w:val="005453D3"/>
    <w:rsid w:val="0054553E"/>
    <w:rsid w:val="005455AE"/>
    <w:rsid w:val="00545DA7"/>
    <w:rsid w:val="00545FB1"/>
    <w:rsid w:val="00546070"/>
    <w:rsid w:val="005460F4"/>
    <w:rsid w:val="005462CD"/>
    <w:rsid w:val="00546304"/>
    <w:rsid w:val="00546656"/>
    <w:rsid w:val="005466E7"/>
    <w:rsid w:val="005468A8"/>
    <w:rsid w:val="00546BF4"/>
    <w:rsid w:val="00546C96"/>
    <w:rsid w:val="00546D8B"/>
    <w:rsid w:val="00547374"/>
    <w:rsid w:val="00547429"/>
    <w:rsid w:val="00547486"/>
    <w:rsid w:val="00547531"/>
    <w:rsid w:val="00547629"/>
    <w:rsid w:val="0054762D"/>
    <w:rsid w:val="00547660"/>
    <w:rsid w:val="0054790A"/>
    <w:rsid w:val="00547BE3"/>
    <w:rsid w:val="00547CA8"/>
    <w:rsid w:val="00547CC6"/>
    <w:rsid w:val="00547D44"/>
    <w:rsid w:val="00547E66"/>
    <w:rsid w:val="00547E9F"/>
    <w:rsid w:val="00550236"/>
    <w:rsid w:val="0055059F"/>
    <w:rsid w:val="0055072E"/>
    <w:rsid w:val="00550F05"/>
    <w:rsid w:val="0055144F"/>
    <w:rsid w:val="005514CC"/>
    <w:rsid w:val="005518A0"/>
    <w:rsid w:val="00551954"/>
    <w:rsid w:val="00551AAC"/>
    <w:rsid w:val="0055270E"/>
    <w:rsid w:val="00552B50"/>
    <w:rsid w:val="00552FB7"/>
    <w:rsid w:val="005531E1"/>
    <w:rsid w:val="00553781"/>
    <w:rsid w:val="005539F0"/>
    <w:rsid w:val="00553C86"/>
    <w:rsid w:val="00553F6E"/>
    <w:rsid w:val="00553F99"/>
    <w:rsid w:val="005540C9"/>
    <w:rsid w:val="00554496"/>
    <w:rsid w:val="005544F8"/>
    <w:rsid w:val="00554C9E"/>
    <w:rsid w:val="00554F10"/>
    <w:rsid w:val="005556C6"/>
    <w:rsid w:val="00555747"/>
    <w:rsid w:val="00555853"/>
    <w:rsid w:val="005559F5"/>
    <w:rsid w:val="00555BF9"/>
    <w:rsid w:val="00555C1D"/>
    <w:rsid w:val="00555EF9"/>
    <w:rsid w:val="0055610F"/>
    <w:rsid w:val="005561B1"/>
    <w:rsid w:val="00556490"/>
    <w:rsid w:val="00556628"/>
    <w:rsid w:val="00556C0B"/>
    <w:rsid w:val="00556E69"/>
    <w:rsid w:val="0055730B"/>
    <w:rsid w:val="005574A0"/>
    <w:rsid w:val="00557931"/>
    <w:rsid w:val="00557C08"/>
    <w:rsid w:val="00557C0C"/>
    <w:rsid w:val="00557CC0"/>
    <w:rsid w:val="00557CC8"/>
    <w:rsid w:val="00557F53"/>
    <w:rsid w:val="00557FAD"/>
    <w:rsid w:val="005601CC"/>
    <w:rsid w:val="005607E7"/>
    <w:rsid w:val="00560863"/>
    <w:rsid w:val="00560CE7"/>
    <w:rsid w:val="00560D34"/>
    <w:rsid w:val="00561417"/>
    <w:rsid w:val="005614DB"/>
    <w:rsid w:val="00562072"/>
    <w:rsid w:val="0056237B"/>
    <w:rsid w:val="00563071"/>
    <w:rsid w:val="0056309F"/>
    <w:rsid w:val="00563139"/>
    <w:rsid w:val="00563272"/>
    <w:rsid w:val="00563469"/>
    <w:rsid w:val="00563557"/>
    <w:rsid w:val="005637CE"/>
    <w:rsid w:val="005639EE"/>
    <w:rsid w:val="00563A79"/>
    <w:rsid w:val="00563C1C"/>
    <w:rsid w:val="00563D5A"/>
    <w:rsid w:val="00563D88"/>
    <w:rsid w:val="00563FDC"/>
    <w:rsid w:val="005645C7"/>
    <w:rsid w:val="0056464C"/>
    <w:rsid w:val="005648AC"/>
    <w:rsid w:val="00564E6B"/>
    <w:rsid w:val="00565339"/>
    <w:rsid w:val="005654C9"/>
    <w:rsid w:val="0056555F"/>
    <w:rsid w:val="00565ACF"/>
    <w:rsid w:val="00565CA7"/>
    <w:rsid w:val="00565EE7"/>
    <w:rsid w:val="005661E3"/>
    <w:rsid w:val="0056632A"/>
    <w:rsid w:val="00566573"/>
    <w:rsid w:val="00566A50"/>
    <w:rsid w:val="00566DFE"/>
    <w:rsid w:val="005675A6"/>
    <w:rsid w:val="005675C6"/>
    <w:rsid w:val="0056782D"/>
    <w:rsid w:val="005679BA"/>
    <w:rsid w:val="00567E6E"/>
    <w:rsid w:val="00567F2B"/>
    <w:rsid w:val="00570020"/>
    <w:rsid w:val="005701C2"/>
    <w:rsid w:val="00570318"/>
    <w:rsid w:val="005704F0"/>
    <w:rsid w:val="00570C7E"/>
    <w:rsid w:val="00570D80"/>
    <w:rsid w:val="00570DD2"/>
    <w:rsid w:val="0057105E"/>
    <w:rsid w:val="00571122"/>
    <w:rsid w:val="00571242"/>
    <w:rsid w:val="0057162B"/>
    <w:rsid w:val="005716D4"/>
    <w:rsid w:val="00571D96"/>
    <w:rsid w:val="00571DBF"/>
    <w:rsid w:val="00571F42"/>
    <w:rsid w:val="005722C7"/>
    <w:rsid w:val="00572550"/>
    <w:rsid w:val="0057292F"/>
    <w:rsid w:val="00572A47"/>
    <w:rsid w:val="00572D62"/>
    <w:rsid w:val="00572D8B"/>
    <w:rsid w:val="00572E69"/>
    <w:rsid w:val="00572EA3"/>
    <w:rsid w:val="00573016"/>
    <w:rsid w:val="0057323D"/>
    <w:rsid w:val="00573475"/>
    <w:rsid w:val="00573B61"/>
    <w:rsid w:val="00573BAC"/>
    <w:rsid w:val="00573E5F"/>
    <w:rsid w:val="00573EA9"/>
    <w:rsid w:val="00573F4E"/>
    <w:rsid w:val="00573F76"/>
    <w:rsid w:val="00574441"/>
    <w:rsid w:val="0057454F"/>
    <w:rsid w:val="00574636"/>
    <w:rsid w:val="00574AB0"/>
    <w:rsid w:val="00574C3C"/>
    <w:rsid w:val="00574C85"/>
    <w:rsid w:val="00575711"/>
    <w:rsid w:val="005757A4"/>
    <w:rsid w:val="00575956"/>
    <w:rsid w:val="00575AF1"/>
    <w:rsid w:val="00575FA3"/>
    <w:rsid w:val="0057611D"/>
    <w:rsid w:val="00576354"/>
    <w:rsid w:val="00576826"/>
    <w:rsid w:val="00576895"/>
    <w:rsid w:val="00576910"/>
    <w:rsid w:val="00576A7D"/>
    <w:rsid w:val="005771E7"/>
    <w:rsid w:val="005774D1"/>
    <w:rsid w:val="00577659"/>
    <w:rsid w:val="005779B1"/>
    <w:rsid w:val="00577B7D"/>
    <w:rsid w:val="005800AF"/>
    <w:rsid w:val="005801FE"/>
    <w:rsid w:val="00580656"/>
    <w:rsid w:val="00580E0C"/>
    <w:rsid w:val="00581010"/>
    <w:rsid w:val="005811FA"/>
    <w:rsid w:val="00581337"/>
    <w:rsid w:val="005816B9"/>
    <w:rsid w:val="005816BC"/>
    <w:rsid w:val="00581858"/>
    <w:rsid w:val="0058195D"/>
    <w:rsid w:val="00581D38"/>
    <w:rsid w:val="00581DB5"/>
    <w:rsid w:val="00581F34"/>
    <w:rsid w:val="0058203B"/>
    <w:rsid w:val="00582346"/>
    <w:rsid w:val="00582646"/>
    <w:rsid w:val="00582764"/>
    <w:rsid w:val="00582769"/>
    <w:rsid w:val="00582805"/>
    <w:rsid w:val="005830D0"/>
    <w:rsid w:val="00583169"/>
    <w:rsid w:val="00583190"/>
    <w:rsid w:val="0058320D"/>
    <w:rsid w:val="0058349D"/>
    <w:rsid w:val="005838F8"/>
    <w:rsid w:val="00583C20"/>
    <w:rsid w:val="00583DA9"/>
    <w:rsid w:val="00583EED"/>
    <w:rsid w:val="00584391"/>
    <w:rsid w:val="00584585"/>
    <w:rsid w:val="00584DDE"/>
    <w:rsid w:val="0058509F"/>
    <w:rsid w:val="005853DA"/>
    <w:rsid w:val="0058555F"/>
    <w:rsid w:val="0058559D"/>
    <w:rsid w:val="00585B3C"/>
    <w:rsid w:val="00585E65"/>
    <w:rsid w:val="00585FB4"/>
    <w:rsid w:val="005864CF"/>
    <w:rsid w:val="00586C8D"/>
    <w:rsid w:val="00586ED6"/>
    <w:rsid w:val="0058705F"/>
    <w:rsid w:val="00587264"/>
    <w:rsid w:val="0058796B"/>
    <w:rsid w:val="00587A4F"/>
    <w:rsid w:val="00587AB0"/>
    <w:rsid w:val="00587BB0"/>
    <w:rsid w:val="00587CCF"/>
    <w:rsid w:val="0059033A"/>
    <w:rsid w:val="0059059B"/>
    <w:rsid w:val="005905D1"/>
    <w:rsid w:val="005905E0"/>
    <w:rsid w:val="005908DD"/>
    <w:rsid w:val="00590D57"/>
    <w:rsid w:val="00590E9F"/>
    <w:rsid w:val="00591818"/>
    <w:rsid w:val="005919C0"/>
    <w:rsid w:val="00591F6E"/>
    <w:rsid w:val="00591F9B"/>
    <w:rsid w:val="00592110"/>
    <w:rsid w:val="00592224"/>
    <w:rsid w:val="005923EC"/>
    <w:rsid w:val="00592801"/>
    <w:rsid w:val="00592CBA"/>
    <w:rsid w:val="005931A3"/>
    <w:rsid w:val="005933C1"/>
    <w:rsid w:val="00593731"/>
    <w:rsid w:val="00593AFE"/>
    <w:rsid w:val="00593C33"/>
    <w:rsid w:val="00593F10"/>
    <w:rsid w:val="005942FC"/>
    <w:rsid w:val="0059435E"/>
    <w:rsid w:val="005948D3"/>
    <w:rsid w:val="00594AA5"/>
    <w:rsid w:val="00594B0B"/>
    <w:rsid w:val="00594BBC"/>
    <w:rsid w:val="00595312"/>
    <w:rsid w:val="005957BD"/>
    <w:rsid w:val="0059589C"/>
    <w:rsid w:val="00595A23"/>
    <w:rsid w:val="00595EC9"/>
    <w:rsid w:val="00596364"/>
    <w:rsid w:val="005963B4"/>
    <w:rsid w:val="00596464"/>
    <w:rsid w:val="005969AA"/>
    <w:rsid w:val="00596E06"/>
    <w:rsid w:val="00597045"/>
    <w:rsid w:val="005974A1"/>
    <w:rsid w:val="00597D1D"/>
    <w:rsid w:val="00597D4C"/>
    <w:rsid w:val="00597F7B"/>
    <w:rsid w:val="005A0025"/>
    <w:rsid w:val="005A023F"/>
    <w:rsid w:val="005A08EA"/>
    <w:rsid w:val="005A0B88"/>
    <w:rsid w:val="005A0E39"/>
    <w:rsid w:val="005A0F92"/>
    <w:rsid w:val="005A10C9"/>
    <w:rsid w:val="005A11ED"/>
    <w:rsid w:val="005A1375"/>
    <w:rsid w:val="005A1483"/>
    <w:rsid w:val="005A14B6"/>
    <w:rsid w:val="005A15F0"/>
    <w:rsid w:val="005A178E"/>
    <w:rsid w:val="005A1C99"/>
    <w:rsid w:val="005A1DFE"/>
    <w:rsid w:val="005A2CBF"/>
    <w:rsid w:val="005A3318"/>
    <w:rsid w:val="005A3340"/>
    <w:rsid w:val="005A36A9"/>
    <w:rsid w:val="005A3A7B"/>
    <w:rsid w:val="005A3C94"/>
    <w:rsid w:val="005A3F31"/>
    <w:rsid w:val="005A41B6"/>
    <w:rsid w:val="005A4647"/>
    <w:rsid w:val="005A4D17"/>
    <w:rsid w:val="005A537B"/>
    <w:rsid w:val="005A5553"/>
    <w:rsid w:val="005A5701"/>
    <w:rsid w:val="005A5759"/>
    <w:rsid w:val="005A5C9A"/>
    <w:rsid w:val="005A5E3B"/>
    <w:rsid w:val="005A60A0"/>
    <w:rsid w:val="005A6164"/>
    <w:rsid w:val="005A6943"/>
    <w:rsid w:val="005A6A4A"/>
    <w:rsid w:val="005A6F96"/>
    <w:rsid w:val="005A73AC"/>
    <w:rsid w:val="005A74BA"/>
    <w:rsid w:val="005A7610"/>
    <w:rsid w:val="005A766C"/>
    <w:rsid w:val="005A7678"/>
    <w:rsid w:val="005A77E4"/>
    <w:rsid w:val="005A7BFA"/>
    <w:rsid w:val="005A7C24"/>
    <w:rsid w:val="005A7FD1"/>
    <w:rsid w:val="005B0144"/>
    <w:rsid w:val="005B0508"/>
    <w:rsid w:val="005B0566"/>
    <w:rsid w:val="005B057D"/>
    <w:rsid w:val="005B07BD"/>
    <w:rsid w:val="005B09DA"/>
    <w:rsid w:val="005B0B69"/>
    <w:rsid w:val="005B110A"/>
    <w:rsid w:val="005B1B06"/>
    <w:rsid w:val="005B1B68"/>
    <w:rsid w:val="005B1E57"/>
    <w:rsid w:val="005B1EEB"/>
    <w:rsid w:val="005B2129"/>
    <w:rsid w:val="005B25A9"/>
    <w:rsid w:val="005B26D6"/>
    <w:rsid w:val="005B2968"/>
    <w:rsid w:val="005B2990"/>
    <w:rsid w:val="005B2DE4"/>
    <w:rsid w:val="005B3189"/>
    <w:rsid w:val="005B31E3"/>
    <w:rsid w:val="005B3FDB"/>
    <w:rsid w:val="005B4008"/>
    <w:rsid w:val="005B42EB"/>
    <w:rsid w:val="005B4515"/>
    <w:rsid w:val="005B469C"/>
    <w:rsid w:val="005B488A"/>
    <w:rsid w:val="005B48CD"/>
    <w:rsid w:val="005B4932"/>
    <w:rsid w:val="005B4B35"/>
    <w:rsid w:val="005B4EE2"/>
    <w:rsid w:val="005B5222"/>
    <w:rsid w:val="005B548A"/>
    <w:rsid w:val="005B5731"/>
    <w:rsid w:val="005B5A68"/>
    <w:rsid w:val="005B5E13"/>
    <w:rsid w:val="005B62D5"/>
    <w:rsid w:val="005B6849"/>
    <w:rsid w:val="005B6C06"/>
    <w:rsid w:val="005B6D99"/>
    <w:rsid w:val="005B70EE"/>
    <w:rsid w:val="005B71F5"/>
    <w:rsid w:val="005B7489"/>
    <w:rsid w:val="005B79E3"/>
    <w:rsid w:val="005B7DBB"/>
    <w:rsid w:val="005C0409"/>
    <w:rsid w:val="005C0587"/>
    <w:rsid w:val="005C07A8"/>
    <w:rsid w:val="005C0E0C"/>
    <w:rsid w:val="005C1126"/>
    <w:rsid w:val="005C112F"/>
    <w:rsid w:val="005C193F"/>
    <w:rsid w:val="005C1C27"/>
    <w:rsid w:val="005C1FA8"/>
    <w:rsid w:val="005C1FB8"/>
    <w:rsid w:val="005C2014"/>
    <w:rsid w:val="005C2749"/>
    <w:rsid w:val="005C2955"/>
    <w:rsid w:val="005C2A35"/>
    <w:rsid w:val="005C2CC3"/>
    <w:rsid w:val="005C2D2B"/>
    <w:rsid w:val="005C312A"/>
    <w:rsid w:val="005C3378"/>
    <w:rsid w:val="005C343A"/>
    <w:rsid w:val="005C3863"/>
    <w:rsid w:val="005C396B"/>
    <w:rsid w:val="005C3F34"/>
    <w:rsid w:val="005C3FDB"/>
    <w:rsid w:val="005C46FB"/>
    <w:rsid w:val="005C4C09"/>
    <w:rsid w:val="005C4C98"/>
    <w:rsid w:val="005C506B"/>
    <w:rsid w:val="005C53BC"/>
    <w:rsid w:val="005C54E7"/>
    <w:rsid w:val="005C54E9"/>
    <w:rsid w:val="005C55C4"/>
    <w:rsid w:val="005C55E1"/>
    <w:rsid w:val="005C5751"/>
    <w:rsid w:val="005C5BD1"/>
    <w:rsid w:val="005C5C12"/>
    <w:rsid w:val="005C5F25"/>
    <w:rsid w:val="005C5F2C"/>
    <w:rsid w:val="005C5F5D"/>
    <w:rsid w:val="005C60B1"/>
    <w:rsid w:val="005C621D"/>
    <w:rsid w:val="005C656B"/>
    <w:rsid w:val="005C68D8"/>
    <w:rsid w:val="005C6CCD"/>
    <w:rsid w:val="005C6DAD"/>
    <w:rsid w:val="005C6F64"/>
    <w:rsid w:val="005C71BC"/>
    <w:rsid w:val="005C71FC"/>
    <w:rsid w:val="005C72B4"/>
    <w:rsid w:val="005C734F"/>
    <w:rsid w:val="005C75E1"/>
    <w:rsid w:val="005C7C1A"/>
    <w:rsid w:val="005D060F"/>
    <w:rsid w:val="005D06C7"/>
    <w:rsid w:val="005D0910"/>
    <w:rsid w:val="005D0970"/>
    <w:rsid w:val="005D1014"/>
    <w:rsid w:val="005D1077"/>
    <w:rsid w:val="005D1145"/>
    <w:rsid w:val="005D11EF"/>
    <w:rsid w:val="005D1252"/>
    <w:rsid w:val="005D1313"/>
    <w:rsid w:val="005D132E"/>
    <w:rsid w:val="005D1A79"/>
    <w:rsid w:val="005D1A98"/>
    <w:rsid w:val="005D1B7A"/>
    <w:rsid w:val="005D1B84"/>
    <w:rsid w:val="005D2232"/>
    <w:rsid w:val="005D2496"/>
    <w:rsid w:val="005D2525"/>
    <w:rsid w:val="005D26B6"/>
    <w:rsid w:val="005D2A4D"/>
    <w:rsid w:val="005D2E8F"/>
    <w:rsid w:val="005D30AD"/>
    <w:rsid w:val="005D3301"/>
    <w:rsid w:val="005D36E2"/>
    <w:rsid w:val="005D3FD1"/>
    <w:rsid w:val="005D4053"/>
    <w:rsid w:val="005D4188"/>
    <w:rsid w:val="005D4478"/>
    <w:rsid w:val="005D44D5"/>
    <w:rsid w:val="005D4893"/>
    <w:rsid w:val="005D48D7"/>
    <w:rsid w:val="005D4A5A"/>
    <w:rsid w:val="005D4BBE"/>
    <w:rsid w:val="005D4DDA"/>
    <w:rsid w:val="005D4F94"/>
    <w:rsid w:val="005D5731"/>
    <w:rsid w:val="005D57C0"/>
    <w:rsid w:val="005D5828"/>
    <w:rsid w:val="005D5957"/>
    <w:rsid w:val="005D5B3C"/>
    <w:rsid w:val="005D5BCF"/>
    <w:rsid w:val="005D5F98"/>
    <w:rsid w:val="005D6409"/>
    <w:rsid w:val="005D64E1"/>
    <w:rsid w:val="005D64F4"/>
    <w:rsid w:val="005D688F"/>
    <w:rsid w:val="005D689C"/>
    <w:rsid w:val="005D6BBA"/>
    <w:rsid w:val="005D7056"/>
    <w:rsid w:val="005D712C"/>
    <w:rsid w:val="005D71F3"/>
    <w:rsid w:val="005D73B5"/>
    <w:rsid w:val="005D7644"/>
    <w:rsid w:val="005D7646"/>
    <w:rsid w:val="005D7699"/>
    <w:rsid w:val="005D7BC9"/>
    <w:rsid w:val="005D7C11"/>
    <w:rsid w:val="005D7DB8"/>
    <w:rsid w:val="005E005F"/>
    <w:rsid w:val="005E02E4"/>
    <w:rsid w:val="005E0350"/>
    <w:rsid w:val="005E06D1"/>
    <w:rsid w:val="005E148F"/>
    <w:rsid w:val="005E15F6"/>
    <w:rsid w:val="005E16DE"/>
    <w:rsid w:val="005E19AD"/>
    <w:rsid w:val="005E19AF"/>
    <w:rsid w:val="005E1D39"/>
    <w:rsid w:val="005E1F66"/>
    <w:rsid w:val="005E2261"/>
    <w:rsid w:val="005E230A"/>
    <w:rsid w:val="005E2863"/>
    <w:rsid w:val="005E2D34"/>
    <w:rsid w:val="005E2DD5"/>
    <w:rsid w:val="005E30AB"/>
    <w:rsid w:val="005E32E5"/>
    <w:rsid w:val="005E3537"/>
    <w:rsid w:val="005E355F"/>
    <w:rsid w:val="005E36E1"/>
    <w:rsid w:val="005E371D"/>
    <w:rsid w:val="005E3787"/>
    <w:rsid w:val="005E3C5A"/>
    <w:rsid w:val="005E45FC"/>
    <w:rsid w:val="005E46BE"/>
    <w:rsid w:val="005E4857"/>
    <w:rsid w:val="005E493E"/>
    <w:rsid w:val="005E4A7D"/>
    <w:rsid w:val="005E4A8B"/>
    <w:rsid w:val="005E4B5F"/>
    <w:rsid w:val="005E4E17"/>
    <w:rsid w:val="005E4E56"/>
    <w:rsid w:val="005E51E7"/>
    <w:rsid w:val="005E5399"/>
    <w:rsid w:val="005E5BC9"/>
    <w:rsid w:val="005E601A"/>
    <w:rsid w:val="005E6635"/>
    <w:rsid w:val="005E675A"/>
    <w:rsid w:val="005E6DA2"/>
    <w:rsid w:val="005E6EBB"/>
    <w:rsid w:val="005E71EB"/>
    <w:rsid w:val="005E7A42"/>
    <w:rsid w:val="005E7DD7"/>
    <w:rsid w:val="005F0188"/>
    <w:rsid w:val="005F0759"/>
    <w:rsid w:val="005F095B"/>
    <w:rsid w:val="005F098F"/>
    <w:rsid w:val="005F0A50"/>
    <w:rsid w:val="005F0CCF"/>
    <w:rsid w:val="005F0EE9"/>
    <w:rsid w:val="005F106A"/>
    <w:rsid w:val="005F108C"/>
    <w:rsid w:val="005F1784"/>
    <w:rsid w:val="005F1862"/>
    <w:rsid w:val="005F191C"/>
    <w:rsid w:val="005F1A18"/>
    <w:rsid w:val="005F1ADE"/>
    <w:rsid w:val="005F1EA5"/>
    <w:rsid w:val="005F24DF"/>
    <w:rsid w:val="005F24EB"/>
    <w:rsid w:val="005F2942"/>
    <w:rsid w:val="005F29EE"/>
    <w:rsid w:val="005F2BB0"/>
    <w:rsid w:val="005F30A7"/>
    <w:rsid w:val="005F35D0"/>
    <w:rsid w:val="005F36FB"/>
    <w:rsid w:val="005F3F16"/>
    <w:rsid w:val="005F4065"/>
    <w:rsid w:val="005F45F2"/>
    <w:rsid w:val="005F4825"/>
    <w:rsid w:val="005F4885"/>
    <w:rsid w:val="005F4AA8"/>
    <w:rsid w:val="005F4C1D"/>
    <w:rsid w:val="005F4E22"/>
    <w:rsid w:val="005F4E3A"/>
    <w:rsid w:val="005F508E"/>
    <w:rsid w:val="005F51CE"/>
    <w:rsid w:val="005F5450"/>
    <w:rsid w:val="005F5559"/>
    <w:rsid w:val="005F57E6"/>
    <w:rsid w:val="005F5915"/>
    <w:rsid w:val="005F59C3"/>
    <w:rsid w:val="005F59EC"/>
    <w:rsid w:val="005F5D0B"/>
    <w:rsid w:val="005F5E88"/>
    <w:rsid w:val="005F5EA8"/>
    <w:rsid w:val="005F62C8"/>
    <w:rsid w:val="005F690F"/>
    <w:rsid w:val="005F6B06"/>
    <w:rsid w:val="005F6DC4"/>
    <w:rsid w:val="005F7279"/>
    <w:rsid w:val="005F730E"/>
    <w:rsid w:val="005F7821"/>
    <w:rsid w:val="005F7A00"/>
    <w:rsid w:val="005F7C4B"/>
    <w:rsid w:val="005F7CCD"/>
    <w:rsid w:val="006000E4"/>
    <w:rsid w:val="0060014F"/>
    <w:rsid w:val="006001D0"/>
    <w:rsid w:val="00600291"/>
    <w:rsid w:val="00600636"/>
    <w:rsid w:val="00600895"/>
    <w:rsid w:val="00600913"/>
    <w:rsid w:val="00600959"/>
    <w:rsid w:val="00600AC7"/>
    <w:rsid w:val="00600CDA"/>
    <w:rsid w:val="00600D05"/>
    <w:rsid w:val="00600D91"/>
    <w:rsid w:val="00601018"/>
    <w:rsid w:val="006014B9"/>
    <w:rsid w:val="00601954"/>
    <w:rsid w:val="00601BD6"/>
    <w:rsid w:val="00601C56"/>
    <w:rsid w:val="00601CD4"/>
    <w:rsid w:val="00601E0F"/>
    <w:rsid w:val="006022CC"/>
    <w:rsid w:val="0060265A"/>
    <w:rsid w:val="00602A02"/>
    <w:rsid w:val="00602BAC"/>
    <w:rsid w:val="00602C3C"/>
    <w:rsid w:val="0060337D"/>
    <w:rsid w:val="006033D1"/>
    <w:rsid w:val="0060350B"/>
    <w:rsid w:val="0060367A"/>
    <w:rsid w:val="00603728"/>
    <w:rsid w:val="006038A7"/>
    <w:rsid w:val="006039A3"/>
    <w:rsid w:val="00603C58"/>
    <w:rsid w:val="00603C72"/>
    <w:rsid w:val="00603C8A"/>
    <w:rsid w:val="00603CEC"/>
    <w:rsid w:val="00604488"/>
    <w:rsid w:val="0060458B"/>
    <w:rsid w:val="0060485B"/>
    <w:rsid w:val="0060494A"/>
    <w:rsid w:val="00604A07"/>
    <w:rsid w:val="00604AE2"/>
    <w:rsid w:val="00604B99"/>
    <w:rsid w:val="00604C2B"/>
    <w:rsid w:val="00605103"/>
    <w:rsid w:val="00605831"/>
    <w:rsid w:val="006060DB"/>
    <w:rsid w:val="00606366"/>
    <w:rsid w:val="0060684F"/>
    <w:rsid w:val="00606892"/>
    <w:rsid w:val="00606941"/>
    <w:rsid w:val="00607015"/>
    <w:rsid w:val="00607291"/>
    <w:rsid w:val="006073FC"/>
    <w:rsid w:val="0060788F"/>
    <w:rsid w:val="00607A72"/>
    <w:rsid w:val="00607B4B"/>
    <w:rsid w:val="00607B86"/>
    <w:rsid w:val="00607EFD"/>
    <w:rsid w:val="006101F0"/>
    <w:rsid w:val="0061043C"/>
    <w:rsid w:val="006106BD"/>
    <w:rsid w:val="0061099F"/>
    <w:rsid w:val="00610B4E"/>
    <w:rsid w:val="00610C0E"/>
    <w:rsid w:val="00610C29"/>
    <w:rsid w:val="00610D3C"/>
    <w:rsid w:val="006115EB"/>
    <w:rsid w:val="00611909"/>
    <w:rsid w:val="00611920"/>
    <w:rsid w:val="00611D83"/>
    <w:rsid w:val="00611FCD"/>
    <w:rsid w:val="00612BC0"/>
    <w:rsid w:val="00612C6B"/>
    <w:rsid w:val="00613211"/>
    <w:rsid w:val="006133E6"/>
    <w:rsid w:val="006137C7"/>
    <w:rsid w:val="00613926"/>
    <w:rsid w:val="00613E8C"/>
    <w:rsid w:val="00614442"/>
    <w:rsid w:val="0061454D"/>
    <w:rsid w:val="00614782"/>
    <w:rsid w:val="00614ABD"/>
    <w:rsid w:val="00614BDC"/>
    <w:rsid w:val="00614C23"/>
    <w:rsid w:val="00614CAA"/>
    <w:rsid w:val="00614E13"/>
    <w:rsid w:val="00615390"/>
    <w:rsid w:val="0061551E"/>
    <w:rsid w:val="00616178"/>
    <w:rsid w:val="0061640F"/>
    <w:rsid w:val="006166A7"/>
    <w:rsid w:val="006166D3"/>
    <w:rsid w:val="006169B4"/>
    <w:rsid w:val="00617022"/>
    <w:rsid w:val="00617183"/>
    <w:rsid w:val="0061731F"/>
    <w:rsid w:val="00617366"/>
    <w:rsid w:val="006174DB"/>
    <w:rsid w:val="00617671"/>
    <w:rsid w:val="00617726"/>
    <w:rsid w:val="006177F6"/>
    <w:rsid w:val="00617A2A"/>
    <w:rsid w:val="00617CE5"/>
    <w:rsid w:val="00617EFF"/>
    <w:rsid w:val="00620233"/>
    <w:rsid w:val="006202FD"/>
    <w:rsid w:val="006203BA"/>
    <w:rsid w:val="00620899"/>
    <w:rsid w:val="00620BE8"/>
    <w:rsid w:val="00620E26"/>
    <w:rsid w:val="00620E54"/>
    <w:rsid w:val="00620EE5"/>
    <w:rsid w:val="00621257"/>
    <w:rsid w:val="0062130B"/>
    <w:rsid w:val="0062160C"/>
    <w:rsid w:val="006217A7"/>
    <w:rsid w:val="00621835"/>
    <w:rsid w:val="006218A7"/>
    <w:rsid w:val="00621C3A"/>
    <w:rsid w:val="00622700"/>
    <w:rsid w:val="00622D1B"/>
    <w:rsid w:val="00622ED6"/>
    <w:rsid w:val="006234BD"/>
    <w:rsid w:val="00623584"/>
    <w:rsid w:val="00623676"/>
    <w:rsid w:val="00623B19"/>
    <w:rsid w:val="00623D6B"/>
    <w:rsid w:val="00623E20"/>
    <w:rsid w:val="006246D7"/>
    <w:rsid w:val="00624B0B"/>
    <w:rsid w:val="00624BEC"/>
    <w:rsid w:val="00624DFE"/>
    <w:rsid w:val="00624E09"/>
    <w:rsid w:val="00625144"/>
    <w:rsid w:val="00625608"/>
    <w:rsid w:val="00625693"/>
    <w:rsid w:val="0062588E"/>
    <w:rsid w:val="00625B62"/>
    <w:rsid w:val="00625CD3"/>
    <w:rsid w:val="00626001"/>
    <w:rsid w:val="0062644B"/>
    <w:rsid w:val="0062698B"/>
    <w:rsid w:val="00626B95"/>
    <w:rsid w:val="00626C53"/>
    <w:rsid w:val="00626CC5"/>
    <w:rsid w:val="006272BF"/>
    <w:rsid w:val="00627403"/>
    <w:rsid w:val="00627662"/>
    <w:rsid w:val="00627936"/>
    <w:rsid w:val="00627DCC"/>
    <w:rsid w:val="00627F0A"/>
    <w:rsid w:val="00630122"/>
    <w:rsid w:val="00630129"/>
    <w:rsid w:val="00630242"/>
    <w:rsid w:val="00630289"/>
    <w:rsid w:val="006305B6"/>
    <w:rsid w:val="00630ABA"/>
    <w:rsid w:val="006312AC"/>
    <w:rsid w:val="006316EC"/>
    <w:rsid w:val="006318DC"/>
    <w:rsid w:val="00631F9F"/>
    <w:rsid w:val="00632187"/>
    <w:rsid w:val="006321A3"/>
    <w:rsid w:val="00632261"/>
    <w:rsid w:val="006325F8"/>
    <w:rsid w:val="00632785"/>
    <w:rsid w:val="00633101"/>
    <w:rsid w:val="0063317A"/>
    <w:rsid w:val="00633302"/>
    <w:rsid w:val="0063331B"/>
    <w:rsid w:val="00633463"/>
    <w:rsid w:val="00633C81"/>
    <w:rsid w:val="006344FA"/>
    <w:rsid w:val="00634765"/>
    <w:rsid w:val="00634A85"/>
    <w:rsid w:val="00634D42"/>
    <w:rsid w:val="006353F1"/>
    <w:rsid w:val="0063556B"/>
    <w:rsid w:val="0063590C"/>
    <w:rsid w:val="00635ACA"/>
    <w:rsid w:val="00635B21"/>
    <w:rsid w:val="00635C6A"/>
    <w:rsid w:val="00635E3F"/>
    <w:rsid w:val="00636140"/>
    <w:rsid w:val="0063658E"/>
    <w:rsid w:val="00636802"/>
    <w:rsid w:val="0063691E"/>
    <w:rsid w:val="00636B8B"/>
    <w:rsid w:val="00636BAF"/>
    <w:rsid w:val="00636D7F"/>
    <w:rsid w:val="006377B6"/>
    <w:rsid w:val="006379AD"/>
    <w:rsid w:val="00637D45"/>
    <w:rsid w:val="00637FAC"/>
    <w:rsid w:val="006404E3"/>
    <w:rsid w:val="00640DAB"/>
    <w:rsid w:val="0064106B"/>
    <w:rsid w:val="006417B1"/>
    <w:rsid w:val="00641FBB"/>
    <w:rsid w:val="00642219"/>
    <w:rsid w:val="00642256"/>
    <w:rsid w:val="006423FD"/>
    <w:rsid w:val="00642D0C"/>
    <w:rsid w:val="00642DF1"/>
    <w:rsid w:val="006430A2"/>
    <w:rsid w:val="00643520"/>
    <w:rsid w:val="00643C20"/>
    <w:rsid w:val="00643D43"/>
    <w:rsid w:val="006443FC"/>
    <w:rsid w:val="006446F6"/>
    <w:rsid w:val="006448AE"/>
    <w:rsid w:val="006448B6"/>
    <w:rsid w:val="00644975"/>
    <w:rsid w:val="00644CE0"/>
    <w:rsid w:val="00644E81"/>
    <w:rsid w:val="00644F5A"/>
    <w:rsid w:val="00645811"/>
    <w:rsid w:val="006458F4"/>
    <w:rsid w:val="00646836"/>
    <w:rsid w:val="00646914"/>
    <w:rsid w:val="00646DF3"/>
    <w:rsid w:val="00646FBB"/>
    <w:rsid w:val="006472BD"/>
    <w:rsid w:val="00647448"/>
    <w:rsid w:val="00647523"/>
    <w:rsid w:val="00647558"/>
    <w:rsid w:val="0064782C"/>
    <w:rsid w:val="00647DF2"/>
    <w:rsid w:val="00647ED2"/>
    <w:rsid w:val="0065006D"/>
    <w:rsid w:val="0065044A"/>
    <w:rsid w:val="00650A10"/>
    <w:rsid w:val="00650AE3"/>
    <w:rsid w:val="00650CB5"/>
    <w:rsid w:val="00651564"/>
    <w:rsid w:val="0065175B"/>
    <w:rsid w:val="00651773"/>
    <w:rsid w:val="006519D5"/>
    <w:rsid w:val="00651D79"/>
    <w:rsid w:val="00652056"/>
    <w:rsid w:val="00652520"/>
    <w:rsid w:val="006527BB"/>
    <w:rsid w:val="00652B29"/>
    <w:rsid w:val="00652C6C"/>
    <w:rsid w:val="006536B1"/>
    <w:rsid w:val="00653718"/>
    <w:rsid w:val="00653BA1"/>
    <w:rsid w:val="00653F80"/>
    <w:rsid w:val="00653FA3"/>
    <w:rsid w:val="00653FF2"/>
    <w:rsid w:val="00654083"/>
    <w:rsid w:val="006540C3"/>
    <w:rsid w:val="00654534"/>
    <w:rsid w:val="0065453A"/>
    <w:rsid w:val="00654954"/>
    <w:rsid w:val="00654AA3"/>
    <w:rsid w:val="00654B25"/>
    <w:rsid w:val="00654BC4"/>
    <w:rsid w:val="00654E13"/>
    <w:rsid w:val="00654EE1"/>
    <w:rsid w:val="006552BA"/>
    <w:rsid w:val="00655370"/>
    <w:rsid w:val="006556B5"/>
    <w:rsid w:val="00655C54"/>
    <w:rsid w:val="00655CA1"/>
    <w:rsid w:val="00655CE8"/>
    <w:rsid w:val="00655E22"/>
    <w:rsid w:val="00655E93"/>
    <w:rsid w:val="00655F70"/>
    <w:rsid w:val="0065632D"/>
    <w:rsid w:val="006563EC"/>
    <w:rsid w:val="00656714"/>
    <w:rsid w:val="0065696F"/>
    <w:rsid w:val="006569B7"/>
    <w:rsid w:val="006570B9"/>
    <w:rsid w:val="006571B6"/>
    <w:rsid w:val="0065764C"/>
    <w:rsid w:val="0065780E"/>
    <w:rsid w:val="0065794F"/>
    <w:rsid w:val="00660477"/>
    <w:rsid w:val="0066087F"/>
    <w:rsid w:val="006608F9"/>
    <w:rsid w:val="00660BD3"/>
    <w:rsid w:val="00661005"/>
    <w:rsid w:val="006612EB"/>
    <w:rsid w:val="0066164E"/>
    <w:rsid w:val="00661663"/>
    <w:rsid w:val="0066198F"/>
    <w:rsid w:val="006619D1"/>
    <w:rsid w:val="00661D5B"/>
    <w:rsid w:val="00661FBD"/>
    <w:rsid w:val="0066241F"/>
    <w:rsid w:val="006629BE"/>
    <w:rsid w:val="00662CB0"/>
    <w:rsid w:val="00662CEB"/>
    <w:rsid w:val="006630CF"/>
    <w:rsid w:val="0066334A"/>
    <w:rsid w:val="006634A5"/>
    <w:rsid w:val="00663612"/>
    <w:rsid w:val="006636D8"/>
    <w:rsid w:val="00663C65"/>
    <w:rsid w:val="00663FB4"/>
    <w:rsid w:val="00664035"/>
    <w:rsid w:val="00664229"/>
    <w:rsid w:val="00664A6E"/>
    <w:rsid w:val="00664D05"/>
    <w:rsid w:val="00664F1A"/>
    <w:rsid w:val="006652E6"/>
    <w:rsid w:val="006653E3"/>
    <w:rsid w:val="006655F5"/>
    <w:rsid w:val="00665662"/>
    <w:rsid w:val="00665995"/>
    <w:rsid w:val="00665A05"/>
    <w:rsid w:val="00665EDD"/>
    <w:rsid w:val="0066612C"/>
    <w:rsid w:val="0066621A"/>
    <w:rsid w:val="00666490"/>
    <w:rsid w:val="00666576"/>
    <w:rsid w:val="0066677D"/>
    <w:rsid w:val="006668E9"/>
    <w:rsid w:val="00666974"/>
    <w:rsid w:val="00666D84"/>
    <w:rsid w:val="00666D8F"/>
    <w:rsid w:val="00666DAA"/>
    <w:rsid w:val="006670F1"/>
    <w:rsid w:val="006672AD"/>
    <w:rsid w:val="00667485"/>
    <w:rsid w:val="006675E5"/>
    <w:rsid w:val="00667837"/>
    <w:rsid w:val="00667AEF"/>
    <w:rsid w:val="00667B96"/>
    <w:rsid w:val="00667CC3"/>
    <w:rsid w:val="00667D0E"/>
    <w:rsid w:val="00667E02"/>
    <w:rsid w:val="00670338"/>
    <w:rsid w:val="00670787"/>
    <w:rsid w:val="00670B97"/>
    <w:rsid w:val="00670CFF"/>
    <w:rsid w:val="006710B7"/>
    <w:rsid w:val="006710F8"/>
    <w:rsid w:val="00671281"/>
    <w:rsid w:val="0067157A"/>
    <w:rsid w:val="00671A8E"/>
    <w:rsid w:val="00671B79"/>
    <w:rsid w:val="00671B8A"/>
    <w:rsid w:val="0067206D"/>
    <w:rsid w:val="006722B8"/>
    <w:rsid w:val="00672397"/>
    <w:rsid w:val="00672975"/>
    <w:rsid w:val="00672B02"/>
    <w:rsid w:val="00673203"/>
    <w:rsid w:val="00673AA4"/>
    <w:rsid w:val="00673B4E"/>
    <w:rsid w:val="00673C33"/>
    <w:rsid w:val="00673E27"/>
    <w:rsid w:val="00673EDA"/>
    <w:rsid w:val="00674272"/>
    <w:rsid w:val="006744F2"/>
    <w:rsid w:val="006746DD"/>
    <w:rsid w:val="006748BB"/>
    <w:rsid w:val="00674A7F"/>
    <w:rsid w:val="00674C13"/>
    <w:rsid w:val="00674C87"/>
    <w:rsid w:val="00674E3E"/>
    <w:rsid w:val="006750E1"/>
    <w:rsid w:val="006756C6"/>
    <w:rsid w:val="00675852"/>
    <w:rsid w:val="00675943"/>
    <w:rsid w:val="00675A6F"/>
    <w:rsid w:val="00676067"/>
    <w:rsid w:val="00676A30"/>
    <w:rsid w:val="00676ACF"/>
    <w:rsid w:val="00676B77"/>
    <w:rsid w:val="00676E00"/>
    <w:rsid w:val="00676F19"/>
    <w:rsid w:val="006770AC"/>
    <w:rsid w:val="00677365"/>
    <w:rsid w:val="00677B9D"/>
    <w:rsid w:val="00677E0B"/>
    <w:rsid w:val="00680252"/>
    <w:rsid w:val="00680393"/>
    <w:rsid w:val="00680918"/>
    <w:rsid w:val="00680FBC"/>
    <w:rsid w:val="00681185"/>
    <w:rsid w:val="00681794"/>
    <w:rsid w:val="006817BA"/>
    <w:rsid w:val="00681971"/>
    <w:rsid w:val="006819D4"/>
    <w:rsid w:val="00681CD5"/>
    <w:rsid w:val="00681DFE"/>
    <w:rsid w:val="00681EF8"/>
    <w:rsid w:val="00681F10"/>
    <w:rsid w:val="00682035"/>
    <w:rsid w:val="006821EA"/>
    <w:rsid w:val="0068227A"/>
    <w:rsid w:val="006830A3"/>
    <w:rsid w:val="00683452"/>
    <w:rsid w:val="00683482"/>
    <w:rsid w:val="006836FC"/>
    <w:rsid w:val="00683793"/>
    <w:rsid w:val="00683AF3"/>
    <w:rsid w:val="0068400B"/>
    <w:rsid w:val="0068411F"/>
    <w:rsid w:val="006842A8"/>
    <w:rsid w:val="00684318"/>
    <w:rsid w:val="0068437D"/>
    <w:rsid w:val="006849BB"/>
    <w:rsid w:val="00684A0F"/>
    <w:rsid w:val="00684FBF"/>
    <w:rsid w:val="006851DD"/>
    <w:rsid w:val="00685288"/>
    <w:rsid w:val="0068550B"/>
    <w:rsid w:val="00685858"/>
    <w:rsid w:val="00685950"/>
    <w:rsid w:val="00685BF8"/>
    <w:rsid w:val="00685CC7"/>
    <w:rsid w:val="0068616E"/>
    <w:rsid w:val="006862A6"/>
    <w:rsid w:val="0068651E"/>
    <w:rsid w:val="00686A19"/>
    <w:rsid w:val="006871B1"/>
    <w:rsid w:val="00687942"/>
    <w:rsid w:val="00687C22"/>
    <w:rsid w:val="00687C3D"/>
    <w:rsid w:val="00690105"/>
    <w:rsid w:val="0069022B"/>
    <w:rsid w:val="00690365"/>
    <w:rsid w:val="00690755"/>
    <w:rsid w:val="00690829"/>
    <w:rsid w:val="00690DF3"/>
    <w:rsid w:val="006912B3"/>
    <w:rsid w:val="006914D2"/>
    <w:rsid w:val="00691523"/>
    <w:rsid w:val="00691A16"/>
    <w:rsid w:val="00691B02"/>
    <w:rsid w:val="00691C36"/>
    <w:rsid w:val="00691CA2"/>
    <w:rsid w:val="00691D58"/>
    <w:rsid w:val="00691D7A"/>
    <w:rsid w:val="00691F2D"/>
    <w:rsid w:val="00692183"/>
    <w:rsid w:val="006926CA"/>
    <w:rsid w:val="0069278C"/>
    <w:rsid w:val="00692F07"/>
    <w:rsid w:val="00693314"/>
    <w:rsid w:val="00693594"/>
    <w:rsid w:val="00693982"/>
    <w:rsid w:val="006939EC"/>
    <w:rsid w:val="00693C50"/>
    <w:rsid w:val="00693D04"/>
    <w:rsid w:val="00693E33"/>
    <w:rsid w:val="00693E86"/>
    <w:rsid w:val="0069402A"/>
    <w:rsid w:val="00694386"/>
    <w:rsid w:val="0069458F"/>
    <w:rsid w:val="00694804"/>
    <w:rsid w:val="006949F6"/>
    <w:rsid w:val="00694EC6"/>
    <w:rsid w:val="00694F8F"/>
    <w:rsid w:val="0069517B"/>
    <w:rsid w:val="00695181"/>
    <w:rsid w:val="00695937"/>
    <w:rsid w:val="0069597C"/>
    <w:rsid w:val="00695994"/>
    <w:rsid w:val="00695D95"/>
    <w:rsid w:val="006960B9"/>
    <w:rsid w:val="00696258"/>
    <w:rsid w:val="00696326"/>
    <w:rsid w:val="00696736"/>
    <w:rsid w:val="006970D5"/>
    <w:rsid w:val="00697118"/>
    <w:rsid w:val="0069739D"/>
    <w:rsid w:val="0069768B"/>
    <w:rsid w:val="0069772F"/>
    <w:rsid w:val="00697CDE"/>
    <w:rsid w:val="006A0293"/>
    <w:rsid w:val="006A0560"/>
    <w:rsid w:val="006A06C6"/>
    <w:rsid w:val="006A08C1"/>
    <w:rsid w:val="006A0BE2"/>
    <w:rsid w:val="006A0D51"/>
    <w:rsid w:val="006A0DCB"/>
    <w:rsid w:val="006A1186"/>
    <w:rsid w:val="006A1E83"/>
    <w:rsid w:val="006A1EE1"/>
    <w:rsid w:val="006A1F2C"/>
    <w:rsid w:val="006A1F71"/>
    <w:rsid w:val="006A2159"/>
    <w:rsid w:val="006A249B"/>
    <w:rsid w:val="006A2C28"/>
    <w:rsid w:val="006A2DE9"/>
    <w:rsid w:val="006A354E"/>
    <w:rsid w:val="006A3795"/>
    <w:rsid w:val="006A3897"/>
    <w:rsid w:val="006A38F6"/>
    <w:rsid w:val="006A4211"/>
    <w:rsid w:val="006A4561"/>
    <w:rsid w:val="006A4AE2"/>
    <w:rsid w:val="006A4D8A"/>
    <w:rsid w:val="006A4D99"/>
    <w:rsid w:val="006A4F99"/>
    <w:rsid w:val="006A5014"/>
    <w:rsid w:val="006A50C8"/>
    <w:rsid w:val="006A5265"/>
    <w:rsid w:val="006A569A"/>
    <w:rsid w:val="006A5EE5"/>
    <w:rsid w:val="006A625E"/>
    <w:rsid w:val="006A64A9"/>
    <w:rsid w:val="006A661F"/>
    <w:rsid w:val="006A6AF9"/>
    <w:rsid w:val="006A6B52"/>
    <w:rsid w:val="006A7218"/>
    <w:rsid w:val="006A724B"/>
    <w:rsid w:val="006A7AD0"/>
    <w:rsid w:val="006A7B33"/>
    <w:rsid w:val="006A7D66"/>
    <w:rsid w:val="006A7DFF"/>
    <w:rsid w:val="006B0384"/>
    <w:rsid w:val="006B0469"/>
    <w:rsid w:val="006B08D8"/>
    <w:rsid w:val="006B0925"/>
    <w:rsid w:val="006B0973"/>
    <w:rsid w:val="006B1231"/>
    <w:rsid w:val="006B1AD4"/>
    <w:rsid w:val="006B1C0B"/>
    <w:rsid w:val="006B1C87"/>
    <w:rsid w:val="006B21AA"/>
    <w:rsid w:val="006B23AB"/>
    <w:rsid w:val="006B24E1"/>
    <w:rsid w:val="006B277A"/>
    <w:rsid w:val="006B27FD"/>
    <w:rsid w:val="006B2C28"/>
    <w:rsid w:val="006B311C"/>
    <w:rsid w:val="006B32C9"/>
    <w:rsid w:val="006B34BE"/>
    <w:rsid w:val="006B38A8"/>
    <w:rsid w:val="006B3B09"/>
    <w:rsid w:val="006B3F25"/>
    <w:rsid w:val="006B3F5D"/>
    <w:rsid w:val="006B40B0"/>
    <w:rsid w:val="006B445E"/>
    <w:rsid w:val="006B4785"/>
    <w:rsid w:val="006B4949"/>
    <w:rsid w:val="006B4C57"/>
    <w:rsid w:val="006B4E1E"/>
    <w:rsid w:val="006B52D9"/>
    <w:rsid w:val="006B556C"/>
    <w:rsid w:val="006B5662"/>
    <w:rsid w:val="006B56EC"/>
    <w:rsid w:val="006B5722"/>
    <w:rsid w:val="006B5A06"/>
    <w:rsid w:val="006B5ADB"/>
    <w:rsid w:val="006B5DCE"/>
    <w:rsid w:val="006B6588"/>
    <w:rsid w:val="006B69D2"/>
    <w:rsid w:val="006B6B5B"/>
    <w:rsid w:val="006B6CB4"/>
    <w:rsid w:val="006B73B9"/>
    <w:rsid w:val="006B741B"/>
    <w:rsid w:val="006B7642"/>
    <w:rsid w:val="006B7EFE"/>
    <w:rsid w:val="006C0522"/>
    <w:rsid w:val="006C06D7"/>
    <w:rsid w:val="006C0CF3"/>
    <w:rsid w:val="006C0D7B"/>
    <w:rsid w:val="006C0DBD"/>
    <w:rsid w:val="006C1014"/>
    <w:rsid w:val="006C1021"/>
    <w:rsid w:val="006C13C3"/>
    <w:rsid w:val="006C13CB"/>
    <w:rsid w:val="006C145B"/>
    <w:rsid w:val="006C167A"/>
    <w:rsid w:val="006C1A1F"/>
    <w:rsid w:val="006C25F1"/>
    <w:rsid w:val="006C2626"/>
    <w:rsid w:val="006C2966"/>
    <w:rsid w:val="006C2C29"/>
    <w:rsid w:val="006C2E0A"/>
    <w:rsid w:val="006C2EF3"/>
    <w:rsid w:val="006C2F67"/>
    <w:rsid w:val="006C355C"/>
    <w:rsid w:val="006C3918"/>
    <w:rsid w:val="006C3E91"/>
    <w:rsid w:val="006C421F"/>
    <w:rsid w:val="006C44CD"/>
    <w:rsid w:val="006C47FC"/>
    <w:rsid w:val="006C4FD2"/>
    <w:rsid w:val="006C51BC"/>
    <w:rsid w:val="006C5448"/>
    <w:rsid w:val="006C567D"/>
    <w:rsid w:val="006C56B8"/>
    <w:rsid w:val="006C5828"/>
    <w:rsid w:val="006C599F"/>
    <w:rsid w:val="006C5A94"/>
    <w:rsid w:val="006C63FD"/>
    <w:rsid w:val="006C6FE4"/>
    <w:rsid w:val="006C742F"/>
    <w:rsid w:val="006C746C"/>
    <w:rsid w:val="006C758D"/>
    <w:rsid w:val="006C7693"/>
    <w:rsid w:val="006C7BC0"/>
    <w:rsid w:val="006C7CAB"/>
    <w:rsid w:val="006D02F3"/>
    <w:rsid w:val="006D0648"/>
    <w:rsid w:val="006D0DAD"/>
    <w:rsid w:val="006D0DB2"/>
    <w:rsid w:val="006D103A"/>
    <w:rsid w:val="006D1DE1"/>
    <w:rsid w:val="006D2317"/>
    <w:rsid w:val="006D266D"/>
    <w:rsid w:val="006D2C7E"/>
    <w:rsid w:val="006D2E0D"/>
    <w:rsid w:val="006D2E14"/>
    <w:rsid w:val="006D2F68"/>
    <w:rsid w:val="006D31EC"/>
    <w:rsid w:val="006D32CD"/>
    <w:rsid w:val="006D367A"/>
    <w:rsid w:val="006D3749"/>
    <w:rsid w:val="006D37B0"/>
    <w:rsid w:val="006D3A92"/>
    <w:rsid w:val="006D3E24"/>
    <w:rsid w:val="006D4551"/>
    <w:rsid w:val="006D489D"/>
    <w:rsid w:val="006D4AE0"/>
    <w:rsid w:val="006D4BE0"/>
    <w:rsid w:val="006D4D7F"/>
    <w:rsid w:val="006D4DF3"/>
    <w:rsid w:val="006D4FD3"/>
    <w:rsid w:val="006D51B1"/>
    <w:rsid w:val="006D5A15"/>
    <w:rsid w:val="006D5A97"/>
    <w:rsid w:val="006D5D6C"/>
    <w:rsid w:val="006D5D7E"/>
    <w:rsid w:val="006D5FF2"/>
    <w:rsid w:val="006D6048"/>
    <w:rsid w:val="006D61A2"/>
    <w:rsid w:val="006D65CA"/>
    <w:rsid w:val="006D66C8"/>
    <w:rsid w:val="006D6C3A"/>
    <w:rsid w:val="006D6F55"/>
    <w:rsid w:val="006D6F58"/>
    <w:rsid w:val="006D72A5"/>
    <w:rsid w:val="006D73BB"/>
    <w:rsid w:val="006D73CC"/>
    <w:rsid w:val="006D76B9"/>
    <w:rsid w:val="006D7870"/>
    <w:rsid w:val="006D7FD1"/>
    <w:rsid w:val="006E0448"/>
    <w:rsid w:val="006E06EE"/>
    <w:rsid w:val="006E09DE"/>
    <w:rsid w:val="006E0CC6"/>
    <w:rsid w:val="006E0E9C"/>
    <w:rsid w:val="006E0F08"/>
    <w:rsid w:val="006E117D"/>
    <w:rsid w:val="006E12B0"/>
    <w:rsid w:val="006E1377"/>
    <w:rsid w:val="006E143C"/>
    <w:rsid w:val="006E145D"/>
    <w:rsid w:val="006E1582"/>
    <w:rsid w:val="006E165D"/>
    <w:rsid w:val="006E174E"/>
    <w:rsid w:val="006E189A"/>
    <w:rsid w:val="006E1938"/>
    <w:rsid w:val="006E1970"/>
    <w:rsid w:val="006E1B20"/>
    <w:rsid w:val="006E1D21"/>
    <w:rsid w:val="006E1DDE"/>
    <w:rsid w:val="006E2136"/>
    <w:rsid w:val="006E2191"/>
    <w:rsid w:val="006E2329"/>
    <w:rsid w:val="006E24B2"/>
    <w:rsid w:val="006E2816"/>
    <w:rsid w:val="006E282A"/>
    <w:rsid w:val="006E2A26"/>
    <w:rsid w:val="006E2AF2"/>
    <w:rsid w:val="006E2AF5"/>
    <w:rsid w:val="006E2EA8"/>
    <w:rsid w:val="006E3280"/>
    <w:rsid w:val="006E33DF"/>
    <w:rsid w:val="006E39FC"/>
    <w:rsid w:val="006E42FD"/>
    <w:rsid w:val="006E432A"/>
    <w:rsid w:val="006E44D9"/>
    <w:rsid w:val="006E47C7"/>
    <w:rsid w:val="006E4C13"/>
    <w:rsid w:val="006E4F7F"/>
    <w:rsid w:val="006E4FC2"/>
    <w:rsid w:val="006E50A3"/>
    <w:rsid w:val="006E532D"/>
    <w:rsid w:val="006E53B4"/>
    <w:rsid w:val="006E53F3"/>
    <w:rsid w:val="006E5E48"/>
    <w:rsid w:val="006E6220"/>
    <w:rsid w:val="006E62EB"/>
    <w:rsid w:val="006E64C8"/>
    <w:rsid w:val="006E6529"/>
    <w:rsid w:val="006E6607"/>
    <w:rsid w:val="006E69A9"/>
    <w:rsid w:val="006E6A23"/>
    <w:rsid w:val="006E6CFE"/>
    <w:rsid w:val="006E6D83"/>
    <w:rsid w:val="006E6E11"/>
    <w:rsid w:val="006E71C1"/>
    <w:rsid w:val="006E71F3"/>
    <w:rsid w:val="006E7410"/>
    <w:rsid w:val="006E7675"/>
    <w:rsid w:val="006E778C"/>
    <w:rsid w:val="006E7AC2"/>
    <w:rsid w:val="006E7B4F"/>
    <w:rsid w:val="006F00FD"/>
    <w:rsid w:val="006F0854"/>
    <w:rsid w:val="006F0C20"/>
    <w:rsid w:val="006F0D0D"/>
    <w:rsid w:val="006F0DD9"/>
    <w:rsid w:val="006F0E79"/>
    <w:rsid w:val="006F117F"/>
    <w:rsid w:val="006F13A7"/>
    <w:rsid w:val="006F144F"/>
    <w:rsid w:val="006F155C"/>
    <w:rsid w:val="006F1A01"/>
    <w:rsid w:val="006F2133"/>
    <w:rsid w:val="006F2505"/>
    <w:rsid w:val="006F2800"/>
    <w:rsid w:val="006F28B2"/>
    <w:rsid w:val="006F30D2"/>
    <w:rsid w:val="006F3104"/>
    <w:rsid w:val="006F32CD"/>
    <w:rsid w:val="006F3306"/>
    <w:rsid w:val="006F36C4"/>
    <w:rsid w:val="006F37AF"/>
    <w:rsid w:val="006F39E0"/>
    <w:rsid w:val="006F3A65"/>
    <w:rsid w:val="006F3DA0"/>
    <w:rsid w:val="006F4061"/>
    <w:rsid w:val="006F41AC"/>
    <w:rsid w:val="006F43CD"/>
    <w:rsid w:val="006F446E"/>
    <w:rsid w:val="006F46D2"/>
    <w:rsid w:val="006F513C"/>
    <w:rsid w:val="006F54E8"/>
    <w:rsid w:val="006F571F"/>
    <w:rsid w:val="006F5C7D"/>
    <w:rsid w:val="006F5E2D"/>
    <w:rsid w:val="006F5E70"/>
    <w:rsid w:val="006F6118"/>
    <w:rsid w:val="006F61F8"/>
    <w:rsid w:val="006F6789"/>
    <w:rsid w:val="006F68F6"/>
    <w:rsid w:val="006F70DB"/>
    <w:rsid w:val="006F74EA"/>
    <w:rsid w:val="006F77E7"/>
    <w:rsid w:val="006F7D2B"/>
    <w:rsid w:val="00700017"/>
    <w:rsid w:val="007004C2"/>
    <w:rsid w:val="007007E6"/>
    <w:rsid w:val="007009F7"/>
    <w:rsid w:val="00700A01"/>
    <w:rsid w:val="00701027"/>
    <w:rsid w:val="007012C0"/>
    <w:rsid w:val="007016AF"/>
    <w:rsid w:val="00701A74"/>
    <w:rsid w:val="00701BF9"/>
    <w:rsid w:val="00701EFA"/>
    <w:rsid w:val="00701F0C"/>
    <w:rsid w:val="00702372"/>
    <w:rsid w:val="007023B6"/>
    <w:rsid w:val="00702577"/>
    <w:rsid w:val="0070283F"/>
    <w:rsid w:val="00702C5B"/>
    <w:rsid w:val="00702D4D"/>
    <w:rsid w:val="00702E7F"/>
    <w:rsid w:val="00702FA2"/>
    <w:rsid w:val="00703056"/>
    <w:rsid w:val="00703459"/>
    <w:rsid w:val="0070369E"/>
    <w:rsid w:val="00703820"/>
    <w:rsid w:val="00703BB5"/>
    <w:rsid w:val="00703C0D"/>
    <w:rsid w:val="00703E31"/>
    <w:rsid w:val="007043F8"/>
    <w:rsid w:val="00704676"/>
    <w:rsid w:val="007047E3"/>
    <w:rsid w:val="00704935"/>
    <w:rsid w:val="00704A9A"/>
    <w:rsid w:val="00704C38"/>
    <w:rsid w:val="00704CB9"/>
    <w:rsid w:val="00704CBD"/>
    <w:rsid w:val="00705188"/>
    <w:rsid w:val="00705322"/>
    <w:rsid w:val="00706012"/>
    <w:rsid w:val="00706065"/>
    <w:rsid w:val="0070635D"/>
    <w:rsid w:val="00706390"/>
    <w:rsid w:val="0070646C"/>
    <w:rsid w:val="007067A8"/>
    <w:rsid w:val="007069D6"/>
    <w:rsid w:val="00706A36"/>
    <w:rsid w:val="00706C4B"/>
    <w:rsid w:val="00706E83"/>
    <w:rsid w:val="00707489"/>
    <w:rsid w:val="007075CD"/>
    <w:rsid w:val="00707882"/>
    <w:rsid w:val="007078B4"/>
    <w:rsid w:val="007078C7"/>
    <w:rsid w:val="007079E1"/>
    <w:rsid w:val="00707AAA"/>
    <w:rsid w:val="00707B1D"/>
    <w:rsid w:val="00707B2B"/>
    <w:rsid w:val="00707CC9"/>
    <w:rsid w:val="00707DCB"/>
    <w:rsid w:val="00707EE3"/>
    <w:rsid w:val="00710065"/>
    <w:rsid w:val="00710107"/>
    <w:rsid w:val="007101EF"/>
    <w:rsid w:val="00710291"/>
    <w:rsid w:val="007105D2"/>
    <w:rsid w:val="0071073E"/>
    <w:rsid w:val="00710855"/>
    <w:rsid w:val="00710AB2"/>
    <w:rsid w:val="00710B37"/>
    <w:rsid w:val="00710DC2"/>
    <w:rsid w:val="007112C8"/>
    <w:rsid w:val="007113AF"/>
    <w:rsid w:val="00711462"/>
    <w:rsid w:val="007114D6"/>
    <w:rsid w:val="0071152F"/>
    <w:rsid w:val="00711875"/>
    <w:rsid w:val="00711CB6"/>
    <w:rsid w:val="00711FD1"/>
    <w:rsid w:val="00712148"/>
    <w:rsid w:val="007121F2"/>
    <w:rsid w:val="00712434"/>
    <w:rsid w:val="00712FE6"/>
    <w:rsid w:val="00713096"/>
    <w:rsid w:val="00713110"/>
    <w:rsid w:val="00713317"/>
    <w:rsid w:val="007134AA"/>
    <w:rsid w:val="007139D0"/>
    <w:rsid w:val="00713B7F"/>
    <w:rsid w:val="00713D54"/>
    <w:rsid w:val="00713EEF"/>
    <w:rsid w:val="00714433"/>
    <w:rsid w:val="00714FEA"/>
    <w:rsid w:val="007159E3"/>
    <w:rsid w:val="00715B06"/>
    <w:rsid w:val="00715CED"/>
    <w:rsid w:val="00715D3E"/>
    <w:rsid w:val="00715DED"/>
    <w:rsid w:val="00716263"/>
    <w:rsid w:val="00716313"/>
    <w:rsid w:val="0071687A"/>
    <w:rsid w:val="00716ADF"/>
    <w:rsid w:val="00716D12"/>
    <w:rsid w:val="00716D22"/>
    <w:rsid w:val="00716E53"/>
    <w:rsid w:val="0071722C"/>
    <w:rsid w:val="00717501"/>
    <w:rsid w:val="00717F0E"/>
    <w:rsid w:val="007201E4"/>
    <w:rsid w:val="00720335"/>
    <w:rsid w:val="00720913"/>
    <w:rsid w:val="00720B78"/>
    <w:rsid w:val="00720DE0"/>
    <w:rsid w:val="00720F78"/>
    <w:rsid w:val="007210FB"/>
    <w:rsid w:val="00721627"/>
    <w:rsid w:val="00722509"/>
    <w:rsid w:val="007227FE"/>
    <w:rsid w:val="00722834"/>
    <w:rsid w:val="00722986"/>
    <w:rsid w:val="0072298E"/>
    <w:rsid w:val="00722D13"/>
    <w:rsid w:val="00722E20"/>
    <w:rsid w:val="00722F98"/>
    <w:rsid w:val="007232BF"/>
    <w:rsid w:val="007236C8"/>
    <w:rsid w:val="00723718"/>
    <w:rsid w:val="00723918"/>
    <w:rsid w:val="00723961"/>
    <w:rsid w:val="00723E17"/>
    <w:rsid w:val="00723F24"/>
    <w:rsid w:val="00724035"/>
    <w:rsid w:val="00724305"/>
    <w:rsid w:val="0072437F"/>
    <w:rsid w:val="00724530"/>
    <w:rsid w:val="00724552"/>
    <w:rsid w:val="007245EF"/>
    <w:rsid w:val="007247D2"/>
    <w:rsid w:val="00724DF1"/>
    <w:rsid w:val="00724F70"/>
    <w:rsid w:val="007251C7"/>
    <w:rsid w:val="00725838"/>
    <w:rsid w:val="007258F9"/>
    <w:rsid w:val="00725E74"/>
    <w:rsid w:val="00725F15"/>
    <w:rsid w:val="00725F82"/>
    <w:rsid w:val="0072617E"/>
    <w:rsid w:val="00726577"/>
    <w:rsid w:val="00726714"/>
    <w:rsid w:val="00726B71"/>
    <w:rsid w:val="00726C33"/>
    <w:rsid w:val="00727974"/>
    <w:rsid w:val="00727D68"/>
    <w:rsid w:val="00730058"/>
    <w:rsid w:val="00730387"/>
    <w:rsid w:val="007304C7"/>
    <w:rsid w:val="0073050E"/>
    <w:rsid w:val="00730824"/>
    <w:rsid w:val="007309FE"/>
    <w:rsid w:val="00730CE8"/>
    <w:rsid w:val="00731273"/>
    <w:rsid w:val="0073150E"/>
    <w:rsid w:val="007315C2"/>
    <w:rsid w:val="007315FD"/>
    <w:rsid w:val="007316EF"/>
    <w:rsid w:val="007319E0"/>
    <w:rsid w:val="00731A34"/>
    <w:rsid w:val="00731CFE"/>
    <w:rsid w:val="00731E22"/>
    <w:rsid w:val="00731EE5"/>
    <w:rsid w:val="00732307"/>
    <w:rsid w:val="00732999"/>
    <w:rsid w:val="00732E97"/>
    <w:rsid w:val="007331D3"/>
    <w:rsid w:val="0073345F"/>
    <w:rsid w:val="007334F9"/>
    <w:rsid w:val="0073358D"/>
    <w:rsid w:val="0073369D"/>
    <w:rsid w:val="00733973"/>
    <w:rsid w:val="00733E1A"/>
    <w:rsid w:val="007343B2"/>
    <w:rsid w:val="0073441B"/>
    <w:rsid w:val="007346A0"/>
    <w:rsid w:val="007348EF"/>
    <w:rsid w:val="007349B0"/>
    <w:rsid w:val="007350D1"/>
    <w:rsid w:val="00735462"/>
    <w:rsid w:val="007355C9"/>
    <w:rsid w:val="007356E3"/>
    <w:rsid w:val="007358D2"/>
    <w:rsid w:val="00735CCB"/>
    <w:rsid w:val="00736202"/>
    <w:rsid w:val="007368F9"/>
    <w:rsid w:val="00736BF9"/>
    <w:rsid w:val="00736F63"/>
    <w:rsid w:val="007370A6"/>
    <w:rsid w:val="007371A5"/>
    <w:rsid w:val="0073757F"/>
    <w:rsid w:val="00737A30"/>
    <w:rsid w:val="00737C75"/>
    <w:rsid w:val="0074018D"/>
    <w:rsid w:val="0074039D"/>
    <w:rsid w:val="00740689"/>
    <w:rsid w:val="00740AA1"/>
    <w:rsid w:val="00740C35"/>
    <w:rsid w:val="00741413"/>
    <w:rsid w:val="007419BE"/>
    <w:rsid w:val="00741BCC"/>
    <w:rsid w:val="0074295A"/>
    <w:rsid w:val="00742B99"/>
    <w:rsid w:val="00742C38"/>
    <w:rsid w:val="00742DA3"/>
    <w:rsid w:val="0074315D"/>
    <w:rsid w:val="00743B5C"/>
    <w:rsid w:val="00743FFB"/>
    <w:rsid w:val="007444BC"/>
    <w:rsid w:val="00744645"/>
    <w:rsid w:val="00744701"/>
    <w:rsid w:val="007448E2"/>
    <w:rsid w:val="00744F0A"/>
    <w:rsid w:val="007451C7"/>
    <w:rsid w:val="0074537E"/>
    <w:rsid w:val="0074547C"/>
    <w:rsid w:val="00745967"/>
    <w:rsid w:val="00745C35"/>
    <w:rsid w:val="00745D09"/>
    <w:rsid w:val="00746346"/>
    <w:rsid w:val="00746716"/>
    <w:rsid w:val="00746BD8"/>
    <w:rsid w:val="0074710C"/>
    <w:rsid w:val="0074771B"/>
    <w:rsid w:val="00747C06"/>
    <w:rsid w:val="00747E1B"/>
    <w:rsid w:val="00747F49"/>
    <w:rsid w:val="00750D86"/>
    <w:rsid w:val="00750DD0"/>
    <w:rsid w:val="00750F05"/>
    <w:rsid w:val="00750FB7"/>
    <w:rsid w:val="0075126E"/>
    <w:rsid w:val="00751707"/>
    <w:rsid w:val="00751752"/>
    <w:rsid w:val="007517EE"/>
    <w:rsid w:val="00751A30"/>
    <w:rsid w:val="0075201C"/>
    <w:rsid w:val="007520EF"/>
    <w:rsid w:val="0075218A"/>
    <w:rsid w:val="00752254"/>
    <w:rsid w:val="007522C7"/>
    <w:rsid w:val="007524EC"/>
    <w:rsid w:val="00752D88"/>
    <w:rsid w:val="00752E7A"/>
    <w:rsid w:val="00753027"/>
    <w:rsid w:val="007531BC"/>
    <w:rsid w:val="007536B2"/>
    <w:rsid w:val="0075387C"/>
    <w:rsid w:val="00753B12"/>
    <w:rsid w:val="00753B8D"/>
    <w:rsid w:val="007546DC"/>
    <w:rsid w:val="00754993"/>
    <w:rsid w:val="00754A78"/>
    <w:rsid w:val="00754D82"/>
    <w:rsid w:val="00754DE8"/>
    <w:rsid w:val="00755022"/>
    <w:rsid w:val="00755432"/>
    <w:rsid w:val="007556FD"/>
    <w:rsid w:val="0075581F"/>
    <w:rsid w:val="00755C06"/>
    <w:rsid w:val="00755DB0"/>
    <w:rsid w:val="00755E57"/>
    <w:rsid w:val="00755F88"/>
    <w:rsid w:val="00756116"/>
    <w:rsid w:val="00756458"/>
    <w:rsid w:val="00756547"/>
    <w:rsid w:val="0075691A"/>
    <w:rsid w:val="00756B09"/>
    <w:rsid w:val="00756CE6"/>
    <w:rsid w:val="00756F01"/>
    <w:rsid w:val="00756F1A"/>
    <w:rsid w:val="007571EA"/>
    <w:rsid w:val="007571FF"/>
    <w:rsid w:val="00757678"/>
    <w:rsid w:val="0075772A"/>
    <w:rsid w:val="00757CB8"/>
    <w:rsid w:val="00757D5A"/>
    <w:rsid w:val="007600F8"/>
    <w:rsid w:val="0076010A"/>
    <w:rsid w:val="0076020B"/>
    <w:rsid w:val="00760B48"/>
    <w:rsid w:val="00760BF5"/>
    <w:rsid w:val="00760C7B"/>
    <w:rsid w:val="00760F46"/>
    <w:rsid w:val="007611B5"/>
    <w:rsid w:val="007613B7"/>
    <w:rsid w:val="00761810"/>
    <w:rsid w:val="007619D0"/>
    <w:rsid w:val="00761CD9"/>
    <w:rsid w:val="00761ED3"/>
    <w:rsid w:val="00761EDE"/>
    <w:rsid w:val="00762164"/>
    <w:rsid w:val="0076233F"/>
    <w:rsid w:val="00762442"/>
    <w:rsid w:val="0076249D"/>
    <w:rsid w:val="00762A98"/>
    <w:rsid w:val="00762BE7"/>
    <w:rsid w:val="00762C45"/>
    <w:rsid w:val="00762D7E"/>
    <w:rsid w:val="00762D9F"/>
    <w:rsid w:val="00762FA0"/>
    <w:rsid w:val="00762FE0"/>
    <w:rsid w:val="007631AF"/>
    <w:rsid w:val="0076339A"/>
    <w:rsid w:val="00763873"/>
    <w:rsid w:val="0076399F"/>
    <w:rsid w:val="00763A93"/>
    <w:rsid w:val="00763EA4"/>
    <w:rsid w:val="00763EB2"/>
    <w:rsid w:val="00764036"/>
    <w:rsid w:val="00764450"/>
    <w:rsid w:val="0076494C"/>
    <w:rsid w:val="00764AA1"/>
    <w:rsid w:val="00764B63"/>
    <w:rsid w:val="0076545E"/>
    <w:rsid w:val="0076565B"/>
    <w:rsid w:val="0076582A"/>
    <w:rsid w:val="00765BCF"/>
    <w:rsid w:val="0076609F"/>
    <w:rsid w:val="007662E3"/>
    <w:rsid w:val="007663A0"/>
    <w:rsid w:val="0076664B"/>
    <w:rsid w:val="0076679E"/>
    <w:rsid w:val="007668BE"/>
    <w:rsid w:val="00766AF8"/>
    <w:rsid w:val="00766FA4"/>
    <w:rsid w:val="00767031"/>
    <w:rsid w:val="007670C3"/>
    <w:rsid w:val="00767202"/>
    <w:rsid w:val="00767655"/>
    <w:rsid w:val="007676BC"/>
    <w:rsid w:val="007705ED"/>
    <w:rsid w:val="00770A1C"/>
    <w:rsid w:val="00770B20"/>
    <w:rsid w:val="00771A7F"/>
    <w:rsid w:val="00771B1C"/>
    <w:rsid w:val="00771B52"/>
    <w:rsid w:val="00771C84"/>
    <w:rsid w:val="007720BA"/>
    <w:rsid w:val="007724F9"/>
    <w:rsid w:val="00772522"/>
    <w:rsid w:val="00772561"/>
    <w:rsid w:val="007728CD"/>
    <w:rsid w:val="00772A18"/>
    <w:rsid w:val="00772D72"/>
    <w:rsid w:val="00772E18"/>
    <w:rsid w:val="00773314"/>
    <w:rsid w:val="00773C18"/>
    <w:rsid w:val="00773DD3"/>
    <w:rsid w:val="007742AC"/>
    <w:rsid w:val="007742B8"/>
    <w:rsid w:val="00774D4C"/>
    <w:rsid w:val="00774DF7"/>
    <w:rsid w:val="00775138"/>
    <w:rsid w:val="007753F3"/>
    <w:rsid w:val="00775433"/>
    <w:rsid w:val="007754F7"/>
    <w:rsid w:val="0077553B"/>
    <w:rsid w:val="00775ECA"/>
    <w:rsid w:val="00775EE5"/>
    <w:rsid w:val="00776B01"/>
    <w:rsid w:val="00777086"/>
    <w:rsid w:val="007771A1"/>
    <w:rsid w:val="007771A2"/>
    <w:rsid w:val="007772F5"/>
    <w:rsid w:val="00777463"/>
    <w:rsid w:val="007775D7"/>
    <w:rsid w:val="00777A4E"/>
    <w:rsid w:val="00777C70"/>
    <w:rsid w:val="00777D4F"/>
    <w:rsid w:val="007801AC"/>
    <w:rsid w:val="007801C1"/>
    <w:rsid w:val="00780218"/>
    <w:rsid w:val="00780314"/>
    <w:rsid w:val="0078044D"/>
    <w:rsid w:val="007806A7"/>
    <w:rsid w:val="00780761"/>
    <w:rsid w:val="007807F7"/>
    <w:rsid w:val="00780938"/>
    <w:rsid w:val="00780BA7"/>
    <w:rsid w:val="00780CA2"/>
    <w:rsid w:val="00780F91"/>
    <w:rsid w:val="00781240"/>
    <w:rsid w:val="0078144F"/>
    <w:rsid w:val="00781598"/>
    <w:rsid w:val="007815EF"/>
    <w:rsid w:val="0078170C"/>
    <w:rsid w:val="0078173E"/>
    <w:rsid w:val="0078173F"/>
    <w:rsid w:val="007817A4"/>
    <w:rsid w:val="00781AC4"/>
    <w:rsid w:val="00781CFE"/>
    <w:rsid w:val="007821FF"/>
    <w:rsid w:val="007823F9"/>
    <w:rsid w:val="007824AA"/>
    <w:rsid w:val="007824C2"/>
    <w:rsid w:val="007825C1"/>
    <w:rsid w:val="007826EF"/>
    <w:rsid w:val="00782743"/>
    <w:rsid w:val="007827A0"/>
    <w:rsid w:val="00782875"/>
    <w:rsid w:val="00782A52"/>
    <w:rsid w:val="00782A64"/>
    <w:rsid w:val="00782B0E"/>
    <w:rsid w:val="00782BB1"/>
    <w:rsid w:val="00782CD5"/>
    <w:rsid w:val="00782FF0"/>
    <w:rsid w:val="007832CE"/>
    <w:rsid w:val="00783331"/>
    <w:rsid w:val="00783366"/>
    <w:rsid w:val="0078349C"/>
    <w:rsid w:val="0078366B"/>
    <w:rsid w:val="007837D7"/>
    <w:rsid w:val="00783D4D"/>
    <w:rsid w:val="00783DFE"/>
    <w:rsid w:val="00784638"/>
    <w:rsid w:val="0078468E"/>
    <w:rsid w:val="00784BB6"/>
    <w:rsid w:val="00784C71"/>
    <w:rsid w:val="00785194"/>
    <w:rsid w:val="0078558E"/>
    <w:rsid w:val="007855CC"/>
    <w:rsid w:val="0078584B"/>
    <w:rsid w:val="00785A3D"/>
    <w:rsid w:val="00785C47"/>
    <w:rsid w:val="00786545"/>
    <w:rsid w:val="007865C5"/>
    <w:rsid w:val="0078689A"/>
    <w:rsid w:val="00786E0E"/>
    <w:rsid w:val="00787294"/>
    <w:rsid w:val="00790436"/>
    <w:rsid w:val="0079058A"/>
    <w:rsid w:val="00790754"/>
    <w:rsid w:val="00790B72"/>
    <w:rsid w:val="00790E3B"/>
    <w:rsid w:val="00790EBE"/>
    <w:rsid w:val="00791223"/>
    <w:rsid w:val="007913B5"/>
    <w:rsid w:val="00791504"/>
    <w:rsid w:val="00791923"/>
    <w:rsid w:val="00791C30"/>
    <w:rsid w:val="00791E17"/>
    <w:rsid w:val="007920C3"/>
    <w:rsid w:val="007926C4"/>
    <w:rsid w:val="0079288F"/>
    <w:rsid w:val="007928C8"/>
    <w:rsid w:val="007928D6"/>
    <w:rsid w:val="00793099"/>
    <w:rsid w:val="007932A5"/>
    <w:rsid w:val="00793877"/>
    <w:rsid w:val="007939D9"/>
    <w:rsid w:val="00793A50"/>
    <w:rsid w:val="00793BF4"/>
    <w:rsid w:val="00793D17"/>
    <w:rsid w:val="007948F1"/>
    <w:rsid w:val="00794A31"/>
    <w:rsid w:val="00794B7C"/>
    <w:rsid w:val="00794BEE"/>
    <w:rsid w:val="00794D6C"/>
    <w:rsid w:val="00794EE0"/>
    <w:rsid w:val="007950D2"/>
    <w:rsid w:val="007951C7"/>
    <w:rsid w:val="007951E7"/>
    <w:rsid w:val="007951F5"/>
    <w:rsid w:val="007954DA"/>
    <w:rsid w:val="00795726"/>
    <w:rsid w:val="00795C62"/>
    <w:rsid w:val="00796150"/>
    <w:rsid w:val="00796678"/>
    <w:rsid w:val="0079690E"/>
    <w:rsid w:val="00796923"/>
    <w:rsid w:val="00796A2B"/>
    <w:rsid w:val="00796CBF"/>
    <w:rsid w:val="00796E22"/>
    <w:rsid w:val="00796EB0"/>
    <w:rsid w:val="007970A8"/>
    <w:rsid w:val="00797220"/>
    <w:rsid w:val="00797285"/>
    <w:rsid w:val="00797485"/>
    <w:rsid w:val="00797567"/>
    <w:rsid w:val="00797972"/>
    <w:rsid w:val="00797A6C"/>
    <w:rsid w:val="00797E00"/>
    <w:rsid w:val="007A00ED"/>
    <w:rsid w:val="007A0111"/>
    <w:rsid w:val="007A0269"/>
    <w:rsid w:val="007A0531"/>
    <w:rsid w:val="007A0581"/>
    <w:rsid w:val="007A05CB"/>
    <w:rsid w:val="007A06FB"/>
    <w:rsid w:val="007A077F"/>
    <w:rsid w:val="007A081A"/>
    <w:rsid w:val="007A0CBD"/>
    <w:rsid w:val="007A0CED"/>
    <w:rsid w:val="007A0E94"/>
    <w:rsid w:val="007A1246"/>
    <w:rsid w:val="007A128B"/>
    <w:rsid w:val="007A181C"/>
    <w:rsid w:val="007A1ADA"/>
    <w:rsid w:val="007A1C7A"/>
    <w:rsid w:val="007A1D64"/>
    <w:rsid w:val="007A1F9C"/>
    <w:rsid w:val="007A205C"/>
    <w:rsid w:val="007A2260"/>
    <w:rsid w:val="007A2384"/>
    <w:rsid w:val="007A25ED"/>
    <w:rsid w:val="007A285F"/>
    <w:rsid w:val="007A2A7A"/>
    <w:rsid w:val="007A2A8D"/>
    <w:rsid w:val="007A2AA3"/>
    <w:rsid w:val="007A2C69"/>
    <w:rsid w:val="007A2CF4"/>
    <w:rsid w:val="007A2EEE"/>
    <w:rsid w:val="007A302B"/>
    <w:rsid w:val="007A3104"/>
    <w:rsid w:val="007A31C0"/>
    <w:rsid w:val="007A31F5"/>
    <w:rsid w:val="007A351A"/>
    <w:rsid w:val="007A35CF"/>
    <w:rsid w:val="007A36DF"/>
    <w:rsid w:val="007A3796"/>
    <w:rsid w:val="007A3D3B"/>
    <w:rsid w:val="007A4119"/>
    <w:rsid w:val="007A417B"/>
    <w:rsid w:val="007A4380"/>
    <w:rsid w:val="007A4382"/>
    <w:rsid w:val="007A4A1D"/>
    <w:rsid w:val="007A4A95"/>
    <w:rsid w:val="007A4C63"/>
    <w:rsid w:val="007A4FD8"/>
    <w:rsid w:val="007A5281"/>
    <w:rsid w:val="007A537B"/>
    <w:rsid w:val="007A55DB"/>
    <w:rsid w:val="007A5B07"/>
    <w:rsid w:val="007A5B19"/>
    <w:rsid w:val="007A5D16"/>
    <w:rsid w:val="007A62C1"/>
    <w:rsid w:val="007A667E"/>
    <w:rsid w:val="007A6864"/>
    <w:rsid w:val="007A6893"/>
    <w:rsid w:val="007A6993"/>
    <w:rsid w:val="007A6B65"/>
    <w:rsid w:val="007A6FE7"/>
    <w:rsid w:val="007A7172"/>
    <w:rsid w:val="007A71DC"/>
    <w:rsid w:val="007A738A"/>
    <w:rsid w:val="007A77DA"/>
    <w:rsid w:val="007A7B26"/>
    <w:rsid w:val="007A7CC0"/>
    <w:rsid w:val="007A7DCF"/>
    <w:rsid w:val="007B03EB"/>
    <w:rsid w:val="007B0515"/>
    <w:rsid w:val="007B07D4"/>
    <w:rsid w:val="007B0A1A"/>
    <w:rsid w:val="007B0A8F"/>
    <w:rsid w:val="007B11E2"/>
    <w:rsid w:val="007B1355"/>
    <w:rsid w:val="007B136F"/>
    <w:rsid w:val="007B137E"/>
    <w:rsid w:val="007B1592"/>
    <w:rsid w:val="007B17AA"/>
    <w:rsid w:val="007B1A4E"/>
    <w:rsid w:val="007B1CAD"/>
    <w:rsid w:val="007B1D51"/>
    <w:rsid w:val="007B1F60"/>
    <w:rsid w:val="007B23C8"/>
    <w:rsid w:val="007B2527"/>
    <w:rsid w:val="007B26CA"/>
    <w:rsid w:val="007B26FA"/>
    <w:rsid w:val="007B276A"/>
    <w:rsid w:val="007B27AB"/>
    <w:rsid w:val="007B2890"/>
    <w:rsid w:val="007B2898"/>
    <w:rsid w:val="007B2D58"/>
    <w:rsid w:val="007B30C4"/>
    <w:rsid w:val="007B30F3"/>
    <w:rsid w:val="007B310E"/>
    <w:rsid w:val="007B34E8"/>
    <w:rsid w:val="007B37B2"/>
    <w:rsid w:val="007B3B88"/>
    <w:rsid w:val="007B4161"/>
    <w:rsid w:val="007B4189"/>
    <w:rsid w:val="007B42A6"/>
    <w:rsid w:val="007B45AC"/>
    <w:rsid w:val="007B5129"/>
    <w:rsid w:val="007B57C6"/>
    <w:rsid w:val="007B5968"/>
    <w:rsid w:val="007B607D"/>
    <w:rsid w:val="007B620A"/>
    <w:rsid w:val="007B666C"/>
    <w:rsid w:val="007B6717"/>
    <w:rsid w:val="007B687E"/>
    <w:rsid w:val="007B6A7C"/>
    <w:rsid w:val="007B6A99"/>
    <w:rsid w:val="007B6CD0"/>
    <w:rsid w:val="007B6CF6"/>
    <w:rsid w:val="007B6FBD"/>
    <w:rsid w:val="007B73A2"/>
    <w:rsid w:val="007B755C"/>
    <w:rsid w:val="007B768B"/>
    <w:rsid w:val="007B7860"/>
    <w:rsid w:val="007B79AE"/>
    <w:rsid w:val="007B7C64"/>
    <w:rsid w:val="007B7D7F"/>
    <w:rsid w:val="007B7E81"/>
    <w:rsid w:val="007C0026"/>
    <w:rsid w:val="007C052D"/>
    <w:rsid w:val="007C05E6"/>
    <w:rsid w:val="007C0730"/>
    <w:rsid w:val="007C096A"/>
    <w:rsid w:val="007C1068"/>
    <w:rsid w:val="007C1905"/>
    <w:rsid w:val="007C190F"/>
    <w:rsid w:val="007C1B9A"/>
    <w:rsid w:val="007C1E2B"/>
    <w:rsid w:val="007C295A"/>
    <w:rsid w:val="007C29C9"/>
    <w:rsid w:val="007C2A55"/>
    <w:rsid w:val="007C335F"/>
    <w:rsid w:val="007C3BAE"/>
    <w:rsid w:val="007C3D5E"/>
    <w:rsid w:val="007C3D9B"/>
    <w:rsid w:val="007C43C9"/>
    <w:rsid w:val="007C4597"/>
    <w:rsid w:val="007C4751"/>
    <w:rsid w:val="007C48B4"/>
    <w:rsid w:val="007C4CD1"/>
    <w:rsid w:val="007C51A5"/>
    <w:rsid w:val="007C58A8"/>
    <w:rsid w:val="007C5BFE"/>
    <w:rsid w:val="007C5E69"/>
    <w:rsid w:val="007C5EE2"/>
    <w:rsid w:val="007C62BF"/>
    <w:rsid w:val="007C62DB"/>
    <w:rsid w:val="007C65AA"/>
    <w:rsid w:val="007C751A"/>
    <w:rsid w:val="007C75ED"/>
    <w:rsid w:val="007C7AC5"/>
    <w:rsid w:val="007C7BB0"/>
    <w:rsid w:val="007C7C7A"/>
    <w:rsid w:val="007C7E35"/>
    <w:rsid w:val="007C7E63"/>
    <w:rsid w:val="007C7F81"/>
    <w:rsid w:val="007D01EE"/>
    <w:rsid w:val="007D0D63"/>
    <w:rsid w:val="007D100F"/>
    <w:rsid w:val="007D1164"/>
    <w:rsid w:val="007D13D5"/>
    <w:rsid w:val="007D174D"/>
    <w:rsid w:val="007D1B09"/>
    <w:rsid w:val="007D1B4F"/>
    <w:rsid w:val="007D1CF3"/>
    <w:rsid w:val="007D1E1D"/>
    <w:rsid w:val="007D20CA"/>
    <w:rsid w:val="007D210C"/>
    <w:rsid w:val="007D24A4"/>
    <w:rsid w:val="007D26A3"/>
    <w:rsid w:val="007D282C"/>
    <w:rsid w:val="007D2D00"/>
    <w:rsid w:val="007D2FC1"/>
    <w:rsid w:val="007D3019"/>
    <w:rsid w:val="007D302F"/>
    <w:rsid w:val="007D30D8"/>
    <w:rsid w:val="007D34E9"/>
    <w:rsid w:val="007D3547"/>
    <w:rsid w:val="007D358F"/>
    <w:rsid w:val="007D359D"/>
    <w:rsid w:val="007D36F2"/>
    <w:rsid w:val="007D45D6"/>
    <w:rsid w:val="007D525C"/>
    <w:rsid w:val="007D5381"/>
    <w:rsid w:val="007D53D5"/>
    <w:rsid w:val="007D552F"/>
    <w:rsid w:val="007D56E5"/>
    <w:rsid w:val="007D575E"/>
    <w:rsid w:val="007D58AA"/>
    <w:rsid w:val="007D59B1"/>
    <w:rsid w:val="007D59D7"/>
    <w:rsid w:val="007D5B21"/>
    <w:rsid w:val="007D5F07"/>
    <w:rsid w:val="007D63E1"/>
    <w:rsid w:val="007D643E"/>
    <w:rsid w:val="007D6623"/>
    <w:rsid w:val="007D66AF"/>
    <w:rsid w:val="007D6721"/>
    <w:rsid w:val="007D67C3"/>
    <w:rsid w:val="007D68F6"/>
    <w:rsid w:val="007D6E3E"/>
    <w:rsid w:val="007D6F5E"/>
    <w:rsid w:val="007D70A1"/>
    <w:rsid w:val="007D7590"/>
    <w:rsid w:val="007D772B"/>
    <w:rsid w:val="007D7997"/>
    <w:rsid w:val="007D7A5B"/>
    <w:rsid w:val="007D7BFB"/>
    <w:rsid w:val="007E0048"/>
    <w:rsid w:val="007E01C8"/>
    <w:rsid w:val="007E03D4"/>
    <w:rsid w:val="007E05D3"/>
    <w:rsid w:val="007E07EC"/>
    <w:rsid w:val="007E16A2"/>
    <w:rsid w:val="007E1A7F"/>
    <w:rsid w:val="007E1B21"/>
    <w:rsid w:val="007E28B5"/>
    <w:rsid w:val="007E2AB7"/>
    <w:rsid w:val="007E2E84"/>
    <w:rsid w:val="007E3776"/>
    <w:rsid w:val="007E3896"/>
    <w:rsid w:val="007E395A"/>
    <w:rsid w:val="007E3B5F"/>
    <w:rsid w:val="007E3D1B"/>
    <w:rsid w:val="007E3E14"/>
    <w:rsid w:val="007E3FED"/>
    <w:rsid w:val="007E417B"/>
    <w:rsid w:val="007E45E1"/>
    <w:rsid w:val="007E4D23"/>
    <w:rsid w:val="007E4F11"/>
    <w:rsid w:val="007E5228"/>
    <w:rsid w:val="007E5235"/>
    <w:rsid w:val="007E5326"/>
    <w:rsid w:val="007E53F4"/>
    <w:rsid w:val="007E55F6"/>
    <w:rsid w:val="007E5759"/>
    <w:rsid w:val="007E57BC"/>
    <w:rsid w:val="007E58EA"/>
    <w:rsid w:val="007E5AA7"/>
    <w:rsid w:val="007E5AD0"/>
    <w:rsid w:val="007E5C21"/>
    <w:rsid w:val="007E5C5A"/>
    <w:rsid w:val="007E5DFD"/>
    <w:rsid w:val="007E5E8D"/>
    <w:rsid w:val="007E5EC8"/>
    <w:rsid w:val="007E6B2A"/>
    <w:rsid w:val="007E6C53"/>
    <w:rsid w:val="007E7321"/>
    <w:rsid w:val="007E7329"/>
    <w:rsid w:val="007E751D"/>
    <w:rsid w:val="007E771A"/>
    <w:rsid w:val="007E7ABA"/>
    <w:rsid w:val="007E7EB1"/>
    <w:rsid w:val="007E7FBB"/>
    <w:rsid w:val="007F0233"/>
    <w:rsid w:val="007F09C3"/>
    <w:rsid w:val="007F0B26"/>
    <w:rsid w:val="007F0E42"/>
    <w:rsid w:val="007F10FE"/>
    <w:rsid w:val="007F15DC"/>
    <w:rsid w:val="007F177E"/>
    <w:rsid w:val="007F189B"/>
    <w:rsid w:val="007F1B42"/>
    <w:rsid w:val="007F1CD1"/>
    <w:rsid w:val="007F24E3"/>
    <w:rsid w:val="007F25ED"/>
    <w:rsid w:val="007F2816"/>
    <w:rsid w:val="007F28F6"/>
    <w:rsid w:val="007F2A61"/>
    <w:rsid w:val="007F2C5C"/>
    <w:rsid w:val="007F2CAD"/>
    <w:rsid w:val="007F2CF0"/>
    <w:rsid w:val="007F343A"/>
    <w:rsid w:val="007F34E6"/>
    <w:rsid w:val="007F3564"/>
    <w:rsid w:val="007F3764"/>
    <w:rsid w:val="007F38E1"/>
    <w:rsid w:val="007F3BE7"/>
    <w:rsid w:val="007F3CD8"/>
    <w:rsid w:val="007F3F5A"/>
    <w:rsid w:val="007F40F2"/>
    <w:rsid w:val="007F4590"/>
    <w:rsid w:val="007F4F0C"/>
    <w:rsid w:val="007F50F0"/>
    <w:rsid w:val="007F544E"/>
    <w:rsid w:val="007F5539"/>
    <w:rsid w:val="007F5573"/>
    <w:rsid w:val="007F55FE"/>
    <w:rsid w:val="007F56BC"/>
    <w:rsid w:val="007F58F4"/>
    <w:rsid w:val="007F5B9A"/>
    <w:rsid w:val="007F5D3A"/>
    <w:rsid w:val="007F6477"/>
    <w:rsid w:val="007F6661"/>
    <w:rsid w:val="007F69E3"/>
    <w:rsid w:val="007F6AE1"/>
    <w:rsid w:val="007F723D"/>
    <w:rsid w:val="007F7371"/>
    <w:rsid w:val="007F7644"/>
    <w:rsid w:val="007F76F8"/>
    <w:rsid w:val="007F7F94"/>
    <w:rsid w:val="0080079C"/>
    <w:rsid w:val="00800810"/>
    <w:rsid w:val="0080081C"/>
    <w:rsid w:val="008008FC"/>
    <w:rsid w:val="00800B49"/>
    <w:rsid w:val="00800F33"/>
    <w:rsid w:val="0080141C"/>
    <w:rsid w:val="008014EA"/>
    <w:rsid w:val="008014ED"/>
    <w:rsid w:val="00801608"/>
    <w:rsid w:val="0080179F"/>
    <w:rsid w:val="00801D98"/>
    <w:rsid w:val="00802752"/>
    <w:rsid w:val="008028CC"/>
    <w:rsid w:val="00802A80"/>
    <w:rsid w:val="00802C86"/>
    <w:rsid w:val="00802E93"/>
    <w:rsid w:val="008030E7"/>
    <w:rsid w:val="0080328F"/>
    <w:rsid w:val="00803DC4"/>
    <w:rsid w:val="00803DCB"/>
    <w:rsid w:val="00803E8C"/>
    <w:rsid w:val="00803F43"/>
    <w:rsid w:val="008040F6"/>
    <w:rsid w:val="00804242"/>
    <w:rsid w:val="008042C6"/>
    <w:rsid w:val="008043E4"/>
    <w:rsid w:val="00804487"/>
    <w:rsid w:val="00804AEF"/>
    <w:rsid w:val="00804CAB"/>
    <w:rsid w:val="00804EEF"/>
    <w:rsid w:val="0080577D"/>
    <w:rsid w:val="008060E8"/>
    <w:rsid w:val="00806291"/>
    <w:rsid w:val="008062CA"/>
    <w:rsid w:val="008062EF"/>
    <w:rsid w:val="008064F3"/>
    <w:rsid w:val="008065DF"/>
    <w:rsid w:val="008068C2"/>
    <w:rsid w:val="00806BEC"/>
    <w:rsid w:val="00807133"/>
    <w:rsid w:val="00807170"/>
    <w:rsid w:val="0080778B"/>
    <w:rsid w:val="00807A27"/>
    <w:rsid w:val="00807CC3"/>
    <w:rsid w:val="00807E8F"/>
    <w:rsid w:val="00807F2F"/>
    <w:rsid w:val="00810093"/>
    <w:rsid w:val="00810120"/>
    <w:rsid w:val="00810151"/>
    <w:rsid w:val="0081054C"/>
    <w:rsid w:val="00810933"/>
    <w:rsid w:val="00810B92"/>
    <w:rsid w:val="00810C38"/>
    <w:rsid w:val="00810CF1"/>
    <w:rsid w:val="0081107D"/>
    <w:rsid w:val="0081117E"/>
    <w:rsid w:val="00811265"/>
    <w:rsid w:val="0081163A"/>
    <w:rsid w:val="00811BAF"/>
    <w:rsid w:val="008120AA"/>
    <w:rsid w:val="0081217E"/>
    <w:rsid w:val="008121FF"/>
    <w:rsid w:val="008126AB"/>
    <w:rsid w:val="00812766"/>
    <w:rsid w:val="008128E6"/>
    <w:rsid w:val="00812A7A"/>
    <w:rsid w:val="00812DE5"/>
    <w:rsid w:val="00813461"/>
    <w:rsid w:val="008135CC"/>
    <w:rsid w:val="0081423A"/>
    <w:rsid w:val="00814313"/>
    <w:rsid w:val="008147A3"/>
    <w:rsid w:val="008147EC"/>
    <w:rsid w:val="00814C2B"/>
    <w:rsid w:val="00814D60"/>
    <w:rsid w:val="00814D64"/>
    <w:rsid w:val="008152AC"/>
    <w:rsid w:val="008154D4"/>
    <w:rsid w:val="00815713"/>
    <w:rsid w:val="008158DF"/>
    <w:rsid w:val="00815933"/>
    <w:rsid w:val="00815AD3"/>
    <w:rsid w:val="0081687A"/>
    <w:rsid w:val="00816AB7"/>
    <w:rsid w:val="00816D59"/>
    <w:rsid w:val="00817002"/>
    <w:rsid w:val="00817414"/>
    <w:rsid w:val="00817744"/>
    <w:rsid w:val="0082006A"/>
    <w:rsid w:val="0082014E"/>
    <w:rsid w:val="0082016E"/>
    <w:rsid w:val="0082055E"/>
    <w:rsid w:val="008205EF"/>
    <w:rsid w:val="00820973"/>
    <w:rsid w:val="008209E8"/>
    <w:rsid w:val="00820BAB"/>
    <w:rsid w:val="00820CEF"/>
    <w:rsid w:val="00820E55"/>
    <w:rsid w:val="00820F19"/>
    <w:rsid w:val="00820FFE"/>
    <w:rsid w:val="008211DE"/>
    <w:rsid w:val="00821408"/>
    <w:rsid w:val="00821972"/>
    <w:rsid w:val="00821A29"/>
    <w:rsid w:val="00821CC6"/>
    <w:rsid w:val="00821DC8"/>
    <w:rsid w:val="00821F62"/>
    <w:rsid w:val="00822071"/>
    <w:rsid w:val="008221F9"/>
    <w:rsid w:val="0082228B"/>
    <w:rsid w:val="00822D5A"/>
    <w:rsid w:val="008238D8"/>
    <w:rsid w:val="00823F27"/>
    <w:rsid w:val="0082412B"/>
    <w:rsid w:val="0082424A"/>
    <w:rsid w:val="008242B6"/>
    <w:rsid w:val="008243F6"/>
    <w:rsid w:val="00824D17"/>
    <w:rsid w:val="00824F90"/>
    <w:rsid w:val="00825303"/>
    <w:rsid w:val="008259B7"/>
    <w:rsid w:val="008259FE"/>
    <w:rsid w:val="00825ACA"/>
    <w:rsid w:val="00825E9A"/>
    <w:rsid w:val="00825F59"/>
    <w:rsid w:val="00826056"/>
    <w:rsid w:val="00826161"/>
    <w:rsid w:val="00826218"/>
    <w:rsid w:val="00826B7A"/>
    <w:rsid w:val="00826BF3"/>
    <w:rsid w:val="00826C2D"/>
    <w:rsid w:val="00826F9A"/>
    <w:rsid w:val="00827005"/>
    <w:rsid w:val="00827A05"/>
    <w:rsid w:val="008302EC"/>
    <w:rsid w:val="00830337"/>
    <w:rsid w:val="0083034E"/>
    <w:rsid w:val="00830526"/>
    <w:rsid w:val="008305F8"/>
    <w:rsid w:val="00830979"/>
    <w:rsid w:val="00830B95"/>
    <w:rsid w:val="00830D58"/>
    <w:rsid w:val="0083121B"/>
    <w:rsid w:val="0083155A"/>
    <w:rsid w:val="00831788"/>
    <w:rsid w:val="00831BD1"/>
    <w:rsid w:val="00831C72"/>
    <w:rsid w:val="00831CE0"/>
    <w:rsid w:val="00831E15"/>
    <w:rsid w:val="00831E59"/>
    <w:rsid w:val="00831F78"/>
    <w:rsid w:val="00832366"/>
    <w:rsid w:val="008323FF"/>
    <w:rsid w:val="00832652"/>
    <w:rsid w:val="00832FF9"/>
    <w:rsid w:val="00833311"/>
    <w:rsid w:val="00833680"/>
    <w:rsid w:val="00833962"/>
    <w:rsid w:val="00833A77"/>
    <w:rsid w:val="00833CA6"/>
    <w:rsid w:val="00833F65"/>
    <w:rsid w:val="008341EB"/>
    <w:rsid w:val="008342CD"/>
    <w:rsid w:val="00834467"/>
    <w:rsid w:val="008344A3"/>
    <w:rsid w:val="008348A4"/>
    <w:rsid w:val="008349CC"/>
    <w:rsid w:val="00834A50"/>
    <w:rsid w:val="00834DFE"/>
    <w:rsid w:val="00834FB3"/>
    <w:rsid w:val="0083511B"/>
    <w:rsid w:val="008353D5"/>
    <w:rsid w:val="0083577B"/>
    <w:rsid w:val="008364A3"/>
    <w:rsid w:val="0083678C"/>
    <w:rsid w:val="00836812"/>
    <w:rsid w:val="008368BB"/>
    <w:rsid w:val="00836B42"/>
    <w:rsid w:val="00837462"/>
    <w:rsid w:val="00837477"/>
    <w:rsid w:val="00837A8D"/>
    <w:rsid w:val="00837B10"/>
    <w:rsid w:val="00837CD0"/>
    <w:rsid w:val="0084004E"/>
    <w:rsid w:val="0084034D"/>
    <w:rsid w:val="0084063B"/>
    <w:rsid w:val="008406A4"/>
    <w:rsid w:val="008407A2"/>
    <w:rsid w:val="008409BC"/>
    <w:rsid w:val="008409FF"/>
    <w:rsid w:val="00840F84"/>
    <w:rsid w:val="00840FCD"/>
    <w:rsid w:val="0084125E"/>
    <w:rsid w:val="00841349"/>
    <w:rsid w:val="008413E7"/>
    <w:rsid w:val="008415C9"/>
    <w:rsid w:val="00841979"/>
    <w:rsid w:val="00841C9A"/>
    <w:rsid w:val="00842168"/>
    <w:rsid w:val="00842390"/>
    <w:rsid w:val="00842413"/>
    <w:rsid w:val="0084275E"/>
    <w:rsid w:val="0084276E"/>
    <w:rsid w:val="0084280C"/>
    <w:rsid w:val="00842869"/>
    <w:rsid w:val="00842F58"/>
    <w:rsid w:val="008437DF"/>
    <w:rsid w:val="00843874"/>
    <w:rsid w:val="00843B06"/>
    <w:rsid w:val="00843BEA"/>
    <w:rsid w:val="00844165"/>
    <w:rsid w:val="00844390"/>
    <w:rsid w:val="00844498"/>
    <w:rsid w:val="00844A96"/>
    <w:rsid w:val="00844DE4"/>
    <w:rsid w:val="00844FA0"/>
    <w:rsid w:val="00845117"/>
    <w:rsid w:val="008459B4"/>
    <w:rsid w:val="008459DC"/>
    <w:rsid w:val="00845A4B"/>
    <w:rsid w:val="00845C59"/>
    <w:rsid w:val="00845CF7"/>
    <w:rsid w:val="00845FE8"/>
    <w:rsid w:val="008460F6"/>
    <w:rsid w:val="008461E0"/>
    <w:rsid w:val="008463DD"/>
    <w:rsid w:val="008464B2"/>
    <w:rsid w:val="008464CA"/>
    <w:rsid w:val="008465CE"/>
    <w:rsid w:val="00847063"/>
    <w:rsid w:val="00847074"/>
    <w:rsid w:val="008473BD"/>
    <w:rsid w:val="008476DC"/>
    <w:rsid w:val="00847791"/>
    <w:rsid w:val="008479FB"/>
    <w:rsid w:val="00847D3D"/>
    <w:rsid w:val="00847DBF"/>
    <w:rsid w:val="00847E69"/>
    <w:rsid w:val="00850148"/>
    <w:rsid w:val="008501F3"/>
    <w:rsid w:val="008502F6"/>
    <w:rsid w:val="00850458"/>
    <w:rsid w:val="00850839"/>
    <w:rsid w:val="00850A76"/>
    <w:rsid w:val="00850C40"/>
    <w:rsid w:val="00850E01"/>
    <w:rsid w:val="00850EAC"/>
    <w:rsid w:val="0085133B"/>
    <w:rsid w:val="008513DD"/>
    <w:rsid w:val="008514A2"/>
    <w:rsid w:val="008516B7"/>
    <w:rsid w:val="008517CF"/>
    <w:rsid w:val="0085190E"/>
    <w:rsid w:val="0085198C"/>
    <w:rsid w:val="00851B2E"/>
    <w:rsid w:val="00851BE8"/>
    <w:rsid w:val="00851C71"/>
    <w:rsid w:val="00852214"/>
    <w:rsid w:val="00852344"/>
    <w:rsid w:val="0085281F"/>
    <w:rsid w:val="00852944"/>
    <w:rsid w:val="00852B35"/>
    <w:rsid w:val="00852BFD"/>
    <w:rsid w:val="00852CA3"/>
    <w:rsid w:val="00852DD4"/>
    <w:rsid w:val="00852E18"/>
    <w:rsid w:val="0085315F"/>
    <w:rsid w:val="00853373"/>
    <w:rsid w:val="008533C3"/>
    <w:rsid w:val="00853640"/>
    <w:rsid w:val="0085386E"/>
    <w:rsid w:val="00853B35"/>
    <w:rsid w:val="00853C4B"/>
    <w:rsid w:val="00853C83"/>
    <w:rsid w:val="00853C96"/>
    <w:rsid w:val="00853D0B"/>
    <w:rsid w:val="008547B0"/>
    <w:rsid w:val="00854913"/>
    <w:rsid w:val="00854B57"/>
    <w:rsid w:val="00854BB8"/>
    <w:rsid w:val="00854DB2"/>
    <w:rsid w:val="00855A60"/>
    <w:rsid w:val="00855E2E"/>
    <w:rsid w:val="00855E9A"/>
    <w:rsid w:val="00856167"/>
    <w:rsid w:val="008563A7"/>
    <w:rsid w:val="008563D4"/>
    <w:rsid w:val="008567D4"/>
    <w:rsid w:val="0085692D"/>
    <w:rsid w:val="00856D72"/>
    <w:rsid w:val="00856F3F"/>
    <w:rsid w:val="00857024"/>
    <w:rsid w:val="0085782F"/>
    <w:rsid w:val="00857995"/>
    <w:rsid w:val="008579C3"/>
    <w:rsid w:val="00857AD4"/>
    <w:rsid w:val="0086011A"/>
    <w:rsid w:val="008606B0"/>
    <w:rsid w:val="008607B6"/>
    <w:rsid w:val="00860A42"/>
    <w:rsid w:val="00860BE9"/>
    <w:rsid w:val="00860C5C"/>
    <w:rsid w:val="0086106E"/>
    <w:rsid w:val="008611EC"/>
    <w:rsid w:val="00861289"/>
    <w:rsid w:val="00861744"/>
    <w:rsid w:val="00861765"/>
    <w:rsid w:val="00861B1E"/>
    <w:rsid w:val="00861CAC"/>
    <w:rsid w:val="00861E55"/>
    <w:rsid w:val="00862146"/>
    <w:rsid w:val="00862246"/>
    <w:rsid w:val="00862423"/>
    <w:rsid w:val="0086266C"/>
    <w:rsid w:val="008628D7"/>
    <w:rsid w:val="00862A0B"/>
    <w:rsid w:val="00862B75"/>
    <w:rsid w:val="00862BF6"/>
    <w:rsid w:val="00862C0B"/>
    <w:rsid w:val="00862F14"/>
    <w:rsid w:val="008632DA"/>
    <w:rsid w:val="008634B1"/>
    <w:rsid w:val="008634C3"/>
    <w:rsid w:val="00863517"/>
    <w:rsid w:val="008638C2"/>
    <w:rsid w:val="00863992"/>
    <w:rsid w:val="00863BA8"/>
    <w:rsid w:val="00863E43"/>
    <w:rsid w:val="00863E77"/>
    <w:rsid w:val="00863E9C"/>
    <w:rsid w:val="008641F8"/>
    <w:rsid w:val="008644AF"/>
    <w:rsid w:val="00864827"/>
    <w:rsid w:val="00864908"/>
    <w:rsid w:val="00864910"/>
    <w:rsid w:val="00864BE9"/>
    <w:rsid w:val="00864C70"/>
    <w:rsid w:val="00865052"/>
    <w:rsid w:val="00865594"/>
    <w:rsid w:val="00865A4D"/>
    <w:rsid w:val="00865C3A"/>
    <w:rsid w:val="00865CF8"/>
    <w:rsid w:val="00866077"/>
    <w:rsid w:val="00866A01"/>
    <w:rsid w:val="00867360"/>
    <w:rsid w:val="0086747C"/>
    <w:rsid w:val="008675D9"/>
    <w:rsid w:val="008677C6"/>
    <w:rsid w:val="00867AB4"/>
    <w:rsid w:val="00867B5B"/>
    <w:rsid w:val="00867DEB"/>
    <w:rsid w:val="00867EA2"/>
    <w:rsid w:val="00870202"/>
    <w:rsid w:val="00870598"/>
    <w:rsid w:val="0087081C"/>
    <w:rsid w:val="00870A39"/>
    <w:rsid w:val="00870C1D"/>
    <w:rsid w:val="00870DEA"/>
    <w:rsid w:val="0087116E"/>
    <w:rsid w:val="00871220"/>
    <w:rsid w:val="008715B5"/>
    <w:rsid w:val="0087173D"/>
    <w:rsid w:val="00871763"/>
    <w:rsid w:val="00871C2E"/>
    <w:rsid w:val="008720CB"/>
    <w:rsid w:val="00872330"/>
    <w:rsid w:val="008723CD"/>
    <w:rsid w:val="008723F8"/>
    <w:rsid w:val="00872659"/>
    <w:rsid w:val="008726CC"/>
    <w:rsid w:val="0087313E"/>
    <w:rsid w:val="00873478"/>
    <w:rsid w:val="008736F2"/>
    <w:rsid w:val="00873D60"/>
    <w:rsid w:val="00873EFF"/>
    <w:rsid w:val="00874331"/>
    <w:rsid w:val="00874438"/>
    <w:rsid w:val="008747F6"/>
    <w:rsid w:val="00874BDC"/>
    <w:rsid w:val="00874C04"/>
    <w:rsid w:val="00874E49"/>
    <w:rsid w:val="00874F65"/>
    <w:rsid w:val="00875158"/>
    <w:rsid w:val="008752D8"/>
    <w:rsid w:val="00875397"/>
    <w:rsid w:val="00875714"/>
    <w:rsid w:val="00875A48"/>
    <w:rsid w:val="00875AA7"/>
    <w:rsid w:val="00875BC5"/>
    <w:rsid w:val="00875DBE"/>
    <w:rsid w:val="00875E74"/>
    <w:rsid w:val="00875F00"/>
    <w:rsid w:val="00876250"/>
    <w:rsid w:val="008762FE"/>
    <w:rsid w:val="0087678F"/>
    <w:rsid w:val="00876E6A"/>
    <w:rsid w:val="008771C1"/>
    <w:rsid w:val="008774DE"/>
    <w:rsid w:val="00877B1A"/>
    <w:rsid w:val="00880262"/>
    <w:rsid w:val="00880270"/>
    <w:rsid w:val="00880300"/>
    <w:rsid w:val="008805CA"/>
    <w:rsid w:val="00880763"/>
    <w:rsid w:val="0088111D"/>
    <w:rsid w:val="008812C6"/>
    <w:rsid w:val="008816AF"/>
    <w:rsid w:val="00881D29"/>
    <w:rsid w:val="008822D0"/>
    <w:rsid w:val="008822FA"/>
    <w:rsid w:val="00882334"/>
    <w:rsid w:val="00882726"/>
    <w:rsid w:val="008829BA"/>
    <w:rsid w:val="00882FC9"/>
    <w:rsid w:val="008837ED"/>
    <w:rsid w:val="00883849"/>
    <w:rsid w:val="00883B6D"/>
    <w:rsid w:val="00883B8F"/>
    <w:rsid w:val="00883F9F"/>
    <w:rsid w:val="0088435E"/>
    <w:rsid w:val="008843DF"/>
    <w:rsid w:val="00884E33"/>
    <w:rsid w:val="008851A5"/>
    <w:rsid w:val="00885284"/>
    <w:rsid w:val="00885377"/>
    <w:rsid w:val="0088537B"/>
    <w:rsid w:val="00885527"/>
    <w:rsid w:val="0088556E"/>
    <w:rsid w:val="00885627"/>
    <w:rsid w:val="00885870"/>
    <w:rsid w:val="008859F7"/>
    <w:rsid w:val="00885BD8"/>
    <w:rsid w:val="00885E0A"/>
    <w:rsid w:val="00885F5E"/>
    <w:rsid w:val="00886073"/>
    <w:rsid w:val="0088614B"/>
    <w:rsid w:val="008861AE"/>
    <w:rsid w:val="0088631D"/>
    <w:rsid w:val="00886629"/>
    <w:rsid w:val="00887750"/>
    <w:rsid w:val="00887C8B"/>
    <w:rsid w:val="00887CE6"/>
    <w:rsid w:val="008911BD"/>
    <w:rsid w:val="00891DB9"/>
    <w:rsid w:val="00891F05"/>
    <w:rsid w:val="00891FFD"/>
    <w:rsid w:val="00892091"/>
    <w:rsid w:val="00892450"/>
    <w:rsid w:val="008926F9"/>
    <w:rsid w:val="00892DBE"/>
    <w:rsid w:val="0089315D"/>
    <w:rsid w:val="0089335D"/>
    <w:rsid w:val="0089338C"/>
    <w:rsid w:val="00893814"/>
    <w:rsid w:val="0089438A"/>
    <w:rsid w:val="00894398"/>
    <w:rsid w:val="0089459B"/>
    <w:rsid w:val="0089499B"/>
    <w:rsid w:val="00894B20"/>
    <w:rsid w:val="00894E5F"/>
    <w:rsid w:val="00894E81"/>
    <w:rsid w:val="00895062"/>
    <w:rsid w:val="008950FD"/>
    <w:rsid w:val="008956C6"/>
    <w:rsid w:val="008957F0"/>
    <w:rsid w:val="00895876"/>
    <w:rsid w:val="008959FC"/>
    <w:rsid w:val="00895FEE"/>
    <w:rsid w:val="0089606E"/>
    <w:rsid w:val="0089616F"/>
    <w:rsid w:val="00896424"/>
    <w:rsid w:val="00896887"/>
    <w:rsid w:val="00896D5B"/>
    <w:rsid w:val="00896DFD"/>
    <w:rsid w:val="00896E4E"/>
    <w:rsid w:val="00896F82"/>
    <w:rsid w:val="00896FC8"/>
    <w:rsid w:val="0089755F"/>
    <w:rsid w:val="008979FC"/>
    <w:rsid w:val="008A0204"/>
    <w:rsid w:val="008A027F"/>
    <w:rsid w:val="008A03E5"/>
    <w:rsid w:val="008A09DE"/>
    <w:rsid w:val="008A0AB9"/>
    <w:rsid w:val="008A1198"/>
    <w:rsid w:val="008A1466"/>
    <w:rsid w:val="008A1491"/>
    <w:rsid w:val="008A154E"/>
    <w:rsid w:val="008A1621"/>
    <w:rsid w:val="008A1666"/>
    <w:rsid w:val="008A17F3"/>
    <w:rsid w:val="008A18CC"/>
    <w:rsid w:val="008A1B7E"/>
    <w:rsid w:val="008A1ED6"/>
    <w:rsid w:val="008A2015"/>
    <w:rsid w:val="008A2249"/>
    <w:rsid w:val="008A2430"/>
    <w:rsid w:val="008A249B"/>
    <w:rsid w:val="008A25A5"/>
    <w:rsid w:val="008A25B9"/>
    <w:rsid w:val="008A2751"/>
    <w:rsid w:val="008A2C3C"/>
    <w:rsid w:val="008A2ECE"/>
    <w:rsid w:val="008A2FE5"/>
    <w:rsid w:val="008A324A"/>
    <w:rsid w:val="008A35BC"/>
    <w:rsid w:val="008A38C3"/>
    <w:rsid w:val="008A3998"/>
    <w:rsid w:val="008A3AA8"/>
    <w:rsid w:val="008A3B00"/>
    <w:rsid w:val="008A3B78"/>
    <w:rsid w:val="008A4523"/>
    <w:rsid w:val="008A4A19"/>
    <w:rsid w:val="008A4A60"/>
    <w:rsid w:val="008A4CCF"/>
    <w:rsid w:val="008A505F"/>
    <w:rsid w:val="008A51D2"/>
    <w:rsid w:val="008A51F5"/>
    <w:rsid w:val="008A5ABA"/>
    <w:rsid w:val="008A5C12"/>
    <w:rsid w:val="008A5F6F"/>
    <w:rsid w:val="008A5F89"/>
    <w:rsid w:val="008A6502"/>
    <w:rsid w:val="008A6AA0"/>
    <w:rsid w:val="008A6AFA"/>
    <w:rsid w:val="008A6B74"/>
    <w:rsid w:val="008A6B75"/>
    <w:rsid w:val="008A6EB1"/>
    <w:rsid w:val="008A6F40"/>
    <w:rsid w:val="008A71C2"/>
    <w:rsid w:val="008A734D"/>
    <w:rsid w:val="008A78FE"/>
    <w:rsid w:val="008A7F75"/>
    <w:rsid w:val="008B01D4"/>
    <w:rsid w:val="008B027B"/>
    <w:rsid w:val="008B0292"/>
    <w:rsid w:val="008B036D"/>
    <w:rsid w:val="008B03C8"/>
    <w:rsid w:val="008B03D8"/>
    <w:rsid w:val="008B0660"/>
    <w:rsid w:val="008B1296"/>
    <w:rsid w:val="008B1311"/>
    <w:rsid w:val="008B1370"/>
    <w:rsid w:val="008B1510"/>
    <w:rsid w:val="008B19FD"/>
    <w:rsid w:val="008B1D08"/>
    <w:rsid w:val="008B1E63"/>
    <w:rsid w:val="008B2356"/>
    <w:rsid w:val="008B28CF"/>
    <w:rsid w:val="008B2903"/>
    <w:rsid w:val="008B2956"/>
    <w:rsid w:val="008B2BCA"/>
    <w:rsid w:val="008B3240"/>
    <w:rsid w:val="008B37F8"/>
    <w:rsid w:val="008B3EE7"/>
    <w:rsid w:val="008B3FC5"/>
    <w:rsid w:val="008B45BA"/>
    <w:rsid w:val="008B48DE"/>
    <w:rsid w:val="008B501C"/>
    <w:rsid w:val="008B51C0"/>
    <w:rsid w:val="008B5382"/>
    <w:rsid w:val="008B561D"/>
    <w:rsid w:val="008B568F"/>
    <w:rsid w:val="008B5737"/>
    <w:rsid w:val="008B574C"/>
    <w:rsid w:val="008B5ACF"/>
    <w:rsid w:val="008B5D6F"/>
    <w:rsid w:val="008B5DD8"/>
    <w:rsid w:val="008B61C8"/>
    <w:rsid w:val="008B64E9"/>
    <w:rsid w:val="008B6663"/>
    <w:rsid w:val="008B6C64"/>
    <w:rsid w:val="008B6CE1"/>
    <w:rsid w:val="008B6FD5"/>
    <w:rsid w:val="008B70CC"/>
    <w:rsid w:val="008B71E0"/>
    <w:rsid w:val="008B7302"/>
    <w:rsid w:val="008B7548"/>
    <w:rsid w:val="008B7D50"/>
    <w:rsid w:val="008C0182"/>
    <w:rsid w:val="008C0651"/>
    <w:rsid w:val="008C1567"/>
    <w:rsid w:val="008C15F9"/>
    <w:rsid w:val="008C1849"/>
    <w:rsid w:val="008C1868"/>
    <w:rsid w:val="008C1BCA"/>
    <w:rsid w:val="008C258F"/>
    <w:rsid w:val="008C2AD4"/>
    <w:rsid w:val="008C2B30"/>
    <w:rsid w:val="008C2BEA"/>
    <w:rsid w:val="008C2DF8"/>
    <w:rsid w:val="008C30D6"/>
    <w:rsid w:val="008C320F"/>
    <w:rsid w:val="008C346A"/>
    <w:rsid w:val="008C3475"/>
    <w:rsid w:val="008C37D2"/>
    <w:rsid w:val="008C3E19"/>
    <w:rsid w:val="008C4196"/>
    <w:rsid w:val="008C4591"/>
    <w:rsid w:val="008C48D4"/>
    <w:rsid w:val="008C4B36"/>
    <w:rsid w:val="008C5043"/>
    <w:rsid w:val="008C57CB"/>
    <w:rsid w:val="008C580D"/>
    <w:rsid w:val="008C59EB"/>
    <w:rsid w:val="008C5AD5"/>
    <w:rsid w:val="008C5B36"/>
    <w:rsid w:val="008C5F0D"/>
    <w:rsid w:val="008C6067"/>
    <w:rsid w:val="008C60AC"/>
    <w:rsid w:val="008C626A"/>
    <w:rsid w:val="008C62C9"/>
    <w:rsid w:val="008C6352"/>
    <w:rsid w:val="008C6988"/>
    <w:rsid w:val="008C6A5D"/>
    <w:rsid w:val="008C6EAA"/>
    <w:rsid w:val="008C6EE8"/>
    <w:rsid w:val="008C7112"/>
    <w:rsid w:val="008C7126"/>
    <w:rsid w:val="008C7653"/>
    <w:rsid w:val="008C77C8"/>
    <w:rsid w:val="008C77D8"/>
    <w:rsid w:val="008C7822"/>
    <w:rsid w:val="008C7AAA"/>
    <w:rsid w:val="008C7DAA"/>
    <w:rsid w:val="008C7ECE"/>
    <w:rsid w:val="008D00AB"/>
    <w:rsid w:val="008D03AD"/>
    <w:rsid w:val="008D0501"/>
    <w:rsid w:val="008D07A0"/>
    <w:rsid w:val="008D0B43"/>
    <w:rsid w:val="008D0E96"/>
    <w:rsid w:val="008D0F0F"/>
    <w:rsid w:val="008D10C8"/>
    <w:rsid w:val="008D1628"/>
    <w:rsid w:val="008D17F5"/>
    <w:rsid w:val="008D180E"/>
    <w:rsid w:val="008D1941"/>
    <w:rsid w:val="008D1C3D"/>
    <w:rsid w:val="008D1CBE"/>
    <w:rsid w:val="008D1DFE"/>
    <w:rsid w:val="008D1EDF"/>
    <w:rsid w:val="008D1FB4"/>
    <w:rsid w:val="008D206D"/>
    <w:rsid w:val="008D28F0"/>
    <w:rsid w:val="008D2C68"/>
    <w:rsid w:val="008D3063"/>
    <w:rsid w:val="008D3504"/>
    <w:rsid w:val="008D3893"/>
    <w:rsid w:val="008D3E47"/>
    <w:rsid w:val="008D413B"/>
    <w:rsid w:val="008D47A3"/>
    <w:rsid w:val="008D49A6"/>
    <w:rsid w:val="008D4AE0"/>
    <w:rsid w:val="008D4B6E"/>
    <w:rsid w:val="008D4EE3"/>
    <w:rsid w:val="008D548C"/>
    <w:rsid w:val="008D5711"/>
    <w:rsid w:val="008D579A"/>
    <w:rsid w:val="008D59A5"/>
    <w:rsid w:val="008D59B2"/>
    <w:rsid w:val="008D6030"/>
    <w:rsid w:val="008D610C"/>
    <w:rsid w:val="008D669E"/>
    <w:rsid w:val="008D6BA6"/>
    <w:rsid w:val="008D6CAC"/>
    <w:rsid w:val="008D7222"/>
    <w:rsid w:val="008D7305"/>
    <w:rsid w:val="008D73BF"/>
    <w:rsid w:val="008D7436"/>
    <w:rsid w:val="008D75C5"/>
    <w:rsid w:val="008D7C94"/>
    <w:rsid w:val="008D7D7F"/>
    <w:rsid w:val="008D7F71"/>
    <w:rsid w:val="008E00FF"/>
    <w:rsid w:val="008E02CB"/>
    <w:rsid w:val="008E03D8"/>
    <w:rsid w:val="008E0475"/>
    <w:rsid w:val="008E05F9"/>
    <w:rsid w:val="008E07E2"/>
    <w:rsid w:val="008E0925"/>
    <w:rsid w:val="008E0E12"/>
    <w:rsid w:val="008E1301"/>
    <w:rsid w:val="008E1394"/>
    <w:rsid w:val="008E1788"/>
    <w:rsid w:val="008E1894"/>
    <w:rsid w:val="008E1A18"/>
    <w:rsid w:val="008E1A97"/>
    <w:rsid w:val="008E1C4C"/>
    <w:rsid w:val="008E1CFF"/>
    <w:rsid w:val="008E1D3D"/>
    <w:rsid w:val="008E1F47"/>
    <w:rsid w:val="008E1FFA"/>
    <w:rsid w:val="008E2046"/>
    <w:rsid w:val="008E21AE"/>
    <w:rsid w:val="008E21CA"/>
    <w:rsid w:val="008E28A3"/>
    <w:rsid w:val="008E28F8"/>
    <w:rsid w:val="008E29E4"/>
    <w:rsid w:val="008E2A22"/>
    <w:rsid w:val="008E2C6B"/>
    <w:rsid w:val="008E2D4E"/>
    <w:rsid w:val="008E30EF"/>
    <w:rsid w:val="008E3971"/>
    <w:rsid w:val="008E3BE8"/>
    <w:rsid w:val="008E3CE4"/>
    <w:rsid w:val="008E4A5D"/>
    <w:rsid w:val="008E4B79"/>
    <w:rsid w:val="008E4D8C"/>
    <w:rsid w:val="008E4E9E"/>
    <w:rsid w:val="008E4F22"/>
    <w:rsid w:val="008E527F"/>
    <w:rsid w:val="008E52FD"/>
    <w:rsid w:val="008E5B64"/>
    <w:rsid w:val="008E5E59"/>
    <w:rsid w:val="008E5F71"/>
    <w:rsid w:val="008E6217"/>
    <w:rsid w:val="008E6400"/>
    <w:rsid w:val="008E6525"/>
    <w:rsid w:val="008E6616"/>
    <w:rsid w:val="008E668A"/>
    <w:rsid w:val="008E6A9A"/>
    <w:rsid w:val="008E6D97"/>
    <w:rsid w:val="008E7110"/>
    <w:rsid w:val="008E78AD"/>
    <w:rsid w:val="008E7B1D"/>
    <w:rsid w:val="008E7E70"/>
    <w:rsid w:val="008E7FB2"/>
    <w:rsid w:val="008F000C"/>
    <w:rsid w:val="008F01D9"/>
    <w:rsid w:val="008F04A6"/>
    <w:rsid w:val="008F05E2"/>
    <w:rsid w:val="008F07F5"/>
    <w:rsid w:val="008F092B"/>
    <w:rsid w:val="008F0E70"/>
    <w:rsid w:val="008F134A"/>
    <w:rsid w:val="008F13F1"/>
    <w:rsid w:val="008F1498"/>
    <w:rsid w:val="008F14FA"/>
    <w:rsid w:val="008F19FD"/>
    <w:rsid w:val="008F1B17"/>
    <w:rsid w:val="008F224F"/>
    <w:rsid w:val="008F233E"/>
    <w:rsid w:val="008F235A"/>
    <w:rsid w:val="008F26C8"/>
    <w:rsid w:val="008F2F33"/>
    <w:rsid w:val="008F3147"/>
    <w:rsid w:val="008F3175"/>
    <w:rsid w:val="008F3187"/>
    <w:rsid w:val="008F33E3"/>
    <w:rsid w:val="008F34E8"/>
    <w:rsid w:val="008F36B2"/>
    <w:rsid w:val="008F3841"/>
    <w:rsid w:val="008F3999"/>
    <w:rsid w:val="008F3B69"/>
    <w:rsid w:val="008F41F7"/>
    <w:rsid w:val="008F437C"/>
    <w:rsid w:val="008F453A"/>
    <w:rsid w:val="008F48FC"/>
    <w:rsid w:val="008F4F60"/>
    <w:rsid w:val="008F51EF"/>
    <w:rsid w:val="008F52B2"/>
    <w:rsid w:val="008F53E4"/>
    <w:rsid w:val="008F5708"/>
    <w:rsid w:val="008F5901"/>
    <w:rsid w:val="008F5C8A"/>
    <w:rsid w:val="008F5E59"/>
    <w:rsid w:val="008F60FF"/>
    <w:rsid w:val="008F61BE"/>
    <w:rsid w:val="008F6752"/>
    <w:rsid w:val="008F68B2"/>
    <w:rsid w:val="008F6B68"/>
    <w:rsid w:val="008F7C5B"/>
    <w:rsid w:val="008F7D44"/>
    <w:rsid w:val="00900005"/>
    <w:rsid w:val="009001DF"/>
    <w:rsid w:val="009001F7"/>
    <w:rsid w:val="0090024F"/>
    <w:rsid w:val="009002D2"/>
    <w:rsid w:val="00900FCF"/>
    <w:rsid w:val="00901041"/>
    <w:rsid w:val="00901148"/>
    <w:rsid w:val="0090124D"/>
    <w:rsid w:val="009014A6"/>
    <w:rsid w:val="00901902"/>
    <w:rsid w:val="0090194A"/>
    <w:rsid w:val="009019AA"/>
    <w:rsid w:val="00901D3C"/>
    <w:rsid w:val="009020B9"/>
    <w:rsid w:val="009020F5"/>
    <w:rsid w:val="0090230D"/>
    <w:rsid w:val="00902833"/>
    <w:rsid w:val="00902B83"/>
    <w:rsid w:val="00902FCC"/>
    <w:rsid w:val="0090307D"/>
    <w:rsid w:val="00903121"/>
    <w:rsid w:val="009036BD"/>
    <w:rsid w:val="00903DE5"/>
    <w:rsid w:val="009041F0"/>
    <w:rsid w:val="00904556"/>
    <w:rsid w:val="00904564"/>
    <w:rsid w:val="0090463F"/>
    <w:rsid w:val="00904A60"/>
    <w:rsid w:val="00904ABD"/>
    <w:rsid w:val="00904B6A"/>
    <w:rsid w:val="00904B9A"/>
    <w:rsid w:val="00904EC4"/>
    <w:rsid w:val="009050CE"/>
    <w:rsid w:val="00905A07"/>
    <w:rsid w:val="00905A7E"/>
    <w:rsid w:val="00905BDD"/>
    <w:rsid w:val="00905EBD"/>
    <w:rsid w:val="0090609A"/>
    <w:rsid w:val="00906113"/>
    <w:rsid w:val="00906749"/>
    <w:rsid w:val="00906C67"/>
    <w:rsid w:val="00906F32"/>
    <w:rsid w:val="00906FFE"/>
    <w:rsid w:val="009070A6"/>
    <w:rsid w:val="009073F9"/>
    <w:rsid w:val="009077E5"/>
    <w:rsid w:val="00907985"/>
    <w:rsid w:val="00907A74"/>
    <w:rsid w:val="00907AD1"/>
    <w:rsid w:val="00907F75"/>
    <w:rsid w:val="0091024B"/>
    <w:rsid w:val="00910498"/>
    <w:rsid w:val="0091068D"/>
    <w:rsid w:val="0091081B"/>
    <w:rsid w:val="00910B06"/>
    <w:rsid w:val="00910C10"/>
    <w:rsid w:val="00910CE3"/>
    <w:rsid w:val="00910EA2"/>
    <w:rsid w:val="00910EA5"/>
    <w:rsid w:val="009111C1"/>
    <w:rsid w:val="00911539"/>
    <w:rsid w:val="00911AAA"/>
    <w:rsid w:val="00911ADD"/>
    <w:rsid w:val="00911DD6"/>
    <w:rsid w:val="00911E8C"/>
    <w:rsid w:val="009121B7"/>
    <w:rsid w:val="009126C8"/>
    <w:rsid w:val="009129DE"/>
    <w:rsid w:val="00912B74"/>
    <w:rsid w:val="00912B86"/>
    <w:rsid w:val="00912C9E"/>
    <w:rsid w:val="00913081"/>
    <w:rsid w:val="009135BC"/>
    <w:rsid w:val="009138A9"/>
    <w:rsid w:val="00913DF4"/>
    <w:rsid w:val="00913F66"/>
    <w:rsid w:val="0091408B"/>
    <w:rsid w:val="009144E8"/>
    <w:rsid w:val="00914B20"/>
    <w:rsid w:val="00914DC5"/>
    <w:rsid w:val="00914EA5"/>
    <w:rsid w:val="00915408"/>
    <w:rsid w:val="00915414"/>
    <w:rsid w:val="00915451"/>
    <w:rsid w:val="009154B0"/>
    <w:rsid w:val="009158C2"/>
    <w:rsid w:val="00915E0E"/>
    <w:rsid w:val="00915F88"/>
    <w:rsid w:val="00916886"/>
    <w:rsid w:val="00916B03"/>
    <w:rsid w:val="00916C32"/>
    <w:rsid w:val="00916EE8"/>
    <w:rsid w:val="009170CE"/>
    <w:rsid w:val="0091712F"/>
    <w:rsid w:val="0091741E"/>
    <w:rsid w:val="009176F5"/>
    <w:rsid w:val="00917AA5"/>
    <w:rsid w:val="00917DB1"/>
    <w:rsid w:val="00920004"/>
    <w:rsid w:val="009201AF"/>
    <w:rsid w:val="00920A10"/>
    <w:rsid w:val="00920AF7"/>
    <w:rsid w:val="00921094"/>
    <w:rsid w:val="00921592"/>
    <w:rsid w:val="009219A0"/>
    <w:rsid w:val="00921A5F"/>
    <w:rsid w:val="00921A69"/>
    <w:rsid w:val="00921B2F"/>
    <w:rsid w:val="00922030"/>
    <w:rsid w:val="0092230A"/>
    <w:rsid w:val="0092275A"/>
    <w:rsid w:val="00922F37"/>
    <w:rsid w:val="0092305B"/>
    <w:rsid w:val="009230EF"/>
    <w:rsid w:val="00923137"/>
    <w:rsid w:val="0092319A"/>
    <w:rsid w:val="009231D1"/>
    <w:rsid w:val="0092399E"/>
    <w:rsid w:val="00923D78"/>
    <w:rsid w:val="00923D8D"/>
    <w:rsid w:val="00923DE9"/>
    <w:rsid w:val="00923EEE"/>
    <w:rsid w:val="00923F58"/>
    <w:rsid w:val="009247AD"/>
    <w:rsid w:val="009248AD"/>
    <w:rsid w:val="00924907"/>
    <w:rsid w:val="009249CE"/>
    <w:rsid w:val="00924EA8"/>
    <w:rsid w:val="009250C0"/>
    <w:rsid w:val="0092511E"/>
    <w:rsid w:val="00925521"/>
    <w:rsid w:val="009255D6"/>
    <w:rsid w:val="009257CF"/>
    <w:rsid w:val="00925CDE"/>
    <w:rsid w:val="00925EDA"/>
    <w:rsid w:val="00925F87"/>
    <w:rsid w:val="00926139"/>
    <w:rsid w:val="00926855"/>
    <w:rsid w:val="00926B7F"/>
    <w:rsid w:val="00926C6D"/>
    <w:rsid w:val="0092723A"/>
    <w:rsid w:val="00927335"/>
    <w:rsid w:val="00927394"/>
    <w:rsid w:val="00927595"/>
    <w:rsid w:val="00927695"/>
    <w:rsid w:val="00927B80"/>
    <w:rsid w:val="00927E16"/>
    <w:rsid w:val="00927F2F"/>
    <w:rsid w:val="009301C3"/>
    <w:rsid w:val="009302CE"/>
    <w:rsid w:val="009303FB"/>
    <w:rsid w:val="00930419"/>
    <w:rsid w:val="00930472"/>
    <w:rsid w:val="009304C8"/>
    <w:rsid w:val="00930537"/>
    <w:rsid w:val="009308ED"/>
    <w:rsid w:val="00930BC0"/>
    <w:rsid w:val="00930F75"/>
    <w:rsid w:val="0093177A"/>
    <w:rsid w:val="00931888"/>
    <w:rsid w:val="00931E3C"/>
    <w:rsid w:val="00931F77"/>
    <w:rsid w:val="00932205"/>
    <w:rsid w:val="0093243E"/>
    <w:rsid w:val="009325E5"/>
    <w:rsid w:val="00932883"/>
    <w:rsid w:val="00932A42"/>
    <w:rsid w:val="00932B09"/>
    <w:rsid w:val="00932E44"/>
    <w:rsid w:val="009333B1"/>
    <w:rsid w:val="0093356A"/>
    <w:rsid w:val="009335EA"/>
    <w:rsid w:val="00933616"/>
    <w:rsid w:val="00933A7C"/>
    <w:rsid w:val="00933D79"/>
    <w:rsid w:val="00933DD8"/>
    <w:rsid w:val="0093432C"/>
    <w:rsid w:val="0093483F"/>
    <w:rsid w:val="009359E3"/>
    <w:rsid w:val="00936382"/>
    <w:rsid w:val="00936738"/>
    <w:rsid w:val="00936A09"/>
    <w:rsid w:val="00936DAE"/>
    <w:rsid w:val="00937002"/>
    <w:rsid w:val="0093708B"/>
    <w:rsid w:val="009370E6"/>
    <w:rsid w:val="0093743D"/>
    <w:rsid w:val="0093784A"/>
    <w:rsid w:val="00937B84"/>
    <w:rsid w:val="00937BC4"/>
    <w:rsid w:val="00937D55"/>
    <w:rsid w:val="00937EE0"/>
    <w:rsid w:val="0094013B"/>
    <w:rsid w:val="009408FE"/>
    <w:rsid w:val="00940950"/>
    <w:rsid w:val="00940F01"/>
    <w:rsid w:val="009415E8"/>
    <w:rsid w:val="00941639"/>
    <w:rsid w:val="00941690"/>
    <w:rsid w:val="00941A1D"/>
    <w:rsid w:val="00941C38"/>
    <w:rsid w:val="00941CB0"/>
    <w:rsid w:val="00942193"/>
    <w:rsid w:val="00942313"/>
    <w:rsid w:val="009423BD"/>
    <w:rsid w:val="0094246A"/>
    <w:rsid w:val="0094286A"/>
    <w:rsid w:val="00942B1B"/>
    <w:rsid w:val="00942EAA"/>
    <w:rsid w:val="00942F8B"/>
    <w:rsid w:val="00943419"/>
    <w:rsid w:val="00943971"/>
    <w:rsid w:val="00943A2C"/>
    <w:rsid w:val="00943E55"/>
    <w:rsid w:val="009445B0"/>
    <w:rsid w:val="009446F0"/>
    <w:rsid w:val="00944B46"/>
    <w:rsid w:val="00944DCC"/>
    <w:rsid w:val="00944F23"/>
    <w:rsid w:val="009450FE"/>
    <w:rsid w:val="00945157"/>
    <w:rsid w:val="009452AC"/>
    <w:rsid w:val="00945485"/>
    <w:rsid w:val="009455BD"/>
    <w:rsid w:val="00945C32"/>
    <w:rsid w:val="00945C8F"/>
    <w:rsid w:val="00946201"/>
    <w:rsid w:val="0094644F"/>
    <w:rsid w:val="00946652"/>
    <w:rsid w:val="009466D3"/>
    <w:rsid w:val="00946979"/>
    <w:rsid w:val="00946B57"/>
    <w:rsid w:val="00946FAD"/>
    <w:rsid w:val="00947474"/>
    <w:rsid w:val="009479F8"/>
    <w:rsid w:val="009506E2"/>
    <w:rsid w:val="009509C8"/>
    <w:rsid w:val="00950B2E"/>
    <w:rsid w:val="00950BBD"/>
    <w:rsid w:val="00950FCF"/>
    <w:rsid w:val="00951270"/>
    <w:rsid w:val="009512B8"/>
    <w:rsid w:val="0095163A"/>
    <w:rsid w:val="009516F6"/>
    <w:rsid w:val="00951AEB"/>
    <w:rsid w:val="00951D1C"/>
    <w:rsid w:val="00951D23"/>
    <w:rsid w:val="00951EBA"/>
    <w:rsid w:val="00952093"/>
    <w:rsid w:val="0095215B"/>
    <w:rsid w:val="00952429"/>
    <w:rsid w:val="00952EAD"/>
    <w:rsid w:val="009530E5"/>
    <w:rsid w:val="0095328E"/>
    <w:rsid w:val="009536FC"/>
    <w:rsid w:val="009541D7"/>
    <w:rsid w:val="0095426A"/>
    <w:rsid w:val="009543BB"/>
    <w:rsid w:val="0095455F"/>
    <w:rsid w:val="00954BD6"/>
    <w:rsid w:val="00954CEC"/>
    <w:rsid w:val="00954D87"/>
    <w:rsid w:val="00954E59"/>
    <w:rsid w:val="00955CBA"/>
    <w:rsid w:val="00955FB5"/>
    <w:rsid w:val="009563C0"/>
    <w:rsid w:val="009564C9"/>
    <w:rsid w:val="00956787"/>
    <w:rsid w:val="00956896"/>
    <w:rsid w:val="009576F1"/>
    <w:rsid w:val="0095773C"/>
    <w:rsid w:val="00957C1B"/>
    <w:rsid w:val="00957E8B"/>
    <w:rsid w:val="009604C4"/>
    <w:rsid w:val="009606D0"/>
    <w:rsid w:val="00960D74"/>
    <w:rsid w:val="00960E47"/>
    <w:rsid w:val="00960F7D"/>
    <w:rsid w:val="0096120C"/>
    <w:rsid w:val="009613A2"/>
    <w:rsid w:val="0096141C"/>
    <w:rsid w:val="009619B4"/>
    <w:rsid w:val="00961DE1"/>
    <w:rsid w:val="00961E9C"/>
    <w:rsid w:val="00962D1B"/>
    <w:rsid w:val="00962E14"/>
    <w:rsid w:val="00962EC1"/>
    <w:rsid w:val="009636B9"/>
    <w:rsid w:val="0096393C"/>
    <w:rsid w:val="00963BFD"/>
    <w:rsid w:val="00963D9E"/>
    <w:rsid w:val="00964089"/>
    <w:rsid w:val="0096410E"/>
    <w:rsid w:val="009645AC"/>
    <w:rsid w:val="00964A1F"/>
    <w:rsid w:val="00964ABF"/>
    <w:rsid w:val="00964AD7"/>
    <w:rsid w:val="00964D55"/>
    <w:rsid w:val="00965143"/>
    <w:rsid w:val="00965485"/>
    <w:rsid w:val="00965619"/>
    <w:rsid w:val="00965B0F"/>
    <w:rsid w:val="00965BEA"/>
    <w:rsid w:val="00965CAD"/>
    <w:rsid w:val="0096602B"/>
    <w:rsid w:val="0096632F"/>
    <w:rsid w:val="00966805"/>
    <w:rsid w:val="00966B88"/>
    <w:rsid w:val="00966CDD"/>
    <w:rsid w:val="00966E14"/>
    <w:rsid w:val="00966E54"/>
    <w:rsid w:val="009670AF"/>
    <w:rsid w:val="00967A79"/>
    <w:rsid w:val="00967B9C"/>
    <w:rsid w:val="00967FA1"/>
    <w:rsid w:val="009700C9"/>
    <w:rsid w:val="00970BD9"/>
    <w:rsid w:val="00970EA4"/>
    <w:rsid w:val="00970FBB"/>
    <w:rsid w:val="00971522"/>
    <w:rsid w:val="00971A17"/>
    <w:rsid w:val="00971B9B"/>
    <w:rsid w:val="00971D85"/>
    <w:rsid w:val="00971DF9"/>
    <w:rsid w:val="00971FA1"/>
    <w:rsid w:val="009720E3"/>
    <w:rsid w:val="00972CB8"/>
    <w:rsid w:val="009737F5"/>
    <w:rsid w:val="009738BA"/>
    <w:rsid w:val="00973A2F"/>
    <w:rsid w:val="00973AB8"/>
    <w:rsid w:val="00973E07"/>
    <w:rsid w:val="00973F66"/>
    <w:rsid w:val="009741D8"/>
    <w:rsid w:val="009742F3"/>
    <w:rsid w:val="0097466B"/>
    <w:rsid w:val="00974945"/>
    <w:rsid w:val="009753A8"/>
    <w:rsid w:val="009755AB"/>
    <w:rsid w:val="009757D5"/>
    <w:rsid w:val="00975838"/>
    <w:rsid w:val="0097585F"/>
    <w:rsid w:val="00975A3C"/>
    <w:rsid w:val="00975B97"/>
    <w:rsid w:val="00975F13"/>
    <w:rsid w:val="00975F49"/>
    <w:rsid w:val="0097696C"/>
    <w:rsid w:val="00977014"/>
    <w:rsid w:val="009776FA"/>
    <w:rsid w:val="00977772"/>
    <w:rsid w:val="00977846"/>
    <w:rsid w:val="00977993"/>
    <w:rsid w:val="00977DB5"/>
    <w:rsid w:val="00977FA5"/>
    <w:rsid w:val="0098015A"/>
    <w:rsid w:val="00980351"/>
    <w:rsid w:val="009805A7"/>
    <w:rsid w:val="009806CA"/>
    <w:rsid w:val="00980AD3"/>
    <w:rsid w:val="00980B6C"/>
    <w:rsid w:val="00980F0B"/>
    <w:rsid w:val="00980F0D"/>
    <w:rsid w:val="0098158D"/>
    <w:rsid w:val="009819D9"/>
    <w:rsid w:val="00981CAE"/>
    <w:rsid w:val="00981FA8"/>
    <w:rsid w:val="00982088"/>
    <w:rsid w:val="00982125"/>
    <w:rsid w:val="00982358"/>
    <w:rsid w:val="009823D9"/>
    <w:rsid w:val="0098253B"/>
    <w:rsid w:val="009829B9"/>
    <w:rsid w:val="00982B6F"/>
    <w:rsid w:val="00983235"/>
    <w:rsid w:val="009834B4"/>
    <w:rsid w:val="00983A0A"/>
    <w:rsid w:val="00983AB5"/>
    <w:rsid w:val="00983DCF"/>
    <w:rsid w:val="00983EFD"/>
    <w:rsid w:val="009841FC"/>
    <w:rsid w:val="009844F1"/>
    <w:rsid w:val="009845C8"/>
    <w:rsid w:val="00984682"/>
    <w:rsid w:val="009847AA"/>
    <w:rsid w:val="00984A6C"/>
    <w:rsid w:val="00984D4C"/>
    <w:rsid w:val="009850A0"/>
    <w:rsid w:val="009857EF"/>
    <w:rsid w:val="00985AC6"/>
    <w:rsid w:val="00985C96"/>
    <w:rsid w:val="00985D98"/>
    <w:rsid w:val="00985FC0"/>
    <w:rsid w:val="00986069"/>
    <w:rsid w:val="0098611D"/>
    <w:rsid w:val="00986219"/>
    <w:rsid w:val="009862FF"/>
    <w:rsid w:val="009863EF"/>
    <w:rsid w:val="009864AE"/>
    <w:rsid w:val="00987212"/>
    <w:rsid w:val="009872D2"/>
    <w:rsid w:val="0098735C"/>
    <w:rsid w:val="0098758E"/>
    <w:rsid w:val="0098777E"/>
    <w:rsid w:val="00987A14"/>
    <w:rsid w:val="00987BA7"/>
    <w:rsid w:val="0099003A"/>
    <w:rsid w:val="009901AA"/>
    <w:rsid w:val="00990655"/>
    <w:rsid w:val="009908F4"/>
    <w:rsid w:val="009909F9"/>
    <w:rsid w:val="00990BDA"/>
    <w:rsid w:val="00990C0A"/>
    <w:rsid w:val="00990DDE"/>
    <w:rsid w:val="00990F7C"/>
    <w:rsid w:val="00990FB6"/>
    <w:rsid w:val="0099114E"/>
    <w:rsid w:val="00991222"/>
    <w:rsid w:val="0099158E"/>
    <w:rsid w:val="00991685"/>
    <w:rsid w:val="00991B1A"/>
    <w:rsid w:val="00991D8D"/>
    <w:rsid w:val="00991F38"/>
    <w:rsid w:val="00992041"/>
    <w:rsid w:val="00992179"/>
    <w:rsid w:val="009921E7"/>
    <w:rsid w:val="0099264D"/>
    <w:rsid w:val="0099264F"/>
    <w:rsid w:val="00992802"/>
    <w:rsid w:val="009928C6"/>
    <w:rsid w:val="0099295A"/>
    <w:rsid w:val="0099298A"/>
    <w:rsid w:val="0099308D"/>
    <w:rsid w:val="009936A7"/>
    <w:rsid w:val="00993B80"/>
    <w:rsid w:val="0099409E"/>
    <w:rsid w:val="00994274"/>
    <w:rsid w:val="00994305"/>
    <w:rsid w:val="00994653"/>
    <w:rsid w:val="0099474E"/>
    <w:rsid w:val="0099479A"/>
    <w:rsid w:val="009948F1"/>
    <w:rsid w:val="00994994"/>
    <w:rsid w:val="00994F80"/>
    <w:rsid w:val="009954E6"/>
    <w:rsid w:val="0099575D"/>
    <w:rsid w:val="009957CB"/>
    <w:rsid w:val="00995A25"/>
    <w:rsid w:val="00995D20"/>
    <w:rsid w:val="00995F1F"/>
    <w:rsid w:val="009960AB"/>
    <w:rsid w:val="009963C4"/>
    <w:rsid w:val="00996749"/>
    <w:rsid w:val="00996941"/>
    <w:rsid w:val="00996A2F"/>
    <w:rsid w:val="00996A69"/>
    <w:rsid w:val="00996AEE"/>
    <w:rsid w:val="00996B53"/>
    <w:rsid w:val="009971B9"/>
    <w:rsid w:val="00997417"/>
    <w:rsid w:val="009975F5"/>
    <w:rsid w:val="0099784D"/>
    <w:rsid w:val="00997FC7"/>
    <w:rsid w:val="009A0434"/>
    <w:rsid w:val="009A0B64"/>
    <w:rsid w:val="009A0CB3"/>
    <w:rsid w:val="009A0F21"/>
    <w:rsid w:val="009A1321"/>
    <w:rsid w:val="009A1563"/>
    <w:rsid w:val="009A1A81"/>
    <w:rsid w:val="009A1E4F"/>
    <w:rsid w:val="009A21E2"/>
    <w:rsid w:val="009A21E3"/>
    <w:rsid w:val="009A268F"/>
    <w:rsid w:val="009A2A18"/>
    <w:rsid w:val="009A2D03"/>
    <w:rsid w:val="009A343A"/>
    <w:rsid w:val="009A3822"/>
    <w:rsid w:val="009A38D3"/>
    <w:rsid w:val="009A39A8"/>
    <w:rsid w:val="009A39DC"/>
    <w:rsid w:val="009A3F27"/>
    <w:rsid w:val="009A40D7"/>
    <w:rsid w:val="009A42A9"/>
    <w:rsid w:val="009A43FC"/>
    <w:rsid w:val="009A46E9"/>
    <w:rsid w:val="009A4965"/>
    <w:rsid w:val="009A4A80"/>
    <w:rsid w:val="009A4BC8"/>
    <w:rsid w:val="009A4EE2"/>
    <w:rsid w:val="009A4FEB"/>
    <w:rsid w:val="009A5035"/>
    <w:rsid w:val="009A5115"/>
    <w:rsid w:val="009A52B5"/>
    <w:rsid w:val="009A531C"/>
    <w:rsid w:val="009A5753"/>
    <w:rsid w:val="009A57EB"/>
    <w:rsid w:val="009A606E"/>
    <w:rsid w:val="009A6437"/>
    <w:rsid w:val="009A6465"/>
    <w:rsid w:val="009A65B0"/>
    <w:rsid w:val="009A6612"/>
    <w:rsid w:val="009A67A3"/>
    <w:rsid w:val="009A68C8"/>
    <w:rsid w:val="009A699B"/>
    <w:rsid w:val="009A6CA4"/>
    <w:rsid w:val="009A7168"/>
    <w:rsid w:val="009A71BC"/>
    <w:rsid w:val="009A73EF"/>
    <w:rsid w:val="009A7BA5"/>
    <w:rsid w:val="009B09DE"/>
    <w:rsid w:val="009B103D"/>
    <w:rsid w:val="009B1313"/>
    <w:rsid w:val="009B134F"/>
    <w:rsid w:val="009B1569"/>
    <w:rsid w:val="009B162D"/>
    <w:rsid w:val="009B180C"/>
    <w:rsid w:val="009B1A59"/>
    <w:rsid w:val="009B2036"/>
    <w:rsid w:val="009B23D4"/>
    <w:rsid w:val="009B2D58"/>
    <w:rsid w:val="009B2E91"/>
    <w:rsid w:val="009B3624"/>
    <w:rsid w:val="009B3E75"/>
    <w:rsid w:val="009B3EBA"/>
    <w:rsid w:val="009B3EFA"/>
    <w:rsid w:val="009B42F4"/>
    <w:rsid w:val="009B4A9B"/>
    <w:rsid w:val="009B5039"/>
    <w:rsid w:val="009B570F"/>
    <w:rsid w:val="009B585F"/>
    <w:rsid w:val="009B5C4A"/>
    <w:rsid w:val="009B6A33"/>
    <w:rsid w:val="009B6DDA"/>
    <w:rsid w:val="009B6E04"/>
    <w:rsid w:val="009B6EBC"/>
    <w:rsid w:val="009B7413"/>
    <w:rsid w:val="009B74CB"/>
    <w:rsid w:val="009B7606"/>
    <w:rsid w:val="009B7A84"/>
    <w:rsid w:val="009B7A96"/>
    <w:rsid w:val="009B7ACB"/>
    <w:rsid w:val="009B7BF3"/>
    <w:rsid w:val="009B7C85"/>
    <w:rsid w:val="009B7E02"/>
    <w:rsid w:val="009B7E22"/>
    <w:rsid w:val="009B7F90"/>
    <w:rsid w:val="009B7FD9"/>
    <w:rsid w:val="009C04E9"/>
    <w:rsid w:val="009C08B7"/>
    <w:rsid w:val="009C09B8"/>
    <w:rsid w:val="009C0B9A"/>
    <w:rsid w:val="009C0D95"/>
    <w:rsid w:val="009C0DAD"/>
    <w:rsid w:val="009C0ED1"/>
    <w:rsid w:val="009C0F3A"/>
    <w:rsid w:val="009C1633"/>
    <w:rsid w:val="009C1655"/>
    <w:rsid w:val="009C17C5"/>
    <w:rsid w:val="009C17E2"/>
    <w:rsid w:val="009C181F"/>
    <w:rsid w:val="009C1AD6"/>
    <w:rsid w:val="009C202A"/>
    <w:rsid w:val="009C2214"/>
    <w:rsid w:val="009C22A9"/>
    <w:rsid w:val="009C239A"/>
    <w:rsid w:val="009C25A4"/>
    <w:rsid w:val="009C2E53"/>
    <w:rsid w:val="009C3130"/>
    <w:rsid w:val="009C34BB"/>
    <w:rsid w:val="009C3668"/>
    <w:rsid w:val="009C36AB"/>
    <w:rsid w:val="009C387F"/>
    <w:rsid w:val="009C3BC4"/>
    <w:rsid w:val="009C404D"/>
    <w:rsid w:val="009C42BD"/>
    <w:rsid w:val="009C42D6"/>
    <w:rsid w:val="009C489D"/>
    <w:rsid w:val="009C4A1B"/>
    <w:rsid w:val="009C4AE7"/>
    <w:rsid w:val="009C4C39"/>
    <w:rsid w:val="009C4CDB"/>
    <w:rsid w:val="009C4D09"/>
    <w:rsid w:val="009C4DC8"/>
    <w:rsid w:val="009C4ECF"/>
    <w:rsid w:val="009C539E"/>
    <w:rsid w:val="009C53E7"/>
    <w:rsid w:val="009C610F"/>
    <w:rsid w:val="009C659F"/>
    <w:rsid w:val="009C65A2"/>
    <w:rsid w:val="009C673A"/>
    <w:rsid w:val="009C6DB8"/>
    <w:rsid w:val="009C6EA2"/>
    <w:rsid w:val="009C6ECF"/>
    <w:rsid w:val="009C70D8"/>
    <w:rsid w:val="009C73E3"/>
    <w:rsid w:val="009C7615"/>
    <w:rsid w:val="009C7762"/>
    <w:rsid w:val="009C77BF"/>
    <w:rsid w:val="009C7959"/>
    <w:rsid w:val="009C7AE3"/>
    <w:rsid w:val="009C7C37"/>
    <w:rsid w:val="009C7CDD"/>
    <w:rsid w:val="009D0196"/>
    <w:rsid w:val="009D03AC"/>
    <w:rsid w:val="009D06E5"/>
    <w:rsid w:val="009D0DB2"/>
    <w:rsid w:val="009D0FD1"/>
    <w:rsid w:val="009D1077"/>
    <w:rsid w:val="009D11E4"/>
    <w:rsid w:val="009D1A78"/>
    <w:rsid w:val="009D1AA9"/>
    <w:rsid w:val="009D1BD6"/>
    <w:rsid w:val="009D2096"/>
    <w:rsid w:val="009D2210"/>
    <w:rsid w:val="009D23A2"/>
    <w:rsid w:val="009D2484"/>
    <w:rsid w:val="009D2529"/>
    <w:rsid w:val="009D262A"/>
    <w:rsid w:val="009D29C9"/>
    <w:rsid w:val="009D2B03"/>
    <w:rsid w:val="009D2F81"/>
    <w:rsid w:val="009D302B"/>
    <w:rsid w:val="009D343D"/>
    <w:rsid w:val="009D3502"/>
    <w:rsid w:val="009D39D6"/>
    <w:rsid w:val="009D3BF0"/>
    <w:rsid w:val="009D3F97"/>
    <w:rsid w:val="009D4309"/>
    <w:rsid w:val="009D4C9F"/>
    <w:rsid w:val="009D4D90"/>
    <w:rsid w:val="009D4F2F"/>
    <w:rsid w:val="009D4F93"/>
    <w:rsid w:val="009D5081"/>
    <w:rsid w:val="009D53F2"/>
    <w:rsid w:val="009D5747"/>
    <w:rsid w:val="009D5986"/>
    <w:rsid w:val="009D5F65"/>
    <w:rsid w:val="009D62D9"/>
    <w:rsid w:val="009D6576"/>
    <w:rsid w:val="009D65A0"/>
    <w:rsid w:val="009D65C9"/>
    <w:rsid w:val="009D6A08"/>
    <w:rsid w:val="009D6AC0"/>
    <w:rsid w:val="009D6CBA"/>
    <w:rsid w:val="009D6D69"/>
    <w:rsid w:val="009D6E07"/>
    <w:rsid w:val="009D7162"/>
    <w:rsid w:val="009D7226"/>
    <w:rsid w:val="009D73E3"/>
    <w:rsid w:val="009D7A5B"/>
    <w:rsid w:val="009D7DCA"/>
    <w:rsid w:val="009D7E2C"/>
    <w:rsid w:val="009D7F1A"/>
    <w:rsid w:val="009E00F5"/>
    <w:rsid w:val="009E05A1"/>
    <w:rsid w:val="009E0E64"/>
    <w:rsid w:val="009E1113"/>
    <w:rsid w:val="009E15BA"/>
    <w:rsid w:val="009E17B4"/>
    <w:rsid w:val="009E17D9"/>
    <w:rsid w:val="009E1A69"/>
    <w:rsid w:val="009E1B6C"/>
    <w:rsid w:val="009E25D4"/>
    <w:rsid w:val="009E3284"/>
    <w:rsid w:val="009E3321"/>
    <w:rsid w:val="009E33BA"/>
    <w:rsid w:val="009E33D7"/>
    <w:rsid w:val="009E34F2"/>
    <w:rsid w:val="009E35A8"/>
    <w:rsid w:val="009E3BC7"/>
    <w:rsid w:val="009E3C8F"/>
    <w:rsid w:val="009E3CEB"/>
    <w:rsid w:val="009E425A"/>
    <w:rsid w:val="009E4E20"/>
    <w:rsid w:val="009E505F"/>
    <w:rsid w:val="009E57F4"/>
    <w:rsid w:val="009E5815"/>
    <w:rsid w:val="009E5C98"/>
    <w:rsid w:val="009E5F03"/>
    <w:rsid w:val="009E6094"/>
    <w:rsid w:val="009E610F"/>
    <w:rsid w:val="009E61EB"/>
    <w:rsid w:val="009E6753"/>
    <w:rsid w:val="009E688A"/>
    <w:rsid w:val="009E692D"/>
    <w:rsid w:val="009E6DDC"/>
    <w:rsid w:val="009E6E43"/>
    <w:rsid w:val="009E6EA8"/>
    <w:rsid w:val="009E6F32"/>
    <w:rsid w:val="009E717D"/>
    <w:rsid w:val="009E72CB"/>
    <w:rsid w:val="009E73F1"/>
    <w:rsid w:val="009F0591"/>
    <w:rsid w:val="009F08BF"/>
    <w:rsid w:val="009F0C2B"/>
    <w:rsid w:val="009F1158"/>
    <w:rsid w:val="009F12F9"/>
    <w:rsid w:val="009F132D"/>
    <w:rsid w:val="009F14D4"/>
    <w:rsid w:val="009F1C65"/>
    <w:rsid w:val="009F1E95"/>
    <w:rsid w:val="009F222F"/>
    <w:rsid w:val="009F22C2"/>
    <w:rsid w:val="009F22CF"/>
    <w:rsid w:val="009F232F"/>
    <w:rsid w:val="009F289B"/>
    <w:rsid w:val="009F2CA6"/>
    <w:rsid w:val="009F3357"/>
    <w:rsid w:val="009F3547"/>
    <w:rsid w:val="009F364B"/>
    <w:rsid w:val="009F36EC"/>
    <w:rsid w:val="009F384E"/>
    <w:rsid w:val="009F3959"/>
    <w:rsid w:val="009F39E6"/>
    <w:rsid w:val="009F4104"/>
    <w:rsid w:val="009F456B"/>
    <w:rsid w:val="009F48DF"/>
    <w:rsid w:val="009F4B97"/>
    <w:rsid w:val="009F4E0F"/>
    <w:rsid w:val="009F5110"/>
    <w:rsid w:val="009F5237"/>
    <w:rsid w:val="009F52C6"/>
    <w:rsid w:val="009F54BA"/>
    <w:rsid w:val="009F5576"/>
    <w:rsid w:val="009F56AB"/>
    <w:rsid w:val="009F57AF"/>
    <w:rsid w:val="009F58DF"/>
    <w:rsid w:val="009F5D01"/>
    <w:rsid w:val="009F5D02"/>
    <w:rsid w:val="009F5DF3"/>
    <w:rsid w:val="009F6117"/>
    <w:rsid w:val="009F6150"/>
    <w:rsid w:val="009F6229"/>
    <w:rsid w:val="009F622D"/>
    <w:rsid w:val="009F6536"/>
    <w:rsid w:val="009F65D3"/>
    <w:rsid w:val="009F66E8"/>
    <w:rsid w:val="009F6701"/>
    <w:rsid w:val="009F6818"/>
    <w:rsid w:val="009F68F0"/>
    <w:rsid w:val="009F6930"/>
    <w:rsid w:val="009F6E86"/>
    <w:rsid w:val="009F7293"/>
    <w:rsid w:val="009F739F"/>
    <w:rsid w:val="009F7437"/>
    <w:rsid w:val="009F7512"/>
    <w:rsid w:val="009F7748"/>
    <w:rsid w:val="009F7857"/>
    <w:rsid w:val="009F7B53"/>
    <w:rsid w:val="00A00316"/>
    <w:rsid w:val="00A00685"/>
    <w:rsid w:val="00A008B2"/>
    <w:rsid w:val="00A008F4"/>
    <w:rsid w:val="00A00AD7"/>
    <w:rsid w:val="00A00E13"/>
    <w:rsid w:val="00A00FFC"/>
    <w:rsid w:val="00A0182E"/>
    <w:rsid w:val="00A018E6"/>
    <w:rsid w:val="00A01900"/>
    <w:rsid w:val="00A01AE7"/>
    <w:rsid w:val="00A01AF6"/>
    <w:rsid w:val="00A01F60"/>
    <w:rsid w:val="00A02024"/>
    <w:rsid w:val="00A021A1"/>
    <w:rsid w:val="00A02947"/>
    <w:rsid w:val="00A02A36"/>
    <w:rsid w:val="00A02B12"/>
    <w:rsid w:val="00A031EE"/>
    <w:rsid w:val="00A03714"/>
    <w:rsid w:val="00A03768"/>
    <w:rsid w:val="00A037A8"/>
    <w:rsid w:val="00A037CA"/>
    <w:rsid w:val="00A039C8"/>
    <w:rsid w:val="00A03A80"/>
    <w:rsid w:val="00A03B4E"/>
    <w:rsid w:val="00A03DFB"/>
    <w:rsid w:val="00A04005"/>
    <w:rsid w:val="00A04ADC"/>
    <w:rsid w:val="00A04C02"/>
    <w:rsid w:val="00A04F2A"/>
    <w:rsid w:val="00A04F30"/>
    <w:rsid w:val="00A05612"/>
    <w:rsid w:val="00A05749"/>
    <w:rsid w:val="00A05DBE"/>
    <w:rsid w:val="00A05F76"/>
    <w:rsid w:val="00A05FF8"/>
    <w:rsid w:val="00A067BF"/>
    <w:rsid w:val="00A06999"/>
    <w:rsid w:val="00A06ABB"/>
    <w:rsid w:val="00A06AD0"/>
    <w:rsid w:val="00A06C25"/>
    <w:rsid w:val="00A06E22"/>
    <w:rsid w:val="00A07088"/>
    <w:rsid w:val="00A070AF"/>
    <w:rsid w:val="00A0751F"/>
    <w:rsid w:val="00A075DE"/>
    <w:rsid w:val="00A076CB"/>
    <w:rsid w:val="00A077BA"/>
    <w:rsid w:val="00A07AF7"/>
    <w:rsid w:val="00A07B61"/>
    <w:rsid w:val="00A10573"/>
    <w:rsid w:val="00A107DF"/>
    <w:rsid w:val="00A10FDB"/>
    <w:rsid w:val="00A1156A"/>
    <w:rsid w:val="00A11589"/>
    <w:rsid w:val="00A11AD2"/>
    <w:rsid w:val="00A11F58"/>
    <w:rsid w:val="00A12016"/>
    <w:rsid w:val="00A12059"/>
    <w:rsid w:val="00A122AA"/>
    <w:rsid w:val="00A122E1"/>
    <w:rsid w:val="00A1242F"/>
    <w:rsid w:val="00A127A9"/>
    <w:rsid w:val="00A12938"/>
    <w:rsid w:val="00A12C70"/>
    <w:rsid w:val="00A12CE4"/>
    <w:rsid w:val="00A1328C"/>
    <w:rsid w:val="00A13377"/>
    <w:rsid w:val="00A135B0"/>
    <w:rsid w:val="00A13621"/>
    <w:rsid w:val="00A13671"/>
    <w:rsid w:val="00A139D2"/>
    <w:rsid w:val="00A13D50"/>
    <w:rsid w:val="00A1400A"/>
    <w:rsid w:val="00A14085"/>
    <w:rsid w:val="00A141FA"/>
    <w:rsid w:val="00A1429A"/>
    <w:rsid w:val="00A14370"/>
    <w:rsid w:val="00A146D1"/>
    <w:rsid w:val="00A14D51"/>
    <w:rsid w:val="00A14E04"/>
    <w:rsid w:val="00A15012"/>
    <w:rsid w:val="00A1506E"/>
    <w:rsid w:val="00A150E4"/>
    <w:rsid w:val="00A150E9"/>
    <w:rsid w:val="00A1514F"/>
    <w:rsid w:val="00A152D9"/>
    <w:rsid w:val="00A15539"/>
    <w:rsid w:val="00A15544"/>
    <w:rsid w:val="00A1556E"/>
    <w:rsid w:val="00A15EDA"/>
    <w:rsid w:val="00A162F2"/>
    <w:rsid w:val="00A1647D"/>
    <w:rsid w:val="00A16583"/>
    <w:rsid w:val="00A16D1B"/>
    <w:rsid w:val="00A16EEB"/>
    <w:rsid w:val="00A1706F"/>
    <w:rsid w:val="00A17435"/>
    <w:rsid w:val="00A17883"/>
    <w:rsid w:val="00A179E2"/>
    <w:rsid w:val="00A17F75"/>
    <w:rsid w:val="00A200E6"/>
    <w:rsid w:val="00A20330"/>
    <w:rsid w:val="00A203F9"/>
    <w:rsid w:val="00A205F5"/>
    <w:rsid w:val="00A20838"/>
    <w:rsid w:val="00A20857"/>
    <w:rsid w:val="00A20F23"/>
    <w:rsid w:val="00A21351"/>
    <w:rsid w:val="00A215A1"/>
    <w:rsid w:val="00A217AB"/>
    <w:rsid w:val="00A21B72"/>
    <w:rsid w:val="00A21B97"/>
    <w:rsid w:val="00A21BAC"/>
    <w:rsid w:val="00A221B4"/>
    <w:rsid w:val="00A2235E"/>
    <w:rsid w:val="00A224D2"/>
    <w:rsid w:val="00A2275D"/>
    <w:rsid w:val="00A228E9"/>
    <w:rsid w:val="00A22CC9"/>
    <w:rsid w:val="00A22D11"/>
    <w:rsid w:val="00A22E57"/>
    <w:rsid w:val="00A22EC6"/>
    <w:rsid w:val="00A23099"/>
    <w:rsid w:val="00A230B8"/>
    <w:rsid w:val="00A23470"/>
    <w:rsid w:val="00A23559"/>
    <w:rsid w:val="00A23C96"/>
    <w:rsid w:val="00A23E9B"/>
    <w:rsid w:val="00A24133"/>
    <w:rsid w:val="00A2458D"/>
    <w:rsid w:val="00A245F3"/>
    <w:rsid w:val="00A24784"/>
    <w:rsid w:val="00A24B48"/>
    <w:rsid w:val="00A24F53"/>
    <w:rsid w:val="00A24F6F"/>
    <w:rsid w:val="00A2511D"/>
    <w:rsid w:val="00A2514B"/>
    <w:rsid w:val="00A25189"/>
    <w:rsid w:val="00A25220"/>
    <w:rsid w:val="00A255A1"/>
    <w:rsid w:val="00A25694"/>
    <w:rsid w:val="00A25ABE"/>
    <w:rsid w:val="00A25CA5"/>
    <w:rsid w:val="00A260B9"/>
    <w:rsid w:val="00A2611F"/>
    <w:rsid w:val="00A2640B"/>
    <w:rsid w:val="00A26418"/>
    <w:rsid w:val="00A2645A"/>
    <w:rsid w:val="00A26C48"/>
    <w:rsid w:val="00A26CA1"/>
    <w:rsid w:val="00A26CAE"/>
    <w:rsid w:val="00A26CE0"/>
    <w:rsid w:val="00A26E88"/>
    <w:rsid w:val="00A2716C"/>
    <w:rsid w:val="00A27245"/>
    <w:rsid w:val="00A27384"/>
    <w:rsid w:val="00A274B1"/>
    <w:rsid w:val="00A27656"/>
    <w:rsid w:val="00A2783B"/>
    <w:rsid w:val="00A278C2"/>
    <w:rsid w:val="00A278ED"/>
    <w:rsid w:val="00A27F34"/>
    <w:rsid w:val="00A27FDA"/>
    <w:rsid w:val="00A3013F"/>
    <w:rsid w:val="00A30214"/>
    <w:rsid w:val="00A30262"/>
    <w:rsid w:val="00A306A3"/>
    <w:rsid w:val="00A306C7"/>
    <w:rsid w:val="00A30851"/>
    <w:rsid w:val="00A308F7"/>
    <w:rsid w:val="00A30A4C"/>
    <w:rsid w:val="00A30B15"/>
    <w:rsid w:val="00A30CDE"/>
    <w:rsid w:val="00A30F44"/>
    <w:rsid w:val="00A31230"/>
    <w:rsid w:val="00A313C7"/>
    <w:rsid w:val="00A314D6"/>
    <w:rsid w:val="00A316C7"/>
    <w:rsid w:val="00A318CD"/>
    <w:rsid w:val="00A31C08"/>
    <w:rsid w:val="00A32115"/>
    <w:rsid w:val="00A321D8"/>
    <w:rsid w:val="00A323E0"/>
    <w:rsid w:val="00A323F8"/>
    <w:rsid w:val="00A324E6"/>
    <w:rsid w:val="00A32976"/>
    <w:rsid w:val="00A32AD5"/>
    <w:rsid w:val="00A32F26"/>
    <w:rsid w:val="00A3398C"/>
    <w:rsid w:val="00A33C06"/>
    <w:rsid w:val="00A33D0C"/>
    <w:rsid w:val="00A33ECF"/>
    <w:rsid w:val="00A3497D"/>
    <w:rsid w:val="00A34C1B"/>
    <w:rsid w:val="00A34DC1"/>
    <w:rsid w:val="00A35099"/>
    <w:rsid w:val="00A35624"/>
    <w:rsid w:val="00A356D0"/>
    <w:rsid w:val="00A36117"/>
    <w:rsid w:val="00A36550"/>
    <w:rsid w:val="00A367F4"/>
    <w:rsid w:val="00A36A27"/>
    <w:rsid w:val="00A36DBE"/>
    <w:rsid w:val="00A36E14"/>
    <w:rsid w:val="00A36EFB"/>
    <w:rsid w:val="00A36F86"/>
    <w:rsid w:val="00A370BA"/>
    <w:rsid w:val="00A372A8"/>
    <w:rsid w:val="00A373C8"/>
    <w:rsid w:val="00A373EE"/>
    <w:rsid w:val="00A37AEC"/>
    <w:rsid w:val="00A37CCC"/>
    <w:rsid w:val="00A37DA4"/>
    <w:rsid w:val="00A37EB8"/>
    <w:rsid w:val="00A37F3A"/>
    <w:rsid w:val="00A4010C"/>
    <w:rsid w:val="00A40BC5"/>
    <w:rsid w:val="00A40BEE"/>
    <w:rsid w:val="00A40CE5"/>
    <w:rsid w:val="00A40F02"/>
    <w:rsid w:val="00A4108A"/>
    <w:rsid w:val="00A41091"/>
    <w:rsid w:val="00A410F6"/>
    <w:rsid w:val="00A41353"/>
    <w:rsid w:val="00A41628"/>
    <w:rsid w:val="00A41808"/>
    <w:rsid w:val="00A41944"/>
    <w:rsid w:val="00A42314"/>
    <w:rsid w:val="00A423D0"/>
    <w:rsid w:val="00A42994"/>
    <w:rsid w:val="00A42C4A"/>
    <w:rsid w:val="00A43068"/>
    <w:rsid w:val="00A43169"/>
    <w:rsid w:val="00A432AF"/>
    <w:rsid w:val="00A43378"/>
    <w:rsid w:val="00A43532"/>
    <w:rsid w:val="00A43911"/>
    <w:rsid w:val="00A439A0"/>
    <w:rsid w:val="00A43C72"/>
    <w:rsid w:val="00A43D37"/>
    <w:rsid w:val="00A44351"/>
    <w:rsid w:val="00A446BB"/>
    <w:rsid w:val="00A4486E"/>
    <w:rsid w:val="00A44AA9"/>
    <w:rsid w:val="00A44AE3"/>
    <w:rsid w:val="00A44C61"/>
    <w:rsid w:val="00A44F3C"/>
    <w:rsid w:val="00A457FA"/>
    <w:rsid w:val="00A457FC"/>
    <w:rsid w:val="00A45B6E"/>
    <w:rsid w:val="00A45D1E"/>
    <w:rsid w:val="00A45E22"/>
    <w:rsid w:val="00A45FC3"/>
    <w:rsid w:val="00A46DB3"/>
    <w:rsid w:val="00A470DE"/>
    <w:rsid w:val="00A47B80"/>
    <w:rsid w:val="00A47EDC"/>
    <w:rsid w:val="00A47FD4"/>
    <w:rsid w:val="00A5000F"/>
    <w:rsid w:val="00A5029F"/>
    <w:rsid w:val="00A502CD"/>
    <w:rsid w:val="00A502FB"/>
    <w:rsid w:val="00A50446"/>
    <w:rsid w:val="00A505E6"/>
    <w:rsid w:val="00A509A8"/>
    <w:rsid w:val="00A5107F"/>
    <w:rsid w:val="00A511E2"/>
    <w:rsid w:val="00A51251"/>
    <w:rsid w:val="00A5130C"/>
    <w:rsid w:val="00A5134B"/>
    <w:rsid w:val="00A51426"/>
    <w:rsid w:val="00A514C5"/>
    <w:rsid w:val="00A515E5"/>
    <w:rsid w:val="00A515F4"/>
    <w:rsid w:val="00A519AB"/>
    <w:rsid w:val="00A51CEB"/>
    <w:rsid w:val="00A51E39"/>
    <w:rsid w:val="00A521C4"/>
    <w:rsid w:val="00A5278C"/>
    <w:rsid w:val="00A52B23"/>
    <w:rsid w:val="00A53133"/>
    <w:rsid w:val="00A536A6"/>
    <w:rsid w:val="00A53A0D"/>
    <w:rsid w:val="00A53A2A"/>
    <w:rsid w:val="00A53AF6"/>
    <w:rsid w:val="00A53D09"/>
    <w:rsid w:val="00A5424A"/>
    <w:rsid w:val="00A54399"/>
    <w:rsid w:val="00A54745"/>
    <w:rsid w:val="00A547A7"/>
    <w:rsid w:val="00A54830"/>
    <w:rsid w:val="00A54930"/>
    <w:rsid w:val="00A550F4"/>
    <w:rsid w:val="00A553B6"/>
    <w:rsid w:val="00A55655"/>
    <w:rsid w:val="00A5585F"/>
    <w:rsid w:val="00A55F5A"/>
    <w:rsid w:val="00A5689F"/>
    <w:rsid w:val="00A5690B"/>
    <w:rsid w:val="00A56CE6"/>
    <w:rsid w:val="00A56DBB"/>
    <w:rsid w:val="00A57043"/>
    <w:rsid w:val="00A571D0"/>
    <w:rsid w:val="00A57549"/>
    <w:rsid w:val="00A5760B"/>
    <w:rsid w:val="00A576C8"/>
    <w:rsid w:val="00A57A51"/>
    <w:rsid w:val="00A57D8A"/>
    <w:rsid w:val="00A57D8F"/>
    <w:rsid w:val="00A57FD0"/>
    <w:rsid w:val="00A60085"/>
    <w:rsid w:val="00A60334"/>
    <w:rsid w:val="00A603D4"/>
    <w:rsid w:val="00A607E6"/>
    <w:rsid w:val="00A60BF3"/>
    <w:rsid w:val="00A60C66"/>
    <w:rsid w:val="00A60CD8"/>
    <w:rsid w:val="00A60D0E"/>
    <w:rsid w:val="00A60DCE"/>
    <w:rsid w:val="00A60E81"/>
    <w:rsid w:val="00A610D4"/>
    <w:rsid w:val="00A615DC"/>
    <w:rsid w:val="00A61899"/>
    <w:rsid w:val="00A61C57"/>
    <w:rsid w:val="00A61CF8"/>
    <w:rsid w:val="00A61EC1"/>
    <w:rsid w:val="00A61F6B"/>
    <w:rsid w:val="00A621DE"/>
    <w:rsid w:val="00A6225C"/>
    <w:rsid w:val="00A623B3"/>
    <w:rsid w:val="00A6240E"/>
    <w:rsid w:val="00A62509"/>
    <w:rsid w:val="00A625B4"/>
    <w:rsid w:val="00A62677"/>
    <w:rsid w:val="00A626D6"/>
    <w:rsid w:val="00A627D3"/>
    <w:rsid w:val="00A628F0"/>
    <w:rsid w:val="00A62B41"/>
    <w:rsid w:val="00A62C29"/>
    <w:rsid w:val="00A62DBC"/>
    <w:rsid w:val="00A62E44"/>
    <w:rsid w:val="00A63157"/>
    <w:rsid w:val="00A635D0"/>
    <w:rsid w:val="00A63748"/>
    <w:rsid w:val="00A63790"/>
    <w:rsid w:val="00A637BC"/>
    <w:rsid w:val="00A638E9"/>
    <w:rsid w:val="00A63E31"/>
    <w:rsid w:val="00A63E97"/>
    <w:rsid w:val="00A63F11"/>
    <w:rsid w:val="00A63F61"/>
    <w:rsid w:val="00A646A5"/>
    <w:rsid w:val="00A646C5"/>
    <w:rsid w:val="00A64724"/>
    <w:rsid w:val="00A6477A"/>
    <w:rsid w:val="00A64AC4"/>
    <w:rsid w:val="00A64B7E"/>
    <w:rsid w:val="00A65514"/>
    <w:rsid w:val="00A65B3F"/>
    <w:rsid w:val="00A65F0D"/>
    <w:rsid w:val="00A6635B"/>
    <w:rsid w:val="00A6637E"/>
    <w:rsid w:val="00A66E3F"/>
    <w:rsid w:val="00A66EF9"/>
    <w:rsid w:val="00A67147"/>
    <w:rsid w:val="00A6761C"/>
    <w:rsid w:val="00A6788F"/>
    <w:rsid w:val="00A67BD4"/>
    <w:rsid w:val="00A67E4C"/>
    <w:rsid w:val="00A67F45"/>
    <w:rsid w:val="00A701D5"/>
    <w:rsid w:val="00A7024C"/>
    <w:rsid w:val="00A703E7"/>
    <w:rsid w:val="00A70496"/>
    <w:rsid w:val="00A7061A"/>
    <w:rsid w:val="00A70689"/>
    <w:rsid w:val="00A71362"/>
    <w:rsid w:val="00A7142F"/>
    <w:rsid w:val="00A717D3"/>
    <w:rsid w:val="00A71890"/>
    <w:rsid w:val="00A71AED"/>
    <w:rsid w:val="00A71F0D"/>
    <w:rsid w:val="00A721D9"/>
    <w:rsid w:val="00A722BF"/>
    <w:rsid w:val="00A7244B"/>
    <w:rsid w:val="00A72561"/>
    <w:rsid w:val="00A72740"/>
    <w:rsid w:val="00A727FB"/>
    <w:rsid w:val="00A7289E"/>
    <w:rsid w:val="00A72FF7"/>
    <w:rsid w:val="00A73121"/>
    <w:rsid w:val="00A73466"/>
    <w:rsid w:val="00A734C6"/>
    <w:rsid w:val="00A739DB"/>
    <w:rsid w:val="00A739FE"/>
    <w:rsid w:val="00A73AAD"/>
    <w:rsid w:val="00A73CAB"/>
    <w:rsid w:val="00A73EBE"/>
    <w:rsid w:val="00A7403D"/>
    <w:rsid w:val="00A7418D"/>
    <w:rsid w:val="00A7427A"/>
    <w:rsid w:val="00A74528"/>
    <w:rsid w:val="00A74873"/>
    <w:rsid w:val="00A74A13"/>
    <w:rsid w:val="00A74F3B"/>
    <w:rsid w:val="00A74F51"/>
    <w:rsid w:val="00A75133"/>
    <w:rsid w:val="00A752A0"/>
    <w:rsid w:val="00A752D3"/>
    <w:rsid w:val="00A75482"/>
    <w:rsid w:val="00A7565B"/>
    <w:rsid w:val="00A758CC"/>
    <w:rsid w:val="00A75AFD"/>
    <w:rsid w:val="00A75B8C"/>
    <w:rsid w:val="00A76359"/>
    <w:rsid w:val="00A76806"/>
    <w:rsid w:val="00A769AA"/>
    <w:rsid w:val="00A769D2"/>
    <w:rsid w:val="00A76B2D"/>
    <w:rsid w:val="00A76CDA"/>
    <w:rsid w:val="00A76DBD"/>
    <w:rsid w:val="00A76EA6"/>
    <w:rsid w:val="00A76F35"/>
    <w:rsid w:val="00A76FAD"/>
    <w:rsid w:val="00A7737D"/>
    <w:rsid w:val="00A775E5"/>
    <w:rsid w:val="00A77789"/>
    <w:rsid w:val="00A77800"/>
    <w:rsid w:val="00A778CE"/>
    <w:rsid w:val="00A7794A"/>
    <w:rsid w:val="00A77B09"/>
    <w:rsid w:val="00A77C7A"/>
    <w:rsid w:val="00A77DD8"/>
    <w:rsid w:val="00A77E05"/>
    <w:rsid w:val="00A77F13"/>
    <w:rsid w:val="00A80178"/>
    <w:rsid w:val="00A80298"/>
    <w:rsid w:val="00A80353"/>
    <w:rsid w:val="00A80459"/>
    <w:rsid w:val="00A804DF"/>
    <w:rsid w:val="00A80789"/>
    <w:rsid w:val="00A80A52"/>
    <w:rsid w:val="00A80AF5"/>
    <w:rsid w:val="00A80B79"/>
    <w:rsid w:val="00A80BE4"/>
    <w:rsid w:val="00A81507"/>
    <w:rsid w:val="00A8165A"/>
    <w:rsid w:val="00A81A0C"/>
    <w:rsid w:val="00A81A2F"/>
    <w:rsid w:val="00A81B09"/>
    <w:rsid w:val="00A81BEB"/>
    <w:rsid w:val="00A81DD2"/>
    <w:rsid w:val="00A8222C"/>
    <w:rsid w:val="00A82467"/>
    <w:rsid w:val="00A827BD"/>
    <w:rsid w:val="00A8284D"/>
    <w:rsid w:val="00A82C1B"/>
    <w:rsid w:val="00A82E27"/>
    <w:rsid w:val="00A82F07"/>
    <w:rsid w:val="00A83786"/>
    <w:rsid w:val="00A83E85"/>
    <w:rsid w:val="00A83EC4"/>
    <w:rsid w:val="00A84051"/>
    <w:rsid w:val="00A84265"/>
    <w:rsid w:val="00A84301"/>
    <w:rsid w:val="00A84396"/>
    <w:rsid w:val="00A84457"/>
    <w:rsid w:val="00A84598"/>
    <w:rsid w:val="00A84885"/>
    <w:rsid w:val="00A84988"/>
    <w:rsid w:val="00A84B75"/>
    <w:rsid w:val="00A84F05"/>
    <w:rsid w:val="00A84FC5"/>
    <w:rsid w:val="00A85058"/>
    <w:rsid w:val="00A858DF"/>
    <w:rsid w:val="00A86506"/>
    <w:rsid w:val="00A86669"/>
    <w:rsid w:val="00A867A3"/>
    <w:rsid w:val="00A86B25"/>
    <w:rsid w:val="00A86EAA"/>
    <w:rsid w:val="00A8715A"/>
    <w:rsid w:val="00A87589"/>
    <w:rsid w:val="00A87763"/>
    <w:rsid w:val="00A87B6B"/>
    <w:rsid w:val="00A90398"/>
    <w:rsid w:val="00A9047E"/>
    <w:rsid w:val="00A907A8"/>
    <w:rsid w:val="00A90B88"/>
    <w:rsid w:val="00A90F5C"/>
    <w:rsid w:val="00A91046"/>
    <w:rsid w:val="00A917CE"/>
    <w:rsid w:val="00A9188E"/>
    <w:rsid w:val="00A91967"/>
    <w:rsid w:val="00A928E9"/>
    <w:rsid w:val="00A92969"/>
    <w:rsid w:val="00A92CCA"/>
    <w:rsid w:val="00A93F0E"/>
    <w:rsid w:val="00A94149"/>
    <w:rsid w:val="00A943B4"/>
    <w:rsid w:val="00A944C8"/>
    <w:rsid w:val="00A953D8"/>
    <w:rsid w:val="00A95944"/>
    <w:rsid w:val="00A959E1"/>
    <w:rsid w:val="00A95BC4"/>
    <w:rsid w:val="00A960CE"/>
    <w:rsid w:val="00A96165"/>
    <w:rsid w:val="00A96193"/>
    <w:rsid w:val="00A9629E"/>
    <w:rsid w:val="00A966B8"/>
    <w:rsid w:val="00A96A6F"/>
    <w:rsid w:val="00A96B19"/>
    <w:rsid w:val="00A96CAD"/>
    <w:rsid w:val="00A96DBE"/>
    <w:rsid w:val="00A96E5F"/>
    <w:rsid w:val="00A9704E"/>
    <w:rsid w:val="00A972E2"/>
    <w:rsid w:val="00A973F7"/>
    <w:rsid w:val="00A9750B"/>
    <w:rsid w:val="00A97B29"/>
    <w:rsid w:val="00A97E7A"/>
    <w:rsid w:val="00AA00C4"/>
    <w:rsid w:val="00AA01F9"/>
    <w:rsid w:val="00AA0264"/>
    <w:rsid w:val="00AA02ED"/>
    <w:rsid w:val="00AA0640"/>
    <w:rsid w:val="00AA0668"/>
    <w:rsid w:val="00AA0833"/>
    <w:rsid w:val="00AA0A7E"/>
    <w:rsid w:val="00AA0A86"/>
    <w:rsid w:val="00AA0BB9"/>
    <w:rsid w:val="00AA0C32"/>
    <w:rsid w:val="00AA0CB5"/>
    <w:rsid w:val="00AA0F7B"/>
    <w:rsid w:val="00AA10A0"/>
    <w:rsid w:val="00AA111F"/>
    <w:rsid w:val="00AA138B"/>
    <w:rsid w:val="00AA1445"/>
    <w:rsid w:val="00AA1F70"/>
    <w:rsid w:val="00AA2AD8"/>
    <w:rsid w:val="00AA2B2E"/>
    <w:rsid w:val="00AA30EC"/>
    <w:rsid w:val="00AA3350"/>
    <w:rsid w:val="00AA337E"/>
    <w:rsid w:val="00AA34B2"/>
    <w:rsid w:val="00AA35FE"/>
    <w:rsid w:val="00AA3734"/>
    <w:rsid w:val="00AA3A0B"/>
    <w:rsid w:val="00AA3CF4"/>
    <w:rsid w:val="00AA3E2F"/>
    <w:rsid w:val="00AA3EAF"/>
    <w:rsid w:val="00AA3EE1"/>
    <w:rsid w:val="00AA4119"/>
    <w:rsid w:val="00AA4146"/>
    <w:rsid w:val="00AA414C"/>
    <w:rsid w:val="00AA41C6"/>
    <w:rsid w:val="00AA4333"/>
    <w:rsid w:val="00AA47C9"/>
    <w:rsid w:val="00AA4E3B"/>
    <w:rsid w:val="00AA5249"/>
    <w:rsid w:val="00AA524D"/>
    <w:rsid w:val="00AA53D0"/>
    <w:rsid w:val="00AA5409"/>
    <w:rsid w:val="00AA5510"/>
    <w:rsid w:val="00AA558B"/>
    <w:rsid w:val="00AA59E1"/>
    <w:rsid w:val="00AA5BAB"/>
    <w:rsid w:val="00AA5E17"/>
    <w:rsid w:val="00AA5EB7"/>
    <w:rsid w:val="00AA5FD2"/>
    <w:rsid w:val="00AA6029"/>
    <w:rsid w:val="00AA638C"/>
    <w:rsid w:val="00AA65F2"/>
    <w:rsid w:val="00AA7068"/>
    <w:rsid w:val="00AA7131"/>
    <w:rsid w:val="00AA719D"/>
    <w:rsid w:val="00AA71CF"/>
    <w:rsid w:val="00AA747B"/>
    <w:rsid w:val="00AA750F"/>
    <w:rsid w:val="00AA798E"/>
    <w:rsid w:val="00AA79AD"/>
    <w:rsid w:val="00AA7B91"/>
    <w:rsid w:val="00AA7C9B"/>
    <w:rsid w:val="00AB0189"/>
    <w:rsid w:val="00AB027A"/>
    <w:rsid w:val="00AB029E"/>
    <w:rsid w:val="00AB09A0"/>
    <w:rsid w:val="00AB0DE6"/>
    <w:rsid w:val="00AB130D"/>
    <w:rsid w:val="00AB13B9"/>
    <w:rsid w:val="00AB1401"/>
    <w:rsid w:val="00AB1450"/>
    <w:rsid w:val="00AB1734"/>
    <w:rsid w:val="00AB18E9"/>
    <w:rsid w:val="00AB1BAE"/>
    <w:rsid w:val="00AB1D65"/>
    <w:rsid w:val="00AB262D"/>
    <w:rsid w:val="00AB264F"/>
    <w:rsid w:val="00AB2807"/>
    <w:rsid w:val="00AB2961"/>
    <w:rsid w:val="00AB2B60"/>
    <w:rsid w:val="00AB2C2B"/>
    <w:rsid w:val="00AB2FA6"/>
    <w:rsid w:val="00AB3359"/>
    <w:rsid w:val="00AB3381"/>
    <w:rsid w:val="00AB3478"/>
    <w:rsid w:val="00AB35DD"/>
    <w:rsid w:val="00AB38F0"/>
    <w:rsid w:val="00AB392B"/>
    <w:rsid w:val="00AB3959"/>
    <w:rsid w:val="00AB3CD9"/>
    <w:rsid w:val="00AB3D6E"/>
    <w:rsid w:val="00AB45A0"/>
    <w:rsid w:val="00AB49AA"/>
    <w:rsid w:val="00AB4C5D"/>
    <w:rsid w:val="00AB4EEF"/>
    <w:rsid w:val="00AB51CA"/>
    <w:rsid w:val="00AB5485"/>
    <w:rsid w:val="00AB5569"/>
    <w:rsid w:val="00AB57A7"/>
    <w:rsid w:val="00AB5B2B"/>
    <w:rsid w:val="00AB5F49"/>
    <w:rsid w:val="00AB646A"/>
    <w:rsid w:val="00AB66AC"/>
    <w:rsid w:val="00AB6950"/>
    <w:rsid w:val="00AB6CA8"/>
    <w:rsid w:val="00AB6EFF"/>
    <w:rsid w:val="00AB71B1"/>
    <w:rsid w:val="00AB7312"/>
    <w:rsid w:val="00AB7534"/>
    <w:rsid w:val="00AB7588"/>
    <w:rsid w:val="00AB7763"/>
    <w:rsid w:val="00AB78B2"/>
    <w:rsid w:val="00AB7CB5"/>
    <w:rsid w:val="00AB7F10"/>
    <w:rsid w:val="00AC0229"/>
    <w:rsid w:val="00AC0240"/>
    <w:rsid w:val="00AC051C"/>
    <w:rsid w:val="00AC056A"/>
    <w:rsid w:val="00AC07B4"/>
    <w:rsid w:val="00AC0BCA"/>
    <w:rsid w:val="00AC12C8"/>
    <w:rsid w:val="00AC1363"/>
    <w:rsid w:val="00AC1381"/>
    <w:rsid w:val="00AC1712"/>
    <w:rsid w:val="00AC17BB"/>
    <w:rsid w:val="00AC2199"/>
    <w:rsid w:val="00AC2599"/>
    <w:rsid w:val="00AC25E6"/>
    <w:rsid w:val="00AC2BB7"/>
    <w:rsid w:val="00AC33F6"/>
    <w:rsid w:val="00AC3462"/>
    <w:rsid w:val="00AC35C9"/>
    <w:rsid w:val="00AC36A4"/>
    <w:rsid w:val="00AC39C2"/>
    <w:rsid w:val="00AC3A7A"/>
    <w:rsid w:val="00AC43CC"/>
    <w:rsid w:val="00AC4624"/>
    <w:rsid w:val="00AC46E1"/>
    <w:rsid w:val="00AC4ADF"/>
    <w:rsid w:val="00AC4B96"/>
    <w:rsid w:val="00AC4D32"/>
    <w:rsid w:val="00AC4E64"/>
    <w:rsid w:val="00AC5399"/>
    <w:rsid w:val="00AC56B6"/>
    <w:rsid w:val="00AC5700"/>
    <w:rsid w:val="00AC573D"/>
    <w:rsid w:val="00AC59C0"/>
    <w:rsid w:val="00AC5A8D"/>
    <w:rsid w:val="00AC5BBE"/>
    <w:rsid w:val="00AC6114"/>
    <w:rsid w:val="00AC638C"/>
    <w:rsid w:val="00AC63B4"/>
    <w:rsid w:val="00AC673A"/>
    <w:rsid w:val="00AC680F"/>
    <w:rsid w:val="00AC68A7"/>
    <w:rsid w:val="00AC6BA8"/>
    <w:rsid w:val="00AC6C12"/>
    <w:rsid w:val="00AC6DE0"/>
    <w:rsid w:val="00AC71A9"/>
    <w:rsid w:val="00AC77B9"/>
    <w:rsid w:val="00AC7C6E"/>
    <w:rsid w:val="00AC7CAC"/>
    <w:rsid w:val="00AC7D29"/>
    <w:rsid w:val="00AC7E3B"/>
    <w:rsid w:val="00AC7E98"/>
    <w:rsid w:val="00AD04AE"/>
    <w:rsid w:val="00AD0E35"/>
    <w:rsid w:val="00AD0F0A"/>
    <w:rsid w:val="00AD0F9A"/>
    <w:rsid w:val="00AD109E"/>
    <w:rsid w:val="00AD190A"/>
    <w:rsid w:val="00AD1E2D"/>
    <w:rsid w:val="00AD2000"/>
    <w:rsid w:val="00AD20B2"/>
    <w:rsid w:val="00AD20E2"/>
    <w:rsid w:val="00AD2338"/>
    <w:rsid w:val="00AD2773"/>
    <w:rsid w:val="00AD2EEE"/>
    <w:rsid w:val="00AD2FB7"/>
    <w:rsid w:val="00AD3572"/>
    <w:rsid w:val="00AD37E1"/>
    <w:rsid w:val="00AD3B3A"/>
    <w:rsid w:val="00AD3BD9"/>
    <w:rsid w:val="00AD436F"/>
    <w:rsid w:val="00AD4483"/>
    <w:rsid w:val="00AD4C3E"/>
    <w:rsid w:val="00AD4EFB"/>
    <w:rsid w:val="00AD5602"/>
    <w:rsid w:val="00AD565B"/>
    <w:rsid w:val="00AD5740"/>
    <w:rsid w:val="00AD57A1"/>
    <w:rsid w:val="00AD5B03"/>
    <w:rsid w:val="00AD5B7B"/>
    <w:rsid w:val="00AD5C61"/>
    <w:rsid w:val="00AD5E6F"/>
    <w:rsid w:val="00AD5EDC"/>
    <w:rsid w:val="00AD5EEC"/>
    <w:rsid w:val="00AD63C8"/>
    <w:rsid w:val="00AD681A"/>
    <w:rsid w:val="00AD6C0F"/>
    <w:rsid w:val="00AD6C2A"/>
    <w:rsid w:val="00AD6D68"/>
    <w:rsid w:val="00AD6ECE"/>
    <w:rsid w:val="00AD6F53"/>
    <w:rsid w:val="00AD7352"/>
    <w:rsid w:val="00AD73BB"/>
    <w:rsid w:val="00AD74E4"/>
    <w:rsid w:val="00AD7577"/>
    <w:rsid w:val="00AD7789"/>
    <w:rsid w:val="00AD78D4"/>
    <w:rsid w:val="00AD7C05"/>
    <w:rsid w:val="00AD7EB6"/>
    <w:rsid w:val="00AD7FE8"/>
    <w:rsid w:val="00AE0048"/>
    <w:rsid w:val="00AE0B82"/>
    <w:rsid w:val="00AE0BA8"/>
    <w:rsid w:val="00AE0BFA"/>
    <w:rsid w:val="00AE0DCF"/>
    <w:rsid w:val="00AE0F15"/>
    <w:rsid w:val="00AE0F56"/>
    <w:rsid w:val="00AE14BB"/>
    <w:rsid w:val="00AE1580"/>
    <w:rsid w:val="00AE182F"/>
    <w:rsid w:val="00AE18A5"/>
    <w:rsid w:val="00AE19F9"/>
    <w:rsid w:val="00AE1B7C"/>
    <w:rsid w:val="00AE1DD7"/>
    <w:rsid w:val="00AE28D8"/>
    <w:rsid w:val="00AE290F"/>
    <w:rsid w:val="00AE2D20"/>
    <w:rsid w:val="00AE2E76"/>
    <w:rsid w:val="00AE2F23"/>
    <w:rsid w:val="00AE342D"/>
    <w:rsid w:val="00AE356F"/>
    <w:rsid w:val="00AE358D"/>
    <w:rsid w:val="00AE3696"/>
    <w:rsid w:val="00AE3908"/>
    <w:rsid w:val="00AE391E"/>
    <w:rsid w:val="00AE3999"/>
    <w:rsid w:val="00AE39E1"/>
    <w:rsid w:val="00AE3A3B"/>
    <w:rsid w:val="00AE3A3C"/>
    <w:rsid w:val="00AE3D9E"/>
    <w:rsid w:val="00AE3DCD"/>
    <w:rsid w:val="00AE3E51"/>
    <w:rsid w:val="00AE4002"/>
    <w:rsid w:val="00AE40F7"/>
    <w:rsid w:val="00AE44B3"/>
    <w:rsid w:val="00AE471D"/>
    <w:rsid w:val="00AE47C4"/>
    <w:rsid w:val="00AE4DF9"/>
    <w:rsid w:val="00AE5044"/>
    <w:rsid w:val="00AE50C0"/>
    <w:rsid w:val="00AE53BB"/>
    <w:rsid w:val="00AE56E0"/>
    <w:rsid w:val="00AE5E10"/>
    <w:rsid w:val="00AE6542"/>
    <w:rsid w:val="00AE656E"/>
    <w:rsid w:val="00AE6AE5"/>
    <w:rsid w:val="00AE6D4B"/>
    <w:rsid w:val="00AE73E9"/>
    <w:rsid w:val="00AE75F9"/>
    <w:rsid w:val="00AE7666"/>
    <w:rsid w:val="00AE794B"/>
    <w:rsid w:val="00AE7C98"/>
    <w:rsid w:val="00AE7E21"/>
    <w:rsid w:val="00AE7F5C"/>
    <w:rsid w:val="00AF01DD"/>
    <w:rsid w:val="00AF0476"/>
    <w:rsid w:val="00AF06E4"/>
    <w:rsid w:val="00AF076F"/>
    <w:rsid w:val="00AF0868"/>
    <w:rsid w:val="00AF095A"/>
    <w:rsid w:val="00AF0AD2"/>
    <w:rsid w:val="00AF10AC"/>
    <w:rsid w:val="00AF11B3"/>
    <w:rsid w:val="00AF19F8"/>
    <w:rsid w:val="00AF2311"/>
    <w:rsid w:val="00AF23DD"/>
    <w:rsid w:val="00AF251E"/>
    <w:rsid w:val="00AF27AA"/>
    <w:rsid w:val="00AF2B42"/>
    <w:rsid w:val="00AF2C19"/>
    <w:rsid w:val="00AF2D1D"/>
    <w:rsid w:val="00AF2F58"/>
    <w:rsid w:val="00AF3468"/>
    <w:rsid w:val="00AF346E"/>
    <w:rsid w:val="00AF3802"/>
    <w:rsid w:val="00AF3AEF"/>
    <w:rsid w:val="00AF3BD5"/>
    <w:rsid w:val="00AF3C81"/>
    <w:rsid w:val="00AF3CC6"/>
    <w:rsid w:val="00AF3F6A"/>
    <w:rsid w:val="00AF4972"/>
    <w:rsid w:val="00AF4CD6"/>
    <w:rsid w:val="00AF4DA5"/>
    <w:rsid w:val="00AF5711"/>
    <w:rsid w:val="00AF5833"/>
    <w:rsid w:val="00AF59B1"/>
    <w:rsid w:val="00AF5C54"/>
    <w:rsid w:val="00AF5C5B"/>
    <w:rsid w:val="00AF5D43"/>
    <w:rsid w:val="00AF6128"/>
    <w:rsid w:val="00AF6380"/>
    <w:rsid w:val="00AF658C"/>
    <w:rsid w:val="00AF67B0"/>
    <w:rsid w:val="00AF6888"/>
    <w:rsid w:val="00AF6A67"/>
    <w:rsid w:val="00AF6CA5"/>
    <w:rsid w:val="00AF6D0C"/>
    <w:rsid w:val="00AF6E9D"/>
    <w:rsid w:val="00AF717F"/>
    <w:rsid w:val="00AF7301"/>
    <w:rsid w:val="00AF75DA"/>
    <w:rsid w:val="00AF7D91"/>
    <w:rsid w:val="00B00692"/>
    <w:rsid w:val="00B00739"/>
    <w:rsid w:val="00B008AC"/>
    <w:rsid w:val="00B0092E"/>
    <w:rsid w:val="00B00D11"/>
    <w:rsid w:val="00B00EAC"/>
    <w:rsid w:val="00B01087"/>
    <w:rsid w:val="00B013A5"/>
    <w:rsid w:val="00B0184E"/>
    <w:rsid w:val="00B018CA"/>
    <w:rsid w:val="00B019F2"/>
    <w:rsid w:val="00B01CE9"/>
    <w:rsid w:val="00B02128"/>
    <w:rsid w:val="00B027ED"/>
    <w:rsid w:val="00B02A25"/>
    <w:rsid w:val="00B02A52"/>
    <w:rsid w:val="00B02B60"/>
    <w:rsid w:val="00B02CE8"/>
    <w:rsid w:val="00B02EAF"/>
    <w:rsid w:val="00B02EBB"/>
    <w:rsid w:val="00B032A5"/>
    <w:rsid w:val="00B0383D"/>
    <w:rsid w:val="00B0387D"/>
    <w:rsid w:val="00B039F8"/>
    <w:rsid w:val="00B04568"/>
    <w:rsid w:val="00B046E8"/>
    <w:rsid w:val="00B047A4"/>
    <w:rsid w:val="00B04D82"/>
    <w:rsid w:val="00B04E2F"/>
    <w:rsid w:val="00B04FE5"/>
    <w:rsid w:val="00B05296"/>
    <w:rsid w:val="00B05519"/>
    <w:rsid w:val="00B05664"/>
    <w:rsid w:val="00B0580C"/>
    <w:rsid w:val="00B05A8D"/>
    <w:rsid w:val="00B05DBF"/>
    <w:rsid w:val="00B05E2A"/>
    <w:rsid w:val="00B066BD"/>
    <w:rsid w:val="00B06ABF"/>
    <w:rsid w:val="00B06C13"/>
    <w:rsid w:val="00B07069"/>
    <w:rsid w:val="00B0716E"/>
    <w:rsid w:val="00B074F9"/>
    <w:rsid w:val="00B075FE"/>
    <w:rsid w:val="00B076CD"/>
    <w:rsid w:val="00B07D67"/>
    <w:rsid w:val="00B07F6B"/>
    <w:rsid w:val="00B100BE"/>
    <w:rsid w:val="00B10340"/>
    <w:rsid w:val="00B10570"/>
    <w:rsid w:val="00B10AAB"/>
    <w:rsid w:val="00B10AD2"/>
    <w:rsid w:val="00B10B33"/>
    <w:rsid w:val="00B10D2B"/>
    <w:rsid w:val="00B10E33"/>
    <w:rsid w:val="00B10EB8"/>
    <w:rsid w:val="00B110CD"/>
    <w:rsid w:val="00B11939"/>
    <w:rsid w:val="00B11D8B"/>
    <w:rsid w:val="00B12442"/>
    <w:rsid w:val="00B12AC4"/>
    <w:rsid w:val="00B13205"/>
    <w:rsid w:val="00B1324C"/>
    <w:rsid w:val="00B13780"/>
    <w:rsid w:val="00B138B4"/>
    <w:rsid w:val="00B13BB1"/>
    <w:rsid w:val="00B13F30"/>
    <w:rsid w:val="00B13FB7"/>
    <w:rsid w:val="00B145A1"/>
    <w:rsid w:val="00B14A9E"/>
    <w:rsid w:val="00B14BBF"/>
    <w:rsid w:val="00B14DBE"/>
    <w:rsid w:val="00B1512E"/>
    <w:rsid w:val="00B153BD"/>
    <w:rsid w:val="00B15446"/>
    <w:rsid w:val="00B1558E"/>
    <w:rsid w:val="00B155C5"/>
    <w:rsid w:val="00B15A52"/>
    <w:rsid w:val="00B15CC5"/>
    <w:rsid w:val="00B15E8B"/>
    <w:rsid w:val="00B15E96"/>
    <w:rsid w:val="00B161A0"/>
    <w:rsid w:val="00B162EA"/>
    <w:rsid w:val="00B16557"/>
    <w:rsid w:val="00B166A8"/>
    <w:rsid w:val="00B16838"/>
    <w:rsid w:val="00B16924"/>
    <w:rsid w:val="00B16945"/>
    <w:rsid w:val="00B16AA9"/>
    <w:rsid w:val="00B17019"/>
    <w:rsid w:val="00B17169"/>
    <w:rsid w:val="00B17869"/>
    <w:rsid w:val="00B179F0"/>
    <w:rsid w:val="00B17C02"/>
    <w:rsid w:val="00B17CC1"/>
    <w:rsid w:val="00B20131"/>
    <w:rsid w:val="00B20664"/>
    <w:rsid w:val="00B2077B"/>
    <w:rsid w:val="00B207A5"/>
    <w:rsid w:val="00B20D69"/>
    <w:rsid w:val="00B20DF1"/>
    <w:rsid w:val="00B211AB"/>
    <w:rsid w:val="00B2147B"/>
    <w:rsid w:val="00B214D8"/>
    <w:rsid w:val="00B2150D"/>
    <w:rsid w:val="00B216C5"/>
    <w:rsid w:val="00B219F8"/>
    <w:rsid w:val="00B21A9F"/>
    <w:rsid w:val="00B21D68"/>
    <w:rsid w:val="00B21ECB"/>
    <w:rsid w:val="00B21EF9"/>
    <w:rsid w:val="00B21FC8"/>
    <w:rsid w:val="00B225D8"/>
    <w:rsid w:val="00B22DBD"/>
    <w:rsid w:val="00B23291"/>
    <w:rsid w:val="00B23292"/>
    <w:rsid w:val="00B234BD"/>
    <w:rsid w:val="00B2369D"/>
    <w:rsid w:val="00B238C6"/>
    <w:rsid w:val="00B23A85"/>
    <w:rsid w:val="00B23CD9"/>
    <w:rsid w:val="00B23E66"/>
    <w:rsid w:val="00B23FB0"/>
    <w:rsid w:val="00B24754"/>
    <w:rsid w:val="00B24812"/>
    <w:rsid w:val="00B249D0"/>
    <w:rsid w:val="00B24A46"/>
    <w:rsid w:val="00B24AD9"/>
    <w:rsid w:val="00B25002"/>
    <w:rsid w:val="00B250AF"/>
    <w:rsid w:val="00B251F0"/>
    <w:rsid w:val="00B25F41"/>
    <w:rsid w:val="00B260F8"/>
    <w:rsid w:val="00B26CE3"/>
    <w:rsid w:val="00B26D34"/>
    <w:rsid w:val="00B273A9"/>
    <w:rsid w:val="00B27A3D"/>
    <w:rsid w:val="00B27A4D"/>
    <w:rsid w:val="00B27B6B"/>
    <w:rsid w:val="00B27CED"/>
    <w:rsid w:val="00B300D5"/>
    <w:rsid w:val="00B30216"/>
    <w:rsid w:val="00B3097B"/>
    <w:rsid w:val="00B30C28"/>
    <w:rsid w:val="00B3103C"/>
    <w:rsid w:val="00B3149B"/>
    <w:rsid w:val="00B31D29"/>
    <w:rsid w:val="00B31D5F"/>
    <w:rsid w:val="00B31DED"/>
    <w:rsid w:val="00B3206C"/>
    <w:rsid w:val="00B32120"/>
    <w:rsid w:val="00B3248E"/>
    <w:rsid w:val="00B32BFA"/>
    <w:rsid w:val="00B32CDA"/>
    <w:rsid w:val="00B32FC5"/>
    <w:rsid w:val="00B32FEC"/>
    <w:rsid w:val="00B3320D"/>
    <w:rsid w:val="00B335C1"/>
    <w:rsid w:val="00B335D5"/>
    <w:rsid w:val="00B33705"/>
    <w:rsid w:val="00B33918"/>
    <w:rsid w:val="00B33A27"/>
    <w:rsid w:val="00B33FF2"/>
    <w:rsid w:val="00B34308"/>
    <w:rsid w:val="00B3450E"/>
    <w:rsid w:val="00B3463A"/>
    <w:rsid w:val="00B34A52"/>
    <w:rsid w:val="00B34D26"/>
    <w:rsid w:val="00B34D8B"/>
    <w:rsid w:val="00B35218"/>
    <w:rsid w:val="00B355CF"/>
    <w:rsid w:val="00B35835"/>
    <w:rsid w:val="00B35896"/>
    <w:rsid w:val="00B35A63"/>
    <w:rsid w:val="00B35E90"/>
    <w:rsid w:val="00B36426"/>
    <w:rsid w:val="00B3652C"/>
    <w:rsid w:val="00B3673D"/>
    <w:rsid w:val="00B3695E"/>
    <w:rsid w:val="00B36BDB"/>
    <w:rsid w:val="00B36BDF"/>
    <w:rsid w:val="00B3750E"/>
    <w:rsid w:val="00B3757A"/>
    <w:rsid w:val="00B375F5"/>
    <w:rsid w:val="00B37652"/>
    <w:rsid w:val="00B37712"/>
    <w:rsid w:val="00B37844"/>
    <w:rsid w:val="00B37A12"/>
    <w:rsid w:val="00B37B66"/>
    <w:rsid w:val="00B37B90"/>
    <w:rsid w:val="00B37EDE"/>
    <w:rsid w:val="00B40037"/>
    <w:rsid w:val="00B4026F"/>
    <w:rsid w:val="00B403C3"/>
    <w:rsid w:val="00B409E8"/>
    <w:rsid w:val="00B40B0D"/>
    <w:rsid w:val="00B40BA2"/>
    <w:rsid w:val="00B41019"/>
    <w:rsid w:val="00B4123D"/>
    <w:rsid w:val="00B41EBD"/>
    <w:rsid w:val="00B41F7E"/>
    <w:rsid w:val="00B42359"/>
    <w:rsid w:val="00B4236A"/>
    <w:rsid w:val="00B423BC"/>
    <w:rsid w:val="00B4255B"/>
    <w:rsid w:val="00B426B6"/>
    <w:rsid w:val="00B42C5A"/>
    <w:rsid w:val="00B435B7"/>
    <w:rsid w:val="00B435D2"/>
    <w:rsid w:val="00B43678"/>
    <w:rsid w:val="00B436AE"/>
    <w:rsid w:val="00B4373D"/>
    <w:rsid w:val="00B43883"/>
    <w:rsid w:val="00B43C25"/>
    <w:rsid w:val="00B44383"/>
    <w:rsid w:val="00B44595"/>
    <w:rsid w:val="00B448A0"/>
    <w:rsid w:val="00B448EC"/>
    <w:rsid w:val="00B44C43"/>
    <w:rsid w:val="00B44D64"/>
    <w:rsid w:val="00B45288"/>
    <w:rsid w:val="00B45C6D"/>
    <w:rsid w:val="00B462C6"/>
    <w:rsid w:val="00B46811"/>
    <w:rsid w:val="00B46859"/>
    <w:rsid w:val="00B46CCA"/>
    <w:rsid w:val="00B46D59"/>
    <w:rsid w:val="00B46FD9"/>
    <w:rsid w:val="00B47690"/>
    <w:rsid w:val="00B476BC"/>
    <w:rsid w:val="00B47767"/>
    <w:rsid w:val="00B47B6A"/>
    <w:rsid w:val="00B47E7F"/>
    <w:rsid w:val="00B47E94"/>
    <w:rsid w:val="00B504B9"/>
    <w:rsid w:val="00B5078E"/>
    <w:rsid w:val="00B50961"/>
    <w:rsid w:val="00B50972"/>
    <w:rsid w:val="00B50BF7"/>
    <w:rsid w:val="00B50D18"/>
    <w:rsid w:val="00B50EBB"/>
    <w:rsid w:val="00B512CA"/>
    <w:rsid w:val="00B51303"/>
    <w:rsid w:val="00B51403"/>
    <w:rsid w:val="00B515B9"/>
    <w:rsid w:val="00B51791"/>
    <w:rsid w:val="00B517B3"/>
    <w:rsid w:val="00B5187B"/>
    <w:rsid w:val="00B51A1C"/>
    <w:rsid w:val="00B51FFC"/>
    <w:rsid w:val="00B52337"/>
    <w:rsid w:val="00B5242D"/>
    <w:rsid w:val="00B524FD"/>
    <w:rsid w:val="00B5271A"/>
    <w:rsid w:val="00B52C3B"/>
    <w:rsid w:val="00B52E71"/>
    <w:rsid w:val="00B530A8"/>
    <w:rsid w:val="00B53431"/>
    <w:rsid w:val="00B53478"/>
    <w:rsid w:val="00B53587"/>
    <w:rsid w:val="00B53813"/>
    <w:rsid w:val="00B539EE"/>
    <w:rsid w:val="00B53E79"/>
    <w:rsid w:val="00B53FA4"/>
    <w:rsid w:val="00B540DD"/>
    <w:rsid w:val="00B54780"/>
    <w:rsid w:val="00B54861"/>
    <w:rsid w:val="00B54AFB"/>
    <w:rsid w:val="00B54C97"/>
    <w:rsid w:val="00B54E35"/>
    <w:rsid w:val="00B55245"/>
    <w:rsid w:val="00B554BA"/>
    <w:rsid w:val="00B55A00"/>
    <w:rsid w:val="00B55C30"/>
    <w:rsid w:val="00B55F50"/>
    <w:rsid w:val="00B5652C"/>
    <w:rsid w:val="00B56584"/>
    <w:rsid w:val="00B56634"/>
    <w:rsid w:val="00B567FE"/>
    <w:rsid w:val="00B56D7F"/>
    <w:rsid w:val="00B56E02"/>
    <w:rsid w:val="00B57319"/>
    <w:rsid w:val="00B57BA8"/>
    <w:rsid w:val="00B57C45"/>
    <w:rsid w:val="00B57D10"/>
    <w:rsid w:val="00B57DE7"/>
    <w:rsid w:val="00B57F11"/>
    <w:rsid w:val="00B601E7"/>
    <w:rsid w:val="00B60628"/>
    <w:rsid w:val="00B6066E"/>
    <w:rsid w:val="00B6079F"/>
    <w:rsid w:val="00B60A7A"/>
    <w:rsid w:val="00B614FF"/>
    <w:rsid w:val="00B621ED"/>
    <w:rsid w:val="00B6237B"/>
    <w:rsid w:val="00B624B8"/>
    <w:rsid w:val="00B626F3"/>
    <w:rsid w:val="00B628A0"/>
    <w:rsid w:val="00B62921"/>
    <w:rsid w:val="00B62BC2"/>
    <w:rsid w:val="00B62C50"/>
    <w:rsid w:val="00B62DF9"/>
    <w:rsid w:val="00B62E03"/>
    <w:rsid w:val="00B630FC"/>
    <w:rsid w:val="00B632DE"/>
    <w:rsid w:val="00B632E9"/>
    <w:rsid w:val="00B63AB2"/>
    <w:rsid w:val="00B63BA0"/>
    <w:rsid w:val="00B63E65"/>
    <w:rsid w:val="00B63FB4"/>
    <w:rsid w:val="00B64112"/>
    <w:rsid w:val="00B6425A"/>
    <w:rsid w:val="00B64424"/>
    <w:rsid w:val="00B646F0"/>
    <w:rsid w:val="00B649EC"/>
    <w:rsid w:val="00B64D61"/>
    <w:rsid w:val="00B651B4"/>
    <w:rsid w:val="00B654C2"/>
    <w:rsid w:val="00B65828"/>
    <w:rsid w:val="00B6585E"/>
    <w:rsid w:val="00B65C42"/>
    <w:rsid w:val="00B65DDE"/>
    <w:rsid w:val="00B6649C"/>
    <w:rsid w:val="00B6650A"/>
    <w:rsid w:val="00B66550"/>
    <w:rsid w:val="00B66745"/>
    <w:rsid w:val="00B668CE"/>
    <w:rsid w:val="00B6692E"/>
    <w:rsid w:val="00B669FC"/>
    <w:rsid w:val="00B673C0"/>
    <w:rsid w:val="00B67543"/>
    <w:rsid w:val="00B67619"/>
    <w:rsid w:val="00B679D2"/>
    <w:rsid w:val="00B70164"/>
    <w:rsid w:val="00B702A4"/>
    <w:rsid w:val="00B704A5"/>
    <w:rsid w:val="00B70DF4"/>
    <w:rsid w:val="00B70FB3"/>
    <w:rsid w:val="00B7102C"/>
    <w:rsid w:val="00B712B9"/>
    <w:rsid w:val="00B71340"/>
    <w:rsid w:val="00B7136A"/>
    <w:rsid w:val="00B71518"/>
    <w:rsid w:val="00B71ABE"/>
    <w:rsid w:val="00B72A81"/>
    <w:rsid w:val="00B72AA9"/>
    <w:rsid w:val="00B72ADE"/>
    <w:rsid w:val="00B72E1E"/>
    <w:rsid w:val="00B72F0D"/>
    <w:rsid w:val="00B733FF"/>
    <w:rsid w:val="00B735C8"/>
    <w:rsid w:val="00B73A36"/>
    <w:rsid w:val="00B73A3D"/>
    <w:rsid w:val="00B73A55"/>
    <w:rsid w:val="00B73DAD"/>
    <w:rsid w:val="00B74169"/>
    <w:rsid w:val="00B7431C"/>
    <w:rsid w:val="00B744C5"/>
    <w:rsid w:val="00B7487F"/>
    <w:rsid w:val="00B748CF"/>
    <w:rsid w:val="00B749AB"/>
    <w:rsid w:val="00B74C48"/>
    <w:rsid w:val="00B74F01"/>
    <w:rsid w:val="00B74FC4"/>
    <w:rsid w:val="00B75161"/>
    <w:rsid w:val="00B7563F"/>
    <w:rsid w:val="00B756E4"/>
    <w:rsid w:val="00B756E5"/>
    <w:rsid w:val="00B75707"/>
    <w:rsid w:val="00B757AA"/>
    <w:rsid w:val="00B7588F"/>
    <w:rsid w:val="00B75BB8"/>
    <w:rsid w:val="00B7610C"/>
    <w:rsid w:val="00B763F0"/>
    <w:rsid w:val="00B76712"/>
    <w:rsid w:val="00B7686B"/>
    <w:rsid w:val="00B76A33"/>
    <w:rsid w:val="00B76C2B"/>
    <w:rsid w:val="00B76F4E"/>
    <w:rsid w:val="00B7707A"/>
    <w:rsid w:val="00B77315"/>
    <w:rsid w:val="00B773BA"/>
    <w:rsid w:val="00B775C7"/>
    <w:rsid w:val="00B77A36"/>
    <w:rsid w:val="00B77B33"/>
    <w:rsid w:val="00B77F19"/>
    <w:rsid w:val="00B8006E"/>
    <w:rsid w:val="00B807E7"/>
    <w:rsid w:val="00B80BB2"/>
    <w:rsid w:val="00B81060"/>
    <w:rsid w:val="00B810AF"/>
    <w:rsid w:val="00B810B8"/>
    <w:rsid w:val="00B813AE"/>
    <w:rsid w:val="00B81A2A"/>
    <w:rsid w:val="00B81D29"/>
    <w:rsid w:val="00B81E47"/>
    <w:rsid w:val="00B8222B"/>
    <w:rsid w:val="00B82264"/>
    <w:rsid w:val="00B827C7"/>
    <w:rsid w:val="00B829D9"/>
    <w:rsid w:val="00B82B8F"/>
    <w:rsid w:val="00B82C93"/>
    <w:rsid w:val="00B82D53"/>
    <w:rsid w:val="00B82E48"/>
    <w:rsid w:val="00B83BC7"/>
    <w:rsid w:val="00B83C2E"/>
    <w:rsid w:val="00B83F29"/>
    <w:rsid w:val="00B83F4B"/>
    <w:rsid w:val="00B84108"/>
    <w:rsid w:val="00B84B7C"/>
    <w:rsid w:val="00B84E07"/>
    <w:rsid w:val="00B84E59"/>
    <w:rsid w:val="00B8534A"/>
    <w:rsid w:val="00B8574E"/>
    <w:rsid w:val="00B85AEE"/>
    <w:rsid w:val="00B85FE2"/>
    <w:rsid w:val="00B86573"/>
    <w:rsid w:val="00B86732"/>
    <w:rsid w:val="00B86C78"/>
    <w:rsid w:val="00B86C85"/>
    <w:rsid w:val="00B86D11"/>
    <w:rsid w:val="00B87372"/>
    <w:rsid w:val="00B875A4"/>
    <w:rsid w:val="00B877F4"/>
    <w:rsid w:val="00B8797F"/>
    <w:rsid w:val="00B904C1"/>
    <w:rsid w:val="00B90634"/>
    <w:rsid w:val="00B90C2E"/>
    <w:rsid w:val="00B90E19"/>
    <w:rsid w:val="00B91025"/>
    <w:rsid w:val="00B91559"/>
    <w:rsid w:val="00B91F6F"/>
    <w:rsid w:val="00B9207A"/>
    <w:rsid w:val="00B92123"/>
    <w:rsid w:val="00B921EE"/>
    <w:rsid w:val="00B928D9"/>
    <w:rsid w:val="00B929BC"/>
    <w:rsid w:val="00B929EC"/>
    <w:rsid w:val="00B92C64"/>
    <w:rsid w:val="00B939BA"/>
    <w:rsid w:val="00B93D00"/>
    <w:rsid w:val="00B9405C"/>
    <w:rsid w:val="00B940DF"/>
    <w:rsid w:val="00B940E7"/>
    <w:rsid w:val="00B94169"/>
    <w:rsid w:val="00B941B7"/>
    <w:rsid w:val="00B9454B"/>
    <w:rsid w:val="00B9464D"/>
    <w:rsid w:val="00B94E27"/>
    <w:rsid w:val="00B9523A"/>
    <w:rsid w:val="00B95A01"/>
    <w:rsid w:val="00B95AA9"/>
    <w:rsid w:val="00B95BBB"/>
    <w:rsid w:val="00B960D7"/>
    <w:rsid w:val="00B961BC"/>
    <w:rsid w:val="00B9633D"/>
    <w:rsid w:val="00B96484"/>
    <w:rsid w:val="00B96513"/>
    <w:rsid w:val="00B968FE"/>
    <w:rsid w:val="00B96EAE"/>
    <w:rsid w:val="00B97465"/>
    <w:rsid w:val="00B97535"/>
    <w:rsid w:val="00B9787D"/>
    <w:rsid w:val="00BA004D"/>
    <w:rsid w:val="00BA019D"/>
    <w:rsid w:val="00BA058B"/>
    <w:rsid w:val="00BA0BCF"/>
    <w:rsid w:val="00BA0C4C"/>
    <w:rsid w:val="00BA138D"/>
    <w:rsid w:val="00BA18B0"/>
    <w:rsid w:val="00BA18D2"/>
    <w:rsid w:val="00BA1976"/>
    <w:rsid w:val="00BA1A89"/>
    <w:rsid w:val="00BA1BDA"/>
    <w:rsid w:val="00BA1C9F"/>
    <w:rsid w:val="00BA2053"/>
    <w:rsid w:val="00BA21DB"/>
    <w:rsid w:val="00BA22CB"/>
    <w:rsid w:val="00BA2346"/>
    <w:rsid w:val="00BA2532"/>
    <w:rsid w:val="00BA2571"/>
    <w:rsid w:val="00BA2B89"/>
    <w:rsid w:val="00BA3404"/>
    <w:rsid w:val="00BA3458"/>
    <w:rsid w:val="00BA36DD"/>
    <w:rsid w:val="00BA38C8"/>
    <w:rsid w:val="00BA38E4"/>
    <w:rsid w:val="00BA39F7"/>
    <w:rsid w:val="00BA3A6C"/>
    <w:rsid w:val="00BA3B00"/>
    <w:rsid w:val="00BA3D82"/>
    <w:rsid w:val="00BA4029"/>
    <w:rsid w:val="00BA43F7"/>
    <w:rsid w:val="00BA459C"/>
    <w:rsid w:val="00BA46B2"/>
    <w:rsid w:val="00BA4DD2"/>
    <w:rsid w:val="00BA4E72"/>
    <w:rsid w:val="00BA4FFE"/>
    <w:rsid w:val="00BA5629"/>
    <w:rsid w:val="00BA57B2"/>
    <w:rsid w:val="00BA5990"/>
    <w:rsid w:val="00BA5A5C"/>
    <w:rsid w:val="00BA5A99"/>
    <w:rsid w:val="00BA5D78"/>
    <w:rsid w:val="00BA6262"/>
    <w:rsid w:val="00BA67F1"/>
    <w:rsid w:val="00BA68E1"/>
    <w:rsid w:val="00BA6E60"/>
    <w:rsid w:val="00BA7842"/>
    <w:rsid w:val="00BA7CBF"/>
    <w:rsid w:val="00BA7F96"/>
    <w:rsid w:val="00BB061C"/>
    <w:rsid w:val="00BB0BE4"/>
    <w:rsid w:val="00BB1184"/>
    <w:rsid w:val="00BB1275"/>
    <w:rsid w:val="00BB1900"/>
    <w:rsid w:val="00BB1A63"/>
    <w:rsid w:val="00BB1A8F"/>
    <w:rsid w:val="00BB1B9B"/>
    <w:rsid w:val="00BB1E50"/>
    <w:rsid w:val="00BB21BC"/>
    <w:rsid w:val="00BB22F7"/>
    <w:rsid w:val="00BB2391"/>
    <w:rsid w:val="00BB2DBA"/>
    <w:rsid w:val="00BB36D8"/>
    <w:rsid w:val="00BB3D4C"/>
    <w:rsid w:val="00BB3D8E"/>
    <w:rsid w:val="00BB437B"/>
    <w:rsid w:val="00BB4883"/>
    <w:rsid w:val="00BB4A08"/>
    <w:rsid w:val="00BB4ACF"/>
    <w:rsid w:val="00BB5C41"/>
    <w:rsid w:val="00BB61CE"/>
    <w:rsid w:val="00BB6605"/>
    <w:rsid w:val="00BB6868"/>
    <w:rsid w:val="00BB6948"/>
    <w:rsid w:val="00BB69C2"/>
    <w:rsid w:val="00BB69EA"/>
    <w:rsid w:val="00BB6AE9"/>
    <w:rsid w:val="00BB6C8A"/>
    <w:rsid w:val="00BB6CD3"/>
    <w:rsid w:val="00BB6E87"/>
    <w:rsid w:val="00BB7727"/>
    <w:rsid w:val="00BB794E"/>
    <w:rsid w:val="00BB7A0C"/>
    <w:rsid w:val="00BB7A3D"/>
    <w:rsid w:val="00BB7AEC"/>
    <w:rsid w:val="00BB7D8A"/>
    <w:rsid w:val="00BB7E96"/>
    <w:rsid w:val="00BC015A"/>
    <w:rsid w:val="00BC03FF"/>
    <w:rsid w:val="00BC0438"/>
    <w:rsid w:val="00BC0463"/>
    <w:rsid w:val="00BC059A"/>
    <w:rsid w:val="00BC0703"/>
    <w:rsid w:val="00BC0AAF"/>
    <w:rsid w:val="00BC0E95"/>
    <w:rsid w:val="00BC0FAE"/>
    <w:rsid w:val="00BC0FCA"/>
    <w:rsid w:val="00BC14BE"/>
    <w:rsid w:val="00BC187B"/>
    <w:rsid w:val="00BC18C0"/>
    <w:rsid w:val="00BC1952"/>
    <w:rsid w:val="00BC1B45"/>
    <w:rsid w:val="00BC1B8F"/>
    <w:rsid w:val="00BC1DBF"/>
    <w:rsid w:val="00BC1EE9"/>
    <w:rsid w:val="00BC1FC8"/>
    <w:rsid w:val="00BC2283"/>
    <w:rsid w:val="00BC291C"/>
    <w:rsid w:val="00BC2B03"/>
    <w:rsid w:val="00BC2F1E"/>
    <w:rsid w:val="00BC322F"/>
    <w:rsid w:val="00BC34BE"/>
    <w:rsid w:val="00BC35AC"/>
    <w:rsid w:val="00BC3791"/>
    <w:rsid w:val="00BC3A84"/>
    <w:rsid w:val="00BC3BBE"/>
    <w:rsid w:val="00BC3DB8"/>
    <w:rsid w:val="00BC3F17"/>
    <w:rsid w:val="00BC3F78"/>
    <w:rsid w:val="00BC3FFD"/>
    <w:rsid w:val="00BC40C1"/>
    <w:rsid w:val="00BC4150"/>
    <w:rsid w:val="00BC45BE"/>
    <w:rsid w:val="00BC4705"/>
    <w:rsid w:val="00BC48AB"/>
    <w:rsid w:val="00BC48C6"/>
    <w:rsid w:val="00BC4DD4"/>
    <w:rsid w:val="00BC4E91"/>
    <w:rsid w:val="00BC51BC"/>
    <w:rsid w:val="00BC5219"/>
    <w:rsid w:val="00BC55F5"/>
    <w:rsid w:val="00BC5946"/>
    <w:rsid w:val="00BC59CE"/>
    <w:rsid w:val="00BC5F0A"/>
    <w:rsid w:val="00BC613A"/>
    <w:rsid w:val="00BC6378"/>
    <w:rsid w:val="00BC64BF"/>
    <w:rsid w:val="00BC678E"/>
    <w:rsid w:val="00BC68C2"/>
    <w:rsid w:val="00BC6A08"/>
    <w:rsid w:val="00BC6AEB"/>
    <w:rsid w:val="00BC73AE"/>
    <w:rsid w:val="00BC768B"/>
    <w:rsid w:val="00BC772A"/>
    <w:rsid w:val="00BC7829"/>
    <w:rsid w:val="00BC7868"/>
    <w:rsid w:val="00BC788D"/>
    <w:rsid w:val="00BC7BAB"/>
    <w:rsid w:val="00BC7D17"/>
    <w:rsid w:val="00BD01D8"/>
    <w:rsid w:val="00BD023D"/>
    <w:rsid w:val="00BD03BA"/>
    <w:rsid w:val="00BD088E"/>
    <w:rsid w:val="00BD0B76"/>
    <w:rsid w:val="00BD0F94"/>
    <w:rsid w:val="00BD0FE9"/>
    <w:rsid w:val="00BD150B"/>
    <w:rsid w:val="00BD1704"/>
    <w:rsid w:val="00BD18A7"/>
    <w:rsid w:val="00BD1907"/>
    <w:rsid w:val="00BD209D"/>
    <w:rsid w:val="00BD2180"/>
    <w:rsid w:val="00BD2400"/>
    <w:rsid w:val="00BD2493"/>
    <w:rsid w:val="00BD2972"/>
    <w:rsid w:val="00BD2980"/>
    <w:rsid w:val="00BD2B0C"/>
    <w:rsid w:val="00BD2C14"/>
    <w:rsid w:val="00BD2C18"/>
    <w:rsid w:val="00BD2E0F"/>
    <w:rsid w:val="00BD3144"/>
    <w:rsid w:val="00BD383D"/>
    <w:rsid w:val="00BD3A76"/>
    <w:rsid w:val="00BD3C42"/>
    <w:rsid w:val="00BD3CD4"/>
    <w:rsid w:val="00BD3D66"/>
    <w:rsid w:val="00BD4511"/>
    <w:rsid w:val="00BD4556"/>
    <w:rsid w:val="00BD4710"/>
    <w:rsid w:val="00BD490C"/>
    <w:rsid w:val="00BD4A1B"/>
    <w:rsid w:val="00BD4BBA"/>
    <w:rsid w:val="00BD5627"/>
    <w:rsid w:val="00BD579A"/>
    <w:rsid w:val="00BD6143"/>
    <w:rsid w:val="00BD61C4"/>
    <w:rsid w:val="00BD677D"/>
    <w:rsid w:val="00BD6A64"/>
    <w:rsid w:val="00BD7657"/>
    <w:rsid w:val="00BD766F"/>
    <w:rsid w:val="00BD7731"/>
    <w:rsid w:val="00BD7CA0"/>
    <w:rsid w:val="00BD7E9E"/>
    <w:rsid w:val="00BE0272"/>
    <w:rsid w:val="00BE0A0D"/>
    <w:rsid w:val="00BE0A46"/>
    <w:rsid w:val="00BE0D14"/>
    <w:rsid w:val="00BE1089"/>
    <w:rsid w:val="00BE1215"/>
    <w:rsid w:val="00BE152A"/>
    <w:rsid w:val="00BE1855"/>
    <w:rsid w:val="00BE1AE5"/>
    <w:rsid w:val="00BE1B31"/>
    <w:rsid w:val="00BE1EA8"/>
    <w:rsid w:val="00BE1EC5"/>
    <w:rsid w:val="00BE205E"/>
    <w:rsid w:val="00BE2469"/>
    <w:rsid w:val="00BE2528"/>
    <w:rsid w:val="00BE2816"/>
    <w:rsid w:val="00BE29EB"/>
    <w:rsid w:val="00BE2A46"/>
    <w:rsid w:val="00BE2C7F"/>
    <w:rsid w:val="00BE2CCB"/>
    <w:rsid w:val="00BE3504"/>
    <w:rsid w:val="00BE3A7B"/>
    <w:rsid w:val="00BE3D22"/>
    <w:rsid w:val="00BE3D84"/>
    <w:rsid w:val="00BE3EA4"/>
    <w:rsid w:val="00BE40B7"/>
    <w:rsid w:val="00BE41BD"/>
    <w:rsid w:val="00BE431D"/>
    <w:rsid w:val="00BE46BD"/>
    <w:rsid w:val="00BE4A44"/>
    <w:rsid w:val="00BE4D0D"/>
    <w:rsid w:val="00BE4E1D"/>
    <w:rsid w:val="00BE510A"/>
    <w:rsid w:val="00BE5240"/>
    <w:rsid w:val="00BE5542"/>
    <w:rsid w:val="00BE55AA"/>
    <w:rsid w:val="00BE5C16"/>
    <w:rsid w:val="00BE5C3F"/>
    <w:rsid w:val="00BE5FB1"/>
    <w:rsid w:val="00BE6206"/>
    <w:rsid w:val="00BE63A0"/>
    <w:rsid w:val="00BE6579"/>
    <w:rsid w:val="00BE6782"/>
    <w:rsid w:val="00BE6A12"/>
    <w:rsid w:val="00BE6AA9"/>
    <w:rsid w:val="00BE6C2A"/>
    <w:rsid w:val="00BE6C7B"/>
    <w:rsid w:val="00BE6F7E"/>
    <w:rsid w:val="00BE7008"/>
    <w:rsid w:val="00BE7364"/>
    <w:rsid w:val="00BE7503"/>
    <w:rsid w:val="00BE782C"/>
    <w:rsid w:val="00BE7B17"/>
    <w:rsid w:val="00BE7ED9"/>
    <w:rsid w:val="00BF0137"/>
    <w:rsid w:val="00BF08EE"/>
    <w:rsid w:val="00BF0BD8"/>
    <w:rsid w:val="00BF12A4"/>
    <w:rsid w:val="00BF1575"/>
    <w:rsid w:val="00BF158D"/>
    <w:rsid w:val="00BF15BA"/>
    <w:rsid w:val="00BF1713"/>
    <w:rsid w:val="00BF1771"/>
    <w:rsid w:val="00BF1986"/>
    <w:rsid w:val="00BF1BBE"/>
    <w:rsid w:val="00BF1CB1"/>
    <w:rsid w:val="00BF1D2B"/>
    <w:rsid w:val="00BF1DE9"/>
    <w:rsid w:val="00BF2002"/>
    <w:rsid w:val="00BF2354"/>
    <w:rsid w:val="00BF2556"/>
    <w:rsid w:val="00BF2B41"/>
    <w:rsid w:val="00BF2E87"/>
    <w:rsid w:val="00BF2F0E"/>
    <w:rsid w:val="00BF2F5F"/>
    <w:rsid w:val="00BF2F95"/>
    <w:rsid w:val="00BF3E3B"/>
    <w:rsid w:val="00BF4078"/>
    <w:rsid w:val="00BF4608"/>
    <w:rsid w:val="00BF479A"/>
    <w:rsid w:val="00BF4CA2"/>
    <w:rsid w:val="00BF4D0B"/>
    <w:rsid w:val="00BF4F01"/>
    <w:rsid w:val="00BF4F81"/>
    <w:rsid w:val="00BF52E1"/>
    <w:rsid w:val="00BF5368"/>
    <w:rsid w:val="00BF55FF"/>
    <w:rsid w:val="00BF56CC"/>
    <w:rsid w:val="00BF5739"/>
    <w:rsid w:val="00BF5889"/>
    <w:rsid w:val="00BF594E"/>
    <w:rsid w:val="00BF59CD"/>
    <w:rsid w:val="00BF63DC"/>
    <w:rsid w:val="00BF6663"/>
    <w:rsid w:val="00BF6722"/>
    <w:rsid w:val="00BF68E0"/>
    <w:rsid w:val="00BF6BB4"/>
    <w:rsid w:val="00BF6E99"/>
    <w:rsid w:val="00BF6F54"/>
    <w:rsid w:val="00BF6FEC"/>
    <w:rsid w:val="00BF701B"/>
    <w:rsid w:val="00BF702B"/>
    <w:rsid w:val="00BF7524"/>
    <w:rsid w:val="00BF7792"/>
    <w:rsid w:val="00BF7900"/>
    <w:rsid w:val="00BF7A9B"/>
    <w:rsid w:val="00BF7BDB"/>
    <w:rsid w:val="00C008D2"/>
    <w:rsid w:val="00C009AF"/>
    <w:rsid w:val="00C00A57"/>
    <w:rsid w:val="00C00B5A"/>
    <w:rsid w:val="00C00C87"/>
    <w:rsid w:val="00C00E9F"/>
    <w:rsid w:val="00C00EFA"/>
    <w:rsid w:val="00C013C3"/>
    <w:rsid w:val="00C0144E"/>
    <w:rsid w:val="00C01678"/>
    <w:rsid w:val="00C01E82"/>
    <w:rsid w:val="00C01F5F"/>
    <w:rsid w:val="00C02065"/>
    <w:rsid w:val="00C02416"/>
    <w:rsid w:val="00C02585"/>
    <w:rsid w:val="00C0284A"/>
    <w:rsid w:val="00C028A0"/>
    <w:rsid w:val="00C02C54"/>
    <w:rsid w:val="00C02F18"/>
    <w:rsid w:val="00C0317B"/>
    <w:rsid w:val="00C031D2"/>
    <w:rsid w:val="00C0320C"/>
    <w:rsid w:val="00C0323B"/>
    <w:rsid w:val="00C03372"/>
    <w:rsid w:val="00C034E3"/>
    <w:rsid w:val="00C035C2"/>
    <w:rsid w:val="00C03605"/>
    <w:rsid w:val="00C03FA9"/>
    <w:rsid w:val="00C041D0"/>
    <w:rsid w:val="00C04630"/>
    <w:rsid w:val="00C04AAE"/>
    <w:rsid w:val="00C04B8A"/>
    <w:rsid w:val="00C04D60"/>
    <w:rsid w:val="00C04FD8"/>
    <w:rsid w:val="00C05430"/>
    <w:rsid w:val="00C05483"/>
    <w:rsid w:val="00C055E0"/>
    <w:rsid w:val="00C05618"/>
    <w:rsid w:val="00C0563C"/>
    <w:rsid w:val="00C05766"/>
    <w:rsid w:val="00C0581A"/>
    <w:rsid w:val="00C05FE2"/>
    <w:rsid w:val="00C062D4"/>
    <w:rsid w:val="00C06425"/>
    <w:rsid w:val="00C066EF"/>
    <w:rsid w:val="00C06A42"/>
    <w:rsid w:val="00C06C17"/>
    <w:rsid w:val="00C06CA1"/>
    <w:rsid w:val="00C06EAA"/>
    <w:rsid w:val="00C0701B"/>
    <w:rsid w:val="00C0701C"/>
    <w:rsid w:val="00C073F4"/>
    <w:rsid w:val="00C078D5"/>
    <w:rsid w:val="00C07AC4"/>
    <w:rsid w:val="00C07B22"/>
    <w:rsid w:val="00C07CFE"/>
    <w:rsid w:val="00C1008C"/>
    <w:rsid w:val="00C10567"/>
    <w:rsid w:val="00C1079E"/>
    <w:rsid w:val="00C1086B"/>
    <w:rsid w:val="00C108C2"/>
    <w:rsid w:val="00C11084"/>
    <w:rsid w:val="00C110B3"/>
    <w:rsid w:val="00C11374"/>
    <w:rsid w:val="00C11BC4"/>
    <w:rsid w:val="00C11D15"/>
    <w:rsid w:val="00C11DC3"/>
    <w:rsid w:val="00C11DF3"/>
    <w:rsid w:val="00C11ECD"/>
    <w:rsid w:val="00C121ED"/>
    <w:rsid w:val="00C122F7"/>
    <w:rsid w:val="00C12357"/>
    <w:rsid w:val="00C1246A"/>
    <w:rsid w:val="00C127A7"/>
    <w:rsid w:val="00C12901"/>
    <w:rsid w:val="00C12A54"/>
    <w:rsid w:val="00C12B69"/>
    <w:rsid w:val="00C12C26"/>
    <w:rsid w:val="00C133CF"/>
    <w:rsid w:val="00C1344F"/>
    <w:rsid w:val="00C13908"/>
    <w:rsid w:val="00C1395C"/>
    <w:rsid w:val="00C139C5"/>
    <w:rsid w:val="00C13C44"/>
    <w:rsid w:val="00C13E94"/>
    <w:rsid w:val="00C14120"/>
    <w:rsid w:val="00C14306"/>
    <w:rsid w:val="00C14699"/>
    <w:rsid w:val="00C148E6"/>
    <w:rsid w:val="00C14917"/>
    <w:rsid w:val="00C14DA6"/>
    <w:rsid w:val="00C14FCB"/>
    <w:rsid w:val="00C15020"/>
    <w:rsid w:val="00C15AA7"/>
    <w:rsid w:val="00C15B87"/>
    <w:rsid w:val="00C15CF5"/>
    <w:rsid w:val="00C15D7E"/>
    <w:rsid w:val="00C16311"/>
    <w:rsid w:val="00C163CB"/>
    <w:rsid w:val="00C1644D"/>
    <w:rsid w:val="00C167AF"/>
    <w:rsid w:val="00C16D9A"/>
    <w:rsid w:val="00C16E9B"/>
    <w:rsid w:val="00C17131"/>
    <w:rsid w:val="00C175CF"/>
    <w:rsid w:val="00C17DFF"/>
    <w:rsid w:val="00C17F53"/>
    <w:rsid w:val="00C201C1"/>
    <w:rsid w:val="00C208EA"/>
    <w:rsid w:val="00C20D51"/>
    <w:rsid w:val="00C20E78"/>
    <w:rsid w:val="00C20EDE"/>
    <w:rsid w:val="00C20F3A"/>
    <w:rsid w:val="00C210AB"/>
    <w:rsid w:val="00C211F5"/>
    <w:rsid w:val="00C214A0"/>
    <w:rsid w:val="00C21B33"/>
    <w:rsid w:val="00C21DCE"/>
    <w:rsid w:val="00C21E26"/>
    <w:rsid w:val="00C21E6E"/>
    <w:rsid w:val="00C21F99"/>
    <w:rsid w:val="00C2227E"/>
    <w:rsid w:val="00C22474"/>
    <w:rsid w:val="00C22569"/>
    <w:rsid w:val="00C226FA"/>
    <w:rsid w:val="00C22817"/>
    <w:rsid w:val="00C22DF9"/>
    <w:rsid w:val="00C22E24"/>
    <w:rsid w:val="00C22F8A"/>
    <w:rsid w:val="00C22FDA"/>
    <w:rsid w:val="00C231FF"/>
    <w:rsid w:val="00C237B9"/>
    <w:rsid w:val="00C239AA"/>
    <w:rsid w:val="00C24338"/>
    <w:rsid w:val="00C24513"/>
    <w:rsid w:val="00C246ED"/>
    <w:rsid w:val="00C24726"/>
    <w:rsid w:val="00C24ABB"/>
    <w:rsid w:val="00C24E67"/>
    <w:rsid w:val="00C25447"/>
    <w:rsid w:val="00C2546A"/>
    <w:rsid w:val="00C254B2"/>
    <w:rsid w:val="00C25A29"/>
    <w:rsid w:val="00C25C1A"/>
    <w:rsid w:val="00C263A0"/>
    <w:rsid w:val="00C263FD"/>
    <w:rsid w:val="00C267AA"/>
    <w:rsid w:val="00C26B8B"/>
    <w:rsid w:val="00C26CC1"/>
    <w:rsid w:val="00C26D1C"/>
    <w:rsid w:val="00C26DBC"/>
    <w:rsid w:val="00C26F5E"/>
    <w:rsid w:val="00C26FCF"/>
    <w:rsid w:val="00C2703C"/>
    <w:rsid w:val="00C27118"/>
    <w:rsid w:val="00C2713C"/>
    <w:rsid w:val="00C2735D"/>
    <w:rsid w:val="00C27460"/>
    <w:rsid w:val="00C27A9F"/>
    <w:rsid w:val="00C27C99"/>
    <w:rsid w:val="00C27D5B"/>
    <w:rsid w:val="00C27E47"/>
    <w:rsid w:val="00C302D1"/>
    <w:rsid w:val="00C305BF"/>
    <w:rsid w:val="00C30BAB"/>
    <w:rsid w:val="00C3106A"/>
    <w:rsid w:val="00C31077"/>
    <w:rsid w:val="00C311C6"/>
    <w:rsid w:val="00C31224"/>
    <w:rsid w:val="00C3165F"/>
    <w:rsid w:val="00C316A4"/>
    <w:rsid w:val="00C31756"/>
    <w:rsid w:val="00C318FA"/>
    <w:rsid w:val="00C31947"/>
    <w:rsid w:val="00C31AED"/>
    <w:rsid w:val="00C31C37"/>
    <w:rsid w:val="00C31C40"/>
    <w:rsid w:val="00C31F96"/>
    <w:rsid w:val="00C32332"/>
    <w:rsid w:val="00C32375"/>
    <w:rsid w:val="00C323BC"/>
    <w:rsid w:val="00C32401"/>
    <w:rsid w:val="00C32A79"/>
    <w:rsid w:val="00C32B9A"/>
    <w:rsid w:val="00C32C36"/>
    <w:rsid w:val="00C32C69"/>
    <w:rsid w:val="00C32D48"/>
    <w:rsid w:val="00C32E74"/>
    <w:rsid w:val="00C33175"/>
    <w:rsid w:val="00C332D7"/>
    <w:rsid w:val="00C33405"/>
    <w:rsid w:val="00C33557"/>
    <w:rsid w:val="00C336E1"/>
    <w:rsid w:val="00C337DF"/>
    <w:rsid w:val="00C3384D"/>
    <w:rsid w:val="00C33D23"/>
    <w:rsid w:val="00C34034"/>
    <w:rsid w:val="00C34136"/>
    <w:rsid w:val="00C3462F"/>
    <w:rsid w:val="00C34702"/>
    <w:rsid w:val="00C34BA0"/>
    <w:rsid w:val="00C34C86"/>
    <w:rsid w:val="00C35A0E"/>
    <w:rsid w:val="00C35BC6"/>
    <w:rsid w:val="00C35D41"/>
    <w:rsid w:val="00C361A8"/>
    <w:rsid w:val="00C36471"/>
    <w:rsid w:val="00C36C95"/>
    <w:rsid w:val="00C36CA0"/>
    <w:rsid w:val="00C36F48"/>
    <w:rsid w:val="00C36FCC"/>
    <w:rsid w:val="00C36FED"/>
    <w:rsid w:val="00C370CA"/>
    <w:rsid w:val="00C37768"/>
    <w:rsid w:val="00C37AB4"/>
    <w:rsid w:val="00C37B5B"/>
    <w:rsid w:val="00C405F6"/>
    <w:rsid w:val="00C40CF8"/>
    <w:rsid w:val="00C41204"/>
    <w:rsid w:val="00C41274"/>
    <w:rsid w:val="00C41370"/>
    <w:rsid w:val="00C413D9"/>
    <w:rsid w:val="00C41693"/>
    <w:rsid w:val="00C419B0"/>
    <w:rsid w:val="00C419EC"/>
    <w:rsid w:val="00C41BDE"/>
    <w:rsid w:val="00C41E8C"/>
    <w:rsid w:val="00C41F5E"/>
    <w:rsid w:val="00C4232E"/>
    <w:rsid w:val="00C42360"/>
    <w:rsid w:val="00C423C7"/>
    <w:rsid w:val="00C4279E"/>
    <w:rsid w:val="00C42A14"/>
    <w:rsid w:val="00C42E37"/>
    <w:rsid w:val="00C430F5"/>
    <w:rsid w:val="00C43422"/>
    <w:rsid w:val="00C4376C"/>
    <w:rsid w:val="00C43778"/>
    <w:rsid w:val="00C43C51"/>
    <w:rsid w:val="00C43E90"/>
    <w:rsid w:val="00C43F30"/>
    <w:rsid w:val="00C43F9B"/>
    <w:rsid w:val="00C440C3"/>
    <w:rsid w:val="00C44247"/>
    <w:rsid w:val="00C4450B"/>
    <w:rsid w:val="00C44555"/>
    <w:rsid w:val="00C451C8"/>
    <w:rsid w:val="00C45217"/>
    <w:rsid w:val="00C45237"/>
    <w:rsid w:val="00C453DB"/>
    <w:rsid w:val="00C45525"/>
    <w:rsid w:val="00C45EAD"/>
    <w:rsid w:val="00C4649B"/>
    <w:rsid w:val="00C46C46"/>
    <w:rsid w:val="00C46CB7"/>
    <w:rsid w:val="00C46F81"/>
    <w:rsid w:val="00C473F0"/>
    <w:rsid w:val="00C474DC"/>
    <w:rsid w:val="00C47672"/>
    <w:rsid w:val="00C478B9"/>
    <w:rsid w:val="00C479D7"/>
    <w:rsid w:val="00C479EF"/>
    <w:rsid w:val="00C47A91"/>
    <w:rsid w:val="00C47D06"/>
    <w:rsid w:val="00C50343"/>
    <w:rsid w:val="00C50621"/>
    <w:rsid w:val="00C50816"/>
    <w:rsid w:val="00C5096E"/>
    <w:rsid w:val="00C50C2A"/>
    <w:rsid w:val="00C50D17"/>
    <w:rsid w:val="00C50D22"/>
    <w:rsid w:val="00C50D63"/>
    <w:rsid w:val="00C50DB5"/>
    <w:rsid w:val="00C50E39"/>
    <w:rsid w:val="00C50F34"/>
    <w:rsid w:val="00C51262"/>
    <w:rsid w:val="00C51951"/>
    <w:rsid w:val="00C52019"/>
    <w:rsid w:val="00C52058"/>
    <w:rsid w:val="00C5205D"/>
    <w:rsid w:val="00C5238C"/>
    <w:rsid w:val="00C52486"/>
    <w:rsid w:val="00C52725"/>
    <w:rsid w:val="00C52A54"/>
    <w:rsid w:val="00C537E2"/>
    <w:rsid w:val="00C53939"/>
    <w:rsid w:val="00C542ED"/>
    <w:rsid w:val="00C5468A"/>
    <w:rsid w:val="00C54CAB"/>
    <w:rsid w:val="00C550D6"/>
    <w:rsid w:val="00C5516B"/>
    <w:rsid w:val="00C5516C"/>
    <w:rsid w:val="00C55368"/>
    <w:rsid w:val="00C55615"/>
    <w:rsid w:val="00C5573D"/>
    <w:rsid w:val="00C55998"/>
    <w:rsid w:val="00C55FAD"/>
    <w:rsid w:val="00C562D4"/>
    <w:rsid w:val="00C565E6"/>
    <w:rsid w:val="00C567A2"/>
    <w:rsid w:val="00C567B7"/>
    <w:rsid w:val="00C56B58"/>
    <w:rsid w:val="00C56C71"/>
    <w:rsid w:val="00C56F42"/>
    <w:rsid w:val="00C572CB"/>
    <w:rsid w:val="00C57524"/>
    <w:rsid w:val="00C576DA"/>
    <w:rsid w:val="00C5786F"/>
    <w:rsid w:val="00C57A96"/>
    <w:rsid w:val="00C57D0B"/>
    <w:rsid w:val="00C57F91"/>
    <w:rsid w:val="00C6043A"/>
    <w:rsid w:val="00C60446"/>
    <w:rsid w:val="00C60507"/>
    <w:rsid w:val="00C605DE"/>
    <w:rsid w:val="00C607A9"/>
    <w:rsid w:val="00C60A0B"/>
    <w:rsid w:val="00C60E00"/>
    <w:rsid w:val="00C61347"/>
    <w:rsid w:val="00C61475"/>
    <w:rsid w:val="00C61670"/>
    <w:rsid w:val="00C617BE"/>
    <w:rsid w:val="00C6182E"/>
    <w:rsid w:val="00C61A90"/>
    <w:rsid w:val="00C61D8F"/>
    <w:rsid w:val="00C62BC6"/>
    <w:rsid w:val="00C62F59"/>
    <w:rsid w:val="00C6309E"/>
    <w:rsid w:val="00C6345F"/>
    <w:rsid w:val="00C636C3"/>
    <w:rsid w:val="00C63B43"/>
    <w:rsid w:val="00C644F1"/>
    <w:rsid w:val="00C64CB5"/>
    <w:rsid w:val="00C64D99"/>
    <w:rsid w:val="00C64F30"/>
    <w:rsid w:val="00C64F49"/>
    <w:rsid w:val="00C6522F"/>
    <w:rsid w:val="00C652EE"/>
    <w:rsid w:val="00C65466"/>
    <w:rsid w:val="00C65776"/>
    <w:rsid w:val="00C65A3A"/>
    <w:rsid w:val="00C65AD1"/>
    <w:rsid w:val="00C65B85"/>
    <w:rsid w:val="00C65CF2"/>
    <w:rsid w:val="00C65ED9"/>
    <w:rsid w:val="00C660A0"/>
    <w:rsid w:val="00C66339"/>
    <w:rsid w:val="00C664E7"/>
    <w:rsid w:val="00C6666F"/>
    <w:rsid w:val="00C668BD"/>
    <w:rsid w:val="00C66B33"/>
    <w:rsid w:val="00C66BA4"/>
    <w:rsid w:val="00C67260"/>
    <w:rsid w:val="00C677FD"/>
    <w:rsid w:val="00C67E50"/>
    <w:rsid w:val="00C67F0C"/>
    <w:rsid w:val="00C70004"/>
    <w:rsid w:val="00C7053D"/>
    <w:rsid w:val="00C7087A"/>
    <w:rsid w:val="00C70DEA"/>
    <w:rsid w:val="00C71365"/>
    <w:rsid w:val="00C71658"/>
    <w:rsid w:val="00C71830"/>
    <w:rsid w:val="00C71C7C"/>
    <w:rsid w:val="00C71CF5"/>
    <w:rsid w:val="00C72020"/>
    <w:rsid w:val="00C72062"/>
    <w:rsid w:val="00C723F1"/>
    <w:rsid w:val="00C7241D"/>
    <w:rsid w:val="00C725F5"/>
    <w:rsid w:val="00C726B6"/>
    <w:rsid w:val="00C72820"/>
    <w:rsid w:val="00C72CA8"/>
    <w:rsid w:val="00C73D1F"/>
    <w:rsid w:val="00C73F93"/>
    <w:rsid w:val="00C749B3"/>
    <w:rsid w:val="00C74E42"/>
    <w:rsid w:val="00C75439"/>
    <w:rsid w:val="00C7563D"/>
    <w:rsid w:val="00C757F2"/>
    <w:rsid w:val="00C7585F"/>
    <w:rsid w:val="00C75985"/>
    <w:rsid w:val="00C75E03"/>
    <w:rsid w:val="00C75EDF"/>
    <w:rsid w:val="00C76004"/>
    <w:rsid w:val="00C76221"/>
    <w:rsid w:val="00C76245"/>
    <w:rsid w:val="00C76356"/>
    <w:rsid w:val="00C763AB"/>
    <w:rsid w:val="00C76734"/>
    <w:rsid w:val="00C76BC0"/>
    <w:rsid w:val="00C77481"/>
    <w:rsid w:val="00C77503"/>
    <w:rsid w:val="00C778B9"/>
    <w:rsid w:val="00C7790A"/>
    <w:rsid w:val="00C77BA6"/>
    <w:rsid w:val="00C77BE5"/>
    <w:rsid w:val="00C77E1E"/>
    <w:rsid w:val="00C77E4C"/>
    <w:rsid w:val="00C80072"/>
    <w:rsid w:val="00C801C3"/>
    <w:rsid w:val="00C802B3"/>
    <w:rsid w:val="00C809D6"/>
    <w:rsid w:val="00C80AB7"/>
    <w:rsid w:val="00C80CBC"/>
    <w:rsid w:val="00C81106"/>
    <w:rsid w:val="00C81140"/>
    <w:rsid w:val="00C81180"/>
    <w:rsid w:val="00C816F1"/>
    <w:rsid w:val="00C8178F"/>
    <w:rsid w:val="00C81AC1"/>
    <w:rsid w:val="00C81CB7"/>
    <w:rsid w:val="00C826EE"/>
    <w:rsid w:val="00C827FE"/>
    <w:rsid w:val="00C829DA"/>
    <w:rsid w:val="00C82D85"/>
    <w:rsid w:val="00C82DCA"/>
    <w:rsid w:val="00C82E03"/>
    <w:rsid w:val="00C82F60"/>
    <w:rsid w:val="00C83068"/>
    <w:rsid w:val="00C831AF"/>
    <w:rsid w:val="00C831DF"/>
    <w:rsid w:val="00C83861"/>
    <w:rsid w:val="00C83A0F"/>
    <w:rsid w:val="00C83C3E"/>
    <w:rsid w:val="00C83D3B"/>
    <w:rsid w:val="00C8423D"/>
    <w:rsid w:val="00C8447F"/>
    <w:rsid w:val="00C84797"/>
    <w:rsid w:val="00C8496E"/>
    <w:rsid w:val="00C84AC5"/>
    <w:rsid w:val="00C84D66"/>
    <w:rsid w:val="00C84EE8"/>
    <w:rsid w:val="00C85490"/>
    <w:rsid w:val="00C8550B"/>
    <w:rsid w:val="00C85606"/>
    <w:rsid w:val="00C859BA"/>
    <w:rsid w:val="00C85C22"/>
    <w:rsid w:val="00C85F71"/>
    <w:rsid w:val="00C86003"/>
    <w:rsid w:val="00C860FF"/>
    <w:rsid w:val="00C8610A"/>
    <w:rsid w:val="00C864F2"/>
    <w:rsid w:val="00C86927"/>
    <w:rsid w:val="00C869B4"/>
    <w:rsid w:val="00C86BC2"/>
    <w:rsid w:val="00C86D6A"/>
    <w:rsid w:val="00C86DC1"/>
    <w:rsid w:val="00C86EAA"/>
    <w:rsid w:val="00C86ED7"/>
    <w:rsid w:val="00C8747B"/>
    <w:rsid w:val="00C90103"/>
    <w:rsid w:val="00C901CE"/>
    <w:rsid w:val="00C9022C"/>
    <w:rsid w:val="00C90322"/>
    <w:rsid w:val="00C90BF8"/>
    <w:rsid w:val="00C90E1B"/>
    <w:rsid w:val="00C90F76"/>
    <w:rsid w:val="00C91552"/>
    <w:rsid w:val="00C9235E"/>
    <w:rsid w:val="00C923B8"/>
    <w:rsid w:val="00C92578"/>
    <w:rsid w:val="00C9279B"/>
    <w:rsid w:val="00C92CC6"/>
    <w:rsid w:val="00C932E3"/>
    <w:rsid w:val="00C9384E"/>
    <w:rsid w:val="00C938EB"/>
    <w:rsid w:val="00C939F2"/>
    <w:rsid w:val="00C93BDC"/>
    <w:rsid w:val="00C94086"/>
    <w:rsid w:val="00C94152"/>
    <w:rsid w:val="00C9435A"/>
    <w:rsid w:val="00C9451D"/>
    <w:rsid w:val="00C94664"/>
    <w:rsid w:val="00C946E5"/>
    <w:rsid w:val="00C948D6"/>
    <w:rsid w:val="00C949D7"/>
    <w:rsid w:val="00C94BFF"/>
    <w:rsid w:val="00C94DB0"/>
    <w:rsid w:val="00C94EFE"/>
    <w:rsid w:val="00C94F1A"/>
    <w:rsid w:val="00C95635"/>
    <w:rsid w:val="00C9568B"/>
    <w:rsid w:val="00C956BC"/>
    <w:rsid w:val="00C95CC2"/>
    <w:rsid w:val="00C95E0F"/>
    <w:rsid w:val="00C961CD"/>
    <w:rsid w:val="00C96234"/>
    <w:rsid w:val="00C9631A"/>
    <w:rsid w:val="00C9638C"/>
    <w:rsid w:val="00C9648A"/>
    <w:rsid w:val="00C969C6"/>
    <w:rsid w:val="00C96C40"/>
    <w:rsid w:val="00C96DB7"/>
    <w:rsid w:val="00C97367"/>
    <w:rsid w:val="00C97807"/>
    <w:rsid w:val="00C97C10"/>
    <w:rsid w:val="00C97C4B"/>
    <w:rsid w:val="00C97DB0"/>
    <w:rsid w:val="00C97F38"/>
    <w:rsid w:val="00C97FB7"/>
    <w:rsid w:val="00CA0144"/>
    <w:rsid w:val="00CA0538"/>
    <w:rsid w:val="00CA096B"/>
    <w:rsid w:val="00CA0F46"/>
    <w:rsid w:val="00CA18A1"/>
    <w:rsid w:val="00CA1C43"/>
    <w:rsid w:val="00CA1D04"/>
    <w:rsid w:val="00CA2086"/>
    <w:rsid w:val="00CA211D"/>
    <w:rsid w:val="00CA22DE"/>
    <w:rsid w:val="00CA259B"/>
    <w:rsid w:val="00CA26DE"/>
    <w:rsid w:val="00CA2B74"/>
    <w:rsid w:val="00CA332E"/>
    <w:rsid w:val="00CA345A"/>
    <w:rsid w:val="00CA3771"/>
    <w:rsid w:val="00CA38F8"/>
    <w:rsid w:val="00CA390C"/>
    <w:rsid w:val="00CA393D"/>
    <w:rsid w:val="00CA3A46"/>
    <w:rsid w:val="00CA3D16"/>
    <w:rsid w:val="00CA3D96"/>
    <w:rsid w:val="00CA4010"/>
    <w:rsid w:val="00CA438C"/>
    <w:rsid w:val="00CA45F2"/>
    <w:rsid w:val="00CA47D3"/>
    <w:rsid w:val="00CA4848"/>
    <w:rsid w:val="00CA4BF8"/>
    <w:rsid w:val="00CA4E24"/>
    <w:rsid w:val="00CA5036"/>
    <w:rsid w:val="00CA50C9"/>
    <w:rsid w:val="00CA5331"/>
    <w:rsid w:val="00CA56C1"/>
    <w:rsid w:val="00CA596D"/>
    <w:rsid w:val="00CA60EC"/>
    <w:rsid w:val="00CA64D4"/>
    <w:rsid w:val="00CA66DB"/>
    <w:rsid w:val="00CA6A75"/>
    <w:rsid w:val="00CA6F13"/>
    <w:rsid w:val="00CA7608"/>
    <w:rsid w:val="00CA784D"/>
    <w:rsid w:val="00CB0126"/>
    <w:rsid w:val="00CB0363"/>
    <w:rsid w:val="00CB0665"/>
    <w:rsid w:val="00CB06AD"/>
    <w:rsid w:val="00CB06CB"/>
    <w:rsid w:val="00CB08B0"/>
    <w:rsid w:val="00CB09AA"/>
    <w:rsid w:val="00CB0E0F"/>
    <w:rsid w:val="00CB0E70"/>
    <w:rsid w:val="00CB1025"/>
    <w:rsid w:val="00CB105F"/>
    <w:rsid w:val="00CB129B"/>
    <w:rsid w:val="00CB137B"/>
    <w:rsid w:val="00CB1597"/>
    <w:rsid w:val="00CB1E64"/>
    <w:rsid w:val="00CB1F62"/>
    <w:rsid w:val="00CB2111"/>
    <w:rsid w:val="00CB23E4"/>
    <w:rsid w:val="00CB24E9"/>
    <w:rsid w:val="00CB2575"/>
    <w:rsid w:val="00CB2964"/>
    <w:rsid w:val="00CB2B32"/>
    <w:rsid w:val="00CB2BAB"/>
    <w:rsid w:val="00CB2F83"/>
    <w:rsid w:val="00CB2FC2"/>
    <w:rsid w:val="00CB325B"/>
    <w:rsid w:val="00CB3286"/>
    <w:rsid w:val="00CB346F"/>
    <w:rsid w:val="00CB3586"/>
    <w:rsid w:val="00CB3841"/>
    <w:rsid w:val="00CB3996"/>
    <w:rsid w:val="00CB3D51"/>
    <w:rsid w:val="00CB3DC2"/>
    <w:rsid w:val="00CB3F2E"/>
    <w:rsid w:val="00CB47B0"/>
    <w:rsid w:val="00CB4B15"/>
    <w:rsid w:val="00CB4F35"/>
    <w:rsid w:val="00CB4FE2"/>
    <w:rsid w:val="00CB53AF"/>
    <w:rsid w:val="00CB5731"/>
    <w:rsid w:val="00CB5803"/>
    <w:rsid w:val="00CB5BAC"/>
    <w:rsid w:val="00CB5C5E"/>
    <w:rsid w:val="00CB61E1"/>
    <w:rsid w:val="00CB63DB"/>
    <w:rsid w:val="00CB667E"/>
    <w:rsid w:val="00CB6AE7"/>
    <w:rsid w:val="00CB6E47"/>
    <w:rsid w:val="00CB6F82"/>
    <w:rsid w:val="00CB6FB4"/>
    <w:rsid w:val="00CB71DF"/>
    <w:rsid w:val="00CB7383"/>
    <w:rsid w:val="00CB78CD"/>
    <w:rsid w:val="00CB7AC1"/>
    <w:rsid w:val="00CC00BB"/>
    <w:rsid w:val="00CC01B9"/>
    <w:rsid w:val="00CC0791"/>
    <w:rsid w:val="00CC0C43"/>
    <w:rsid w:val="00CC128F"/>
    <w:rsid w:val="00CC148B"/>
    <w:rsid w:val="00CC14A5"/>
    <w:rsid w:val="00CC1738"/>
    <w:rsid w:val="00CC18D3"/>
    <w:rsid w:val="00CC18DC"/>
    <w:rsid w:val="00CC1991"/>
    <w:rsid w:val="00CC19FE"/>
    <w:rsid w:val="00CC1C4D"/>
    <w:rsid w:val="00CC1DE5"/>
    <w:rsid w:val="00CC1FB5"/>
    <w:rsid w:val="00CC2520"/>
    <w:rsid w:val="00CC2576"/>
    <w:rsid w:val="00CC26D0"/>
    <w:rsid w:val="00CC2949"/>
    <w:rsid w:val="00CC2ED9"/>
    <w:rsid w:val="00CC3A23"/>
    <w:rsid w:val="00CC3AF9"/>
    <w:rsid w:val="00CC3B76"/>
    <w:rsid w:val="00CC3E1E"/>
    <w:rsid w:val="00CC4048"/>
    <w:rsid w:val="00CC406C"/>
    <w:rsid w:val="00CC414A"/>
    <w:rsid w:val="00CC44FD"/>
    <w:rsid w:val="00CC4620"/>
    <w:rsid w:val="00CC48BD"/>
    <w:rsid w:val="00CC48FC"/>
    <w:rsid w:val="00CC4F94"/>
    <w:rsid w:val="00CC50AB"/>
    <w:rsid w:val="00CC5199"/>
    <w:rsid w:val="00CC540A"/>
    <w:rsid w:val="00CC5500"/>
    <w:rsid w:val="00CC5CAA"/>
    <w:rsid w:val="00CC609D"/>
    <w:rsid w:val="00CC60B2"/>
    <w:rsid w:val="00CC61D8"/>
    <w:rsid w:val="00CC647E"/>
    <w:rsid w:val="00CC65EE"/>
    <w:rsid w:val="00CC66B5"/>
    <w:rsid w:val="00CC6703"/>
    <w:rsid w:val="00CC6995"/>
    <w:rsid w:val="00CC6EA8"/>
    <w:rsid w:val="00CC72E5"/>
    <w:rsid w:val="00CC7559"/>
    <w:rsid w:val="00CC79D0"/>
    <w:rsid w:val="00CC7E16"/>
    <w:rsid w:val="00CD0147"/>
    <w:rsid w:val="00CD0238"/>
    <w:rsid w:val="00CD076B"/>
    <w:rsid w:val="00CD0866"/>
    <w:rsid w:val="00CD0A2E"/>
    <w:rsid w:val="00CD0F06"/>
    <w:rsid w:val="00CD1128"/>
    <w:rsid w:val="00CD120E"/>
    <w:rsid w:val="00CD1229"/>
    <w:rsid w:val="00CD1408"/>
    <w:rsid w:val="00CD177C"/>
    <w:rsid w:val="00CD17F5"/>
    <w:rsid w:val="00CD18CC"/>
    <w:rsid w:val="00CD1C15"/>
    <w:rsid w:val="00CD1D6F"/>
    <w:rsid w:val="00CD1E15"/>
    <w:rsid w:val="00CD2188"/>
    <w:rsid w:val="00CD26A5"/>
    <w:rsid w:val="00CD272E"/>
    <w:rsid w:val="00CD2A44"/>
    <w:rsid w:val="00CD2C52"/>
    <w:rsid w:val="00CD2C81"/>
    <w:rsid w:val="00CD3389"/>
    <w:rsid w:val="00CD34E4"/>
    <w:rsid w:val="00CD36B6"/>
    <w:rsid w:val="00CD3806"/>
    <w:rsid w:val="00CD38B7"/>
    <w:rsid w:val="00CD3901"/>
    <w:rsid w:val="00CD3C0E"/>
    <w:rsid w:val="00CD3D74"/>
    <w:rsid w:val="00CD3DBF"/>
    <w:rsid w:val="00CD3E4A"/>
    <w:rsid w:val="00CD3E93"/>
    <w:rsid w:val="00CD4095"/>
    <w:rsid w:val="00CD409E"/>
    <w:rsid w:val="00CD42DA"/>
    <w:rsid w:val="00CD4411"/>
    <w:rsid w:val="00CD488F"/>
    <w:rsid w:val="00CD4AEF"/>
    <w:rsid w:val="00CD4C92"/>
    <w:rsid w:val="00CD4CCD"/>
    <w:rsid w:val="00CD4E65"/>
    <w:rsid w:val="00CD5365"/>
    <w:rsid w:val="00CD5853"/>
    <w:rsid w:val="00CD6427"/>
    <w:rsid w:val="00CD648F"/>
    <w:rsid w:val="00CD66D6"/>
    <w:rsid w:val="00CD6D15"/>
    <w:rsid w:val="00CD6D31"/>
    <w:rsid w:val="00CD6E28"/>
    <w:rsid w:val="00CD6FD8"/>
    <w:rsid w:val="00CD736B"/>
    <w:rsid w:val="00CD7D27"/>
    <w:rsid w:val="00CE02C8"/>
    <w:rsid w:val="00CE0404"/>
    <w:rsid w:val="00CE04BE"/>
    <w:rsid w:val="00CE0608"/>
    <w:rsid w:val="00CE09D1"/>
    <w:rsid w:val="00CE0BDF"/>
    <w:rsid w:val="00CE0C54"/>
    <w:rsid w:val="00CE0D19"/>
    <w:rsid w:val="00CE0E36"/>
    <w:rsid w:val="00CE0E5C"/>
    <w:rsid w:val="00CE100F"/>
    <w:rsid w:val="00CE12A6"/>
    <w:rsid w:val="00CE1374"/>
    <w:rsid w:val="00CE1966"/>
    <w:rsid w:val="00CE1A51"/>
    <w:rsid w:val="00CE1C89"/>
    <w:rsid w:val="00CE1ED0"/>
    <w:rsid w:val="00CE2117"/>
    <w:rsid w:val="00CE2278"/>
    <w:rsid w:val="00CE2502"/>
    <w:rsid w:val="00CE25A4"/>
    <w:rsid w:val="00CE3250"/>
    <w:rsid w:val="00CE33AC"/>
    <w:rsid w:val="00CE34DA"/>
    <w:rsid w:val="00CE3867"/>
    <w:rsid w:val="00CE3893"/>
    <w:rsid w:val="00CE3F54"/>
    <w:rsid w:val="00CE40AA"/>
    <w:rsid w:val="00CE539B"/>
    <w:rsid w:val="00CE5401"/>
    <w:rsid w:val="00CE5475"/>
    <w:rsid w:val="00CE573A"/>
    <w:rsid w:val="00CE5929"/>
    <w:rsid w:val="00CE5C37"/>
    <w:rsid w:val="00CE5D8B"/>
    <w:rsid w:val="00CE5DAE"/>
    <w:rsid w:val="00CE6457"/>
    <w:rsid w:val="00CE64E4"/>
    <w:rsid w:val="00CE67D6"/>
    <w:rsid w:val="00CE6E1B"/>
    <w:rsid w:val="00CE7092"/>
    <w:rsid w:val="00CE73C2"/>
    <w:rsid w:val="00CE744F"/>
    <w:rsid w:val="00CE74DB"/>
    <w:rsid w:val="00CE7807"/>
    <w:rsid w:val="00CE78CA"/>
    <w:rsid w:val="00CE7B50"/>
    <w:rsid w:val="00CF03DC"/>
    <w:rsid w:val="00CF06BA"/>
    <w:rsid w:val="00CF082A"/>
    <w:rsid w:val="00CF0CEF"/>
    <w:rsid w:val="00CF103C"/>
    <w:rsid w:val="00CF111E"/>
    <w:rsid w:val="00CF1251"/>
    <w:rsid w:val="00CF14DF"/>
    <w:rsid w:val="00CF18A8"/>
    <w:rsid w:val="00CF1F3E"/>
    <w:rsid w:val="00CF1F6B"/>
    <w:rsid w:val="00CF2015"/>
    <w:rsid w:val="00CF2247"/>
    <w:rsid w:val="00CF234A"/>
    <w:rsid w:val="00CF235C"/>
    <w:rsid w:val="00CF288F"/>
    <w:rsid w:val="00CF2A64"/>
    <w:rsid w:val="00CF2D79"/>
    <w:rsid w:val="00CF2DC1"/>
    <w:rsid w:val="00CF2E52"/>
    <w:rsid w:val="00CF30A4"/>
    <w:rsid w:val="00CF31C1"/>
    <w:rsid w:val="00CF3218"/>
    <w:rsid w:val="00CF32DC"/>
    <w:rsid w:val="00CF335C"/>
    <w:rsid w:val="00CF346E"/>
    <w:rsid w:val="00CF3740"/>
    <w:rsid w:val="00CF38F9"/>
    <w:rsid w:val="00CF3DF2"/>
    <w:rsid w:val="00CF405A"/>
    <w:rsid w:val="00CF416C"/>
    <w:rsid w:val="00CF42B8"/>
    <w:rsid w:val="00CF42C3"/>
    <w:rsid w:val="00CF42DF"/>
    <w:rsid w:val="00CF442C"/>
    <w:rsid w:val="00CF4833"/>
    <w:rsid w:val="00CF48FC"/>
    <w:rsid w:val="00CF4968"/>
    <w:rsid w:val="00CF4B04"/>
    <w:rsid w:val="00CF4B56"/>
    <w:rsid w:val="00CF508A"/>
    <w:rsid w:val="00CF528E"/>
    <w:rsid w:val="00CF52C7"/>
    <w:rsid w:val="00CF5932"/>
    <w:rsid w:val="00CF5B6B"/>
    <w:rsid w:val="00CF5B9A"/>
    <w:rsid w:val="00CF5E09"/>
    <w:rsid w:val="00CF618F"/>
    <w:rsid w:val="00CF61A7"/>
    <w:rsid w:val="00CF6756"/>
    <w:rsid w:val="00CF69C6"/>
    <w:rsid w:val="00CF6E2E"/>
    <w:rsid w:val="00CF7655"/>
    <w:rsid w:val="00CF7750"/>
    <w:rsid w:val="00CF78CA"/>
    <w:rsid w:val="00CF7C6E"/>
    <w:rsid w:val="00D00038"/>
    <w:rsid w:val="00D002A3"/>
    <w:rsid w:val="00D00D86"/>
    <w:rsid w:val="00D012E2"/>
    <w:rsid w:val="00D0191E"/>
    <w:rsid w:val="00D01A61"/>
    <w:rsid w:val="00D01C1B"/>
    <w:rsid w:val="00D01D45"/>
    <w:rsid w:val="00D02297"/>
    <w:rsid w:val="00D02AF0"/>
    <w:rsid w:val="00D02C7F"/>
    <w:rsid w:val="00D02DD1"/>
    <w:rsid w:val="00D02F55"/>
    <w:rsid w:val="00D032AC"/>
    <w:rsid w:val="00D03826"/>
    <w:rsid w:val="00D04692"/>
    <w:rsid w:val="00D04947"/>
    <w:rsid w:val="00D04BE0"/>
    <w:rsid w:val="00D04D5E"/>
    <w:rsid w:val="00D04E44"/>
    <w:rsid w:val="00D04E71"/>
    <w:rsid w:val="00D0556F"/>
    <w:rsid w:val="00D0561E"/>
    <w:rsid w:val="00D05646"/>
    <w:rsid w:val="00D05AAE"/>
    <w:rsid w:val="00D05CB6"/>
    <w:rsid w:val="00D05D68"/>
    <w:rsid w:val="00D061C7"/>
    <w:rsid w:val="00D069C9"/>
    <w:rsid w:val="00D06A4C"/>
    <w:rsid w:val="00D06C78"/>
    <w:rsid w:val="00D06F47"/>
    <w:rsid w:val="00D07440"/>
    <w:rsid w:val="00D0776C"/>
    <w:rsid w:val="00D0778C"/>
    <w:rsid w:val="00D07A4A"/>
    <w:rsid w:val="00D07D71"/>
    <w:rsid w:val="00D1043D"/>
    <w:rsid w:val="00D10A16"/>
    <w:rsid w:val="00D10C26"/>
    <w:rsid w:val="00D11339"/>
    <w:rsid w:val="00D1155C"/>
    <w:rsid w:val="00D11594"/>
    <w:rsid w:val="00D11983"/>
    <w:rsid w:val="00D11AFB"/>
    <w:rsid w:val="00D11D11"/>
    <w:rsid w:val="00D1217E"/>
    <w:rsid w:val="00D122FE"/>
    <w:rsid w:val="00D12A33"/>
    <w:rsid w:val="00D12F3D"/>
    <w:rsid w:val="00D12F70"/>
    <w:rsid w:val="00D13044"/>
    <w:rsid w:val="00D13169"/>
    <w:rsid w:val="00D132DF"/>
    <w:rsid w:val="00D134E3"/>
    <w:rsid w:val="00D13963"/>
    <w:rsid w:val="00D13C6E"/>
    <w:rsid w:val="00D13DF4"/>
    <w:rsid w:val="00D140C6"/>
    <w:rsid w:val="00D141BC"/>
    <w:rsid w:val="00D143FF"/>
    <w:rsid w:val="00D14511"/>
    <w:rsid w:val="00D14538"/>
    <w:rsid w:val="00D14D42"/>
    <w:rsid w:val="00D14DA5"/>
    <w:rsid w:val="00D150B1"/>
    <w:rsid w:val="00D158D5"/>
    <w:rsid w:val="00D1595F"/>
    <w:rsid w:val="00D15BCB"/>
    <w:rsid w:val="00D15DD0"/>
    <w:rsid w:val="00D16E24"/>
    <w:rsid w:val="00D17107"/>
    <w:rsid w:val="00D17221"/>
    <w:rsid w:val="00D1748B"/>
    <w:rsid w:val="00D17742"/>
    <w:rsid w:val="00D178B7"/>
    <w:rsid w:val="00D1792E"/>
    <w:rsid w:val="00D17AD7"/>
    <w:rsid w:val="00D17DEB"/>
    <w:rsid w:val="00D17F4E"/>
    <w:rsid w:val="00D20258"/>
    <w:rsid w:val="00D203F8"/>
    <w:rsid w:val="00D208D4"/>
    <w:rsid w:val="00D2099A"/>
    <w:rsid w:val="00D20B8E"/>
    <w:rsid w:val="00D20C73"/>
    <w:rsid w:val="00D20D5F"/>
    <w:rsid w:val="00D20E16"/>
    <w:rsid w:val="00D211F7"/>
    <w:rsid w:val="00D21D6E"/>
    <w:rsid w:val="00D221A2"/>
    <w:rsid w:val="00D224AF"/>
    <w:rsid w:val="00D227A7"/>
    <w:rsid w:val="00D22803"/>
    <w:rsid w:val="00D228EE"/>
    <w:rsid w:val="00D22CE9"/>
    <w:rsid w:val="00D22F5F"/>
    <w:rsid w:val="00D23803"/>
    <w:rsid w:val="00D24017"/>
    <w:rsid w:val="00D240FF"/>
    <w:rsid w:val="00D2413E"/>
    <w:rsid w:val="00D24568"/>
    <w:rsid w:val="00D2493C"/>
    <w:rsid w:val="00D24B71"/>
    <w:rsid w:val="00D24CE7"/>
    <w:rsid w:val="00D24ECE"/>
    <w:rsid w:val="00D24F67"/>
    <w:rsid w:val="00D25066"/>
    <w:rsid w:val="00D2563B"/>
    <w:rsid w:val="00D261EC"/>
    <w:rsid w:val="00D26406"/>
    <w:rsid w:val="00D26764"/>
    <w:rsid w:val="00D26A13"/>
    <w:rsid w:val="00D26CA7"/>
    <w:rsid w:val="00D26F32"/>
    <w:rsid w:val="00D27218"/>
    <w:rsid w:val="00D272C9"/>
    <w:rsid w:val="00D275E5"/>
    <w:rsid w:val="00D275EF"/>
    <w:rsid w:val="00D277C9"/>
    <w:rsid w:val="00D27888"/>
    <w:rsid w:val="00D27A7F"/>
    <w:rsid w:val="00D27FA9"/>
    <w:rsid w:val="00D303F9"/>
    <w:rsid w:val="00D305BC"/>
    <w:rsid w:val="00D3083E"/>
    <w:rsid w:val="00D30A36"/>
    <w:rsid w:val="00D30AF0"/>
    <w:rsid w:val="00D30CAC"/>
    <w:rsid w:val="00D30ED3"/>
    <w:rsid w:val="00D310E0"/>
    <w:rsid w:val="00D31684"/>
    <w:rsid w:val="00D31CA7"/>
    <w:rsid w:val="00D3221D"/>
    <w:rsid w:val="00D322C8"/>
    <w:rsid w:val="00D324E0"/>
    <w:rsid w:val="00D32585"/>
    <w:rsid w:val="00D328C5"/>
    <w:rsid w:val="00D3293D"/>
    <w:rsid w:val="00D32D9A"/>
    <w:rsid w:val="00D32E91"/>
    <w:rsid w:val="00D33114"/>
    <w:rsid w:val="00D33120"/>
    <w:rsid w:val="00D336DB"/>
    <w:rsid w:val="00D337BD"/>
    <w:rsid w:val="00D34093"/>
    <w:rsid w:val="00D3412F"/>
    <w:rsid w:val="00D342A2"/>
    <w:rsid w:val="00D34466"/>
    <w:rsid w:val="00D34506"/>
    <w:rsid w:val="00D34582"/>
    <w:rsid w:val="00D34680"/>
    <w:rsid w:val="00D347BC"/>
    <w:rsid w:val="00D349EF"/>
    <w:rsid w:val="00D34A46"/>
    <w:rsid w:val="00D34B50"/>
    <w:rsid w:val="00D34BB7"/>
    <w:rsid w:val="00D34CCB"/>
    <w:rsid w:val="00D34F7F"/>
    <w:rsid w:val="00D35261"/>
    <w:rsid w:val="00D35326"/>
    <w:rsid w:val="00D3558A"/>
    <w:rsid w:val="00D35A38"/>
    <w:rsid w:val="00D35AD2"/>
    <w:rsid w:val="00D35B63"/>
    <w:rsid w:val="00D35C07"/>
    <w:rsid w:val="00D35D89"/>
    <w:rsid w:val="00D35EC4"/>
    <w:rsid w:val="00D36373"/>
    <w:rsid w:val="00D36423"/>
    <w:rsid w:val="00D36426"/>
    <w:rsid w:val="00D36626"/>
    <w:rsid w:val="00D36A50"/>
    <w:rsid w:val="00D36CA1"/>
    <w:rsid w:val="00D371B2"/>
    <w:rsid w:val="00D37258"/>
    <w:rsid w:val="00D374E9"/>
    <w:rsid w:val="00D37529"/>
    <w:rsid w:val="00D378E8"/>
    <w:rsid w:val="00D37C80"/>
    <w:rsid w:val="00D37F47"/>
    <w:rsid w:val="00D400CA"/>
    <w:rsid w:val="00D4011C"/>
    <w:rsid w:val="00D4028C"/>
    <w:rsid w:val="00D40383"/>
    <w:rsid w:val="00D40789"/>
    <w:rsid w:val="00D407A3"/>
    <w:rsid w:val="00D4088E"/>
    <w:rsid w:val="00D40B01"/>
    <w:rsid w:val="00D40BA9"/>
    <w:rsid w:val="00D40C17"/>
    <w:rsid w:val="00D40CC0"/>
    <w:rsid w:val="00D41006"/>
    <w:rsid w:val="00D4121D"/>
    <w:rsid w:val="00D41495"/>
    <w:rsid w:val="00D41526"/>
    <w:rsid w:val="00D416AB"/>
    <w:rsid w:val="00D41866"/>
    <w:rsid w:val="00D41A3B"/>
    <w:rsid w:val="00D41BF8"/>
    <w:rsid w:val="00D41CDF"/>
    <w:rsid w:val="00D41FAB"/>
    <w:rsid w:val="00D422DA"/>
    <w:rsid w:val="00D42381"/>
    <w:rsid w:val="00D426BF"/>
    <w:rsid w:val="00D42791"/>
    <w:rsid w:val="00D4284C"/>
    <w:rsid w:val="00D42A2B"/>
    <w:rsid w:val="00D42FCF"/>
    <w:rsid w:val="00D43081"/>
    <w:rsid w:val="00D43132"/>
    <w:rsid w:val="00D4345D"/>
    <w:rsid w:val="00D435C2"/>
    <w:rsid w:val="00D435EC"/>
    <w:rsid w:val="00D4365D"/>
    <w:rsid w:val="00D439E5"/>
    <w:rsid w:val="00D43BF2"/>
    <w:rsid w:val="00D43DA9"/>
    <w:rsid w:val="00D43EEA"/>
    <w:rsid w:val="00D44037"/>
    <w:rsid w:val="00D440EC"/>
    <w:rsid w:val="00D4412E"/>
    <w:rsid w:val="00D44754"/>
    <w:rsid w:val="00D448EC"/>
    <w:rsid w:val="00D44A5E"/>
    <w:rsid w:val="00D44B4E"/>
    <w:rsid w:val="00D44C57"/>
    <w:rsid w:val="00D44E7D"/>
    <w:rsid w:val="00D44FCC"/>
    <w:rsid w:val="00D453D8"/>
    <w:rsid w:val="00D45778"/>
    <w:rsid w:val="00D45784"/>
    <w:rsid w:val="00D459A2"/>
    <w:rsid w:val="00D45A93"/>
    <w:rsid w:val="00D45B67"/>
    <w:rsid w:val="00D45FD5"/>
    <w:rsid w:val="00D4660B"/>
    <w:rsid w:val="00D46B6D"/>
    <w:rsid w:val="00D46CA8"/>
    <w:rsid w:val="00D474F0"/>
    <w:rsid w:val="00D47820"/>
    <w:rsid w:val="00D47998"/>
    <w:rsid w:val="00D47C3A"/>
    <w:rsid w:val="00D47D34"/>
    <w:rsid w:val="00D47DE1"/>
    <w:rsid w:val="00D47F00"/>
    <w:rsid w:val="00D502CD"/>
    <w:rsid w:val="00D50458"/>
    <w:rsid w:val="00D50615"/>
    <w:rsid w:val="00D508EC"/>
    <w:rsid w:val="00D50C09"/>
    <w:rsid w:val="00D5103F"/>
    <w:rsid w:val="00D5111B"/>
    <w:rsid w:val="00D515DF"/>
    <w:rsid w:val="00D516DB"/>
    <w:rsid w:val="00D51998"/>
    <w:rsid w:val="00D519C5"/>
    <w:rsid w:val="00D519EA"/>
    <w:rsid w:val="00D51A43"/>
    <w:rsid w:val="00D51E1A"/>
    <w:rsid w:val="00D51FB2"/>
    <w:rsid w:val="00D520C8"/>
    <w:rsid w:val="00D5245B"/>
    <w:rsid w:val="00D53053"/>
    <w:rsid w:val="00D530DA"/>
    <w:rsid w:val="00D53189"/>
    <w:rsid w:val="00D532A0"/>
    <w:rsid w:val="00D536B6"/>
    <w:rsid w:val="00D53779"/>
    <w:rsid w:val="00D538F4"/>
    <w:rsid w:val="00D54020"/>
    <w:rsid w:val="00D545AB"/>
    <w:rsid w:val="00D5462F"/>
    <w:rsid w:val="00D5470A"/>
    <w:rsid w:val="00D54A0C"/>
    <w:rsid w:val="00D54C95"/>
    <w:rsid w:val="00D54CFA"/>
    <w:rsid w:val="00D5515E"/>
    <w:rsid w:val="00D55A91"/>
    <w:rsid w:val="00D5637E"/>
    <w:rsid w:val="00D56570"/>
    <w:rsid w:val="00D568BB"/>
    <w:rsid w:val="00D56C39"/>
    <w:rsid w:val="00D56D4C"/>
    <w:rsid w:val="00D56D5D"/>
    <w:rsid w:val="00D57019"/>
    <w:rsid w:val="00D5729A"/>
    <w:rsid w:val="00D572C6"/>
    <w:rsid w:val="00D575E9"/>
    <w:rsid w:val="00D5790B"/>
    <w:rsid w:val="00D57941"/>
    <w:rsid w:val="00D57A78"/>
    <w:rsid w:val="00D57B9B"/>
    <w:rsid w:val="00D57BD1"/>
    <w:rsid w:val="00D57D8C"/>
    <w:rsid w:val="00D57F6B"/>
    <w:rsid w:val="00D601D9"/>
    <w:rsid w:val="00D60358"/>
    <w:rsid w:val="00D60411"/>
    <w:rsid w:val="00D605ED"/>
    <w:rsid w:val="00D606A3"/>
    <w:rsid w:val="00D60B62"/>
    <w:rsid w:val="00D60D06"/>
    <w:rsid w:val="00D60DA5"/>
    <w:rsid w:val="00D61046"/>
    <w:rsid w:val="00D6119E"/>
    <w:rsid w:val="00D615E0"/>
    <w:rsid w:val="00D61676"/>
    <w:rsid w:val="00D61883"/>
    <w:rsid w:val="00D619CB"/>
    <w:rsid w:val="00D61D8E"/>
    <w:rsid w:val="00D62040"/>
    <w:rsid w:val="00D623B7"/>
    <w:rsid w:val="00D6274D"/>
    <w:rsid w:val="00D62782"/>
    <w:rsid w:val="00D62903"/>
    <w:rsid w:val="00D62AAB"/>
    <w:rsid w:val="00D62B0F"/>
    <w:rsid w:val="00D62B93"/>
    <w:rsid w:val="00D62C06"/>
    <w:rsid w:val="00D62C9B"/>
    <w:rsid w:val="00D62F97"/>
    <w:rsid w:val="00D62F99"/>
    <w:rsid w:val="00D63250"/>
    <w:rsid w:val="00D6325B"/>
    <w:rsid w:val="00D633CC"/>
    <w:rsid w:val="00D635D9"/>
    <w:rsid w:val="00D6369A"/>
    <w:rsid w:val="00D63B87"/>
    <w:rsid w:val="00D63C1A"/>
    <w:rsid w:val="00D63CBC"/>
    <w:rsid w:val="00D63DBD"/>
    <w:rsid w:val="00D6406B"/>
    <w:rsid w:val="00D640ED"/>
    <w:rsid w:val="00D64248"/>
    <w:rsid w:val="00D6456E"/>
    <w:rsid w:val="00D648CB"/>
    <w:rsid w:val="00D64BAD"/>
    <w:rsid w:val="00D651E3"/>
    <w:rsid w:val="00D651EF"/>
    <w:rsid w:val="00D6552B"/>
    <w:rsid w:val="00D65555"/>
    <w:rsid w:val="00D65709"/>
    <w:rsid w:val="00D657D6"/>
    <w:rsid w:val="00D660FF"/>
    <w:rsid w:val="00D667E7"/>
    <w:rsid w:val="00D667F6"/>
    <w:rsid w:val="00D669CB"/>
    <w:rsid w:val="00D66C47"/>
    <w:rsid w:val="00D66EF2"/>
    <w:rsid w:val="00D66F91"/>
    <w:rsid w:val="00D67161"/>
    <w:rsid w:val="00D6719A"/>
    <w:rsid w:val="00D67371"/>
    <w:rsid w:val="00D67413"/>
    <w:rsid w:val="00D6754B"/>
    <w:rsid w:val="00D67A93"/>
    <w:rsid w:val="00D67B13"/>
    <w:rsid w:val="00D7039D"/>
    <w:rsid w:val="00D703E5"/>
    <w:rsid w:val="00D70CFA"/>
    <w:rsid w:val="00D70DDB"/>
    <w:rsid w:val="00D71000"/>
    <w:rsid w:val="00D71005"/>
    <w:rsid w:val="00D71148"/>
    <w:rsid w:val="00D711AA"/>
    <w:rsid w:val="00D7131E"/>
    <w:rsid w:val="00D71410"/>
    <w:rsid w:val="00D71543"/>
    <w:rsid w:val="00D715F9"/>
    <w:rsid w:val="00D71846"/>
    <w:rsid w:val="00D719A1"/>
    <w:rsid w:val="00D71C0E"/>
    <w:rsid w:val="00D71FE0"/>
    <w:rsid w:val="00D72449"/>
    <w:rsid w:val="00D72F92"/>
    <w:rsid w:val="00D730A2"/>
    <w:rsid w:val="00D730F3"/>
    <w:rsid w:val="00D73611"/>
    <w:rsid w:val="00D73776"/>
    <w:rsid w:val="00D73892"/>
    <w:rsid w:val="00D73962"/>
    <w:rsid w:val="00D73B16"/>
    <w:rsid w:val="00D73E17"/>
    <w:rsid w:val="00D7404A"/>
    <w:rsid w:val="00D7406F"/>
    <w:rsid w:val="00D74165"/>
    <w:rsid w:val="00D7432A"/>
    <w:rsid w:val="00D746AC"/>
    <w:rsid w:val="00D7488F"/>
    <w:rsid w:val="00D74CDD"/>
    <w:rsid w:val="00D7512E"/>
    <w:rsid w:val="00D755FF"/>
    <w:rsid w:val="00D756BC"/>
    <w:rsid w:val="00D757D9"/>
    <w:rsid w:val="00D758A2"/>
    <w:rsid w:val="00D762D4"/>
    <w:rsid w:val="00D7634A"/>
    <w:rsid w:val="00D763A8"/>
    <w:rsid w:val="00D76430"/>
    <w:rsid w:val="00D768F4"/>
    <w:rsid w:val="00D76FBF"/>
    <w:rsid w:val="00D76FEC"/>
    <w:rsid w:val="00D770F6"/>
    <w:rsid w:val="00D77294"/>
    <w:rsid w:val="00D775D9"/>
    <w:rsid w:val="00D775DC"/>
    <w:rsid w:val="00D77B14"/>
    <w:rsid w:val="00D77BC2"/>
    <w:rsid w:val="00D8013C"/>
    <w:rsid w:val="00D80158"/>
    <w:rsid w:val="00D802FE"/>
    <w:rsid w:val="00D8053C"/>
    <w:rsid w:val="00D80AA9"/>
    <w:rsid w:val="00D80CBD"/>
    <w:rsid w:val="00D80E72"/>
    <w:rsid w:val="00D815A0"/>
    <w:rsid w:val="00D815E5"/>
    <w:rsid w:val="00D81680"/>
    <w:rsid w:val="00D818E9"/>
    <w:rsid w:val="00D819F3"/>
    <w:rsid w:val="00D81B18"/>
    <w:rsid w:val="00D81F78"/>
    <w:rsid w:val="00D821A6"/>
    <w:rsid w:val="00D82354"/>
    <w:rsid w:val="00D828CC"/>
    <w:rsid w:val="00D82A11"/>
    <w:rsid w:val="00D83841"/>
    <w:rsid w:val="00D83CCF"/>
    <w:rsid w:val="00D83E21"/>
    <w:rsid w:val="00D84487"/>
    <w:rsid w:val="00D844E5"/>
    <w:rsid w:val="00D8464B"/>
    <w:rsid w:val="00D848F9"/>
    <w:rsid w:val="00D84A31"/>
    <w:rsid w:val="00D84A94"/>
    <w:rsid w:val="00D84F9A"/>
    <w:rsid w:val="00D85271"/>
    <w:rsid w:val="00D85E3A"/>
    <w:rsid w:val="00D86038"/>
    <w:rsid w:val="00D86180"/>
    <w:rsid w:val="00D8654A"/>
    <w:rsid w:val="00D865D0"/>
    <w:rsid w:val="00D866D0"/>
    <w:rsid w:val="00D86780"/>
    <w:rsid w:val="00D86B20"/>
    <w:rsid w:val="00D86C64"/>
    <w:rsid w:val="00D8700E"/>
    <w:rsid w:val="00D875C2"/>
    <w:rsid w:val="00D87761"/>
    <w:rsid w:val="00D87A74"/>
    <w:rsid w:val="00D87D41"/>
    <w:rsid w:val="00D87DCC"/>
    <w:rsid w:val="00D902E2"/>
    <w:rsid w:val="00D9043E"/>
    <w:rsid w:val="00D907E9"/>
    <w:rsid w:val="00D90829"/>
    <w:rsid w:val="00D908C9"/>
    <w:rsid w:val="00D90974"/>
    <w:rsid w:val="00D9099B"/>
    <w:rsid w:val="00D90DC6"/>
    <w:rsid w:val="00D9130F"/>
    <w:rsid w:val="00D91931"/>
    <w:rsid w:val="00D91BC3"/>
    <w:rsid w:val="00D91E7D"/>
    <w:rsid w:val="00D9230B"/>
    <w:rsid w:val="00D92599"/>
    <w:rsid w:val="00D92A46"/>
    <w:rsid w:val="00D92B0C"/>
    <w:rsid w:val="00D92D04"/>
    <w:rsid w:val="00D935FF"/>
    <w:rsid w:val="00D93D57"/>
    <w:rsid w:val="00D93F65"/>
    <w:rsid w:val="00D94050"/>
    <w:rsid w:val="00D94139"/>
    <w:rsid w:val="00D942F5"/>
    <w:rsid w:val="00D943E9"/>
    <w:rsid w:val="00D94485"/>
    <w:rsid w:val="00D944B6"/>
    <w:rsid w:val="00D9452C"/>
    <w:rsid w:val="00D94862"/>
    <w:rsid w:val="00D9492C"/>
    <w:rsid w:val="00D94D85"/>
    <w:rsid w:val="00D95009"/>
    <w:rsid w:val="00D957C4"/>
    <w:rsid w:val="00D958DF"/>
    <w:rsid w:val="00D95902"/>
    <w:rsid w:val="00D95B2A"/>
    <w:rsid w:val="00D95EE7"/>
    <w:rsid w:val="00D9600A"/>
    <w:rsid w:val="00D9635E"/>
    <w:rsid w:val="00D96474"/>
    <w:rsid w:val="00D967D7"/>
    <w:rsid w:val="00D96818"/>
    <w:rsid w:val="00D968A3"/>
    <w:rsid w:val="00D968AA"/>
    <w:rsid w:val="00D96925"/>
    <w:rsid w:val="00D96AA6"/>
    <w:rsid w:val="00D96AAC"/>
    <w:rsid w:val="00D96EDA"/>
    <w:rsid w:val="00D97411"/>
    <w:rsid w:val="00D9741D"/>
    <w:rsid w:val="00D978CE"/>
    <w:rsid w:val="00D97AA2"/>
    <w:rsid w:val="00DA0299"/>
    <w:rsid w:val="00DA057B"/>
    <w:rsid w:val="00DA0870"/>
    <w:rsid w:val="00DA0BBB"/>
    <w:rsid w:val="00DA0E70"/>
    <w:rsid w:val="00DA10C5"/>
    <w:rsid w:val="00DA10FE"/>
    <w:rsid w:val="00DA1795"/>
    <w:rsid w:val="00DA1B16"/>
    <w:rsid w:val="00DA20DA"/>
    <w:rsid w:val="00DA22A6"/>
    <w:rsid w:val="00DA2648"/>
    <w:rsid w:val="00DA27F1"/>
    <w:rsid w:val="00DA27FB"/>
    <w:rsid w:val="00DA2848"/>
    <w:rsid w:val="00DA2A87"/>
    <w:rsid w:val="00DA2AA5"/>
    <w:rsid w:val="00DA2BF2"/>
    <w:rsid w:val="00DA2E25"/>
    <w:rsid w:val="00DA34B7"/>
    <w:rsid w:val="00DA37AC"/>
    <w:rsid w:val="00DA3878"/>
    <w:rsid w:val="00DA391D"/>
    <w:rsid w:val="00DA3B1B"/>
    <w:rsid w:val="00DA3BC8"/>
    <w:rsid w:val="00DA3BDC"/>
    <w:rsid w:val="00DA45A6"/>
    <w:rsid w:val="00DA484A"/>
    <w:rsid w:val="00DA4C61"/>
    <w:rsid w:val="00DA4DA4"/>
    <w:rsid w:val="00DA5213"/>
    <w:rsid w:val="00DA54D4"/>
    <w:rsid w:val="00DA5597"/>
    <w:rsid w:val="00DA5645"/>
    <w:rsid w:val="00DA5CB9"/>
    <w:rsid w:val="00DA5F28"/>
    <w:rsid w:val="00DA659B"/>
    <w:rsid w:val="00DA6928"/>
    <w:rsid w:val="00DA6AAF"/>
    <w:rsid w:val="00DA6BAD"/>
    <w:rsid w:val="00DA6C9B"/>
    <w:rsid w:val="00DA70A1"/>
    <w:rsid w:val="00DA7213"/>
    <w:rsid w:val="00DA73BB"/>
    <w:rsid w:val="00DA7492"/>
    <w:rsid w:val="00DA74A5"/>
    <w:rsid w:val="00DA7523"/>
    <w:rsid w:val="00DA7555"/>
    <w:rsid w:val="00DA770E"/>
    <w:rsid w:val="00DA7849"/>
    <w:rsid w:val="00DA7BB3"/>
    <w:rsid w:val="00DA7C64"/>
    <w:rsid w:val="00DA7DF6"/>
    <w:rsid w:val="00DA7ECB"/>
    <w:rsid w:val="00DA7FCD"/>
    <w:rsid w:val="00DB03C6"/>
    <w:rsid w:val="00DB05C3"/>
    <w:rsid w:val="00DB0B8D"/>
    <w:rsid w:val="00DB153C"/>
    <w:rsid w:val="00DB15CA"/>
    <w:rsid w:val="00DB17CC"/>
    <w:rsid w:val="00DB191A"/>
    <w:rsid w:val="00DB2106"/>
    <w:rsid w:val="00DB2519"/>
    <w:rsid w:val="00DB2618"/>
    <w:rsid w:val="00DB272F"/>
    <w:rsid w:val="00DB28A7"/>
    <w:rsid w:val="00DB2B2F"/>
    <w:rsid w:val="00DB3122"/>
    <w:rsid w:val="00DB321B"/>
    <w:rsid w:val="00DB3394"/>
    <w:rsid w:val="00DB33B5"/>
    <w:rsid w:val="00DB3461"/>
    <w:rsid w:val="00DB3491"/>
    <w:rsid w:val="00DB35FB"/>
    <w:rsid w:val="00DB3EE0"/>
    <w:rsid w:val="00DB3F7E"/>
    <w:rsid w:val="00DB430E"/>
    <w:rsid w:val="00DB44D6"/>
    <w:rsid w:val="00DB4649"/>
    <w:rsid w:val="00DB48AB"/>
    <w:rsid w:val="00DB48D8"/>
    <w:rsid w:val="00DB4B0B"/>
    <w:rsid w:val="00DB4B18"/>
    <w:rsid w:val="00DB4B2A"/>
    <w:rsid w:val="00DB50D3"/>
    <w:rsid w:val="00DB517E"/>
    <w:rsid w:val="00DB56A2"/>
    <w:rsid w:val="00DB580D"/>
    <w:rsid w:val="00DB5C02"/>
    <w:rsid w:val="00DB5DA0"/>
    <w:rsid w:val="00DB676C"/>
    <w:rsid w:val="00DB67A0"/>
    <w:rsid w:val="00DB6884"/>
    <w:rsid w:val="00DB6895"/>
    <w:rsid w:val="00DB6E79"/>
    <w:rsid w:val="00DB6F46"/>
    <w:rsid w:val="00DB77B8"/>
    <w:rsid w:val="00DB7CC1"/>
    <w:rsid w:val="00DC0054"/>
    <w:rsid w:val="00DC045F"/>
    <w:rsid w:val="00DC0654"/>
    <w:rsid w:val="00DC09D8"/>
    <w:rsid w:val="00DC0AC6"/>
    <w:rsid w:val="00DC0BD4"/>
    <w:rsid w:val="00DC1172"/>
    <w:rsid w:val="00DC13E3"/>
    <w:rsid w:val="00DC16E2"/>
    <w:rsid w:val="00DC1786"/>
    <w:rsid w:val="00DC1BA5"/>
    <w:rsid w:val="00DC2100"/>
    <w:rsid w:val="00DC237C"/>
    <w:rsid w:val="00DC2527"/>
    <w:rsid w:val="00DC2789"/>
    <w:rsid w:val="00DC284F"/>
    <w:rsid w:val="00DC339F"/>
    <w:rsid w:val="00DC36D2"/>
    <w:rsid w:val="00DC36FC"/>
    <w:rsid w:val="00DC3B1F"/>
    <w:rsid w:val="00DC426D"/>
    <w:rsid w:val="00DC4F1E"/>
    <w:rsid w:val="00DC51A7"/>
    <w:rsid w:val="00DC5488"/>
    <w:rsid w:val="00DC5499"/>
    <w:rsid w:val="00DC58E9"/>
    <w:rsid w:val="00DC60A4"/>
    <w:rsid w:val="00DC60C8"/>
    <w:rsid w:val="00DC62EA"/>
    <w:rsid w:val="00DC638D"/>
    <w:rsid w:val="00DC65E5"/>
    <w:rsid w:val="00DC6945"/>
    <w:rsid w:val="00DC6C2D"/>
    <w:rsid w:val="00DC6DC3"/>
    <w:rsid w:val="00DC6DCD"/>
    <w:rsid w:val="00DC736F"/>
    <w:rsid w:val="00DC740F"/>
    <w:rsid w:val="00DC760D"/>
    <w:rsid w:val="00DC7678"/>
    <w:rsid w:val="00DC76B3"/>
    <w:rsid w:val="00DC7B59"/>
    <w:rsid w:val="00DC7CCD"/>
    <w:rsid w:val="00DC7D56"/>
    <w:rsid w:val="00DC7DC5"/>
    <w:rsid w:val="00DC7E8A"/>
    <w:rsid w:val="00DC7FC2"/>
    <w:rsid w:val="00DD0167"/>
    <w:rsid w:val="00DD0300"/>
    <w:rsid w:val="00DD0ADD"/>
    <w:rsid w:val="00DD0D72"/>
    <w:rsid w:val="00DD122C"/>
    <w:rsid w:val="00DD16EF"/>
    <w:rsid w:val="00DD1905"/>
    <w:rsid w:val="00DD194E"/>
    <w:rsid w:val="00DD1C93"/>
    <w:rsid w:val="00DD1DB2"/>
    <w:rsid w:val="00DD1E0F"/>
    <w:rsid w:val="00DD217C"/>
    <w:rsid w:val="00DD233B"/>
    <w:rsid w:val="00DD2370"/>
    <w:rsid w:val="00DD2404"/>
    <w:rsid w:val="00DD2F84"/>
    <w:rsid w:val="00DD3213"/>
    <w:rsid w:val="00DD3364"/>
    <w:rsid w:val="00DD3BDD"/>
    <w:rsid w:val="00DD3C10"/>
    <w:rsid w:val="00DD3DB1"/>
    <w:rsid w:val="00DD4078"/>
    <w:rsid w:val="00DD41ED"/>
    <w:rsid w:val="00DD43E2"/>
    <w:rsid w:val="00DD45BD"/>
    <w:rsid w:val="00DD45EC"/>
    <w:rsid w:val="00DD4653"/>
    <w:rsid w:val="00DD483A"/>
    <w:rsid w:val="00DD4C71"/>
    <w:rsid w:val="00DD4EF9"/>
    <w:rsid w:val="00DD50EF"/>
    <w:rsid w:val="00DD5112"/>
    <w:rsid w:val="00DD58ED"/>
    <w:rsid w:val="00DD58F5"/>
    <w:rsid w:val="00DD59AB"/>
    <w:rsid w:val="00DD5C06"/>
    <w:rsid w:val="00DD6120"/>
    <w:rsid w:val="00DD61EC"/>
    <w:rsid w:val="00DD6386"/>
    <w:rsid w:val="00DD63D5"/>
    <w:rsid w:val="00DD6F80"/>
    <w:rsid w:val="00DD7053"/>
    <w:rsid w:val="00DD742A"/>
    <w:rsid w:val="00DD74AD"/>
    <w:rsid w:val="00DD774B"/>
    <w:rsid w:val="00DD78D8"/>
    <w:rsid w:val="00DD7A63"/>
    <w:rsid w:val="00DD7B4C"/>
    <w:rsid w:val="00DD7C48"/>
    <w:rsid w:val="00DE0049"/>
    <w:rsid w:val="00DE018A"/>
    <w:rsid w:val="00DE01B4"/>
    <w:rsid w:val="00DE01CF"/>
    <w:rsid w:val="00DE033B"/>
    <w:rsid w:val="00DE0687"/>
    <w:rsid w:val="00DE0BA0"/>
    <w:rsid w:val="00DE0D70"/>
    <w:rsid w:val="00DE0ED8"/>
    <w:rsid w:val="00DE0F1A"/>
    <w:rsid w:val="00DE0FFF"/>
    <w:rsid w:val="00DE12CB"/>
    <w:rsid w:val="00DE14D6"/>
    <w:rsid w:val="00DE169D"/>
    <w:rsid w:val="00DE17B9"/>
    <w:rsid w:val="00DE192D"/>
    <w:rsid w:val="00DE196B"/>
    <w:rsid w:val="00DE1D7F"/>
    <w:rsid w:val="00DE1DBE"/>
    <w:rsid w:val="00DE1E62"/>
    <w:rsid w:val="00DE1EA3"/>
    <w:rsid w:val="00DE1F43"/>
    <w:rsid w:val="00DE2227"/>
    <w:rsid w:val="00DE22D9"/>
    <w:rsid w:val="00DE265E"/>
    <w:rsid w:val="00DE2EDA"/>
    <w:rsid w:val="00DE3170"/>
    <w:rsid w:val="00DE31BB"/>
    <w:rsid w:val="00DE39E4"/>
    <w:rsid w:val="00DE39F0"/>
    <w:rsid w:val="00DE3CEE"/>
    <w:rsid w:val="00DE3DD2"/>
    <w:rsid w:val="00DE41C3"/>
    <w:rsid w:val="00DE44A0"/>
    <w:rsid w:val="00DE45E1"/>
    <w:rsid w:val="00DE46B4"/>
    <w:rsid w:val="00DE4A05"/>
    <w:rsid w:val="00DE4DEA"/>
    <w:rsid w:val="00DE4E1B"/>
    <w:rsid w:val="00DE4F03"/>
    <w:rsid w:val="00DE4FA9"/>
    <w:rsid w:val="00DE51AC"/>
    <w:rsid w:val="00DE53C5"/>
    <w:rsid w:val="00DE5550"/>
    <w:rsid w:val="00DE5FF7"/>
    <w:rsid w:val="00DE601A"/>
    <w:rsid w:val="00DE684F"/>
    <w:rsid w:val="00DE68E5"/>
    <w:rsid w:val="00DE6F16"/>
    <w:rsid w:val="00DE718A"/>
    <w:rsid w:val="00DF0684"/>
    <w:rsid w:val="00DF07E8"/>
    <w:rsid w:val="00DF0872"/>
    <w:rsid w:val="00DF09F0"/>
    <w:rsid w:val="00DF0A22"/>
    <w:rsid w:val="00DF139D"/>
    <w:rsid w:val="00DF168B"/>
    <w:rsid w:val="00DF19A4"/>
    <w:rsid w:val="00DF1AED"/>
    <w:rsid w:val="00DF27B5"/>
    <w:rsid w:val="00DF27EF"/>
    <w:rsid w:val="00DF2A81"/>
    <w:rsid w:val="00DF2D9C"/>
    <w:rsid w:val="00DF2EA4"/>
    <w:rsid w:val="00DF317E"/>
    <w:rsid w:val="00DF3655"/>
    <w:rsid w:val="00DF36C3"/>
    <w:rsid w:val="00DF3B4B"/>
    <w:rsid w:val="00DF3B8B"/>
    <w:rsid w:val="00DF3C0C"/>
    <w:rsid w:val="00DF3FE8"/>
    <w:rsid w:val="00DF43B3"/>
    <w:rsid w:val="00DF4840"/>
    <w:rsid w:val="00DF4E43"/>
    <w:rsid w:val="00DF517B"/>
    <w:rsid w:val="00DF52B9"/>
    <w:rsid w:val="00DF53F5"/>
    <w:rsid w:val="00DF53FE"/>
    <w:rsid w:val="00DF5592"/>
    <w:rsid w:val="00DF55B6"/>
    <w:rsid w:val="00DF560F"/>
    <w:rsid w:val="00DF597A"/>
    <w:rsid w:val="00DF5A99"/>
    <w:rsid w:val="00DF5BC0"/>
    <w:rsid w:val="00DF606F"/>
    <w:rsid w:val="00DF647E"/>
    <w:rsid w:val="00DF6778"/>
    <w:rsid w:val="00DF6862"/>
    <w:rsid w:val="00DF6CB1"/>
    <w:rsid w:val="00DF73B6"/>
    <w:rsid w:val="00DF74BC"/>
    <w:rsid w:val="00DF758E"/>
    <w:rsid w:val="00DF7674"/>
    <w:rsid w:val="00DF7967"/>
    <w:rsid w:val="00DF7A37"/>
    <w:rsid w:val="00DF7DF1"/>
    <w:rsid w:val="00DF7F92"/>
    <w:rsid w:val="00DF7FA7"/>
    <w:rsid w:val="00E001AD"/>
    <w:rsid w:val="00E003A7"/>
    <w:rsid w:val="00E004F7"/>
    <w:rsid w:val="00E00629"/>
    <w:rsid w:val="00E00654"/>
    <w:rsid w:val="00E0073B"/>
    <w:rsid w:val="00E00C92"/>
    <w:rsid w:val="00E00CCB"/>
    <w:rsid w:val="00E00DAA"/>
    <w:rsid w:val="00E00DD2"/>
    <w:rsid w:val="00E00FC1"/>
    <w:rsid w:val="00E00FD4"/>
    <w:rsid w:val="00E01037"/>
    <w:rsid w:val="00E010D6"/>
    <w:rsid w:val="00E01110"/>
    <w:rsid w:val="00E02327"/>
    <w:rsid w:val="00E02715"/>
    <w:rsid w:val="00E02A26"/>
    <w:rsid w:val="00E0316C"/>
    <w:rsid w:val="00E031C8"/>
    <w:rsid w:val="00E034CD"/>
    <w:rsid w:val="00E03F85"/>
    <w:rsid w:val="00E04451"/>
    <w:rsid w:val="00E048E2"/>
    <w:rsid w:val="00E04F60"/>
    <w:rsid w:val="00E050C6"/>
    <w:rsid w:val="00E053E4"/>
    <w:rsid w:val="00E054D8"/>
    <w:rsid w:val="00E05529"/>
    <w:rsid w:val="00E05539"/>
    <w:rsid w:val="00E05B4F"/>
    <w:rsid w:val="00E05DFF"/>
    <w:rsid w:val="00E05FB4"/>
    <w:rsid w:val="00E06B3A"/>
    <w:rsid w:val="00E06DCE"/>
    <w:rsid w:val="00E06E43"/>
    <w:rsid w:val="00E06E6F"/>
    <w:rsid w:val="00E07217"/>
    <w:rsid w:val="00E076F1"/>
    <w:rsid w:val="00E0778E"/>
    <w:rsid w:val="00E07964"/>
    <w:rsid w:val="00E07DF0"/>
    <w:rsid w:val="00E07F9C"/>
    <w:rsid w:val="00E10065"/>
    <w:rsid w:val="00E1040F"/>
    <w:rsid w:val="00E105C1"/>
    <w:rsid w:val="00E108B0"/>
    <w:rsid w:val="00E11418"/>
    <w:rsid w:val="00E1159D"/>
    <w:rsid w:val="00E11A65"/>
    <w:rsid w:val="00E11ACC"/>
    <w:rsid w:val="00E11B3E"/>
    <w:rsid w:val="00E11E54"/>
    <w:rsid w:val="00E12080"/>
    <w:rsid w:val="00E12237"/>
    <w:rsid w:val="00E123ED"/>
    <w:rsid w:val="00E12630"/>
    <w:rsid w:val="00E126ED"/>
    <w:rsid w:val="00E12882"/>
    <w:rsid w:val="00E12B6B"/>
    <w:rsid w:val="00E12EF5"/>
    <w:rsid w:val="00E139FC"/>
    <w:rsid w:val="00E13A61"/>
    <w:rsid w:val="00E13C63"/>
    <w:rsid w:val="00E13C95"/>
    <w:rsid w:val="00E13EB2"/>
    <w:rsid w:val="00E140DC"/>
    <w:rsid w:val="00E14564"/>
    <w:rsid w:val="00E15136"/>
    <w:rsid w:val="00E153C5"/>
    <w:rsid w:val="00E156F0"/>
    <w:rsid w:val="00E15738"/>
    <w:rsid w:val="00E1578D"/>
    <w:rsid w:val="00E158A3"/>
    <w:rsid w:val="00E162DD"/>
    <w:rsid w:val="00E16312"/>
    <w:rsid w:val="00E16351"/>
    <w:rsid w:val="00E169CE"/>
    <w:rsid w:val="00E16B19"/>
    <w:rsid w:val="00E16B72"/>
    <w:rsid w:val="00E17043"/>
    <w:rsid w:val="00E1722D"/>
    <w:rsid w:val="00E17241"/>
    <w:rsid w:val="00E173C2"/>
    <w:rsid w:val="00E17446"/>
    <w:rsid w:val="00E17860"/>
    <w:rsid w:val="00E179E0"/>
    <w:rsid w:val="00E17E18"/>
    <w:rsid w:val="00E17F74"/>
    <w:rsid w:val="00E20072"/>
    <w:rsid w:val="00E201F9"/>
    <w:rsid w:val="00E2032D"/>
    <w:rsid w:val="00E20493"/>
    <w:rsid w:val="00E2078F"/>
    <w:rsid w:val="00E20874"/>
    <w:rsid w:val="00E20B71"/>
    <w:rsid w:val="00E21446"/>
    <w:rsid w:val="00E2150C"/>
    <w:rsid w:val="00E219AA"/>
    <w:rsid w:val="00E21F48"/>
    <w:rsid w:val="00E224CF"/>
    <w:rsid w:val="00E228A4"/>
    <w:rsid w:val="00E2315B"/>
    <w:rsid w:val="00E23187"/>
    <w:rsid w:val="00E232A2"/>
    <w:rsid w:val="00E233CD"/>
    <w:rsid w:val="00E233F7"/>
    <w:rsid w:val="00E236C3"/>
    <w:rsid w:val="00E23779"/>
    <w:rsid w:val="00E237C9"/>
    <w:rsid w:val="00E23909"/>
    <w:rsid w:val="00E239D0"/>
    <w:rsid w:val="00E23A28"/>
    <w:rsid w:val="00E23A4A"/>
    <w:rsid w:val="00E23D31"/>
    <w:rsid w:val="00E23D6C"/>
    <w:rsid w:val="00E2444C"/>
    <w:rsid w:val="00E244D1"/>
    <w:rsid w:val="00E2461B"/>
    <w:rsid w:val="00E2503A"/>
    <w:rsid w:val="00E253A2"/>
    <w:rsid w:val="00E2552F"/>
    <w:rsid w:val="00E25558"/>
    <w:rsid w:val="00E25976"/>
    <w:rsid w:val="00E25A68"/>
    <w:rsid w:val="00E25CA6"/>
    <w:rsid w:val="00E25DE0"/>
    <w:rsid w:val="00E25E1C"/>
    <w:rsid w:val="00E26219"/>
    <w:rsid w:val="00E265AC"/>
    <w:rsid w:val="00E26602"/>
    <w:rsid w:val="00E27127"/>
    <w:rsid w:val="00E272CD"/>
    <w:rsid w:val="00E27609"/>
    <w:rsid w:val="00E27839"/>
    <w:rsid w:val="00E2795D"/>
    <w:rsid w:val="00E27B9F"/>
    <w:rsid w:val="00E27D03"/>
    <w:rsid w:val="00E30879"/>
    <w:rsid w:val="00E30A68"/>
    <w:rsid w:val="00E30D79"/>
    <w:rsid w:val="00E30F38"/>
    <w:rsid w:val="00E3105C"/>
    <w:rsid w:val="00E31063"/>
    <w:rsid w:val="00E3115A"/>
    <w:rsid w:val="00E313DB"/>
    <w:rsid w:val="00E3170F"/>
    <w:rsid w:val="00E3177D"/>
    <w:rsid w:val="00E31852"/>
    <w:rsid w:val="00E31C73"/>
    <w:rsid w:val="00E31CBD"/>
    <w:rsid w:val="00E31F10"/>
    <w:rsid w:val="00E327CB"/>
    <w:rsid w:val="00E32C2C"/>
    <w:rsid w:val="00E32C6C"/>
    <w:rsid w:val="00E32FFF"/>
    <w:rsid w:val="00E332AB"/>
    <w:rsid w:val="00E33682"/>
    <w:rsid w:val="00E3368D"/>
    <w:rsid w:val="00E34044"/>
    <w:rsid w:val="00E3530B"/>
    <w:rsid w:val="00E35491"/>
    <w:rsid w:val="00E35A90"/>
    <w:rsid w:val="00E35CEE"/>
    <w:rsid w:val="00E35D07"/>
    <w:rsid w:val="00E36481"/>
    <w:rsid w:val="00E36DC7"/>
    <w:rsid w:val="00E370E7"/>
    <w:rsid w:val="00E37156"/>
    <w:rsid w:val="00E371D5"/>
    <w:rsid w:val="00E3733D"/>
    <w:rsid w:val="00E375F4"/>
    <w:rsid w:val="00E37947"/>
    <w:rsid w:val="00E37A51"/>
    <w:rsid w:val="00E37C21"/>
    <w:rsid w:val="00E37C61"/>
    <w:rsid w:val="00E37C69"/>
    <w:rsid w:val="00E37D3A"/>
    <w:rsid w:val="00E37E2C"/>
    <w:rsid w:val="00E37EE1"/>
    <w:rsid w:val="00E401E9"/>
    <w:rsid w:val="00E40369"/>
    <w:rsid w:val="00E40545"/>
    <w:rsid w:val="00E405C8"/>
    <w:rsid w:val="00E40A2B"/>
    <w:rsid w:val="00E40B91"/>
    <w:rsid w:val="00E4102D"/>
    <w:rsid w:val="00E4130D"/>
    <w:rsid w:val="00E41E40"/>
    <w:rsid w:val="00E420B4"/>
    <w:rsid w:val="00E42471"/>
    <w:rsid w:val="00E42630"/>
    <w:rsid w:val="00E426D7"/>
    <w:rsid w:val="00E4276D"/>
    <w:rsid w:val="00E427B8"/>
    <w:rsid w:val="00E428AB"/>
    <w:rsid w:val="00E428E0"/>
    <w:rsid w:val="00E4295B"/>
    <w:rsid w:val="00E42A95"/>
    <w:rsid w:val="00E42C47"/>
    <w:rsid w:val="00E42CC6"/>
    <w:rsid w:val="00E42D43"/>
    <w:rsid w:val="00E42D77"/>
    <w:rsid w:val="00E42DE9"/>
    <w:rsid w:val="00E42E25"/>
    <w:rsid w:val="00E42E97"/>
    <w:rsid w:val="00E42EDF"/>
    <w:rsid w:val="00E42F7E"/>
    <w:rsid w:val="00E432E1"/>
    <w:rsid w:val="00E43321"/>
    <w:rsid w:val="00E43AD5"/>
    <w:rsid w:val="00E43DEF"/>
    <w:rsid w:val="00E44075"/>
    <w:rsid w:val="00E4452E"/>
    <w:rsid w:val="00E44C7A"/>
    <w:rsid w:val="00E44C99"/>
    <w:rsid w:val="00E44C9D"/>
    <w:rsid w:val="00E44D64"/>
    <w:rsid w:val="00E44FEB"/>
    <w:rsid w:val="00E452DF"/>
    <w:rsid w:val="00E4577B"/>
    <w:rsid w:val="00E45DCC"/>
    <w:rsid w:val="00E45F6C"/>
    <w:rsid w:val="00E4650F"/>
    <w:rsid w:val="00E46649"/>
    <w:rsid w:val="00E46775"/>
    <w:rsid w:val="00E46926"/>
    <w:rsid w:val="00E46C32"/>
    <w:rsid w:val="00E46E64"/>
    <w:rsid w:val="00E472F5"/>
    <w:rsid w:val="00E474A1"/>
    <w:rsid w:val="00E47505"/>
    <w:rsid w:val="00E47D3F"/>
    <w:rsid w:val="00E47DCE"/>
    <w:rsid w:val="00E50074"/>
    <w:rsid w:val="00E501E8"/>
    <w:rsid w:val="00E50311"/>
    <w:rsid w:val="00E50369"/>
    <w:rsid w:val="00E505B1"/>
    <w:rsid w:val="00E50640"/>
    <w:rsid w:val="00E50BAD"/>
    <w:rsid w:val="00E5192F"/>
    <w:rsid w:val="00E51AA2"/>
    <w:rsid w:val="00E51AB0"/>
    <w:rsid w:val="00E52106"/>
    <w:rsid w:val="00E525CD"/>
    <w:rsid w:val="00E52711"/>
    <w:rsid w:val="00E52805"/>
    <w:rsid w:val="00E52816"/>
    <w:rsid w:val="00E52B7F"/>
    <w:rsid w:val="00E5344B"/>
    <w:rsid w:val="00E5345A"/>
    <w:rsid w:val="00E534EF"/>
    <w:rsid w:val="00E53642"/>
    <w:rsid w:val="00E536DE"/>
    <w:rsid w:val="00E53976"/>
    <w:rsid w:val="00E53E9E"/>
    <w:rsid w:val="00E53ECB"/>
    <w:rsid w:val="00E540FB"/>
    <w:rsid w:val="00E54335"/>
    <w:rsid w:val="00E544C0"/>
    <w:rsid w:val="00E546BE"/>
    <w:rsid w:val="00E546D4"/>
    <w:rsid w:val="00E54A55"/>
    <w:rsid w:val="00E54AFD"/>
    <w:rsid w:val="00E54D2E"/>
    <w:rsid w:val="00E54D4D"/>
    <w:rsid w:val="00E54EBC"/>
    <w:rsid w:val="00E54EC8"/>
    <w:rsid w:val="00E5526E"/>
    <w:rsid w:val="00E553A8"/>
    <w:rsid w:val="00E55714"/>
    <w:rsid w:val="00E55DA6"/>
    <w:rsid w:val="00E56042"/>
    <w:rsid w:val="00E5680A"/>
    <w:rsid w:val="00E56928"/>
    <w:rsid w:val="00E5693C"/>
    <w:rsid w:val="00E56B69"/>
    <w:rsid w:val="00E56B89"/>
    <w:rsid w:val="00E56CE1"/>
    <w:rsid w:val="00E56E72"/>
    <w:rsid w:val="00E56EED"/>
    <w:rsid w:val="00E5726C"/>
    <w:rsid w:val="00E57799"/>
    <w:rsid w:val="00E60258"/>
    <w:rsid w:val="00E6034B"/>
    <w:rsid w:val="00E60754"/>
    <w:rsid w:val="00E61070"/>
    <w:rsid w:val="00E6126A"/>
    <w:rsid w:val="00E615A0"/>
    <w:rsid w:val="00E61920"/>
    <w:rsid w:val="00E61ECE"/>
    <w:rsid w:val="00E61F22"/>
    <w:rsid w:val="00E61F58"/>
    <w:rsid w:val="00E62525"/>
    <w:rsid w:val="00E625ED"/>
    <w:rsid w:val="00E62880"/>
    <w:rsid w:val="00E62C8B"/>
    <w:rsid w:val="00E631BE"/>
    <w:rsid w:val="00E63232"/>
    <w:rsid w:val="00E6359F"/>
    <w:rsid w:val="00E63618"/>
    <w:rsid w:val="00E63756"/>
    <w:rsid w:val="00E6386D"/>
    <w:rsid w:val="00E638C6"/>
    <w:rsid w:val="00E63A8D"/>
    <w:rsid w:val="00E63B4F"/>
    <w:rsid w:val="00E63EE8"/>
    <w:rsid w:val="00E63EEF"/>
    <w:rsid w:val="00E640A8"/>
    <w:rsid w:val="00E642BA"/>
    <w:rsid w:val="00E644F3"/>
    <w:rsid w:val="00E644F5"/>
    <w:rsid w:val="00E64727"/>
    <w:rsid w:val="00E647F1"/>
    <w:rsid w:val="00E6487E"/>
    <w:rsid w:val="00E649CB"/>
    <w:rsid w:val="00E649E2"/>
    <w:rsid w:val="00E64A8C"/>
    <w:rsid w:val="00E6507A"/>
    <w:rsid w:val="00E65112"/>
    <w:rsid w:val="00E65141"/>
    <w:rsid w:val="00E65339"/>
    <w:rsid w:val="00E65388"/>
    <w:rsid w:val="00E65395"/>
    <w:rsid w:val="00E65453"/>
    <w:rsid w:val="00E655A7"/>
    <w:rsid w:val="00E65BC3"/>
    <w:rsid w:val="00E660CB"/>
    <w:rsid w:val="00E66150"/>
    <w:rsid w:val="00E665D4"/>
    <w:rsid w:val="00E66BC8"/>
    <w:rsid w:val="00E66C37"/>
    <w:rsid w:val="00E66E95"/>
    <w:rsid w:val="00E670AF"/>
    <w:rsid w:val="00E6754F"/>
    <w:rsid w:val="00E677B9"/>
    <w:rsid w:val="00E67B8D"/>
    <w:rsid w:val="00E67CD0"/>
    <w:rsid w:val="00E67D52"/>
    <w:rsid w:val="00E67D69"/>
    <w:rsid w:val="00E67F23"/>
    <w:rsid w:val="00E7011D"/>
    <w:rsid w:val="00E704FA"/>
    <w:rsid w:val="00E70800"/>
    <w:rsid w:val="00E71247"/>
    <w:rsid w:val="00E715B3"/>
    <w:rsid w:val="00E71941"/>
    <w:rsid w:val="00E719DC"/>
    <w:rsid w:val="00E71B50"/>
    <w:rsid w:val="00E71CCA"/>
    <w:rsid w:val="00E722B2"/>
    <w:rsid w:val="00E7237D"/>
    <w:rsid w:val="00E72599"/>
    <w:rsid w:val="00E72750"/>
    <w:rsid w:val="00E72800"/>
    <w:rsid w:val="00E72918"/>
    <w:rsid w:val="00E72949"/>
    <w:rsid w:val="00E72DAD"/>
    <w:rsid w:val="00E73223"/>
    <w:rsid w:val="00E73943"/>
    <w:rsid w:val="00E73C46"/>
    <w:rsid w:val="00E73C54"/>
    <w:rsid w:val="00E73CB0"/>
    <w:rsid w:val="00E73DDF"/>
    <w:rsid w:val="00E741B5"/>
    <w:rsid w:val="00E742E3"/>
    <w:rsid w:val="00E74A35"/>
    <w:rsid w:val="00E74B30"/>
    <w:rsid w:val="00E74CD4"/>
    <w:rsid w:val="00E74DE8"/>
    <w:rsid w:val="00E74F9B"/>
    <w:rsid w:val="00E751E3"/>
    <w:rsid w:val="00E7583D"/>
    <w:rsid w:val="00E758DE"/>
    <w:rsid w:val="00E75A98"/>
    <w:rsid w:val="00E75C61"/>
    <w:rsid w:val="00E75D6D"/>
    <w:rsid w:val="00E75DCC"/>
    <w:rsid w:val="00E76915"/>
    <w:rsid w:val="00E76C05"/>
    <w:rsid w:val="00E76CE2"/>
    <w:rsid w:val="00E76D14"/>
    <w:rsid w:val="00E76FB4"/>
    <w:rsid w:val="00E77101"/>
    <w:rsid w:val="00E8024C"/>
    <w:rsid w:val="00E8042C"/>
    <w:rsid w:val="00E80666"/>
    <w:rsid w:val="00E806E1"/>
    <w:rsid w:val="00E809ED"/>
    <w:rsid w:val="00E80EC6"/>
    <w:rsid w:val="00E80EE5"/>
    <w:rsid w:val="00E80F5A"/>
    <w:rsid w:val="00E80FB8"/>
    <w:rsid w:val="00E8118B"/>
    <w:rsid w:val="00E81931"/>
    <w:rsid w:val="00E81CE8"/>
    <w:rsid w:val="00E81CEC"/>
    <w:rsid w:val="00E8213A"/>
    <w:rsid w:val="00E827E7"/>
    <w:rsid w:val="00E82AE9"/>
    <w:rsid w:val="00E82E2A"/>
    <w:rsid w:val="00E831A6"/>
    <w:rsid w:val="00E83747"/>
    <w:rsid w:val="00E83AA1"/>
    <w:rsid w:val="00E83CF2"/>
    <w:rsid w:val="00E83E63"/>
    <w:rsid w:val="00E83ED3"/>
    <w:rsid w:val="00E8442C"/>
    <w:rsid w:val="00E8459D"/>
    <w:rsid w:val="00E848D1"/>
    <w:rsid w:val="00E84AC5"/>
    <w:rsid w:val="00E84C82"/>
    <w:rsid w:val="00E84DC9"/>
    <w:rsid w:val="00E84E4F"/>
    <w:rsid w:val="00E84EC2"/>
    <w:rsid w:val="00E84F99"/>
    <w:rsid w:val="00E856EB"/>
    <w:rsid w:val="00E85786"/>
    <w:rsid w:val="00E8582D"/>
    <w:rsid w:val="00E8589C"/>
    <w:rsid w:val="00E85DE1"/>
    <w:rsid w:val="00E85EAB"/>
    <w:rsid w:val="00E860AB"/>
    <w:rsid w:val="00E8621B"/>
    <w:rsid w:val="00E8628A"/>
    <w:rsid w:val="00E862E0"/>
    <w:rsid w:val="00E86635"/>
    <w:rsid w:val="00E86B0F"/>
    <w:rsid w:val="00E86D5B"/>
    <w:rsid w:val="00E8704F"/>
    <w:rsid w:val="00E87136"/>
    <w:rsid w:val="00E875DC"/>
    <w:rsid w:val="00E87927"/>
    <w:rsid w:val="00E9016C"/>
    <w:rsid w:val="00E9048C"/>
    <w:rsid w:val="00E9062E"/>
    <w:rsid w:val="00E906A7"/>
    <w:rsid w:val="00E90C77"/>
    <w:rsid w:val="00E90FC4"/>
    <w:rsid w:val="00E910EA"/>
    <w:rsid w:val="00E91459"/>
    <w:rsid w:val="00E91506"/>
    <w:rsid w:val="00E91C6A"/>
    <w:rsid w:val="00E920D4"/>
    <w:rsid w:val="00E922AF"/>
    <w:rsid w:val="00E924AB"/>
    <w:rsid w:val="00E9256C"/>
    <w:rsid w:val="00E92809"/>
    <w:rsid w:val="00E92817"/>
    <w:rsid w:val="00E92B04"/>
    <w:rsid w:val="00E9302F"/>
    <w:rsid w:val="00E93C4A"/>
    <w:rsid w:val="00E93DA2"/>
    <w:rsid w:val="00E942AB"/>
    <w:rsid w:val="00E94416"/>
    <w:rsid w:val="00E94576"/>
    <w:rsid w:val="00E9481A"/>
    <w:rsid w:val="00E9482A"/>
    <w:rsid w:val="00E948D7"/>
    <w:rsid w:val="00E9543D"/>
    <w:rsid w:val="00E9564F"/>
    <w:rsid w:val="00E95A99"/>
    <w:rsid w:val="00E95C26"/>
    <w:rsid w:val="00E960F9"/>
    <w:rsid w:val="00E96482"/>
    <w:rsid w:val="00E97008"/>
    <w:rsid w:val="00E9738A"/>
    <w:rsid w:val="00E974AA"/>
    <w:rsid w:val="00E977C4"/>
    <w:rsid w:val="00E97A66"/>
    <w:rsid w:val="00E97A6A"/>
    <w:rsid w:val="00E97A6B"/>
    <w:rsid w:val="00EA0278"/>
    <w:rsid w:val="00EA029A"/>
    <w:rsid w:val="00EA036C"/>
    <w:rsid w:val="00EA03DD"/>
    <w:rsid w:val="00EA0885"/>
    <w:rsid w:val="00EA09A2"/>
    <w:rsid w:val="00EA0A64"/>
    <w:rsid w:val="00EA0A8A"/>
    <w:rsid w:val="00EA0B32"/>
    <w:rsid w:val="00EA0E22"/>
    <w:rsid w:val="00EA116A"/>
    <w:rsid w:val="00EA116C"/>
    <w:rsid w:val="00EA12E0"/>
    <w:rsid w:val="00EA132E"/>
    <w:rsid w:val="00EA1395"/>
    <w:rsid w:val="00EA1435"/>
    <w:rsid w:val="00EA165E"/>
    <w:rsid w:val="00EA1737"/>
    <w:rsid w:val="00EA1837"/>
    <w:rsid w:val="00EA1B2B"/>
    <w:rsid w:val="00EA1BAB"/>
    <w:rsid w:val="00EA1BE1"/>
    <w:rsid w:val="00EA1E72"/>
    <w:rsid w:val="00EA1FE5"/>
    <w:rsid w:val="00EA20B4"/>
    <w:rsid w:val="00EA2113"/>
    <w:rsid w:val="00EA25BB"/>
    <w:rsid w:val="00EA26DD"/>
    <w:rsid w:val="00EA276C"/>
    <w:rsid w:val="00EA289D"/>
    <w:rsid w:val="00EA2A7A"/>
    <w:rsid w:val="00EA2C3A"/>
    <w:rsid w:val="00EA2D27"/>
    <w:rsid w:val="00EA30A4"/>
    <w:rsid w:val="00EA316C"/>
    <w:rsid w:val="00EA3708"/>
    <w:rsid w:val="00EA3A41"/>
    <w:rsid w:val="00EA3B6D"/>
    <w:rsid w:val="00EA3D28"/>
    <w:rsid w:val="00EA3F08"/>
    <w:rsid w:val="00EA401A"/>
    <w:rsid w:val="00EA4146"/>
    <w:rsid w:val="00EA41AE"/>
    <w:rsid w:val="00EA4456"/>
    <w:rsid w:val="00EA4684"/>
    <w:rsid w:val="00EA4806"/>
    <w:rsid w:val="00EA4E81"/>
    <w:rsid w:val="00EA5515"/>
    <w:rsid w:val="00EA5C4B"/>
    <w:rsid w:val="00EA5DF4"/>
    <w:rsid w:val="00EA6167"/>
    <w:rsid w:val="00EA6467"/>
    <w:rsid w:val="00EA6765"/>
    <w:rsid w:val="00EA67D5"/>
    <w:rsid w:val="00EA683C"/>
    <w:rsid w:val="00EA6878"/>
    <w:rsid w:val="00EA6D8A"/>
    <w:rsid w:val="00EA6ED9"/>
    <w:rsid w:val="00EA71B6"/>
    <w:rsid w:val="00EA7738"/>
    <w:rsid w:val="00EA7B5A"/>
    <w:rsid w:val="00EA7E0F"/>
    <w:rsid w:val="00EB02F0"/>
    <w:rsid w:val="00EB0573"/>
    <w:rsid w:val="00EB07B6"/>
    <w:rsid w:val="00EB0FAF"/>
    <w:rsid w:val="00EB1003"/>
    <w:rsid w:val="00EB10E0"/>
    <w:rsid w:val="00EB1300"/>
    <w:rsid w:val="00EB1566"/>
    <w:rsid w:val="00EB1574"/>
    <w:rsid w:val="00EB158F"/>
    <w:rsid w:val="00EB161C"/>
    <w:rsid w:val="00EB1906"/>
    <w:rsid w:val="00EB1926"/>
    <w:rsid w:val="00EB1C92"/>
    <w:rsid w:val="00EB1C99"/>
    <w:rsid w:val="00EB1EAB"/>
    <w:rsid w:val="00EB2176"/>
    <w:rsid w:val="00EB21A2"/>
    <w:rsid w:val="00EB2288"/>
    <w:rsid w:val="00EB2356"/>
    <w:rsid w:val="00EB2412"/>
    <w:rsid w:val="00EB24CF"/>
    <w:rsid w:val="00EB2895"/>
    <w:rsid w:val="00EB2990"/>
    <w:rsid w:val="00EB2A65"/>
    <w:rsid w:val="00EB34B4"/>
    <w:rsid w:val="00EB3552"/>
    <w:rsid w:val="00EB3559"/>
    <w:rsid w:val="00EB360F"/>
    <w:rsid w:val="00EB36ED"/>
    <w:rsid w:val="00EB3A59"/>
    <w:rsid w:val="00EB3DB1"/>
    <w:rsid w:val="00EB3E2F"/>
    <w:rsid w:val="00EB3E42"/>
    <w:rsid w:val="00EB40A9"/>
    <w:rsid w:val="00EB41D2"/>
    <w:rsid w:val="00EB430D"/>
    <w:rsid w:val="00EB4465"/>
    <w:rsid w:val="00EB46BF"/>
    <w:rsid w:val="00EB5107"/>
    <w:rsid w:val="00EB5658"/>
    <w:rsid w:val="00EB57EB"/>
    <w:rsid w:val="00EB5806"/>
    <w:rsid w:val="00EB5AC6"/>
    <w:rsid w:val="00EB5B11"/>
    <w:rsid w:val="00EB5C24"/>
    <w:rsid w:val="00EB5CA0"/>
    <w:rsid w:val="00EB62DF"/>
    <w:rsid w:val="00EB6894"/>
    <w:rsid w:val="00EB68FB"/>
    <w:rsid w:val="00EB6CD0"/>
    <w:rsid w:val="00EB712C"/>
    <w:rsid w:val="00EB7191"/>
    <w:rsid w:val="00EB71CB"/>
    <w:rsid w:val="00EB7281"/>
    <w:rsid w:val="00EB728B"/>
    <w:rsid w:val="00EB75F5"/>
    <w:rsid w:val="00EB7848"/>
    <w:rsid w:val="00EB7C8C"/>
    <w:rsid w:val="00EC05E0"/>
    <w:rsid w:val="00EC06BD"/>
    <w:rsid w:val="00EC0ACE"/>
    <w:rsid w:val="00EC0B82"/>
    <w:rsid w:val="00EC0DD9"/>
    <w:rsid w:val="00EC0E6A"/>
    <w:rsid w:val="00EC11DE"/>
    <w:rsid w:val="00EC121E"/>
    <w:rsid w:val="00EC1344"/>
    <w:rsid w:val="00EC13FA"/>
    <w:rsid w:val="00EC1484"/>
    <w:rsid w:val="00EC157B"/>
    <w:rsid w:val="00EC17C0"/>
    <w:rsid w:val="00EC189F"/>
    <w:rsid w:val="00EC1D26"/>
    <w:rsid w:val="00EC21E1"/>
    <w:rsid w:val="00EC2262"/>
    <w:rsid w:val="00EC22F9"/>
    <w:rsid w:val="00EC237A"/>
    <w:rsid w:val="00EC248B"/>
    <w:rsid w:val="00EC24C1"/>
    <w:rsid w:val="00EC2D86"/>
    <w:rsid w:val="00EC2F32"/>
    <w:rsid w:val="00EC2FDE"/>
    <w:rsid w:val="00EC3261"/>
    <w:rsid w:val="00EC38DA"/>
    <w:rsid w:val="00EC3F42"/>
    <w:rsid w:val="00EC3FE2"/>
    <w:rsid w:val="00EC429F"/>
    <w:rsid w:val="00EC4465"/>
    <w:rsid w:val="00EC474D"/>
    <w:rsid w:val="00EC486A"/>
    <w:rsid w:val="00EC4A89"/>
    <w:rsid w:val="00EC4D5F"/>
    <w:rsid w:val="00EC4EED"/>
    <w:rsid w:val="00EC565E"/>
    <w:rsid w:val="00EC5845"/>
    <w:rsid w:val="00EC5963"/>
    <w:rsid w:val="00EC5BEE"/>
    <w:rsid w:val="00EC5D0C"/>
    <w:rsid w:val="00EC5F05"/>
    <w:rsid w:val="00EC5F9D"/>
    <w:rsid w:val="00EC6116"/>
    <w:rsid w:val="00EC62EE"/>
    <w:rsid w:val="00EC63DE"/>
    <w:rsid w:val="00EC644E"/>
    <w:rsid w:val="00EC67E6"/>
    <w:rsid w:val="00EC68D4"/>
    <w:rsid w:val="00EC6CC3"/>
    <w:rsid w:val="00EC71A5"/>
    <w:rsid w:val="00EC77C7"/>
    <w:rsid w:val="00EC7FF6"/>
    <w:rsid w:val="00ED017F"/>
    <w:rsid w:val="00ED0329"/>
    <w:rsid w:val="00ED043E"/>
    <w:rsid w:val="00ED0496"/>
    <w:rsid w:val="00ED0962"/>
    <w:rsid w:val="00ED1109"/>
    <w:rsid w:val="00ED135C"/>
    <w:rsid w:val="00ED1755"/>
    <w:rsid w:val="00ED1AEA"/>
    <w:rsid w:val="00ED1C2A"/>
    <w:rsid w:val="00ED1E37"/>
    <w:rsid w:val="00ED1F47"/>
    <w:rsid w:val="00ED2157"/>
    <w:rsid w:val="00ED295B"/>
    <w:rsid w:val="00ED2F8D"/>
    <w:rsid w:val="00ED30FD"/>
    <w:rsid w:val="00ED3750"/>
    <w:rsid w:val="00ED3CD3"/>
    <w:rsid w:val="00ED3EA4"/>
    <w:rsid w:val="00ED3FAB"/>
    <w:rsid w:val="00ED4470"/>
    <w:rsid w:val="00ED4481"/>
    <w:rsid w:val="00ED4657"/>
    <w:rsid w:val="00ED46D2"/>
    <w:rsid w:val="00ED4AB0"/>
    <w:rsid w:val="00ED548B"/>
    <w:rsid w:val="00ED5547"/>
    <w:rsid w:val="00ED5A9C"/>
    <w:rsid w:val="00ED5E25"/>
    <w:rsid w:val="00ED623B"/>
    <w:rsid w:val="00ED6332"/>
    <w:rsid w:val="00ED6747"/>
    <w:rsid w:val="00ED67E2"/>
    <w:rsid w:val="00ED6A05"/>
    <w:rsid w:val="00ED6CDF"/>
    <w:rsid w:val="00ED7473"/>
    <w:rsid w:val="00ED750C"/>
    <w:rsid w:val="00ED7DE6"/>
    <w:rsid w:val="00EE00C8"/>
    <w:rsid w:val="00EE04C8"/>
    <w:rsid w:val="00EE0631"/>
    <w:rsid w:val="00EE0F6D"/>
    <w:rsid w:val="00EE0FDF"/>
    <w:rsid w:val="00EE11A4"/>
    <w:rsid w:val="00EE135F"/>
    <w:rsid w:val="00EE16A1"/>
    <w:rsid w:val="00EE17D0"/>
    <w:rsid w:val="00EE1823"/>
    <w:rsid w:val="00EE1828"/>
    <w:rsid w:val="00EE184E"/>
    <w:rsid w:val="00EE1912"/>
    <w:rsid w:val="00EE1A3A"/>
    <w:rsid w:val="00EE1C11"/>
    <w:rsid w:val="00EE2061"/>
    <w:rsid w:val="00EE20DF"/>
    <w:rsid w:val="00EE25CA"/>
    <w:rsid w:val="00EE28CF"/>
    <w:rsid w:val="00EE28F0"/>
    <w:rsid w:val="00EE2B0F"/>
    <w:rsid w:val="00EE2B30"/>
    <w:rsid w:val="00EE2D39"/>
    <w:rsid w:val="00EE2EA6"/>
    <w:rsid w:val="00EE3419"/>
    <w:rsid w:val="00EE3754"/>
    <w:rsid w:val="00EE3787"/>
    <w:rsid w:val="00EE3CD1"/>
    <w:rsid w:val="00EE42DD"/>
    <w:rsid w:val="00EE46F1"/>
    <w:rsid w:val="00EE4A0F"/>
    <w:rsid w:val="00EE50DD"/>
    <w:rsid w:val="00EE50EA"/>
    <w:rsid w:val="00EE5133"/>
    <w:rsid w:val="00EE5301"/>
    <w:rsid w:val="00EE535A"/>
    <w:rsid w:val="00EE5993"/>
    <w:rsid w:val="00EE5A17"/>
    <w:rsid w:val="00EE5C44"/>
    <w:rsid w:val="00EE5E29"/>
    <w:rsid w:val="00EE5E6C"/>
    <w:rsid w:val="00EE6003"/>
    <w:rsid w:val="00EE62E8"/>
    <w:rsid w:val="00EE63D6"/>
    <w:rsid w:val="00EE6896"/>
    <w:rsid w:val="00EE6939"/>
    <w:rsid w:val="00EE6D94"/>
    <w:rsid w:val="00EE71F0"/>
    <w:rsid w:val="00EE74F5"/>
    <w:rsid w:val="00EE7558"/>
    <w:rsid w:val="00EE7CFC"/>
    <w:rsid w:val="00EF00BC"/>
    <w:rsid w:val="00EF02AD"/>
    <w:rsid w:val="00EF0393"/>
    <w:rsid w:val="00EF05B9"/>
    <w:rsid w:val="00EF0B50"/>
    <w:rsid w:val="00EF0C17"/>
    <w:rsid w:val="00EF0E3F"/>
    <w:rsid w:val="00EF12EE"/>
    <w:rsid w:val="00EF18AF"/>
    <w:rsid w:val="00EF1A5A"/>
    <w:rsid w:val="00EF1C55"/>
    <w:rsid w:val="00EF1E99"/>
    <w:rsid w:val="00EF1EA3"/>
    <w:rsid w:val="00EF1EB2"/>
    <w:rsid w:val="00EF2054"/>
    <w:rsid w:val="00EF20C7"/>
    <w:rsid w:val="00EF21D2"/>
    <w:rsid w:val="00EF228A"/>
    <w:rsid w:val="00EF23E8"/>
    <w:rsid w:val="00EF260C"/>
    <w:rsid w:val="00EF276A"/>
    <w:rsid w:val="00EF2D1F"/>
    <w:rsid w:val="00EF31E3"/>
    <w:rsid w:val="00EF322A"/>
    <w:rsid w:val="00EF34A1"/>
    <w:rsid w:val="00EF390D"/>
    <w:rsid w:val="00EF3C01"/>
    <w:rsid w:val="00EF3C4E"/>
    <w:rsid w:val="00EF3D17"/>
    <w:rsid w:val="00EF3DA6"/>
    <w:rsid w:val="00EF4385"/>
    <w:rsid w:val="00EF4397"/>
    <w:rsid w:val="00EF4431"/>
    <w:rsid w:val="00EF44C3"/>
    <w:rsid w:val="00EF46AC"/>
    <w:rsid w:val="00EF46E4"/>
    <w:rsid w:val="00EF49E6"/>
    <w:rsid w:val="00EF4E35"/>
    <w:rsid w:val="00EF4F2D"/>
    <w:rsid w:val="00EF4FD4"/>
    <w:rsid w:val="00EF51DE"/>
    <w:rsid w:val="00EF5243"/>
    <w:rsid w:val="00EF52EC"/>
    <w:rsid w:val="00EF56BE"/>
    <w:rsid w:val="00EF57E4"/>
    <w:rsid w:val="00EF5BEA"/>
    <w:rsid w:val="00EF5C3E"/>
    <w:rsid w:val="00EF7133"/>
    <w:rsid w:val="00EF7A93"/>
    <w:rsid w:val="00F00397"/>
    <w:rsid w:val="00F00744"/>
    <w:rsid w:val="00F008B9"/>
    <w:rsid w:val="00F008C2"/>
    <w:rsid w:val="00F008D1"/>
    <w:rsid w:val="00F01010"/>
    <w:rsid w:val="00F01158"/>
    <w:rsid w:val="00F01542"/>
    <w:rsid w:val="00F015FC"/>
    <w:rsid w:val="00F019EC"/>
    <w:rsid w:val="00F01C1A"/>
    <w:rsid w:val="00F01DA9"/>
    <w:rsid w:val="00F023E7"/>
    <w:rsid w:val="00F023EA"/>
    <w:rsid w:val="00F024CC"/>
    <w:rsid w:val="00F02A5D"/>
    <w:rsid w:val="00F02E79"/>
    <w:rsid w:val="00F02E7A"/>
    <w:rsid w:val="00F02F40"/>
    <w:rsid w:val="00F02FEE"/>
    <w:rsid w:val="00F0317B"/>
    <w:rsid w:val="00F0341B"/>
    <w:rsid w:val="00F037A1"/>
    <w:rsid w:val="00F04052"/>
    <w:rsid w:val="00F04081"/>
    <w:rsid w:val="00F04624"/>
    <w:rsid w:val="00F04773"/>
    <w:rsid w:val="00F0478E"/>
    <w:rsid w:val="00F047FA"/>
    <w:rsid w:val="00F0519D"/>
    <w:rsid w:val="00F051E7"/>
    <w:rsid w:val="00F057BD"/>
    <w:rsid w:val="00F0584E"/>
    <w:rsid w:val="00F05B63"/>
    <w:rsid w:val="00F05CA2"/>
    <w:rsid w:val="00F05FF9"/>
    <w:rsid w:val="00F060B5"/>
    <w:rsid w:val="00F0637B"/>
    <w:rsid w:val="00F066F2"/>
    <w:rsid w:val="00F0670C"/>
    <w:rsid w:val="00F06D46"/>
    <w:rsid w:val="00F06E9B"/>
    <w:rsid w:val="00F0719B"/>
    <w:rsid w:val="00F0747B"/>
    <w:rsid w:val="00F07766"/>
    <w:rsid w:val="00F07F71"/>
    <w:rsid w:val="00F1033E"/>
    <w:rsid w:val="00F10431"/>
    <w:rsid w:val="00F105B0"/>
    <w:rsid w:val="00F10637"/>
    <w:rsid w:val="00F10929"/>
    <w:rsid w:val="00F10A21"/>
    <w:rsid w:val="00F10E1E"/>
    <w:rsid w:val="00F1159B"/>
    <w:rsid w:val="00F116D4"/>
    <w:rsid w:val="00F11A05"/>
    <w:rsid w:val="00F11AA1"/>
    <w:rsid w:val="00F11B23"/>
    <w:rsid w:val="00F11D89"/>
    <w:rsid w:val="00F11EA1"/>
    <w:rsid w:val="00F11FFA"/>
    <w:rsid w:val="00F12172"/>
    <w:rsid w:val="00F1278E"/>
    <w:rsid w:val="00F12AEF"/>
    <w:rsid w:val="00F12F39"/>
    <w:rsid w:val="00F13045"/>
    <w:rsid w:val="00F130CE"/>
    <w:rsid w:val="00F131F2"/>
    <w:rsid w:val="00F13355"/>
    <w:rsid w:val="00F13E84"/>
    <w:rsid w:val="00F13EC4"/>
    <w:rsid w:val="00F140DF"/>
    <w:rsid w:val="00F14546"/>
    <w:rsid w:val="00F14685"/>
    <w:rsid w:val="00F148A0"/>
    <w:rsid w:val="00F14949"/>
    <w:rsid w:val="00F149E3"/>
    <w:rsid w:val="00F14C52"/>
    <w:rsid w:val="00F14DD5"/>
    <w:rsid w:val="00F150B0"/>
    <w:rsid w:val="00F154B0"/>
    <w:rsid w:val="00F15BBB"/>
    <w:rsid w:val="00F15F00"/>
    <w:rsid w:val="00F16B5C"/>
    <w:rsid w:val="00F171D9"/>
    <w:rsid w:val="00F17209"/>
    <w:rsid w:val="00F17336"/>
    <w:rsid w:val="00F174C3"/>
    <w:rsid w:val="00F17606"/>
    <w:rsid w:val="00F17997"/>
    <w:rsid w:val="00F20199"/>
    <w:rsid w:val="00F20209"/>
    <w:rsid w:val="00F20232"/>
    <w:rsid w:val="00F206CB"/>
    <w:rsid w:val="00F20905"/>
    <w:rsid w:val="00F20953"/>
    <w:rsid w:val="00F209E2"/>
    <w:rsid w:val="00F20FF1"/>
    <w:rsid w:val="00F21116"/>
    <w:rsid w:val="00F21481"/>
    <w:rsid w:val="00F214EE"/>
    <w:rsid w:val="00F217FD"/>
    <w:rsid w:val="00F21925"/>
    <w:rsid w:val="00F22298"/>
    <w:rsid w:val="00F224A3"/>
    <w:rsid w:val="00F22E59"/>
    <w:rsid w:val="00F234FD"/>
    <w:rsid w:val="00F2351E"/>
    <w:rsid w:val="00F23681"/>
    <w:rsid w:val="00F23793"/>
    <w:rsid w:val="00F23C6D"/>
    <w:rsid w:val="00F249EB"/>
    <w:rsid w:val="00F25001"/>
    <w:rsid w:val="00F25104"/>
    <w:rsid w:val="00F2515F"/>
    <w:rsid w:val="00F256FB"/>
    <w:rsid w:val="00F2591B"/>
    <w:rsid w:val="00F25BA4"/>
    <w:rsid w:val="00F25BCD"/>
    <w:rsid w:val="00F261B8"/>
    <w:rsid w:val="00F2631E"/>
    <w:rsid w:val="00F26996"/>
    <w:rsid w:val="00F26CE9"/>
    <w:rsid w:val="00F26DF9"/>
    <w:rsid w:val="00F26EF9"/>
    <w:rsid w:val="00F26F70"/>
    <w:rsid w:val="00F27107"/>
    <w:rsid w:val="00F2730E"/>
    <w:rsid w:val="00F2733D"/>
    <w:rsid w:val="00F273E2"/>
    <w:rsid w:val="00F27716"/>
    <w:rsid w:val="00F27AA6"/>
    <w:rsid w:val="00F27C6A"/>
    <w:rsid w:val="00F30141"/>
    <w:rsid w:val="00F302F3"/>
    <w:rsid w:val="00F3044B"/>
    <w:rsid w:val="00F308C9"/>
    <w:rsid w:val="00F311A8"/>
    <w:rsid w:val="00F31459"/>
    <w:rsid w:val="00F31785"/>
    <w:rsid w:val="00F317A6"/>
    <w:rsid w:val="00F31834"/>
    <w:rsid w:val="00F31DB1"/>
    <w:rsid w:val="00F321F0"/>
    <w:rsid w:val="00F3234A"/>
    <w:rsid w:val="00F3239A"/>
    <w:rsid w:val="00F3249B"/>
    <w:rsid w:val="00F3276F"/>
    <w:rsid w:val="00F32A25"/>
    <w:rsid w:val="00F32CB4"/>
    <w:rsid w:val="00F331E4"/>
    <w:rsid w:val="00F33518"/>
    <w:rsid w:val="00F335DC"/>
    <w:rsid w:val="00F33731"/>
    <w:rsid w:val="00F33955"/>
    <w:rsid w:val="00F33B32"/>
    <w:rsid w:val="00F33F21"/>
    <w:rsid w:val="00F34245"/>
    <w:rsid w:val="00F34540"/>
    <w:rsid w:val="00F3482D"/>
    <w:rsid w:val="00F3498E"/>
    <w:rsid w:val="00F349BA"/>
    <w:rsid w:val="00F34B5D"/>
    <w:rsid w:val="00F34BB8"/>
    <w:rsid w:val="00F34C75"/>
    <w:rsid w:val="00F356F4"/>
    <w:rsid w:val="00F357A8"/>
    <w:rsid w:val="00F35AA6"/>
    <w:rsid w:val="00F35C19"/>
    <w:rsid w:val="00F35C1F"/>
    <w:rsid w:val="00F35C4F"/>
    <w:rsid w:val="00F3613F"/>
    <w:rsid w:val="00F364AF"/>
    <w:rsid w:val="00F364FE"/>
    <w:rsid w:val="00F36600"/>
    <w:rsid w:val="00F368DB"/>
    <w:rsid w:val="00F36D59"/>
    <w:rsid w:val="00F36DEC"/>
    <w:rsid w:val="00F3708C"/>
    <w:rsid w:val="00F37309"/>
    <w:rsid w:val="00F3746F"/>
    <w:rsid w:val="00F37481"/>
    <w:rsid w:val="00F374E1"/>
    <w:rsid w:val="00F3754B"/>
    <w:rsid w:val="00F37771"/>
    <w:rsid w:val="00F37C11"/>
    <w:rsid w:val="00F37F4E"/>
    <w:rsid w:val="00F4031C"/>
    <w:rsid w:val="00F40902"/>
    <w:rsid w:val="00F40F0E"/>
    <w:rsid w:val="00F410D0"/>
    <w:rsid w:val="00F411A5"/>
    <w:rsid w:val="00F41429"/>
    <w:rsid w:val="00F41791"/>
    <w:rsid w:val="00F418D8"/>
    <w:rsid w:val="00F41A99"/>
    <w:rsid w:val="00F41AA2"/>
    <w:rsid w:val="00F41AAD"/>
    <w:rsid w:val="00F41CF3"/>
    <w:rsid w:val="00F41EC4"/>
    <w:rsid w:val="00F41F8E"/>
    <w:rsid w:val="00F41FE5"/>
    <w:rsid w:val="00F4215E"/>
    <w:rsid w:val="00F42194"/>
    <w:rsid w:val="00F423FD"/>
    <w:rsid w:val="00F4287A"/>
    <w:rsid w:val="00F42CD0"/>
    <w:rsid w:val="00F4368F"/>
    <w:rsid w:val="00F43732"/>
    <w:rsid w:val="00F43758"/>
    <w:rsid w:val="00F43960"/>
    <w:rsid w:val="00F43A17"/>
    <w:rsid w:val="00F43C50"/>
    <w:rsid w:val="00F43DE1"/>
    <w:rsid w:val="00F43F4A"/>
    <w:rsid w:val="00F44399"/>
    <w:rsid w:val="00F44518"/>
    <w:rsid w:val="00F44F05"/>
    <w:rsid w:val="00F45487"/>
    <w:rsid w:val="00F45EC3"/>
    <w:rsid w:val="00F460F1"/>
    <w:rsid w:val="00F466D8"/>
    <w:rsid w:val="00F466FD"/>
    <w:rsid w:val="00F467E7"/>
    <w:rsid w:val="00F46CD4"/>
    <w:rsid w:val="00F46FF9"/>
    <w:rsid w:val="00F47177"/>
    <w:rsid w:val="00F47292"/>
    <w:rsid w:val="00F47361"/>
    <w:rsid w:val="00F47530"/>
    <w:rsid w:val="00F4788C"/>
    <w:rsid w:val="00F47C22"/>
    <w:rsid w:val="00F50146"/>
    <w:rsid w:val="00F501D7"/>
    <w:rsid w:val="00F50762"/>
    <w:rsid w:val="00F50783"/>
    <w:rsid w:val="00F5086C"/>
    <w:rsid w:val="00F50F75"/>
    <w:rsid w:val="00F5124D"/>
    <w:rsid w:val="00F51433"/>
    <w:rsid w:val="00F515CD"/>
    <w:rsid w:val="00F517A8"/>
    <w:rsid w:val="00F518EA"/>
    <w:rsid w:val="00F51911"/>
    <w:rsid w:val="00F51E1B"/>
    <w:rsid w:val="00F52221"/>
    <w:rsid w:val="00F524E0"/>
    <w:rsid w:val="00F527AD"/>
    <w:rsid w:val="00F52AD0"/>
    <w:rsid w:val="00F52F78"/>
    <w:rsid w:val="00F53290"/>
    <w:rsid w:val="00F533CE"/>
    <w:rsid w:val="00F535C4"/>
    <w:rsid w:val="00F53928"/>
    <w:rsid w:val="00F539CC"/>
    <w:rsid w:val="00F53BCB"/>
    <w:rsid w:val="00F53F11"/>
    <w:rsid w:val="00F5444E"/>
    <w:rsid w:val="00F54682"/>
    <w:rsid w:val="00F54D8F"/>
    <w:rsid w:val="00F54F19"/>
    <w:rsid w:val="00F55226"/>
    <w:rsid w:val="00F5575E"/>
    <w:rsid w:val="00F55A98"/>
    <w:rsid w:val="00F55E40"/>
    <w:rsid w:val="00F5647B"/>
    <w:rsid w:val="00F566D9"/>
    <w:rsid w:val="00F567CF"/>
    <w:rsid w:val="00F56A0A"/>
    <w:rsid w:val="00F56D63"/>
    <w:rsid w:val="00F56F04"/>
    <w:rsid w:val="00F57232"/>
    <w:rsid w:val="00F576A4"/>
    <w:rsid w:val="00F60252"/>
    <w:rsid w:val="00F60485"/>
    <w:rsid w:val="00F60771"/>
    <w:rsid w:val="00F60773"/>
    <w:rsid w:val="00F60812"/>
    <w:rsid w:val="00F60B65"/>
    <w:rsid w:val="00F60C9C"/>
    <w:rsid w:val="00F61244"/>
    <w:rsid w:val="00F6131D"/>
    <w:rsid w:val="00F61913"/>
    <w:rsid w:val="00F61F02"/>
    <w:rsid w:val="00F62D33"/>
    <w:rsid w:val="00F62E1A"/>
    <w:rsid w:val="00F62F80"/>
    <w:rsid w:val="00F632C4"/>
    <w:rsid w:val="00F63A87"/>
    <w:rsid w:val="00F64280"/>
    <w:rsid w:val="00F6461E"/>
    <w:rsid w:val="00F64A03"/>
    <w:rsid w:val="00F64AEC"/>
    <w:rsid w:val="00F64ECC"/>
    <w:rsid w:val="00F65327"/>
    <w:rsid w:val="00F6561E"/>
    <w:rsid w:val="00F6598C"/>
    <w:rsid w:val="00F65BB8"/>
    <w:rsid w:val="00F65E77"/>
    <w:rsid w:val="00F662A5"/>
    <w:rsid w:val="00F6663E"/>
    <w:rsid w:val="00F666D5"/>
    <w:rsid w:val="00F66775"/>
    <w:rsid w:val="00F667A4"/>
    <w:rsid w:val="00F667D5"/>
    <w:rsid w:val="00F66C18"/>
    <w:rsid w:val="00F66D4F"/>
    <w:rsid w:val="00F67308"/>
    <w:rsid w:val="00F674FD"/>
    <w:rsid w:val="00F677CD"/>
    <w:rsid w:val="00F67C20"/>
    <w:rsid w:val="00F70719"/>
    <w:rsid w:val="00F7072F"/>
    <w:rsid w:val="00F70F91"/>
    <w:rsid w:val="00F710A8"/>
    <w:rsid w:val="00F71508"/>
    <w:rsid w:val="00F71509"/>
    <w:rsid w:val="00F71623"/>
    <w:rsid w:val="00F7176C"/>
    <w:rsid w:val="00F717EB"/>
    <w:rsid w:val="00F71986"/>
    <w:rsid w:val="00F720CC"/>
    <w:rsid w:val="00F724E8"/>
    <w:rsid w:val="00F72538"/>
    <w:rsid w:val="00F725C3"/>
    <w:rsid w:val="00F72679"/>
    <w:rsid w:val="00F7270F"/>
    <w:rsid w:val="00F72805"/>
    <w:rsid w:val="00F72A48"/>
    <w:rsid w:val="00F72C85"/>
    <w:rsid w:val="00F72E7D"/>
    <w:rsid w:val="00F72F8D"/>
    <w:rsid w:val="00F730ED"/>
    <w:rsid w:val="00F736F1"/>
    <w:rsid w:val="00F73845"/>
    <w:rsid w:val="00F7399C"/>
    <w:rsid w:val="00F73AFF"/>
    <w:rsid w:val="00F73D20"/>
    <w:rsid w:val="00F73E85"/>
    <w:rsid w:val="00F73EC7"/>
    <w:rsid w:val="00F73F05"/>
    <w:rsid w:val="00F743C2"/>
    <w:rsid w:val="00F74678"/>
    <w:rsid w:val="00F74746"/>
    <w:rsid w:val="00F7491C"/>
    <w:rsid w:val="00F74993"/>
    <w:rsid w:val="00F74BD3"/>
    <w:rsid w:val="00F75060"/>
    <w:rsid w:val="00F755F7"/>
    <w:rsid w:val="00F756FF"/>
    <w:rsid w:val="00F75793"/>
    <w:rsid w:val="00F758FD"/>
    <w:rsid w:val="00F75A40"/>
    <w:rsid w:val="00F75CBF"/>
    <w:rsid w:val="00F76098"/>
    <w:rsid w:val="00F76403"/>
    <w:rsid w:val="00F76417"/>
    <w:rsid w:val="00F765BB"/>
    <w:rsid w:val="00F766B8"/>
    <w:rsid w:val="00F766F9"/>
    <w:rsid w:val="00F76C16"/>
    <w:rsid w:val="00F76EDA"/>
    <w:rsid w:val="00F77422"/>
    <w:rsid w:val="00F77C79"/>
    <w:rsid w:val="00F77CCB"/>
    <w:rsid w:val="00F8004D"/>
    <w:rsid w:val="00F802FF"/>
    <w:rsid w:val="00F8051A"/>
    <w:rsid w:val="00F80526"/>
    <w:rsid w:val="00F805A4"/>
    <w:rsid w:val="00F80764"/>
    <w:rsid w:val="00F807AD"/>
    <w:rsid w:val="00F80C59"/>
    <w:rsid w:val="00F80C64"/>
    <w:rsid w:val="00F81468"/>
    <w:rsid w:val="00F81767"/>
    <w:rsid w:val="00F819BB"/>
    <w:rsid w:val="00F81B60"/>
    <w:rsid w:val="00F82170"/>
    <w:rsid w:val="00F826D1"/>
    <w:rsid w:val="00F82906"/>
    <w:rsid w:val="00F82B4B"/>
    <w:rsid w:val="00F82E82"/>
    <w:rsid w:val="00F830E3"/>
    <w:rsid w:val="00F831C4"/>
    <w:rsid w:val="00F832FE"/>
    <w:rsid w:val="00F83728"/>
    <w:rsid w:val="00F838E5"/>
    <w:rsid w:val="00F83B5D"/>
    <w:rsid w:val="00F841B5"/>
    <w:rsid w:val="00F84290"/>
    <w:rsid w:val="00F8429D"/>
    <w:rsid w:val="00F844D1"/>
    <w:rsid w:val="00F84CCF"/>
    <w:rsid w:val="00F84DBD"/>
    <w:rsid w:val="00F84F38"/>
    <w:rsid w:val="00F84F62"/>
    <w:rsid w:val="00F84FFB"/>
    <w:rsid w:val="00F85046"/>
    <w:rsid w:val="00F8538B"/>
    <w:rsid w:val="00F85A87"/>
    <w:rsid w:val="00F85A92"/>
    <w:rsid w:val="00F85AAC"/>
    <w:rsid w:val="00F85E18"/>
    <w:rsid w:val="00F86295"/>
    <w:rsid w:val="00F865D6"/>
    <w:rsid w:val="00F8677B"/>
    <w:rsid w:val="00F867B3"/>
    <w:rsid w:val="00F8694F"/>
    <w:rsid w:val="00F86B73"/>
    <w:rsid w:val="00F86C1F"/>
    <w:rsid w:val="00F8763A"/>
    <w:rsid w:val="00F87C79"/>
    <w:rsid w:val="00F87CC2"/>
    <w:rsid w:val="00F901C7"/>
    <w:rsid w:val="00F903B3"/>
    <w:rsid w:val="00F90DD7"/>
    <w:rsid w:val="00F910FD"/>
    <w:rsid w:val="00F911C5"/>
    <w:rsid w:val="00F9154F"/>
    <w:rsid w:val="00F91930"/>
    <w:rsid w:val="00F91CEF"/>
    <w:rsid w:val="00F92545"/>
    <w:rsid w:val="00F92DA1"/>
    <w:rsid w:val="00F92DB2"/>
    <w:rsid w:val="00F933DF"/>
    <w:rsid w:val="00F937C9"/>
    <w:rsid w:val="00F93915"/>
    <w:rsid w:val="00F93E95"/>
    <w:rsid w:val="00F94044"/>
    <w:rsid w:val="00F94370"/>
    <w:rsid w:val="00F945AD"/>
    <w:rsid w:val="00F94D81"/>
    <w:rsid w:val="00F94F2C"/>
    <w:rsid w:val="00F950D1"/>
    <w:rsid w:val="00F953C9"/>
    <w:rsid w:val="00F957F3"/>
    <w:rsid w:val="00F9592B"/>
    <w:rsid w:val="00F95A85"/>
    <w:rsid w:val="00F95CE8"/>
    <w:rsid w:val="00F95E29"/>
    <w:rsid w:val="00F9615F"/>
    <w:rsid w:val="00F962B0"/>
    <w:rsid w:val="00F969A9"/>
    <w:rsid w:val="00F96B62"/>
    <w:rsid w:val="00F96BD9"/>
    <w:rsid w:val="00F96D32"/>
    <w:rsid w:val="00F970BE"/>
    <w:rsid w:val="00F979BF"/>
    <w:rsid w:val="00F97A48"/>
    <w:rsid w:val="00F97A66"/>
    <w:rsid w:val="00F97B48"/>
    <w:rsid w:val="00F97CB5"/>
    <w:rsid w:val="00FA001F"/>
    <w:rsid w:val="00FA0113"/>
    <w:rsid w:val="00FA013F"/>
    <w:rsid w:val="00FA0265"/>
    <w:rsid w:val="00FA0522"/>
    <w:rsid w:val="00FA099F"/>
    <w:rsid w:val="00FA0C53"/>
    <w:rsid w:val="00FA0C75"/>
    <w:rsid w:val="00FA0D4E"/>
    <w:rsid w:val="00FA0FE1"/>
    <w:rsid w:val="00FA115B"/>
    <w:rsid w:val="00FA14BA"/>
    <w:rsid w:val="00FA1532"/>
    <w:rsid w:val="00FA163D"/>
    <w:rsid w:val="00FA17CB"/>
    <w:rsid w:val="00FA17F9"/>
    <w:rsid w:val="00FA1902"/>
    <w:rsid w:val="00FA1B85"/>
    <w:rsid w:val="00FA1EFA"/>
    <w:rsid w:val="00FA252D"/>
    <w:rsid w:val="00FA2635"/>
    <w:rsid w:val="00FA278C"/>
    <w:rsid w:val="00FA27EC"/>
    <w:rsid w:val="00FA2CA1"/>
    <w:rsid w:val="00FA2CC9"/>
    <w:rsid w:val="00FA347F"/>
    <w:rsid w:val="00FA3789"/>
    <w:rsid w:val="00FA37B9"/>
    <w:rsid w:val="00FA3947"/>
    <w:rsid w:val="00FA3BDD"/>
    <w:rsid w:val="00FA3CD2"/>
    <w:rsid w:val="00FA48B0"/>
    <w:rsid w:val="00FA4AD4"/>
    <w:rsid w:val="00FA4DB5"/>
    <w:rsid w:val="00FA5231"/>
    <w:rsid w:val="00FA5999"/>
    <w:rsid w:val="00FA5A93"/>
    <w:rsid w:val="00FA5DE4"/>
    <w:rsid w:val="00FA63A6"/>
    <w:rsid w:val="00FA649C"/>
    <w:rsid w:val="00FA67A1"/>
    <w:rsid w:val="00FA692F"/>
    <w:rsid w:val="00FA693E"/>
    <w:rsid w:val="00FA6A2A"/>
    <w:rsid w:val="00FA6CA8"/>
    <w:rsid w:val="00FA6E9A"/>
    <w:rsid w:val="00FA6EDE"/>
    <w:rsid w:val="00FA7038"/>
    <w:rsid w:val="00FA7094"/>
    <w:rsid w:val="00FA70A9"/>
    <w:rsid w:val="00FA7548"/>
    <w:rsid w:val="00FA7647"/>
    <w:rsid w:val="00FA76CE"/>
    <w:rsid w:val="00FA7A98"/>
    <w:rsid w:val="00FA7C17"/>
    <w:rsid w:val="00FB010B"/>
    <w:rsid w:val="00FB0879"/>
    <w:rsid w:val="00FB0971"/>
    <w:rsid w:val="00FB0C5C"/>
    <w:rsid w:val="00FB0E8C"/>
    <w:rsid w:val="00FB0F05"/>
    <w:rsid w:val="00FB10CA"/>
    <w:rsid w:val="00FB1160"/>
    <w:rsid w:val="00FB1684"/>
    <w:rsid w:val="00FB1989"/>
    <w:rsid w:val="00FB19A8"/>
    <w:rsid w:val="00FB1B45"/>
    <w:rsid w:val="00FB1CB3"/>
    <w:rsid w:val="00FB2341"/>
    <w:rsid w:val="00FB23AD"/>
    <w:rsid w:val="00FB23D9"/>
    <w:rsid w:val="00FB255D"/>
    <w:rsid w:val="00FB2602"/>
    <w:rsid w:val="00FB2772"/>
    <w:rsid w:val="00FB2A88"/>
    <w:rsid w:val="00FB2D78"/>
    <w:rsid w:val="00FB2F56"/>
    <w:rsid w:val="00FB314B"/>
    <w:rsid w:val="00FB32CE"/>
    <w:rsid w:val="00FB3339"/>
    <w:rsid w:val="00FB36D0"/>
    <w:rsid w:val="00FB3D65"/>
    <w:rsid w:val="00FB3E56"/>
    <w:rsid w:val="00FB3FA7"/>
    <w:rsid w:val="00FB40B4"/>
    <w:rsid w:val="00FB421E"/>
    <w:rsid w:val="00FB429C"/>
    <w:rsid w:val="00FB4437"/>
    <w:rsid w:val="00FB4546"/>
    <w:rsid w:val="00FB473F"/>
    <w:rsid w:val="00FB4750"/>
    <w:rsid w:val="00FB47FD"/>
    <w:rsid w:val="00FB4918"/>
    <w:rsid w:val="00FB4A57"/>
    <w:rsid w:val="00FB4CC9"/>
    <w:rsid w:val="00FB4D01"/>
    <w:rsid w:val="00FB4EE1"/>
    <w:rsid w:val="00FB50EB"/>
    <w:rsid w:val="00FB5952"/>
    <w:rsid w:val="00FB5A43"/>
    <w:rsid w:val="00FB5DBC"/>
    <w:rsid w:val="00FB6297"/>
    <w:rsid w:val="00FB62E0"/>
    <w:rsid w:val="00FB655E"/>
    <w:rsid w:val="00FB6783"/>
    <w:rsid w:val="00FB685B"/>
    <w:rsid w:val="00FB6C45"/>
    <w:rsid w:val="00FB6F44"/>
    <w:rsid w:val="00FB7AE2"/>
    <w:rsid w:val="00FB7DD0"/>
    <w:rsid w:val="00FB7E89"/>
    <w:rsid w:val="00FC0480"/>
    <w:rsid w:val="00FC08A3"/>
    <w:rsid w:val="00FC08AA"/>
    <w:rsid w:val="00FC1242"/>
    <w:rsid w:val="00FC12CF"/>
    <w:rsid w:val="00FC148B"/>
    <w:rsid w:val="00FC1795"/>
    <w:rsid w:val="00FC17BD"/>
    <w:rsid w:val="00FC17F8"/>
    <w:rsid w:val="00FC1A94"/>
    <w:rsid w:val="00FC1BA0"/>
    <w:rsid w:val="00FC1DBA"/>
    <w:rsid w:val="00FC1DCE"/>
    <w:rsid w:val="00FC1E06"/>
    <w:rsid w:val="00FC20D1"/>
    <w:rsid w:val="00FC2258"/>
    <w:rsid w:val="00FC2427"/>
    <w:rsid w:val="00FC242A"/>
    <w:rsid w:val="00FC2584"/>
    <w:rsid w:val="00FC25F9"/>
    <w:rsid w:val="00FC2730"/>
    <w:rsid w:val="00FC29E1"/>
    <w:rsid w:val="00FC2A8B"/>
    <w:rsid w:val="00FC2BBD"/>
    <w:rsid w:val="00FC3209"/>
    <w:rsid w:val="00FC328E"/>
    <w:rsid w:val="00FC3866"/>
    <w:rsid w:val="00FC3C7E"/>
    <w:rsid w:val="00FC3CBE"/>
    <w:rsid w:val="00FC405B"/>
    <w:rsid w:val="00FC45EF"/>
    <w:rsid w:val="00FC47CC"/>
    <w:rsid w:val="00FC48FE"/>
    <w:rsid w:val="00FC4916"/>
    <w:rsid w:val="00FC4B4B"/>
    <w:rsid w:val="00FC525E"/>
    <w:rsid w:val="00FC5369"/>
    <w:rsid w:val="00FC5766"/>
    <w:rsid w:val="00FC5A26"/>
    <w:rsid w:val="00FC5BC6"/>
    <w:rsid w:val="00FC5EC5"/>
    <w:rsid w:val="00FC6042"/>
    <w:rsid w:val="00FC6287"/>
    <w:rsid w:val="00FC6365"/>
    <w:rsid w:val="00FC6FE1"/>
    <w:rsid w:val="00FC7094"/>
    <w:rsid w:val="00FC7289"/>
    <w:rsid w:val="00FC73A2"/>
    <w:rsid w:val="00FC757A"/>
    <w:rsid w:val="00FC75F7"/>
    <w:rsid w:val="00FC78A4"/>
    <w:rsid w:val="00FC7F0F"/>
    <w:rsid w:val="00FD0001"/>
    <w:rsid w:val="00FD0083"/>
    <w:rsid w:val="00FD014C"/>
    <w:rsid w:val="00FD04FD"/>
    <w:rsid w:val="00FD09AC"/>
    <w:rsid w:val="00FD0E32"/>
    <w:rsid w:val="00FD0FE3"/>
    <w:rsid w:val="00FD154E"/>
    <w:rsid w:val="00FD1740"/>
    <w:rsid w:val="00FD17E4"/>
    <w:rsid w:val="00FD1874"/>
    <w:rsid w:val="00FD1E61"/>
    <w:rsid w:val="00FD1EEE"/>
    <w:rsid w:val="00FD2141"/>
    <w:rsid w:val="00FD23CA"/>
    <w:rsid w:val="00FD263C"/>
    <w:rsid w:val="00FD28CF"/>
    <w:rsid w:val="00FD291A"/>
    <w:rsid w:val="00FD296A"/>
    <w:rsid w:val="00FD2AFD"/>
    <w:rsid w:val="00FD2B6F"/>
    <w:rsid w:val="00FD2EE9"/>
    <w:rsid w:val="00FD2FB8"/>
    <w:rsid w:val="00FD35DE"/>
    <w:rsid w:val="00FD3702"/>
    <w:rsid w:val="00FD371A"/>
    <w:rsid w:val="00FD3C49"/>
    <w:rsid w:val="00FD3FF3"/>
    <w:rsid w:val="00FD4052"/>
    <w:rsid w:val="00FD42A4"/>
    <w:rsid w:val="00FD439D"/>
    <w:rsid w:val="00FD449B"/>
    <w:rsid w:val="00FD479F"/>
    <w:rsid w:val="00FD4AB3"/>
    <w:rsid w:val="00FD4E45"/>
    <w:rsid w:val="00FD505D"/>
    <w:rsid w:val="00FD56AD"/>
    <w:rsid w:val="00FD5B7E"/>
    <w:rsid w:val="00FD5BF9"/>
    <w:rsid w:val="00FD600E"/>
    <w:rsid w:val="00FD648B"/>
    <w:rsid w:val="00FD6591"/>
    <w:rsid w:val="00FD681A"/>
    <w:rsid w:val="00FD6D9C"/>
    <w:rsid w:val="00FD7549"/>
    <w:rsid w:val="00FD754F"/>
    <w:rsid w:val="00FD75FB"/>
    <w:rsid w:val="00FD76B1"/>
    <w:rsid w:val="00FD7884"/>
    <w:rsid w:val="00FD7A29"/>
    <w:rsid w:val="00FD7A5A"/>
    <w:rsid w:val="00FD7ADD"/>
    <w:rsid w:val="00FE04B8"/>
    <w:rsid w:val="00FE0513"/>
    <w:rsid w:val="00FE05D6"/>
    <w:rsid w:val="00FE069A"/>
    <w:rsid w:val="00FE06E0"/>
    <w:rsid w:val="00FE086D"/>
    <w:rsid w:val="00FE0A1D"/>
    <w:rsid w:val="00FE0AE2"/>
    <w:rsid w:val="00FE0B9E"/>
    <w:rsid w:val="00FE120E"/>
    <w:rsid w:val="00FE1414"/>
    <w:rsid w:val="00FE166E"/>
    <w:rsid w:val="00FE21B3"/>
    <w:rsid w:val="00FE2333"/>
    <w:rsid w:val="00FE24AC"/>
    <w:rsid w:val="00FE2789"/>
    <w:rsid w:val="00FE27F4"/>
    <w:rsid w:val="00FE29DB"/>
    <w:rsid w:val="00FE2A6B"/>
    <w:rsid w:val="00FE2E9F"/>
    <w:rsid w:val="00FE30F6"/>
    <w:rsid w:val="00FE3186"/>
    <w:rsid w:val="00FE3877"/>
    <w:rsid w:val="00FE3ABA"/>
    <w:rsid w:val="00FE3AF1"/>
    <w:rsid w:val="00FE3FF7"/>
    <w:rsid w:val="00FE4297"/>
    <w:rsid w:val="00FE44C9"/>
    <w:rsid w:val="00FE4A51"/>
    <w:rsid w:val="00FE4A60"/>
    <w:rsid w:val="00FE4C3C"/>
    <w:rsid w:val="00FE4CD8"/>
    <w:rsid w:val="00FE4D9B"/>
    <w:rsid w:val="00FE4DE3"/>
    <w:rsid w:val="00FE4E8D"/>
    <w:rsid w:val="00FE5540"/>
    <w:rsid w:val="00FE560B"/>
    <w:rsid w:val="00FE5743"/>
    <w:rsid w:val="00FE5B80"/>
    <w:rsid w:val="00FE5F3B"/>
    <w:rsid w:val="00FE6021"/>
    <w:rsid w:val="00FE60FD"/>
    <w:rsid w:val="00FE6115"/>
    <w:rsid w:val="00FE6300"/>
    <w:rsid w:val="00FE634B"/>
    <w:rsid w:val="00FE63FD"/>
    <w:rsid w:val="00FE6D6E"/>
    <w:rsid w:val="00FE6E67"/>
    <w:rsid w:val="00FE6EB2"/>
    <w:rsid w:val="00FE7FD9"/>
    <w:rsid w:val="00FF0061"/>
    <w:rsid w:val="00FF0A05"/>
    <w:rsid w:val="00FF0CFB"/>
    <w:rsid w:val="00FF0DA2"/>
    <w:rsid w:val="00FF0EE0"/>
    <w:rsid w:val="00FF1095"/>
    <w:rsid w:val="00FF1163"/>
    <w:rsid w:val="00FF13DC"/>
    <w:rsid w:val="00FF16BE"/>
    <w:rsid w:val="00FF1A1A"/>
    <w:rsid w:val="00FF1B48"/>
    <w:rsid w:val="00FF1CC5"/>
    <w:rsid w:val="00FF1EDE"/>
    <w:rsid w:val="00FF208B"/>
    <w:rsid w:val="00FF2163"/>
    <w:rsid w:val="00FF2237"/>
    <w:rsid w:val="00FF241E"/>
    <w:rsid w:val="00FF2766"/>
    <w:rsid w:val="00FF2ADE"/>
    <w:rsid w:val="00FF2BD7"/>
    <w:rsid w:val="00FF2D1C"/>
    <w:rsid w:val="00FF2D24"/>
    <w:rsid w:val="00FF2D9D"/>
    <w:rsid w:val="00FF2FCA"/>
    <w:rsid w:val="00FF3528"/>
    <w:rsid w:val="00FF3564"/>
    <w:rsid w:val="00FF360A"/>
    <w:rsid w:val="00FF3804"/>
    <w:rsid w:val="00FF3B0B"/>
    <w:rsid w:val="00FF3B8E"/>
    <w:rsid w:val="00FF4083"/>
    <w:rsid w:val="00FF4194"/>
    <w:rsid w:val="00FF4B37"/>
    <w:rsid w:val="00FF4F6A"/>
    <w:rsid w:val="00FF5327"/>
    <w:rsid w:val="00FF54AF"/>
    <w:rsid w:val="00FF56E1"/>
    <w:rsid w:val="00FF5AFE"/>
    <w:rsid w:val="00FF61C6"/>
    <w:rsid w:val="00FF64E7"/>
    <w:rsid w:val="00FF65A5"/>
    <w:rsid w:val="00FF65BA"/>
    <w:rsid w:val="00FF6B87"/>
    <w:rsid w:val="00FF6BBB"/>
    <w:rsid w:val="00FF6E19"/>
    <w:rsid w:val="00FF701E"/>
    <w:rsid w:val="00FF744F"/>
    <w:rsid w:val="00FF7535"/>
    <w:rsid w:val="00FF7713"/>
    <w:rsid w:val="00FF782A"/>
    <w:rsid w:val="00FF7B0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78CA0BBC"/>
  <w15:docId w15:val="{A1374678-BEC0-455C-B887-FF70DA02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4"/>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90451"/>
    <w:rPr>
      <w:sz w:val="24"/>
      <w:szCs w:val="24"/>
    </w:rPr>
  </w:style>
  <w:style w:type="paragraph" w:styleId="Titolo1">
    <w:name w:val="heading 1"/>
    <w:basedOn w:val="Normale"/>
    <w:next w:val="Normale"/>
    <w:link w:val="Titolo1Carattere"/>
    <w:uiPriority w:val="99"/>
    <w:qFormat/>
    <w:rsid w:val="00BC3FFD"/>
    <w:pPr>
      <w:keepNext/>
      <w:spacing w:after="120"/>
      <w:jc w:val="both"/>
      <w:outlineLvl w:val="0"/>
    </w:pPr>
    <w:rPr>
      <w:rFonts w:ascii="Cambria" w:hAnsi="Cambria"/>
      <w:b/>
      <w:kern w:val="32"/>
      <w:sz w:val="32"/>
    </w:rPr>
  </w:style>
  <w:style w:type="paragraph" w:styleId="Titolo2">
    <w:name w:val="heading 2"/>
    <w:basedOn w:val="Normale"/>
    <w:next w:val="Normale"/>
    <w:link w:val="Titolo2Carattere"/>
    <w:semiHidden/>
    <w:unhideWhenUsed/>
    <w:qFormat/>
    <w:locked/>
    <w:rsid w:val="00BF702B"/>
    <w:pPr>
      <w:keepNext/>
      <w:spacing w:before="240" w:after="60"/>
      <w:outlineLvl w:val="1"/>
    </w:pPr>
    <w:rPr>
      <w:rFonts w:ascii="Cambria" w:hAnsi="Cambria"/>
      <w:b/>
      <w:bCs/>
      <w:i/>
      <w:iCs/>
      <w:sz w:val="28"/>
      <w:szCs w:val="28"/>
    </w:rPr>
  </w:style>
  <w:style w:type="paragraph" w:styleId="Titolo4">
    <w:name w:val="heading 4"/>
    <w:basedOn w:val="Normale"/>
    <w:next w:val="Normale"/>
    <w:link w:val="Titolo4Carattere"/>
    <w:qFormat/>
    <w:locked/>
    <w:rsid w:val="00CD17F5"/>
    <w:pPr>
      <w:keepNext/>
      <w:keepLines/>
      <w:spacing w:before="200"/>
      <w:outlineLvl w:val="3"/>
    </w:pPr>
    <w:rPr>
      <w:rFonts w:ascii="Cambria" w:hAnsi="Cambria"/>
      <w:b/>
      <w:bCs/>
      <w:i/>
      <w:iCs/>
      <w:color w:val="4F81BD"/>
    </w:rPr>
  </w:style>
  <w:style w:type="paragraph" w:styleId="Titolo8">
    <w:name w:val="heading 8"/>
    <w:basedOn w:val="Normale"/>
    <w:next w:val="Normale"/>
    <w:link w:val="Titolo8Carattere"/>
    <w:semiHidden/>
    <w:unhideWhenUsed/>
    <w:qFormat/>
    <w:locked/>
    <w:rsid w:val="003A6105"/>
    <w:pPr>
      <w:spacing w:before="240" w:after="60"/>
      <w:outlineLvl w:val="7"/>
    </w:pPr>
    <w:rPr>
      <w:rFonts w:ascii="Calibri" w:hAnsi="Calibri"/>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rsid w:val="00BC3FFD"/>
    <w:pPr>
      <w:tabs>
        <w:tab w:val="center" w:pos="4818"/>
        <w:tab w:val="right" w:pos="9637"/>
      </w:tabs>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spacing w:beforeAutospacing="1" w:afterAutospacing="1"/>
    </w:pPr>
  </w:style>
  <w:style w:type="paragraph" w:styleId="PreformattatoHTML">
    <w:name w:val="HTML Preformatted"/>
    <w:basedOn w:val="Normale"/>
    <w:link w:val="PreformattatoHTMLCarattere"/>
    <w:uiPriority w:val="99"/>
    <w:rsid w:val="0090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5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aliases w:val="Testo nota a piè di pagina Carattere Carattere,Testo nota a piè di pagina Carattere Carattere Carattere Carattere Carattere Carattere"/>
    <w:basedOn w:val="Normale"/>
    <w:link w:val="TestonotaapidipaginaCarattere"/>
    <w:uiPriority w:val="99"/>
    <w:rsid w:val="006C145B"/>
  </w:style>
  <w:style w:type="character" w:customStyle="1" w:styleId="TestonotaapidipaginaCarattere">
    <w:name w:val="Testo nota a piè di pagina Carattere"/>
    <w:aliases w:val="Testo nota a piè di pagina Carattere Carattere Carattere,Testo nota a piè di pagina Carattere Carattere Carattere Carattere Carattere Carattere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E338F3"/>
    <w:rPr>
      <w:sz w:val="20"/>
      <w:szCs w:val="20"/>
    </w:rPr>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nhideWhenUsed/>
    <w:rsid w:val="00407D29"/>
    <w:rPr>
      <w:b/>
      <w:bCs/>
    </w:rPr>
  </w:style>
  <w:style w:type="character" w:customStyle="1" w:styleId="SoggettocommentoCarattere">
    <w:name w:val="Soggetto commento Carattere"/>
    <w:link w:val="Soggettocommento"/>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spacing w:line="288" w:lineRule="auto"/>
      <w:textAlignment w:val="center"/>
    </w:pPr>
    <w:rPr>
      <w:rFonts w:ascii="Times-Roman" w:hAnsi="Times-Roman" w:cs="Times-Roman"/>
      <w:color w:val="000000"/>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E53642"/>
    <w:pPr>
      <w:pBdr>
        <w:bottom w:val="single" w:sz="18" w:space="1" w:color="E31C18"/>
      </w:pBdr>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E53642"/>
    <w:rPr>
      <w:rFonts w:ascii="Calibri" w:hAnsi="Calibri" w:cs="Arial"/>
      <w:b/>
      <w:bCs/>
      <w:caps/>
      <w:color w:val="000000"/>
      <w:kern w:val="32"/>
      <w:sz w:val="26"/>
      <w:szCs w:val="28"/>
    </w:rPr>
  </w:style>
  <w:style w:type="paragraph" w:customStyle="1" w:styleId="00TitoGra1">
    <w:name w:val="00TitoGra1"/>
    <w:basedOn w:val="Normale"/>
    <w:qFormat/>
    <w:rsid w:val="00E53642"/>
    <w:pPr>
      <w:spacing w:line="280" w:lineRule="exact"/>
    </w:pPr>
    <w:rPr>
      <w:rFonts w:ascii="Calibri" w:hAnsi="Calibri" w:cs="Arial"/>
      <w:b/>
      <w:color w:val="D90B13"/>
      <w:sz w:val="28"/>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unhideWhenUsed/>
    <w:rsid w:val="00A53D09"/>
    <w:pPr>
      <w:spacing w:after="120"/>
      <w:ind w:left="283"/>
    </w:pPr>
  </w:style>
  <w:style w:type="character" w:customStyle="1" w:styleId="RientrocorpodeltestoCarattere">
    <w:name w:val="Rientro corpo del testo Carattere"/>
    <w:link w:val="Rientrocorpodeltesto"/>
    <w:uiPriority w:val="99"/>
    <w:rsid w:val="00A53D09"/>
    <w:rPr>
      <w:kern w:val="28"/>
    </w:rPr>
  </w:style>
  <w:style w:type="character" w:customStyle="1" w:styleId="st">
    <w:name w:val="st"/>
    <w:rsid w:val="00431975"/>
  </w:style>
  <w:style w:type="paragraph" w:styleId="Corpodeltesto3">
    <w:name w:val="Body Text 3"/>
    <w:basedOn w:val="Normale"/>
    <w:link w:val="Corpodeltesto3Carattere"/>
    <w:rsid w:val="000B233D"/>
    <w:pPr>
      <w:spacing w:after="120"/>
    </w:pPr>
    <w:rPr>
      <w:sz w:val="16"/>
      <w:szCs w:val="16"/>
    </w:rPr>
  </w:style>
  <w:style w:type="character" w:customStyle="1" w:styleId="Corpodeltesto3Carattere">
    <w:name w:val="Corpo del testo 3 Carattere"/>
    <w:link w:val="Corpodeltesto3"/>
    <w:rsid w:val="000B233D"/>
    <w:rPr>
      <w:sz w:val="16"/>
      <w:szCs w:val="16"/>
    </w:rPr>
  </w:style>
  <w:style w:type="paragraph" w:customStyle="1" w:styleId="Corpotesto1">
    <w:name w:val="Corpo testo1"/>
    <w:basedOn w:val="Normale"/>
    <w:rsid w:val="00AE6AE5"/>
    <w:pPr>
      <w:jc w:val="both"/>
    </w:pPr>
    <w:rPr>
      <w:b/>
      <w:lang w:val="en-US" w:eastAsia="en-US"/>
    </w:rPr>
  </w:style>
  <w:style w:type="paragraph" w:styleId="Corpodeltesto2">
    <w:name w:val="Body Text 2"/>
    <w:basedOn w:val="Normale"/>
    <w:link w:val="Corpodeltesto2Carattere"/>
    <w:rsid w:val="00833A77"/>
    <w:pPr>
      <w:spacing w:after="120" w:line="480" w:lineRule="auto"/>
    </w:pPr>
  </w:style>
  <w:style w:type="character" w:customStyle="1" w:styleId="Corpodeltesto2Carattere">
    <w:name w:val="Corpo del testo 2 Carattere"/>
    <w:link w:val="Corpodeltesto2"/>
    <w:rsid w:val="00833A77"/>
    <w:rPr>
      <w:kern w:val="28"/>
    </w:rPr>
  </w:style>
  <w:style w:type="paragraph" w:customStyle="1" w:styleId="Corpodeltesto1">
    <w:name w:val="Corpo del testo1"/>
    <w:basedOn w:val="Normale"/>
    <w:rsid w:val="00833A77"/>
    <w:pPr>
      <w:jc w:val="both"/>
    </w:pPr>
    <w:rPr>
      <w:b/>
    </w:rPr>
  </w:style>
  <w:style w:type="character" w:customStyle="1" w:styleId="Titolo2Carattere">
    <w:name w:val="Titolo 2 Carattere"/>
    <w:link w:val="Titolo2"/>
    <w:semiHidden/>
    <w:rsid w:val="00BF702B"/>
    <w:rPr>
      <w:rFonts w:ascii="Cambria" w:eastAsia="Times New Roman" w:hAnsi="Cambria" w:cs="Times New Roman"/>
      <w:b/>
      <w:bCs/>
      <w:i/>
      <w:iCs/>
      <w:kern w:val="28"/>
      <w:sz w:val="28"/>
      <w:szCs w:val="28"/>
    </w:rPr>
  </w:style>
  <w:style w:type="paragraph" w:customStyle="1" w:styleId="Rientrocorpodeltesto31">
    <w:name w:val="Rientro corpo del testo 31"/>
    <w:basedOn w:val="Normale"/>
    <w:uiPriority w:val="99"/>
    <w:rsid w:val="000A2E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lang w:eastAsia="ar-SA"/>
    </w:rPr>
  </w:style>
  <w:style w:type="paragraph" w:styleId="Paragrafoelenco">
    <w:name w:val="List Paragraph"/>
    <w:basedOn w:val="Normale"/>
    <w:link w:val="ParagrafoelencoCarattere"/>
    <w:uiPriority w:val="34"/>
    <w:qFormat/>
    <w:rsid w:val="000A2EFD"/>
    <w:pPr>
      <w:tabs>
        <w:tab w:val="left" w:pos="426"/>
      </w:tabs>
      <w:spacing w:after="120"/>
      <w:ind w:left="720"/>
      <w:contextualSpacing/>
      <w:jc w:val="both"/>
    </w:pPr>
    <w:rPr>
      <w:rFonts w:ascii="Calibri" w:hAnsi="Calibri" w:cs="Calibri"/>
      <w:color w:val="000000"/>
      <w:lang w:eastAsia="zh-CN"/>
    </w:rPr>
  </w:style>
  <w:style w:type="character" w:customStyle="1" w:styleId="ParagrafoelencoCarattere">
    <w:name w:val="Paragrafo elenco Carattere"/>
    <w:link w:val="Paragrafoelenco"/>
    <w:uiPriority w:val="34"/>
    <w:rsid w:val="000A2EFD"/>
    <w:rPr>
      <w:rFonts w:ascii="Calibri" w:hAnsi="Calibri" w:cs="Calibri"/>
      <w:color w:val="000000"/>
      <w:sz w:val="24"/>
      <w:szCs w:val="24"/>
      <w:lang w:eastAsia="zh-CN"/>
    </w:rPr>
  </w:style>
  <w:style w:type="table" w:styleId="Sfondomedio2-Colore5">
    <w:name w:val="Medium Shading 2 Accent 5"/>
    <w:basedOn w:val="Tabellanormale"/>
    <w:uiPriority w:val="64"/>
    <w:rsid w:val="000A2EF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olo8Carattere">
    <w:name w:val="Titolo 8 Carattere"/>
    <w:link w:val="Titolo8"/>
    <w:semiHidden/>
    <w:rsid w:val="003A6105"/>
    <w:rPr>
      <w:rFonts w:ascii="Calibri" w:eastAsia="Times New Roman" w:hAnsi="Calibri" w:cs="Times New Roman"/>
      <w:i/>
      <w:iCs/>
      <w:kern w:val="28"/>
      <w:sz w:val="24"/>
      <w:szCs w:val="24"/>
    </w:rPr>
  </w:style>
  <w:style w:type="character" w:styleId="Collegamentovisitato">
    <w:name w:val="FollowedHyperlink"/>
    <w:uiPriority w:val="99"/>
    <w:semiHidden/>
    <w:unhideWhenUsed/>
    <w:rsid w:val="00A72740"/>
    <w:rPr>
      <w:color w:val="800080"/>
      <w:u w:val="single"/>
    </w:rPr>
  </w:style>
  <w:style w:type="paragraph" w:styleId="Revisione">
    <w:name w:val="Revision"/>
    <w:hidden/>
    <w:uiPriority w:val="71"/>
    <w:rsid w:val="005301CF"/>
    <w:rPr>
      <w:kern w:val="28"/>
    </w:rPr>
  </w:style>
  <w:style w:type="character" w:customStyle="1" w:styleId="seocontent">
    <w:name w:val="seocontent"/>
    <w:basedOn w:val="Carpredefinitoparagrafo"/>
    <w:rsid w:val="00EF7A93"/>
  </w:style>
  <w:style w:type="character" w:customStyle="1" w:styleId="object">
    <w:name w:val="object"/>
    <w:basedOn w:val="Carpredefinitoparagrafo"/>
    <w:rsid w:val="00A80789"/>
  </w:style>
  <w:style w:type="paragraph" w:customStyle="1" w:styleId="A">
    <w:name w:val="A"/>
    <w:basedOn w:val="Normale"/>
    <w:next w:val="Corpotesto"/>
    <w:uiPriority w:val="99"/>
    <w:rsid w:val="00282B90"/>
    <w:pPr>
      <w:jc w:val="both"/>
    </w:pPr>
    <w:rPr>
      <w:b/>
      <w:lang w:eastAsia="ar-SA"/>
    </w:rPr>
  </w:style>
  <w:style w:type="character" w:customStyle="1" w:styleId="markedcontent">
    <w:name w:val="markedcontent"/>
    <w:basedOn w:val="Carpredefinitoparagrafo"/>
    <w:rsid w:val="00C1395C"/>
  </w:style>
  <w:style w:type="paragraph" w:customStyle="1" w:styleId="Testocorrente">
    <w:name w:val="Testo corrente"/>
    <w:basedOn w:val="Titolo2"/>
    <w:rsid w:val="00501E02"/>
    <w:pPr>
      <w:spacing w:before="0"/>
      <w:jc w:val="both"/>
    </w:pPr>
    <w:rPr>
      <w:rFonts w:ascii="Times New Roman" w:hAnsi="Times New Roman"/>
      <w:bCs w:val="0"/>
      <w:iCs w:val="0"/>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81610097">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63055204">
      <w:bodyDiv w:val="1"/>
      <w:marLeft w:val="0"/>
      <w:marRight w:val="0"/>
      <w:marTop w:val="0"/>
      <w:marBottom w:val="0"/>
      <w:divBdr>
        <w:top w:val="none" w:sz="0" w:space="0" w:color="auto"/>
        <w:left w:val="none" w:sz="0" w:space="0" w:color="auto"/>
        <w:bottom w:val="none" w:sz="0" w:space="0" w:color="auto"/>
        <w:right w:val="none" w:sz="0" w:space="0" w:color="auto"/>
      </w:divBdr>
      <w:divsChild>
        <w:div w:id="72774841">
          <w:marLeft w:val="0"/>
          <w:marRight w:val="0"/>
          <w:marTop w:val="0"/>
          <w:marBottom w:val="0"/>
          <w:divBdr>
            <w:top w:val="none" w:sz="0" w:space="0" w:color="auto"/>
            <w:left w:val="none" w:sz="0" w:space="0" w:color="auto"/>
            <w:bottom w:val="none" w:sz="0" w:space="0" w:color="auto"/>
            <w:right w:val="none" w:sz="0" w:space="0" w:color="auto"/>
          </w:divBdr>
        </w:div>
        <w:div w:id="112676843">
          <w:marLeft w:val="0"/>
          <w:marRight w:val="0"/>
          <w:marTop w:val="0"/>
          <w:marBottom w:val="0"/>
          <w:divBdr>
            <w:top w:val="none" w:sz="0" w:space="0" w:color="auto"/>
            <w:left w:val="none" w:sz="0" w:space="0" w:color="auto"/>
            <w:bottom w:val="none" w:sz="0" w:space="0" w:color="auto"/>
            <w:right w:val="none" w:sz="0" w:space="0" w:color="auto"/>
          </w:divBdr>
        </w:div>
        <w:div w:id="135799169">
          <w:marLeft w:val="0"/>
          <w:marRight w:val="0"/>
          <w:marTop w:val="0"/>
          <w:marBottom w:val="0"/>
          <w:divBdr>
            <w:top w:val="none" w:sz="0" w:space="0" w:color="auto"/>
            <w:left w:val="none" w:sz="0" w:space="0" w:color="auto"/>
            <w:bottom w:val="none" w:sz="0" w:space="0" w:color="auto"/>
            <w:right w:val="none" w:sz="0" w:space="0" w:color="auto"/>
          </w:divBdr>
        </w:div>
        <w:div w:id="1033112804">
          <w:marLeft w:val="0"/>
          <w:marRight w:val="0"/>
          <w:marTop w:val="0"/>
          <w:marBottom w:val="0"/>
          <w:divBdr>
            <w:top w:val="none" w:sz="0" w:space="0" w:color="auto"/>
            <w:left w:val="none" w:sz="0" w:space="0" w:color="auto"/>
            <w:bottom w:val="none" w:sz="0" w:space="0" w:color="auto"/>
            <w:right w:val="none" w:sz="0" w:space="0" w:color="auto"/>
          </w:divBdr>
        </w:div>
        <w:div w:id="1521511708">
          <w:marLeft w:val="0"/>
          <w:marRight w:val="0"/>
          <w:marTop w:val="0"/>
          <w:marBottom w:val="0"/>
          <w:divBdr>
            <w:top w:val="none" w:sz="0" w:space="0" w:color="auto"/>
            <w:left w:val="none" w:sz="0" w:space="0" w:color="auto"/>
            <w:bottom w:val="none" w:sz="0" w:space="0" w:color="auto"/>
            <w:right w:val="none" w:sz="0" w:space="0" w:color="auto"/>
          </w:divBdr>
        </w:div>
      </w:divsChild>
    </w:div>
    <w:div w:id="19027057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0484480">
      <w:bodyDiv w:val="1"/>
      <w:marLeft w:val="0"/>
      <w:marRight w:val="0"/>
      <w:marTop w:val="0"/>
      <w:marBottom w:val="0"/>
      <w:divBdr>
        <w:top w:val="none" w:sz="0" w:space="0" w:color="auto"/>
        <w:left w:val="none" w:sz="0" w:space="0" w:color="auto"/>
        <w:bottom w:val="none" w:sz="0" w:space="0" w:color="auto"/>
        <w:right w:val="none" w:sz="0" w:space="0" w:color="auto"/>
      </w:divBdr>
      <w:divsChild>
        <w:div w:id="160703322">
          <w:marLeft w:val="0"/>
          <w:marRight w:val="0"/>
          <w:marTop w:val="0"/>
          <w:marBottom w:val="0"/>
          <w:divBdr>
            <w:top w:val="none" w:sz="0" w:space="0" w:color="auto"/>
            <w:left w:val="none" w:sz="0" w:space="0" w:color="auto"/>
            <w:bottom w:val="none" w:sz="0" w:space="0" w:color="auto"/>
            <w:right w:val="none" w:sz="0" w:space="0" w:color="auto"/>
          </w:divBdr>
        </w:div>
        <w:div w:id="506092020">
          <w:marLeft w:val="0"/>
          <w:marRight w:val="0"/>
          <w:marTop w:val="0"/>
          <w:marBottom w:val="0"/>
          <w:divBdr>
            <w:top w:val="none" w:sz="0" w:space="0" w:color="auto"/>
            <w:left w:val="none" w:sz="0" w:space="0" w:color="auto"/>
            <w:bottom w:val="none" w:sz="0" w:space="0" w:color="auto"/>
            <w:right w:val="none" w:sz="0" w:space="0" w:color="auto"/>
          </w:divBdr>
        </w:div>
        <w:div w:id="1243643572">
          <w:marLeft w:val="0"/>
          <w:marRight w:val="0"/>
          <w:marTop w:val="0"/>
          <w:marBottom w:val="0"/>
          <w:divBdr>
            <w:top w:val="none" w:sz="0" w:space="0" w:color="auto"/>
            <w:left w:val="none" w:sz="0" w:space="0" w:color="auto"/>
            <w:bottom w:val="none" w:sz="0" w:space="0" w:color="auto"/>
            <w:right w:val="none" w:sz="0" w:space="0" w:color="auto"/>
          </w:divBdr>
        </w:div>
        <w:div w:id="1941789296">
          <w:marLeft w:val="0"/>
          <w:marRight w:val="0"/>
          <w:marTop w:val="0"/>
          <w:marBottom w:val="0"/>
          <w:divBdr>
            <w:top w:val="none" w:sz="0" w:space="0" w:color="auto"/>
            <w:left w:val="none" w:sz="0" w:space="0" w:color="auto"/>
            <w:bottom w:val="none" w:sz="0" w:space="0" w:color="auto"/>
            <w:right w:val="none" w:sz="0" w:space="0" w:color="auto"/>
          </w:divBdr>
        </w:div>
      </w:divsChild>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4365864">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01976649">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499349390">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41558061">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36885099">
      <w:bodyDiv w:val="1"/>
      <w:marLeft w:val="0"/>
      <w:marRight w:val="0"/>
      <w:marTop w:val="0"/>
      <w:marBottom w:val="0"/>
      <w:divBdr>
        <w:top w:val="none" w:sz="0" w:space="0" w:color="auto"/>
        <w:left w:val="none" w:sz="0" w:space="0" w:color="auto"/>
        <w:bottom w:val="none" w:sz="0" w:space="0" w:color="auto"/>
        <w:right w:val="none" w:sz="0" w:space="0" w:color="auto"/>
      </w:divBdr>
      <w:divsChild>
        <w:div w:id="40323292">
          <w:marLeft w:val="0"/>
          <w:marRight w:val="0"/>
          <w:marTop w:val="0"/>
          <w:marBottom w:val="0"/>
          <w:divBdr>
            <w:top w:val="none" w:sz="0" w:space="0" w:color="auto"/>
            <w:left w:val="none" w:sz="0" w:space="0" w:color="auto"/>
            <w:bottom w:val="none" w:sz="0" w:space="0" w:color="auto"/>
            <w:right w:val="none" w:sz="0" w:space="0" w:color="auto"/>
          </w:divBdr>
        </w:div>
        <w:div w:id="1174302731">
          <w:marLeft w:val="0"/>
          <w:marRight w:val="0"/>
          <w:marTop w:val="0"/>
          <w:marBottom w:val="0"/>
          <w:divBdr>
            <w:top w:val="none" w:sz="0" w:space="0" w:color="auto"/>
            <w:left w:val="none" w:sz="0" w:space="0" w:color="auto"/>
            <w:bottom w:val="none" w:sz="0" w:space="0" w:color="auto"/>
            <w:right w:val="none" w:sz="0" w:space="0" w:color="auto"/>
          </w:divBdr>
        </w:div>
        <w:div w:id="1244686340">
          <w:marLeft w:val="0"/>
          <w:marRight w:val="0"/>
          <w:marTop w:val="0"/>
          <w:marBottom w:val="0"/>
          <w:divBdr>
            <w:top w:val="none" w:sz="0" w:space="0" w:color="auto"/>
            <w:left w:val="none" w:sz="0" w:space="0" w:color="auto"/>
            <w:bottom w:val="none" w:sz="0" w:space="0" w:color="auto"/>
            <w:right w:val="none" w:sz="0" w:space="0" w:color="auto"/>
          </w:divBdr>
        </w:div>
        <w:div w:id="1561744909">
          <w:marLeft w:val="0"/>
          <w:marRight w:val="0"/>
          <w:marTop w:val="0"/>
          <w:marBottom w:val="0"/>
          <w:divBdr>
            <w:top w:val="none" w:sz="0" w:space="0" w:color="auto"/>
            <w:left w:val="none" w:sz="0" w:space="0" w:color="auto"/>
            <w:bottom w:val="none" w:sz="0" w:space="0" w:color="auto"/>
            <w:right w:val="none" w:sz="0" w:space="0" w:color="auto"/>
          </w:divBdr>
        </w:div>
        <w:div w:id="1659992699">
          <w:marLeft w:val="0"/>
          <w:marRight w:val="0"/>
          <w:marTop w:val="0"/>
          <w:marBottom w:val="0"/>
          <w:divBdr>
            <w:top w:val="none" w:sz="0" w:space="0" w:color="auto"/>
            <w:left w:val="none" w:sz="0" w:space="0" w:color="auto"/>
            <w:bottom w:val="none" w:sz="0" w:space="0" w:color="auto"/>
            <w:right w:val="none" w:sz="0" w:space="0" w:color="auto"/>
          </w:divBdr>
        </w:div>
      </w:divsChild>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5472990">
      <w:bodyDiv w:val="1"/>
      <w:marLeft w:val="0"/>
      <w:marRight w:val="0"/>
      <w:marTop w:val="0"/>
      <w:marBottom w:val="0"/>
      <w:divBdr>
        <w:top w:val="none" w:sz="0" w:space="0" w:color="auto"/>
        <w:left w:val="none" w:sz="0" w:space="0" w:color="auto"/>
        <w:bottom w:val="none" w:sz="0" w:space="0" w:color="auto"/>
        <w:right w:val="none" w:sz="0" w:space="0" w:color="auto"/>
      </w:divBdr>
    </w:div>
    <w:div w:id="2128350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oeweb.istat.it/" TargetMode="External"/><Relationship Id="rId26" Type="http://schemas.openxmlformats.org/officeDocument/2006/relationships/header" Target="header2.xml"/><Relationship Id="rId39" Type="http://schemas.openxmlformats.org/officeDocument/2006/relationships/hyperlink" Target="https://www.coeweb.istat.it/" TargetMode="External"/><Relationship Id="rId21" Type="http://schemas.openxmlformats.org/officeDocument/2006/relationships/chart" Target="charts/chart3.xml"/><Relationship Id="rId34" Type="http://schemas.openxmlformats.org/officeDocument/2006/relationships/header" Target="header3.xml"/><Relationship Id="rId42" Type="http://schemas.openxmlformats.org/officeDocument/2006/relationships/hyperlink" Target="https://www.istat.it/it/informazioni-e-servizi/per-i-giornalisti/appuntamenti/calendario-diffusioni-ed-eventi" TargetMode="External"/><Relationship Id="rId47" Type="http://schemas.openxmlformats.org/officeDocument/2006/relationships/hyperlink" Target="http://www.istat.it/it/archivio/esportazioni+delle+regioni" TargetMode="External"/><Relationship Id="rId50" Type="http://schemas.openxmlformats.org/officeDocument/2006/relationships/hyperlink" Target="http://www.istat.it/it/archivio/45225" TargetMode="External"/><Relationship Id="rId55" Type="http://schemas.openxmlformats.org/officeDocument/2006/relationships/hyperlink" Target="mailto:causo@istat.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9" Type="http://schemas.openxmlformats.org/officeDocument/2006/relationships/chart" Target="charts/chart7.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chart" Target="charts/chart10.xml"/><Relationship Id="rId37" Type="http://schemas.openxmlformats.org/officeDocument/2006/relationships/hyperlink" Target="http://ec.europa.eu/eurostat/documents/3859598/5902521/KS-RA-07-015-EN.PDF" TargetMode="External"/><Relationship Id="rId40" Type="http://schemas.openxmlformats.org/officeDocument/2006/relationships/hyperlink" Target="https://ec.europa.eu/eurostat/data/metadata/covid-19-support-for-statisticians" TargetMode="External"/><Relationship Id="rId45" Type="http://schemas.openxmlformats.org/officeDocument/2006/relationships/hyperlink" Target="http://www.istat.it/it/archivio/commercio+estero+e+prezzi+import" TargetMode="External"/><Relationship Id="rId53" Type="http://schemas.openxmlformats.org/officeDocument/2006/relationships/hyperlink" Target="https://www.istat.it/it/files/2018/05/nota_informativa_prezzi_import.pdf" TargetMode="External"/><Relationship Id="rId58" Type="http://schemas.openxmlformats.org/officeDocument/2006/relationships/hyperlink" Target="mailto:lodorazi@istat.it"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4.xml"/><Relationship Id="rId43" Type="http://schemas.openxmlformats.org/officeDocument/2006/relationships/hyperlink" Target="http://www.istat.it/it/congiuntura/revisioni" TargetMode="External"/><Relationship Id="rId48" Type="http://schemas.openxmlformats.org/officeDocument/2006/relationships/hyperlink" Target="http://ec.europa.eu/eurostat/data/database" TargetMode="External"/><Relationship Id="rId56" Type="http://schemas.openxmlformats.org/officeDocument/2006/relationships/hyperlink" Target="mailto:vendetti@istat.it" TargetMode="External"/><Relationship Id="rId8" Type="http://schemas.openxmlformats.org/officeDocument/2006/relationships/styles" Target="styles.xml"/><Relationship Id="rId51" Type="http://schemas.openxmlformats.org/officeDocument/2006/relationships/hyperlink" Target="http://www.istat.it/it/files/2016/02/Prezzi-all-importazione-dei-prodotti-industriali-Nota-informativa.pdf?title=Prezzi+all%E2%80%99importazione+dei+prodotti+industriali+-+16%2Ffeb%2F2016+-+Nota+informativa.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footer" Target="footer1.xml"/><Relationship Id="rId33" Type="http://schemas.openxmlformats.org/officeDocument/2006/relationships/chart" Target="charts/chart11.xml"/><Relationship Id="rId38" Type="http://schemas.openxmlformats.org/officeDocument/2006/relationships/header" Target="header5.xml"/><Relationship Id="rId46" Type="http://schemas.openxmlformats.org/officeDocument/2006/relationships/hyperlink" Target="http://www.istat.it/it/archivio/commercio+estero+extra+ue" TargetMode="External"/><Relationship Id="rId59" Type="http://schemas.openxmlformats.org/officeDocument/2006/relationships/header" Target="header6.xml"/><Relationship Id="rId20" Type="http://schemas.openxmlformats.org/officeDocument/2006/relationships/chart" Target="charts/chart2.xml"/><Relationship Id="rId41" Type="http://schemas.openxmlformats.org/officeDocument/2006/relationships/hyperlink" Target="https://www.istat.it/it/istituto-nazionale-di-statistica/organizzazione/normativa" TargetMode="External"/><Relationship Id="rId54" Type="http://schemas.openxmlformats.org/officeDocument/2006/relationships/hyperlink" Target="https://www.istat.it/it/files/2020/12/nota_informativa_revisioni_commercio_estero.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hyperlink" Target="https://unstats.un.org/unsd/cr/registry/docs/i4_SNA.pdf" TargetMode="External"/><Relationship Id="rId49" Type="http://schemas.openxmlformats.org/officeDocument/2006/relationships/hyperlink" Target="https://www.istat.it/it/files/2011/03/testointegrale20080225.pdf" TargetMode="External"/><Relationship Id="rId57" Type="http://schemas.openxmlformats.org/officeDocument/2006/relationships/hyperlink" Target="mailto:sibio@istat.it" TargetMode="External"/><Relationship Id="rId10" Type="http://schemas.openxmlformats.org/officeDocument/2006/relationships/webSettings" Target="webSettings.xml"/><Relationship Id="rId31" Type="http://schemas.openxmlformats.org/officeDocument/2006/relationships/chart" Target="charts/chart9.xml"/><Relationship Id="rId44" Type="http://schemas.openxmlformats.org/officeDocument/2006/relationships/hyperlink" Target="http://www.istat.it/it/files/2016/07/scheda-CommercioEstero-e-prezzi-allimport-dei-prodotti-industriali.pdf" TargetMode="External"/><Relationship Id="rId52" Type="http://schemas.openxmlformats.org/officeDocument/2006/relationships/hyperlink" Target="http://www.istat.it/it/files/2015/11/Ricostruzione-serie-indici-2005-2009.pdf?title=Prezzi+all%27importazione+dei+prodotti+industriali+-+17%2Fnov%2F2015+-+Ricostruzione+serie.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coe_pi_mondo_102022_new.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coe_pi_mondo_102022_n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GraficiElabImport10_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coe_pi_mondo_102022_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coe_pi_mondo_102022_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GraficiElabImport10_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coe_pi_mondo_102022_n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coe_pi_mondo_102022_n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coe_pi_mondo_102022_n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coe_pi_mondo_102022_n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Ottobre_2022\coe_pi_mondo_102022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4"/>
          <c:tx>
            <c:strRef>
              <c:f>'figura 1'!$G$4</c:f>
              <c:strCache>
                <c:ptCount val="1"/>
                <c:pt idx="0">
                  <c:v>Saldi (scala destra)</c:v>
                </c:pt>
              </c:strCache>
            </c:strRef>
          </c:tx>
          <c:spPr>
            <a:solidFill>
              <a:srgbClr val="A6A6A6"/>
            </a:solidFill>
            <a:ln w="6350" cap="flat" cmpd="sng" algn="ctr">
              <a:solidFill>
                <a:schemeClr val="bg1"/>
              </a:solidFill>
              <a:prstDash val="solid"/>
              <a:round/>
              <a:headEnd type="none" w="med" len="med"/>
              <a:tailEnd type="none" w="med" len="med"/>
            </a:ln>
            <a:effectLst/>
          </c:spPr>
          <c:invertIfNegative val="0"/>
          <c:val>
            <c:numRef>
              <c:f>'figura 1'!$G$65:$G$136</c:f>
              <c:numCache>
                <c:formatCode>0</c:formatCode>
                <c:ptCount val="72"/>
                <c:pt idx="0">
                  <c:v>4351</c:v>
                </c:pt>
                <c:pt idx="1">
                  <c:v>3024</c:v>
                </c:pt>
                <c:pt idx="2">
                  <c:v>4384</c:v>
                </c:pt>
                <c:pt idx="3">
                  <c:v>3964</c:v>
                </c:pt>
                <c:pt idx="4">
                  <c:v>3371</c:v>
                </c:pt>
                <c:pt idx="5">
                  <c:v>3636</c:v>
                </c:pt>
                <c:pt idx="6">
                  <c:v>3304</c:v>
                </c:pt>
                <c:pt idx="7">
                  <c:v>4260</c:v>
                </c:pt>
                <c:pt idx="8">
                  <c:v>5116</c:v>
                </c:pt>
                <c:pt idx="9">
                  <c:v>4169</c:v>
                </c:pt>
                <c:pt idx="10">
                  <c:v>4250</c:v>
                </c:pt>
                <c:pt idx="11">
                  <c:v>4224</c:v>
                </c:pt>
                <c:pt idx="12">
                  <c:v>3924</c:v>
                </c:pt>
                <c:pt idx="13">
                  <c:v>4031</c:v>
                </c:pt>
                <c:pt idx="14">
                  <c:v>3870</c:v>
                </c:pt>
                <c:pt idx="15">
                  <c:v>3379</c:v>
                </c:pt>
                <c:pt idx="16">
                  <c:v>2216</c:v>
                </c:pt>
                <c:pt idx="17">
                  <c:v>4144</c:v>
                </c:pt>
                <c:pt idx="18">
                  <c:v>2869</c:v>
                </c:pt>
                <c:pt idx="19">
                  <c:v>3973</c:v>
                </c:pt>
                <c:pt idx="20">
                  <c:v>2480</c:v>
                </c:pt>
                <c:pt idx="21">
                  <c:v>2784</c:v>
                </c:pt>
                <c:pt idx="22">
                  <c:v>3620</c:v>
                </c:pt>
                <c:pt idx="23">
                  <c:v>1881</c:v>
                </c:pt>
                <c:pt idx="24">
                  <c:v>4737</c:v>
                </c:pt>
                <c:pt idx="25">
                  <c:v>4453</c:v>
                </c:pt>
                <c:pt idx="26">
                  <c:v>4576</c:v>
                </c:pt>
                <c:pt idx="27">
                  <c:v>4019</c:v>
                </c:pt>
                <c:pt idx="28">
                  <c:v>3831</c:v>
                </c:pt>
                <c:pt idx="29">
                  <c:v>5055</c:v>
                </c:pt>
                <c:pt idx="30">
                  <c:v>4685</c:v>
                </c:pt>
                <c:pt idx="31">
                  <c:v>4630</c:v>
                </c:pt>
                <c:pt idx="32">
                  <c:v>4488</c:v>
                </c:pt>
                <c:pt idx="33">
                  <c:v>6828</c:v>
                </c:pt>
                <c:pt idx="34">
                  <c:v>4830</c:v>
                </c:pt>
                <c:pt idx="35">
                  <c:v>4948</c:v>
                </c:pt>
                <c:pt idx="36">
                  <c:v>4560</c:v>
                </c:pt>
                <c:pt idx="37">
                  <c:v>5996</c:v>
                </c:pt>
                <c:pt idx="38">
                  <c:v>5639</c:v>
                </c:pt>
                <c:pt idx="39">
                  <c:v>-1029</c:v>
                </c:pt>
                <c:pt idx="40">
                  <c:v>4931</c:v>
                </c:pt>
                <c:pt idx="41">
                  <c:v>5376</c:v>
                </c:pt>
                <c:pt idx="42">
                  <c:v>5932</c:v>
                </c:pt>
                <c:pt idx="43">
                  <c:v>6439</c:v>
                </c:pt>
                <c:pt idx="44">
                  <c:v>7078</c:v>
                </c:pt>
                <c:pt idx="45">
                  <c:v>5918</c:v>
                </c:pt>
                <c:pt idx="46">
                  <c:v>6654</c:v>
                </c:pt>
                <c:pt idx="47">
                  <c:v>5796</c:v>
                </c:pt>
                <c:pt idx="48">
                  <c:v>6130</c:v>
                </c:pt>
                <c:pt idx="49">
                  <c:v>5776</c:v>
                </c:pt>
                <c:pt idx="50">
                  <c:v>4746</c:v>
                </c:pt>
                <c:pt idx="51">
                  <c:v>5350</c:v>
                </c:pt>
                <c:pt idx="52">
                  <c:v>3915</c:v>
                </c:pt>
                <c:pt idx="53">
                  <c:v>3853</c:v>
                </c:pt>
                <c:pt idx="54">
                  <c:v>4471</c:v>
                </c:pt>
                <c:pt idx="55">
                  <c:v>2783</c:v>
                </c:pt>
                <c:pt idx="56">
                  <c:v>2291</c:v>
                </c:pt>
                <c:pt idx="57">
                  <c:v>1115</c:v>
                </c:pt>
                <c:pt idx="58">
                  <c:v>1340</c:v>
                </c:pt>
                <c:pt idx="59">
                  <c:v>-2783</c:v>
                </c:pt>
                <c:pt idx="60">
                  <c:v>-503</c:v>
                </c:pt>
                <c:pt idx="61">
                  <c:v>-636</c:v>
                </c:pt>
                <c:pt idx="62">
                  <c:v>-1153</c:v>
                </c:pt>
                <c:pt idx="63">
                  <c:v>-3837</c:v>
                </c:pt>
                <c:pt idx="64">
                  <c:v>-1884</c:v>
                </c:pt>
                <c:pt idx="65">
                  <c:v>-4109</c:v>
                </c:pt>
                <c:pt idx="66">
                  <c:v>-3390</c:v>
                </c:pt>
                <c:pt idx="67">
                  <c:v>-7796</c:v>
                </c:pt>
                <c:pt idx="68">
                  <c:v>-5919</c:v>
                </c:pt>
                <c:pt idx="69">
                  <c:v>-3271</c:v>
                </c:pt>
              </c:numCache>
            </c:numRef>
          </c:val>
          <c:extLst>
            <c:ext xmlns:c16="http://schemas.microsoft.com/office/drawing/2014/chart" uri="{C3380CC4-5D6E-409C-BE32-E72D297353CC}">
              <c16:uniqueId val="{00000000-A001-4A8F-90AD-DA7D01313DBE}"/>
            </c:ext>
          </c:extLst>
        </c:ser>
        <c:dLbls>
          <c:showLegendKey val="0"/>
          <c:showVal val="0"/>
          <c:showCatName val="0"/>
          <c:showSerName val="0"/>
          <c:showPercent val="0"/>
          <c:showBubbleSize val="0"/>
        </c:dLbls>
        <c:gapWidth val="0"/>
        <c:axId val="204585296"/>
        <c:axId val="204584736"/>
      </c:barChart>
      <c:lineChart>
        <c:grouping val="standard"/>
        <c:varyColors val="0"/>
        <c:ser>
          <c:idx val="2"/>
          <c:order val="0"/>
          <c:tx>
            <c:strRef>
              <c:f>'figura 1'!$C$4</c:f>
              <c:strCache>
                <c:ptCount val="1"/>
                <c:pt idx="0">
                  <c:v>Export - mensile</c:v>
                </c:pt>
              </c:strCache>
            </c:strRef>
          </c:tx>
          <c:spPr>
            <a:ln w="12700" cap="flat" cmpd="sng" algn="ctr">
              <a:solidFill>
                <a:srgbClr val="003B5C"/>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1'!$C$65:$C$136</c:f>
              <c:numCache>
                <c:formatCode>0</c:formatCode>
                <c:ptCount val="72"/>
                <c:pt idx="0">
                  <c:v>36976</c:v>
                </c:pt>
                <c:pt idx="1">
                  <c:v>36457</c:v>
                </c:pt>
                <c:pt idx="2">
                  <c:v>37858</c:v>
                </c:pt>
                <c:pt idx="3">
                  <c:v>36940</c:v>
                </c:pt>
                <c:pt idx="4">
                  <c:v>37636</c:v>
                </c:pt>
                <c:pt idx="5">
                  <c:v>37265</c:v>
                </c:pt>
                <c:pt idx="6">
                  <c:v>37011</c:v>
                </c:pt>
                <c:pt idx="7">
                  <c:v>38318</c:v>
                </c:pt>
                <c:pt idx="8">
                  <c:v>37700</c:v>
                </c:pt>
                <c:pt idx="9">
                  <c:v>37995</c:v>
                </c:pt>
                <c:pt idx="10">
                  <c:v>38861</c:v>
                </c:pt>
                <c:pt idx="11">
                  <c:v>39903</c:v>
                </c:pt>
                <c:pt idx="12">
                  <c:v>37898</c:v>
                </c:pt>
                <c:pt idx="13">
                  <c:v>37963</c:v>
                </c:pt>
                <c:pt idx="14">
                  <c:v>38426</c:v>
                </c:pt>
                <c:pt idx="15">
                  <c:v>38370</c:v>
                </c:pt>
                <c:pt idx="16">
                  <c:v>37516</c:v>
                </c:pt>
                <c:pt idx="17">
                  <c:v>39677</c:v>
                </c:pt>
                <c:pt idx="18">
                  <c:v>39285</c:v>
                </c:pt>
                <c:pt idx="19">
                  <c:v>39809</c:v>
                </c:pt>
                <c:pt idx="20">
                  <c:v>38447</c:v>
                </c:pt>
                <c:pt idx="21">
                  <c:v>39893</c:v>
                </c:pt>
                <c:pt idx="22">
                  <c:v>40004</c:v>
                </c:pt>
                <c:pt idx="23">
                  <c:v>38713</c:v>
                </c:pt>
                <c:pt idx="24">
                  <c:v>39940</c:v>
                </c:pt>
                <c:pt idx="25">
                  <c:v>39573</c:v>
                </c:pt>
                <c:pt idx="26">
                  <c:v>40158</c:v>
                </c:pt>
                <c:pt idx="27">
                  <c:v>39884</c:v>
                </c:pt>
                <c:pt idx="28">
                  <c:v>40310</c:v>
                </c:pt>
                <c:pt idx="29">
                  <c:v>40727</c:v>
                </c:pt>
                <c:pt idx="30">
                  <c:v>40204</c:v>
                </c:pt>
                <c:pt idx="31">
                  <c:v>39537</c:v>
                </c:pt>
                <c:pt idx="32">
                  <c:v>40693</c:v>
                </c:pt>
                <c:pt idx="33">
                  <c:v>41606</c:v>
                </c:pt>
                <c:pt idx="34">
                  <c:v>39098</c:v>
                </c:pt>
                <c:pt idx="35">
                  <c:v>40492</c:v>
                </c:pt>
                <c:pt idx="36">
                  <c:v>40624</c:v>
                </c:pt>
                <c:pt idx="37">
                  <c:v>40365</c:v>
                </c:pt>
                <c:pt idx="38">
                  <c:v>33943</c:v>
                </c:pt>
                <c:pt idx="39">
                  <c:v>21968</c:v>
                </c:pt>
                <c:pt idx="40">
                  <c:v>30207</c:v>
                </c:pt>
                <c:pt idx="41">
                  <c:v>34764</c:v>
                </c:pt>
                <c:pt idx="42">
                  <c:v>37221</c:v>
                </c:pt>
                <c:pt idx="43">
                  <c:v>38099</c:v>
                </c:pt>
                <c:pt idx="44">
                  <c:v>39404</c:v>
                </c:pt>
                <c:pt idx="45">
                  <c:v>39087</c:v>
                </c:pt>
                <c:pt idx="46">
                  <c:v>40782</c:v>
                </c:pt>
                <c:pt idx="47">
                  <c:v>39395</c:v>
                </c:pt>
                <c:pt idx="48">
                  <c:v>40135</c:v>
                </c:pt>
                <c:pt idx="49">
                  <c:v>40506</c:v>
                </c:pt>
                <c:pt idx="50">
                  <c:v>41691</c:v>
                </c:pt>
                <c:pt idx="51">
                  <c:v>43263</c:v>
                </c:pt>
                <c:pt idx="52">
                  <c:v>41583</c:v>
                </c:pt>
                <c:pt idx="53">
                  <c:v>42882</c:v>
                </c:pt>
                <c:pt idx="54">
                  <c:v>44229</c:v>
                </c:pt>
                <c:pt idx="55">
                  <c:v>44300</c:v>
                </c:pt>
                <c:pt idx="56">
                  <c:v>43800</c:v>
                </c:pt>
                <c:pt idx="57">
                  <c:v>44748</c:v>
                </c:pt>
                <c:pt idx="58">
                  <c:v>46057</c:v>
                </c:pt>
                <c:pt idx="59">
                  <c:v>45791</c:v>
                </c:pt>
                <c:pt idx="60">
                  <c:v>48074</c:v>
                </c:pt>
                <c:pt idx="61">
                  <c:v>49288</c:v>
                </c:pt>
                <c:pt idx="62">
                  <c:v>50386</c:v>
                </c:pt>
                <c:pt idx="63">
                  <c:v>50959</c:v>
                </c:pt>
                <c:pt idx="64">
                  <c:v>53005</c:v>
                </c:pt>
                <c:pt idx="65">
                  <c:v>52038</c:v>
                </c:pt>
                <c:pt idx="66">
                  <c:v>54513</c:v>
                </c:pt>
                <c:pt idx="67">
                  <c:v>52379</c:v>
                </c:pt>
                <c:pt idx="68">
                  <c:v>53347</c:v>
                </c:pt>
                <c:pt idx="69">
                  <c:v>52735</c:v>
                </c:pt>
              </c:numCache>
            </c:numRef>
          </c:val>
          <c:smooth val="0"/>
          <c:extLst>
            <c:ext xmlns:c16="http://schemas.microsoft.com/office/drawing/2014/chart" uri="{C3380CC4-5D6E-409C-BE32-E72D297353CC}">
              <c16:uniqueId val="{00000001-A001-4A8F-90AD-DA7D01313DBE}"/>
            </c:ext>
          </c:extLst>
        </c:ser>
        <c:ser>
          <c:idx val="4"/>
          <c:order val="1"/>
          <c:tx>
            <c:strRef>
              <c:f>'figura 1'!$D$4</c:f>
              <c:strCache>
                <c:ptCount val="1"/>
                <c:pt idx="0">
                  <c:v>Export - media 3m</c:v>
                </c:pt>
              </c:strCache>
            </c:strRef>
          </c:tx>
          <c:spPr>
            <a:ln w="28575" cap="rnd">
              <a:solidFill>
                <a:srgbClr val="003B5C"/>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1'!$D$65:$D$136</c:f>
              <c:numCache>
                <c:formatCode>0</c:formatCode>
                <c:ptCount val="72"/>
                <c:pt idx="0">
                  <c:v>36717.666666666672</c:v>
                </c:pt>
                <c:pt idx="1">
                  <c:v>37097</c:v>
                </c:pt>
                <c:pt idx="2">
                  <c:v>37085</c:v>
                </c:pt>
                <c:pt idx="3">
                  <c:v>37478</c:v>
                </c:pt>
                <c:pt idx="4">
                  <c:v>37280.333333333336</c:v>
                </c:pt>
                <c:pt idx="5">
                  <c:v>37304</c:v>
                </c:pt>
                <c:pt idx="6">
                  <c:v>37531.333333333336</c:v>
                </c:pt>
                <c:pt idx="7">
                  <c:v>37676.333333333328</c:v>
                </c:pt>
                <c:pt idx="8">
                  <c:v>38004.333333333328</c:v>
                </c:pt>
                <c:pt idx="9">
                  <c:v>38185.333333333328</c:v>
                </c:pt>
                <c:pt idx="10">
                  <c:v>38919.666666666672</c:v>
                </c:pt>
                <c:pt idx="11">
                  <c:v>38887.333333333336</c:v>
                </c:pt>
                <c:pt idx="12">
                  <c:v>38588</c:v>
                </c:pt>
                <c:pt idx="13">
                  <c:v>38095.666666666672</c:v>
                </c:pt>
                <c:pt idx="14">
                  <c:v>38253</c:v>
                </c:pt>
                <c:pt idx="15">
                  <c:v>38104</c:v>
                </c:pt>
                <c:pt idx="16">
                  <c:v>38521</c:v>
                </c:pt>
                <c:pt idx="17">
                  <c:v>38826</c:v>
                </c:pt>
                <c:pt idx="18">
                  <c:v>39590.333333333336</c:v>
                </c:pt>
                <c:pt idx="19">
                  <c:v>39180.333333333328</c:v>
                </c:pt>
                <c:pt idx="20">
                  <c:v>39383</c:v>
                </c:pt>
                <c:pt idx="21">
                  <c:v>39448</c:v>
                </c:pt>
                <c:pt idx="22">
                  <c:v>39536.666666666664</c:v>
                </c:pt>
                <c:pt idx="23">
                  <c:v>39552.333333333328</c:v>
                </c:pt>
                <c:pt idx="24">
                  <c:v>39408.666666666672</c:v>
                </c:pt>
                <c:pt idx="25">
                  <c:v>39890.333333333336</c:v>
                </c:pt>
                <c:pt idx="26">
                  <c:v>39871.666666666672</c:v>
                </c:pt>
                <c:pt idx="27">
                  <c:v>40117.333333333328</c:v>
                </c:pt>
                <c:pt idx="28">
                  <c:v>40307</c:v>
                </c:pt>
                <c:pt idx="29">
                  <c:v>40413.666666666672</c:v>
                </c:pt>
                <c:pt idx="30">
                  <c:v>40156</c:v>
                </c:pt>
                <c:pt idx="31">
                  <c:v>40144.666666666664</c:v>
                </c:pt>
                <c:pt idx="32">
                  <c:v>40612</c:v>
                </c:pt>
                <c:pt idx="33">
                  <c:v>40465.666666666672</c:v>
                </c:pt>
                <c:pt idx="34">
                  <c:v>40398.666666666672</c:v>
                </c:pt>
                <c:pt idx="35">
                  <c:v>40071.333333333328</c:v>
                </c:pt>
                <c:pt idx="36">
                  <c:v>40493.666666666664</c:v>
                </c:pt>
                <c:pt idx="37">
                  <c:v>38310.666666666672</c:v>
                </c:pt>
                <c:pt idx="38">
                  <c:v>32092</c:v>
                </c:pt>
                <c:pt idx="39">
                  <c:v>28706</c:v>
                </c:pt>
                <c:pt idx="40">
                  <c:v>28979.666666666668</c:v>
                </c:pt>
                <c:pt idx="41">
                  <c:v>34064</c:v>
                </c:pt>
                <c:pt idx="42">
                  <c:v>36694.666666666664</c:v>
                </c:pt>
                <c:pt idx="43">
                  <c:v>38241.333333333328</c:v>
                </c:pt>
                <c:pt idx="44">
                  <c:v>38863.333333333328</c:v>
                </c:pt>
                <c:pt idx="45">
                  <c:v>39757.666666666664</c:v>
                </c:pt>
                <c:pt idx="46">
                  <c:v>39754.666666666672</c:v>
                </c:pt>
                <c:pt idx="47">
                  <c:v>40104</c:v>
                </c:pt>
                <c:pt idx="48">
                  <c:v>40012</c:v>
                </c:pt>
                <c:pt idx="49">
                  <c:v>40777.333333333328</c:v>
                </c:pt>
                <c:pt idx="50">
                  <c:v>41820</c:v>
                </c:pt>
                <c:pt idx="51">
                  <c:v>42179</c:v>
                </c:pt>
                <c:pt idx="52">
                  <c:v>42576</c:v>
                </c:pt>
                <c:pt idx="53">
                  <c:v>42898</c:v>
                </c:pt>
                <c:pt idx="54">
                  <c:v>43803.666666666664</c:v>
                </c:pt>
                <c:pt idx="55">
                  <c:v>44109.666666666672</c:v>
                </c:pt>
                <c:pt idx="56">
                  <c:v>44282.666666666664</c:v>
                </c:pt>
                <c:pt idx="57">
                  <c:v>44868.333333333336</c:v>
                </c:pt>
                <c:pt idx="58">
                  <c:v>45532</c:v>
                </c:pt>
                <c:pt idx="59">
                  <c:v>46640.666666666664</c:v>
                </c:pt>
                <c:pt idx="60">
                  <c:v>47717.666666666664</c:v>
                </c:pt>
                <c:pt idx="61">
                  <c:v>49249.333333333328</c:v>
                </c:pt>
                <c:pt idx="62">
                  <c:v>50211</c:v>
                </c:pt>
                <c:pt idx="63">
                  <c:v>51450</c:v>
                </c:pt>
                <c:pt idx="64">
                  <c:v>52000.666666666664</c:v>
                </c:pt>
                <c:pt idx="65">
                  <c:v>53185.333333333328</c:v>
                </c:pt>
                <c:pt idx="66">
                  <c:v>52976.666666666672</c:v>
                </c:pt>
                <c:pt idx="67">
                  <c:v>53413</c:v>
                </c:pt>
                <c:pt idx="68">
                  <c:v>52820.333333333336</c:v>
                </c:pt>
              </c:numCache>
            </c:numRef>
          </c:val>
          <c:smooth val="0"/>
          <c:extLst>
            <c:ext xmlns:c16="http://schemas.microsoft.com/office/drawing/2014/chart" uri="{C3380CC4-5D6E-409C-BE32-E72D297353CC}">
              <c16:uniqueId val="{00000002-A001-4A8F-90AD-DA7D01313DBE}"/>
            </c:ext>
          </c:extLst>
        </c:ser>
        <c:ser>
          <c:idx val="1"/>
          <c:order val="2"/>
          <c:tx>
            <c:strRef>
              <c:f>'figura 1'!$E$4</c:f>
              <c:strCache>
                <c:ptCount val="1"/>
                <c:pt idx="0">
                  <c:v>Import - mensile</c:v>
                </c:pt>
              </c:strCache>
            </c:strRef>
          </c:tx>
          <c:spPr>
            <a:ln w="12700" cap="flat" cmpd="sng" algn="ctr">
              <a:solidFill>
                <a:srgbClr val="D22630"/>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1'!$E$65:$E$136</c:f>
              <c:numCache>
                <c:formatCode>0</c:formatCode>
                <c:ptCount val="72"/>
                <c:pt idx="0">
                  <c:v>32625</c:v>
                </c:pt>
                <c:pt idx="1">
                  <c:v>33433</c:v>
                </c:pt>
                <c:pt idx="2">
                  <c:v>33474</c:v>
                </c:pt>
                <c:pt idx="3">
                  <c:v>32976</c:v>
                </c:pt>
                <c:pt idx="4">
                  <c:v>34265</c:v>
                </c:pt>
                <c:pt idx="5">
                  <c:v>33629</c:v>
                </c:pt>
                <c:pt idx="6">
                  <c:v>33707</c:v>
                </c:pt>
                <c:pt idx="7">
                  <c:v>34058</c:v>
                </c:pt>
                <c:pt idx="8">
                  <c:v>32584</c:v>
                </c:pt>
                <c:pt idx="9">
                  <c:v>33826</c:v>
                </c:pt>
                <c:pt idx="10">
                  <c:v>34611</c:v>
                </c:pt>
                <c:pt idx="11">
                  <c:v>35679</c:v>
                </c:pt>
                <c:pt idx="12">
                  <c:v>33974</c:v>
                </c:pt>
                <c:pt idx="13">
                  <c:v>33932</c:v>
                </c:pt>
                <c:pt idx="14">
                  <c:v>34556</c:v>
                </c:pt>
                <c:pt idx="15">
                  <c:v>34991</c:v>
                </c:pt>
                <c:pt idx="16">
                  <c:v>35300</c:v>
                </c:pt>
                <c:pt idx="17">
                  <c:v>35533</c:v>
                </c:pt>
                <c:pt idx="18">
                  <c:v>36416</c:v>
                </c:pt>
                <c:pt idx="19">
                  <c:v>35836</c:v>
                </c:pt>
                <c:pt idx="20">
                  <c:v>35967</c:v>
                </c:pt>
                <c:pt idx="21">
                  <c:v>37109</c:v>
                </c:pt>
                <c:pt idx="22">
                  <c:v>36384</c:v>
                </c:pt>
                <c:pt idx="23">
                  <c:v>36832</c:v>
                </c:pt>
                <c:pt idx="24">
                  <c:v>35203</c:v>
                </c:pt>
                <c:pt idx="25">
                  <c:v>35120</c:v>
                </c:pt>
                <c:pt idx="26">
                  <c:v>35582</c:v>
                </c:pt>
                <c:pt idx="27">
                  <c:v>35865</c:v>
                </c:pt>
                <c:pt idx="28">
                  <c:v>36479</c:v>
                </c:pt>
                <c:pt idx="29">
                  <c:v>35672</c:v>
                </c:pt>
                <c:pt idx="30">
                  <c:v>35519</c:v>
                </c:pt>
                <c:pt idx="31">
                  <c:v>34907</c:v>
                </c:pt>
                <c:pt idx="32">
                  <c:v>36205</c:v>
                </c:pt>
                <c:pt idx="33">
                  <c:v>34778</c:v>
                </c:pt>
                <c:pt idx="34">
                  <c:v>34268</c:v>
                </c:pt>
                <c:pt idx="35">
                  <c:v>35544</c:v>
                </c:pt>
                <c:pt idx="36">
                  <c:v>36064</c:v>
                </c:pt>
                <c:pt idx="37">
                  <c:v>34369</c:v>
                </c:pt>
                <c:pt idx="38">
                  <c:v>28304</c:v>
                </c:pt>
                <c:pt idx="39">
                  <c:v>22997</c:v>
                </c:pt>
                <c:pt idx="40">
                  <c:v>25276</c:v>
                </c:pt>
                <c:pt idx="41">
                  <c:v>29388</c:v>
                </c:pt>
                <c:pt idx="42">
                  <c:v>31289</c:v>
                </c:pt>
                <c:pt idx="43">
                  <c:v>31660</c:v>
                </c:pt>
                <c:pt idx="44">
                  <c:v>32326</c:v>
                </c:pt>
                <c:pt idx="45">
                  <c:v>33169</c:v>
                </c:pt>
                <c:pt idx="46">
                  <c:v>34128</c:v>
                </c:pt>
                <c:pt idx="47">
                  <c:v>33599</c:v>
                </c:pt>
                <c:pt idx="48">
                  <c:v>34005</c:v>
                </c:pt>
                <c:pt idx="49">
                  <c:v>34730</c:v>
                </c:pt>
                <c:pt idx="50">
                  <c:v>36945</c:v>
                </c:pt>
                <c:pt idx="51">
                  <c:v>37913</c:v>
                </c:pt>
                <c:pt idx="52">
                  <c:v>37668</c:v>
                </c:pt>
                <c:pt idx="53">
                  <c:v>39029</c:v>
                </c:pt>
                <c:pt idx="54">
                  <c:v>39758</c:v>
                </c:pt>
                <c:pt idx="55">
                  <c:v>41517</c:v>
                </c:pt>
                <c:pt idx="56">
                  <c:v>41509</c:v>
                </c:pt>
                <c:pt idx="57">
                  <c:v>43633</c:v>
                </c:pt>
                <c:pt idx="58">
                  <c:v>44717</c:v>
                </c:pt>
                <c:pt idx="59">
                  <c:v>48574</c:v>
                </c:pt>
                <c:pt idx="60">
                  <c:v>48577</c:v>
                </c:pt>
                <c:pt idx="61">
                  <c:v>49924</c:v>
                </c:pt>
                <c:pt idx="62">
                  <c:v>51539</c:v>
                </c:pt>
                <c:pt idx="63">
                  <c:v>54796</c:v>
                </c:pt>
                <c:pt idx="64">
                  <c:v>54889</c:v>
                </c:pt>
                <c:pt idx="65">
                  <c:v>56147</c:v>
                </c:pt>
                <c:pt idx="66">
                  <c:v>57903</c:v>
                </c:pt>
                <c:pt idx="67">
                  <c:v>60175</c:v>
                </c:pt>
                <c:pt idx="68">
                  <c:v>59266</c:v>
                </c:pt>
                <c:pt idx="69">
                  <c:v>56006</c:v>
                </c:pt>
              </c:numCache>
            </c:numRef>
          </c:val>
          <c:smooth val="0"/>
          <c:extLst>
            <c:ext xmlns:c16="http://schemas.microsoft.com/office/drawing/2014/chart" uri="{C3380CC4-5D6E-409C-BE32-E72D297353CC}">
              <c16:uniqueId val="{00000003-A001-4A8F-90AD-DA7D01313DBE}"/>
            </c:ext>
          </c:extLst>
        </c:ser>
        <c:ser>
          <c:idx val="3"/>
          <c:order val="3"/>
          <c:tx>
            <c:strRef>
              <c:f>'figura 1'!$F$4</c:f>
              <c:strCache>
                <c:ptCount val="1"/>
                <c:pt idx="0">
                  <c:v>Import - media 3m</c:v>
                </c:pt>
              </c:strCache>
            </c:strRef>
          </c:tx>
          <c:spPr>
            <a:ln w="28575" cap="rnd">
              <a:solidFill>
                <a:srgbClr val="D22630"/>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1'!$F$65:$F$136</c:f>
              <c:numCache>
                <c:formatCode>0</c:formatCode>
                <c:ptCount val="72"/>
                <c:pt idx="0">
                  <c:v>32825.666666666672</c:v>
                </c:pt>
                <c:pt idx="1">
                  <c:v>33177.333333333336</c:v>
                </c:pt>
                <c:pt idx="2">
                  <c:v>33294.333333333336</c:v>
                </c:pt>
                <c:pt idx="3">
                  <c:v>33571.666666666664</c:v>
                </c:pt>
                <c:pt idx="4">
                  <c:v>33623.333333333328</c:v>
                </c:pt>
                <c:pt idx="5">
                  <c:v>33867</c:v>
                </c:pt>
                <c:pt idx="6">
                  <c:v>33798</c:v>
                </c:pt>
                <c:pt idx="7">
                  <c:v>33449.666666666672</c:v>
                </c:pt>
                <c:pt idx="8">
                  <c:v>33489.333333333336</c:v>
                </c:pt>
                <c:pt idx="9">
                  <c:v>33673.666666666664</c:v>
                </c:pt>
                <c:pt idx="10">
                  <c:v>34705.333333333336</c:v>
                </c:pt>
                <c:pt idx="11">
                  <c:v>34754.666666666664</c:v>
                </c:pt>
                <c:pt idx="12">
                  <c:v>34528.333333333328</c:v>
                </c:pt>
                <c:pt idx="13">
                  <c:v>34154</c:v>
                </c:pt>
                <c:pt idx="14">
                  <c:v>34493</c:v>
                </c:pt>
                <c:pt idx="15">
                  <c:v>34949</c:v>
                </c:pt>
                <c:pt idx="16">
                  <c:v>35274.666666666664</c:v>
                </c:pt>
                <c:pt idx="17">
                  <c:v>35749.666666666664</c:v>
                </c:pt>
                <c:pt idx="18">
                  <c:v>35928.333333333336</c:v>
                </c:pt>
                <c:pt idx="19">
                  <c:v>36073</c:v>
                </c:pt>
                <c:pt idx="20">
                  <c:v>36304</c:v>
                </c:pt>
                <c:pt idx="21">
                  <c:v>36486.666666666664</c:v>
                </c:pt>
                <c:pt idx="22">
                  <c:v>36775</c:v>
                </c:pt>
                <c:pt idx="23">
                  <c:v>36139.666666666664</c:v>
                </c:pt>
                <c:pt idx="24">
                  <c:v>35718.333333333336</c:v>
                </c:pt>
                <c:pt idx="25">
                  <c:v>35301.666666666664</c:v>
                </c:pt>
                <c:pt idx="26">
                  <c:v>35522.333333333336</c:v>
                </c:pt>
                <c:pt idx="27">
                  <c:v>35975.333333333336</c:v>
                </c:pt>
                <c:pt idx="28">
                  <c:v>36005.333333333328</c:v>
                </c:pt>
                <c:pt idx="29">
                  <c:v>35890</c:v>
                </c:pt>
                <c:pt idx="30">
                  <c:v>35366</c:v>
                </c:pt>
                <c:pt idx="31">
                  <c:v>35543.666666666672</c:v>
                </c:pt>
                <c:pt idx="32">
                  <c:v>35296.666666666664</c:v>
                </c:pt>
                <c:pt idx="33">
                  <c:v>35083.666666666672</c:v>
                </c:pt>
                <c:pt idx="34">
                  <c:v>34863.333333333336</c:v>
                </c:pt>
                <c:pt idx="35">
                  <c:v>35292</c:v>
                </c:pt>
                <c:pt idx="36">
                  <c:v>35325.666666666664</c:v>
                </c:pt>
                <c:pt idx="37">
                  <c:v>32912.333333333336</c:v>
                </c:pt>
                <c:pt idx="38">
                  <c:v>28556.666666666664</c:v>
                </c:pt>
                <c:pt idx="39">
                  <c:v>25525.666666666664</c:v>
                </c:pt>
                <c:pt idx="40">
                  <c:v>25887</c:v>
                </c:pt>
                <c:pt idx="41">
                  <c:v>28651</c:v>
                </c:pt>
                <c:pt idx="42">
                  <c:v>30779</c:v>
                </c:pt>
                <c:pt idx="43">
                  <c:v>31758.333333333332</c:v>
                </c:pt>
                <c:pt idx="44">
                  <c:v>32385</c:v>
                </c:pt>
                <c:pt idx="45">
                  <c:v>33207.666666666664</c:v>
                </c:pt>
                <c:pt idx="46">
                  <c:v>33632</c:v>
                </c:pt>
                <c:pt idx="47">
                  <c:v>33910.666666666664</c:v>
                </c:pt>
                <c:pt idx="48">
                  <c:v>34111.333333333328</c:v>
                </c:pt>
                <c:pt idx="49">
                  <c:v>35226.666666666672</c:v>
                </c:pt>
                <c:pt idx="50">
                  <c:v>36529.333333333336</c:v>
                </c:pt>
                <c:pt idx="51">
                  <c:v>37508.666666666664</c:v>
                </c:pt>
                <c:pt idx="52">
                  <c:v>38203.333333333336</c:v>
                </c:pt>
                <c:pt idx="53">
                  <c:v>38818.333333333336</c:v>
                </c:pt>
                <c:pt idx="54">
                  <c:v>40101.333333333328</c:v>
                </c:pt>
                <c:pt idx="55">
                  <c:v>40928</c:v>
                </c:pt>
                <c:pt idx="56">
                  <c:v>42219.666666666672</c:v>
                </c:pt>
                <c:pt idx="57">
                  <c:v>43286.333333333336</c:v>
                </c:pt>
                <c:pt idx="58">
                  <c:v>45641.333333333328</c:v>
                </c:pt>
                <c:pt idx="59">
                  <c:v>47289.333333333328</c:v>
                </c:pt>
                <c:pt idx="60">
                  <c:v>49025</c:v>
                </c:pt>
                <c:pt idx="61">
                  <c:v>50013.333333333328</c:v>
                </c:pt>
                <c:pt idx="62">
                  <c:v>52086.333333333336</c:v>
                </c:pt>
                <c:pt idx="63">
                  <c:v>53741.333333333336</c:v>
                </c:pt>
                <c:pt idx="64">
                  <c:v>55277.333333333328</c:v>
                </c:pt>
                <c:pt idx="65">
                  <c:v>56313</c:v>
                </c:pt>
                <c:pt idx="66">
                  <c:v>58075</c:v>
                </c:pt>
                <c:pt idx="67">
                  <c:v>59114.666666666672</c:v>
                </c:pt>
                <c:pt idx="68">
                  <c:v>58482.333333333328</c:v>
                </c:pt>
              </c:numCache>
            </c:numRef>
          </c:val>
          <c:smooth val="0"/>
          <c:extLst>
            <c:ext xmlns:c16="http://schemas.microsoft.com/office/drawing/2014/chart" uri="{C3380CC4-5D6E-409C-BE32-E72D297353CC}">
              <c16:uniqueId val="{00000004-A001-4A8F-90AD-DA7D01313DBE}"/>
            </c:ext>
          </c:extLst>
        </c:ser>
        <c:dLbls>
          <c:showLegendKey val="0"/>
          <c:showVal val="0"/>
          <c:showCatName val="0"/>
          <c:showSerName val="0"/>
          <c:showPercent val="0"/>
          <c:showBubbleSize val="0"/>
        </c:dLbls>
        <c:marker val="1"/>
        <c:smooth val="0"/>
        <c:axId val="204583616"/>
        <c:axId val="204584176"/>
      </c:lineChart>
      <c:catAx>
        <c:axId val="204583616"/>
        <c:scaling>
          <c:orientation val="minMax"/>
        </c:scaling>
        <c:delete val="0"/>
        <c:axPos val="b"/>
        <c:majorGridlines>
          <c:spPr>
            <a:ln w="6350" cap="flat" cmpd="sng" algn="ctr">
              <a:solidFill>
                <a:srgbClr val="FFFFFF"/>
              </a:solidFill>
              <a:prstDash val="solid"/>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a:ea typeface="Arial Narrow"/>
                <a:cs typeface="Arial Narrow"/>
              </a:defRPr>
            </a:pPr>
            <a:endParaRPr lang="it-IT"/>
          </a:p>
        </c:txPr>
        <c:crossAx val="204584176"/>
        <c:crosses val="autoZero"/>
        <c:auto val="1"/>
        <c:lblAlgn val="ctr"/>
        <c:lblOffset val="0"/>
        <c:tickMarkSkip val="3"/>
        <c:noMultiLvlLbl val="0"/>
      </c:catAx>
      <c:valAx>
        <c:axId val="204584176"/>
        <c:scaling>
          <c:orientation val="minMax"/>
          <c:max val="65000"/>
          <c:min val="20000"/>
        </c:scaling>
        <c:delete val="0"/>
        <c:axPos val="l"/>
        <c:majorGridlines>
          <c:spPr>
            <a:ln w="9525" cap="flat" cmpd="sng" algn="ctr">
              <a:solidFill>
                <a:srgbClr val="FFFFFF">
                  <a:lumMod val="100000"/>
                </a:srgbClr>
              </a:solidFill>
              <a:round/>
            </a:ln>
            <a:effectLst/>
          </c:spPr>
        </c:majorGridlines>
        <c:numFmt formatCode="0" sourceLinked="1"/>
        <c:majorTickMark val="none"/>
        <c:minorTickMark val="none"/>
        <c:tickLblPos val="nextTo"/>
        <c:spPr>
          <a:noFill/>
          <a:ln>
            <a:noFill/>
          </a:ln>
          <a:effectLst/>
          <a:extLs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04583616"/>
        <c:crosses val="autoZero"/>
        <c:crossBetween val="between"/>
        <c:dispUnits>
          <c:builtInUnit val="thousands"/>
        </c:dispUnits>
      </c:valAx>
      <c:valAx>
        <c:axId val="204584736"/>
        <c:scaling>
          <c:orientation val="minMax"/>
          <c:max val="10000"/>
          <c:min val="-10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04585296"/>
        <c:crosses val="max"/>
        <c:crossBetween val="between"/>
        <c:majorUnit val="2000"/>
        <c:dispUnits>
          <c:builtInUnit val="thousands"/>
        </c:dispUnits>
      </c:valAx>
      <c:catAx>
        <c:axId val="204585296"/>
        <c:scaling>
          <c:orientation val="minMax"/>
        </c:scaling>
        <c:delete val="1"/>
        <c:axPos val="b"/>
        <c:majorGridlines>
          <c:spPr>
            <a:ln w="15875" cap="flat" cmpd="sng" algn="ctr">
              <a:solidFill>
                <a:schemeClr val="bg1"/>
              </a:solidFill>
              <a:round/>
            </a:ln>
            <a:effectLst/>
          </c:spPr>
        </c:majorGridlines>
        <c:majorTickMark val="out"/>
        <c:minorTickMark val="none"/>
        <c:tickLblPos val="nextTo"/>
        <c:crossAx val="204584736"/>
        <c:crossesAt val="0"/>
        <c:auto val="1"/>
        <c:lblAlgn val="ctr"/>
        <c:lblOffset val="100"/>
        <c:tickMarkSkip val="12"/>
        <c:noMultiLvlLbl val="0"/>
      </c:catAx>
      <c:spPr>
        <a:solidFill>
          <a:srgbClr val="DDDDDD"/>
        </a:solidFill>
        <a:ln w="9525" cap="flat" cmpd="sng" algn="ctr">
          <a:solidFill>
            <a:schemeClr val="bg1"/>
          </a:solidFill>
          <a:prstDash val="solid"/>
          <a:round/>
          <a:headEnd type="none" w="med" len="med"/>
          <a:tailEnd type="none" w="med" len="med"/>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legend>
    <c:plotVisOnly val="1"/>
    <c:dispBlanksAs val="gap"/>
    <c:showDLblsOverMax val="0"/>
  </c:chart>
  <c:spPr>
    <a:solidFill>
      <a:srgbClr val="DDDDDD"/>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a:ea typeface="Arial Narrow"/>
          <a:cs typeface="Arial Narrow"/>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Volumi</a:t>
            </a:r>
          </a:p>
        </c:rich>
      </c:tx>
      <c:layout>
        <c:manualLayout>
          <c:xMode val="edge"/>
          <c:yMode val="edge"/>
          <c:x val="0.45780370370370371"/>
          <c:y val="0"/>
        </c:manualLayout>
      </c:layout>
      <c:overlay val="1"/>
      <c:spPr>
        <a:noFill/>
        <a:ln>
          <a:noFill/>
        </a:ln>
        <a:effectLst/>
      </c:spPr>
    </c:title>
    <c:autoTitleDeleted val="0"/>
    <c:plotArea>
      <c:layout>
        <c:manualLayout>
          <c:layoutTarget val="inner"/>
          <c:xMode val="edge"/>
          <c:yMode val="edge"/>
          <c:x val="3.8200031242677498E-2"/>
          <c:y val="0.17810928715988306"/>
          <c:w val="0.9225041907245296"/>
          <c:h val="0.72966494265797155"/>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10'!$F$77:$F$136</c:f>
              <c:numCache>
                <c:formatCode>0.0</c:formatCode>
                <c:ptCount val="60"/>
                <c:pt idx="0">
                  <c:v>7.3198198198198128</c:v>
                </c:pt>
                <c:pt idx="1">
                  <c:v>2.4665981500513965</c:v>
                </c:pt>
                <c:pt idx="2">
                  <c:v>-2.8813559322033768</c:v>
                </c:pt>
                <c:pt idx="3">
                  <c:v>5.4621848739495817</c:v>
                </c:pt>
                <c:pt idx="4">
                  <c:v>-4.0034812880765855</c:v>
                </c:pt>
                <c:pt idx="5">
                  <c:v>2.164111812443636</c:v>
                </c:pt>
                <c:pt idx="6">
                  <c:v>2.7506654835847399</c:v>
                </c:pt>
                <c:pt idx="7">
                  <c:v>0</c:v>
                </c:pt>
                <c:pt idx="8">
                  <c:v>-7.1227741330833965</c:v>
                </c:pt>
                <c:pt idx="9">
                  <c:v>5.3908355795148282</c:v>
                </c:pt>
                <c:pt idx="10">
                  <c:v>-1.6888888888888829</c:v>
                </c:pt>
                <c:pt idx="11">
                  <c:v>-5.0595238095238102</c:v>
                </c:pt>
                <c:pt idx="12">
                  <c:v>0.83945435466948481</c:v>
                </c:pt>
                <c:pt idx="13">
                  <c:v>0.3009027081243687</c:v>
                </c:pt>
                <c:pt idx="14">
                  <c:v>-3.6649214659685896</c:v>
                </c:pt>
                <c:pt idx="15">
                  <c:v>0.49800796812749581</c:v>
                </c:pt>
                <c:pt idx="16">
                  <c:v>3.5358114233907543</c:v>
                </c:pt>
                <c:pt idx="17">
                  <c:v>-5.7369814651368074</c:v>
                </c:pt>
                <c:pt idx="18">
                  <c:v>3.2815198618307591</c:v>
                </c:pt>
                <c:pt idx="19">
                  <c:v>-5.3593179049939152</c:v>
                </c:pt>
                <c:pt idx="20">
                  <c:v>4.1372351160443941</c:v>
                </c:pt>
                <c:pt idx="21">
                  <c:v>2.0460358056266017</c:v>
                </c:pt>
                <c:pt idx="22">
                  <c:v>-5.8770343580470126</c:v>
                </c:pt>
                <c:pt idx="23">
                  <c:v>0.52246603970741035</c:v>
                </c:pt>
                <c:pt idx="24">
                  <c:v>-1.1446409989594315</c:v>
                </c:pt>
                <c:pt idx="25">
                  <c:v>2.9000000000000057</c:v>
                </c:pt>
                <c:pt idx="26">
                  <c:v>-14.945652173913047</c:v>
                </c:pt>
                <c:pt idx="27">
                  <c:v>-41.625371655104068</c:v>
                </c:pt>
                <c:pt idx="28">
                  <c:v>-29.071803852889673</c:v>
                </c:pt>
                <c:pt idx="29">
                  <c:v>-12.359550561797747</c:v>
                </c:pt>
                <c:pt idx="30">
                  <c:v>-6.9397993311036998</c:v>
                </c:pt>
                <c:pt idx="31">
                  <c:v>-5.4054054054054035</c:v>
                </c:pt>
                <c:pt idx="32">
                  <c:v>2.6162790697674438</c:v>
                </c:pt>
                <c:pt idx="33">
                  <c:v>-6.6833751044277392</c:v>
                </c:pt>
                <c:pt idx="34">
                  <c:v>3.1700288184437966</c:v>
                </c:pt>
                <c:pt idx="35">
                  <c:v>4.6777546777546775</c:v>
                </c:pt>
                <c:pt idx="36">
                  <c:v>-10.210526315789465</c:v>
                </c:pt>
                <c:pt idx="37">
                  <c:v>-6.2196307094266388</c:v>
                </c:pt>
                <c:pt idx="38">
                  <c:v>20.447284345047919</c:v>
                </c:pt>
                <c:pt idx="39">
                  <c:v>82.003395585738559</c:v>
                </c:pt>
                <c:pt idx="40">
                  <c:v>30.987654320987644</c:v>
                </c:pt>
                <c:pt idx="41">
                  <c:v>16.880341880341874</c:v>
                </c:pt>
                <c:pt idx="42">
                  <c:v>5.6603773584905781</c:v>
                </c:pt>
                <c:pt idx="43">
                  <c:v>4.4897959183673493</c:v>
                </c:pt>
                <c:pt idx="44">
                  <c:v>-1.5108593012275975</c:v>
                </c:pt>
                <c:pt idx="45">
                  <c:v>-3.8495971351835152</c:v>
                </c:pt>
                <c:pt idx="46">
                  <c:v>2.7932960893854784</c:v>
                </c:pt>
                <c:pt idx="47">
                  <c:v>1.3902681231380285</c:v>
                </c:pt>
                <c:pt idx="48">
                  <c:v>3.165298944900357</c:v>
                </c:pt>
                <c:pt idx="49">
                  <c:v>3.3160621761658149</c:v>
                </c:pt>
                <c:pt idx="50">
                  <c:v>2.5641025641025692</c:v>
                </c:pt>
                <c:pt idx="51">
                  <c:v>-5.0373134328358304</c:v>
                </c:pt>
                <c:pt idx="52">
                  <c:v>4.9952874646559735</c:v>
                </c:pt>
                <c:pt idx="53">
                  <c:v>-2.5594149908592385</c:v>
                </c:pt>
                <c:pt idx="54">
                  <c:v>-3.4013605442176953</c:v>
                </c:pt>
                <c:pt idx="55">
                  <c:v>2.3437500000000142</c:v>
                </c:pt>
                <c:pt idx="56">
                  <c:v>2.3969319271332807</c:v>
                </c:pt>
                <c:pt idx="57">
                  <c:v>-2.7001862197392938</c:v>
                </c:pt>
              </c:numCache>
            </c:numRef>
          </c:val>
          <c:smooth val="0"/>
          <c:extLst>
            <c:ext xmlns:c16="http://schemas.microsoft.com/office/drawing/2014/chart" uri="{C3380CC4-5D6E-409C-BE32-E72D297353CC}">
              <c16:uniqueId val="{00000000-BE0A-43C6-8ED8-EEE7C46AA395}"/>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10'!$G$77:$G$136</c:f>
              <c:numCache>
                <c:formatCode>0.0</c:formatCode>
                <c:ptCount val="60"/>
                <c:pt idx="0">
                  <c:v>7.3891625615763701</c:v>
                </c:pt>
                <c:pt idx="1">
                  <c:v>-0.38647342995167833</c:v>
                </c:pt>
                <c:pt idx="2">
                  <c:v>-0.51546391752579268</c:v>
                </c:pt>
                <c:pt idx="3">
                  <c:v>9.1386554621848717</c:v>
                </c:pt>
                <c:pt idx="4">
                  <c:v>-2.1514629948364785</c:v>
                </c:pt>
                <c:pt idx="5">
                  <c:v>-1.594331266607611</c:v>
                </c:pt>
                <c:pt idx="6">
                  <c:v>1.3799448022079162</c:v>
                </c:pt>
                <c:pt idx="7">
                  <c:v>-1.3048635824436445</c:v>
                </c:pt>
                <c:pt idx="8">
                  <c:v>-2.2140221402214024</c:v>
                </c:pt>
                <c:pt idx="9">
                  <c:v>7.0333633904418491</c:v>
                </c:pt>
                <c:pt idx="10">
                  <c:v>-2.5800711743772382</c:v>
                </c:pt>
                <c:pt idx="11">
                  <c:v>1.1247443762781302</c:v>
                </c:pt>
                <c:pt idx="12">
                  <c:v>-1.467889908256879</c:v>
                </c:pt>
                <c:pt idx="13">
                  <c:v>-0.29097963142581307</c:v>
                </c:pt>
                <c:pt idx="14">
                  <c:v>-4.231433506044894</c:v>
                </c:pt>
                <c:pt idx="15">
                  <c:v>1.6361886429258874</c:v>
                </c:pt>
                <c:pt idx="16">
                  <c:v>0.26385224274406482</c:v>
                </c:pt>
                <c:pt idx="17">
                  <c:v>-4.5904590459045949</c:v>
                </c:pt>
                <c:pt idx="18">
                  <c:v>4.5372050816696827</c:v>
                </c:pt>
                <c:pt idx="19">
                  <c:v>-0.48076923076924061</c:v>
                </c:pt>
                <c:pt idx="20">
                  <c:v>5.0943396226415132</c:v>
                </c:pt>
                <c:pt idx="21">
                  <c:v>-3.4540859309182821</c:v>
                </c:pt>
                <c:pt idx="22">
                  <c:v>-2.6484018264840046</c:v>
                </c:pt>
                <c:pt idx="23">
                  <c:v>-2.0222446916076819</c:v>
                </c:pt>
                <c:pt idx="24">
                  <c:v>1.1173184357541857</c:v>
                </c:pt>
                <c:pt idx="25">
                  <c:v>1.264591439688715</c:v>
                </c:pt>
                <c:pt idx="26">
                  <c:v>-15.058611361587012</c:v>
                </c:pt>
                <c:pt idx="27">
                  <c:v>-28.219696969696969</c:v>
                </c:pt>
                <c:pt idx="28">
                  <c:v>-26.578947368421041</c:v>
                </c:pt>
                <c:pt idx="29">
                  <c:v>-8.1132075471698073</c:v>
                </c:pt>
                <c:pt idx="30">
                  <c:v>-8.7673611111111143</c:v>
                </c:pt>
                <c:pt idx="31">
                  <c:v>-6.1594202898550634</c:v>
                </c:pt>
                <c:pt idx="32">
                  <c:v>-0.53859964093358315</c:v>
                </c:pt>
                <c:pt idx="33">
                  <c:v>-1.221640488656206</c:v>
                </c:pt>
                <c:pt idx="34">
                  <c:v>1.5947467166979266</c:v>
                </c:pt>
                <c:pt idx="35">
                  <c:v>3.0959752321981426</c:v>
                </c:pt>
                <c:pt idx="36">
                  <c:v>-10.497237569060772</c:v>
                </c:pt>
                <c:pt idx="37">
                  <c:v>-2.6897214217099048</c:v>
                </c:pt>
                <c:pt idx="38">
                  <c:v>27.176220806794049</c:v>
                </c:pt>
                <c:pt idx="39">
                  <c:v>43.799472295514505</c:v>
                </c:pt>
                <c:pt idx="40">
                  <c:v>27.240143369175613</c:v>
                </c:pt>
                <c:pt idx="41">
                  <c:v>13.655030800821351</c:v>
                </c:pt>
                <c:pt idx="42">
                  <c:v>3.8058991436726899</c:v>
                </c:pt>
                <c:pt idx="43">
                  <c:v>8.236808236808244</c:v>
                </c:pt>
                <c:pt idx="44">
                  <c:v>-0.27075812274367195</c:v>
                </c:pt>
                <c:pt idx="45">
                  <c:v>-5.8303886925795041</c:v>
                </c:pt>
                <c:pt idx="46">
                  <c:v>0.46168051708218627</c:v>
                </c:pt>
                <c:pt idx="47">
                  <c:v>9.4094094094093919</c:v>
                </c:pt>
                <c:pt idx="48">
                  <c:v>5.2469135802469111</c:v>
                </c:pt>
                <c:pt idx="49">
                  <c:v>4.4422507403751297</c:v>
                </c:pt>
                <c:pt idx="50">
                  <c:v>-1.3355592654423987</c:v>
                </c:pt>
                <c:pt idx="51">
                  <c:v>-2.6605504587155906</c:v>
                </c:pt>
                <c:pt idx="52">
                  <c:v>5.2582159624413265</c:v>
                </c:pt>
                <c:pt idx="53">
                  <c:v>-0.36133694670280647</c:v>
                </c:pt>
                <c:pt idx="54">
                  <c:v>-0.82493125572869985</c:v>
                </c:pt>
                <c:pt idx="55">
                  <c:v>4.7562425683709932</c:v>
                </c:pt>
                <c:pt idx="56">
                  <c:v>0</c:v>
                </c:pt>
                <c:pt idx="57">
                  <c:v>0.56285178236397826</c:v>
                </c:pt>
              </c:numCache>
            </c:numRef>
          </c:val>
          <c:smooth val="0"/>
          <c:extLst>
            <c:ext xmlns:c16="http://schemas.microsoft.com/office/drawing/2014/chart" uri="{C3380CC4-5D6E-409C-BE32-E72D297353CC}">
              <c16:uniqueId val="{00000001-BE0A-43C6-8ED8-EEE7C46AA395}"/>
            </c:ext>
          </c:extLst>
        </c:ser>
        <c:dLbls>
          <c:showLegendKey val="0"/>
          <c:showVal val="0"/>
          <c:showCatName val="0"/>
          <c:showSerName val="0"/>
          <c:showPercent val="0"/>
          <c:showBubbleSize val="0"/>
        </c:dLbls>
        <c:marker val="1"/>
        <c:smooth val="0"/>
        <c:axId val="238328592"/>
        <c:axId val="238329152"/>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c:ext xmlns:c16="http://schemas.microsoft.com/office/drawing/2014/chart" uri="{C3380CC4-5D6E-409C-BE32-E72D297353CC}">
              <c16:uniqueId val="{00000002-BE0A-43C6-8ED8-EEE7C46AA395}"/>
            </c:ext>
          </c:extLst>
        </c:ser>
        <c:dLbls>
          <c:showLegendKey val="0"/>
          <c:showVal val="0"/>
          <c:showCatName val="0"/>
          <c:showSerName val="0"/>
          <c:showPercent val="0"/>
          <c:showBubbleSize val="0"/>
        </c:dLbls>
        <c:marker val="1"/>
        <c:smooth val="0"/>
        <c:axId val="238330272"/>
        <c:axId val="238329712"/>
      </c:lineChart>
      <c:catAx>
        <c:axId val="238328592"/>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8329152"/>
        <c:crosses val="autoZero"/>
        <c:auto val="1"/>
        <c:lblAlgn val="ctr"/>
        <c:lblOffset val="0"/>
        <c:tickMarkSkip val="3"/>
        <c:noMultiLvlLbl val="0"/>
      </c:catAx>
      <c:valAx>
        <c:axId val="238329152"/>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9076057895084685E-3"/>
              <c:y val="2.216730380031482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8328592"/>
        <c:crosses val="autoZero"/>
        <c:crossBetween val="between"/>
        <c:majorUnit val="25"/>
      </c:valAx>
      <c:valAx>
        <c:axId val="238329712"/>
        <c:scaling>
          <c:orientation val="minMax"/>
        </c:scaling>
        <c:delete val="1"/>
        <c:axPos val="r"/>
        <c:numFmt formatCode="General" sourceLinked="1"/>
        <c:majorTickMark val="out"/>
        <c:minorTickMark val="none"/>
        <c:tickLblPos val="nextTo"/>
        <c:crossAx val="238330272"/>
        <c:crosses val="max"/>
        <c:crossBetween val="between"/>
      </c:valAx>
      <c:catAx>
        <c:axId val="238330272"/>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23832971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1557993827160494"/>
          <c:y val="8.5675736451540363E-2"/>
          <c:w val="0.7864262345679012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977492947682436E-2"/>
          <c:y val="0.11275701452811358"/>
          <c:w val="0.91523023322108743"/>
          <c:h val="0.77375032346308836"/>
        </c:manualLayout>
      </c:layout>
      <c:barChart>
        <c:barDir val="col"/>
        <c:grouping val="clustered"/>
        <c:varyColors val="0"/>
        <c:ser>
          <c:idx val="0"/>
          <c:order val="0"/>
          <c:tx>
            <c:strRef>
              <c:f>'[GraficiElabImport10_22.xlsx]GR-11 italiano'!$B$1</c:f>
              <c:strCache>
                <c:ptCount val="1"/>
                <c:pt idx="0">
                  <c:v>Area euro</c:v>
                </c:pt>
              </c:strCache>
            </c:strRef>
          </c:tx>
          <c:spPr>
            <a:solidFill>
              <a:srgbClr val="808080"/>
            </a:solidFill>
            <a:ln w="12700">
              <a:solidFill>
                <a:srgbClr val="808080"/>
              </a:solidFill>
              <a:prstDash val="solid"/>
            </a:ln>
          </c:spPr>
          <c:invertIfNegative val="0"/>
          <c:dLbls>
            <c:dLbl>
              <c:idx val="8"/>
              <c:layout>
                <c:manualLayout>
                  <c:x val="-1.2227642968098116E-3"/>
                  <c:y val="5.1896099194497043E-3"/>
                </c:manualLayout>
              </c:layout>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682-4E3C-B4BA-AA1F87E0A8B9}"/>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'[GraficiElabImport10_22.xlsx]GR-11 italiano'!$A$3:$A$15</c:f>
              <c:strCache>
                <c:ptCount val="13"/>
                <c:pt idx="0">
                  <c:v>CA</c:v>
                </c:pt>
                <c:pt idx="1">
                  <c:v>CB</c:v>
                </c:pt>
                <c:pt idx="2">
                  <c:v>CC</c:v>
                </c:pt>
                <c:pt idx="3">
                  <c:v>CD</c:v>
                </c:pt>
                <c:pt idx="4">
                  <c:v>CE</c:v>
                </c:pt>
                <c:pt idx="5">
                  <c:v>CF</c:v>
                </c:pt>
                <c:pt idx="6">
                  <c:v>CG</c:v>
                </c:pt>
                <c:pt idx="7">
                  <c:v>CH</c:v>
                </c:pt>
                <c:pt idx="8">
                  <c:v>CI</c:v>
                </c:pt>
                <c:pt idx="9">
                  <c:v>CJ</c:v>
                </c:pt>
                <c:pt idx="10">
                  <c:v>CK</c:v>
                </c:pt>
                <c:pt idx="11">
                  <c:v>CL</c:v>
                </c:pt>
                <c:pt idx="12">
                  <c:v>CM</c:v>
                </c:pt>
              </c:strCache>
            </c:strRef>
          </c:cat>
          <c:val>
            <c:numRef>
              <c:f>'[GraficiElabImport10_22.xlsx]GR-11 italiano'!$B$3:$B$15</c:f>
              <c:numCache>
                <c:formatCode>0.0</c:formatCode>
                <c:ptCount val="13"/>
                <c:pt idx="0">
                  <c:v>16.399999999999999</c:v>
                </c:pt>
                <c:pt idx="1">
                  <c:v>7.6</c:v>
                </c:pt>
                <c:pt idx="2">
                  <c:v>28.8</c:v>
                </c:pt>
                <c:pt idx="3">
                  <c:v>23.1</c:v>
                </c:pt>
                <c:pt idx="4">
                  <c:v>13.8</c:v>
                </c:pt>
                <c:pt idx="5">
                  <c:v>3.2</c:v>
                </c:pt>
                <c:pt idx="6">
                  <c:v>14.1</c:v>
                </c:pt>
                <c:pt idx="7">
                  <c:v>6.2</c:v>
                </c:pt>
                <c:pt idx="8">
                  <c:v>4.0999999999999996</c:v>
                </c:pt>
                <c:pt idx="9">
                  <c:v>6.2</c:v>
                </c:pt>
                <c:pt idx="10">
                  <c:v>6</c:v>
                </c:pt>
                <c:pt idx="11">
                  <c:v>6.3</c:v>
                </c:pt>
                <c:pt idx="12">
                  <c:v>3.1</c:v>
                </c:pt>
              </c:numCache>
            </c:numRef>
          </c:val>
          <c:extLst>
            <c:ext xmlns:c16="http://schemas.microsoft.com/office/drawing/2014/chart" uri="{C3380CC4-5D6E-409C-BE32-E72D297353CC}">
              <c16:uniqueId val="{00000001-A682-4E3C-B4BA-AA1F87E0A8B9}"/>
            </c:ext>
          </c:extLst>
        </c:ser>
        <c:ser>
          <c:idx val="1"/>
          <c:order val="1"/>
          <c:tx>
            <c:strRef>
              <c:f>'[GraficiElabImport10_22.xlsx]GR-11 italiano'!$C$1:$D$1</c:f>
              <c:strCache>
                <c:ptCount val="1"/>
                <c:pt idx="0">
                  <c:v>Area non euro</c:v>
                </c:pt>
              </c:strCache>
            </c:strRef>
          </c:tx>
          <c:spPr>
            <a:solidFill>
              <a:srgbClr val="FF0000"/>
            </a:solidFill>
            <a:ln w="12700">
              <a:solidFill>
                <a:srgbClr val="FF0000"/>
              </a:solidFill>
              <a:prstDash val="solid"/>
            </a:ln>
          </c:spPr>
          <c:invertIfNegative val="0"/>
          <c:dLbls>
            <c:dLbl>
              <c:idx val="2"/>
              <c:layout>
                <c:manualLayout>
                  <c:x val="3.482652572909274E-3"/>
                  <c:y val="4.8102090686939726E-3"/>
                </c:manualLayout>
              </c:layout>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682-4E3C-B4BA-AA1F87E0A8B9}"/>
                </c:ext>
              </c:extLst>
            </c:dLbl>
            <c:dLbl>
              <c:idx val="8"/>
              <c:layout>
                <c:manualLayout>
                  <c:x val="3.2256354554862279E-3"/>
                  <c:y val="-2.775853018372703E-2"/>
                </c:manualLayout>
              </c:layout>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682-4E3C-B4BA-AA1F87E0A8B9}"/>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'[GraficiElabImport10_22.xlsx]GR-11 italiano'!$A$3:$A$15</c:f>
              <c:strCache>
                <c:ptCount val="13"/>
                <c:pt idx="0">
                  <c:v>CA</c:v>
                </c:pt>
                <c:pt idx="1">
                  <c:v>CB</c:v>
                </c:pt>
                <c:pt idx="2">
                  <c:v>CC</c:v>
                </c:pt>
                <c:pt idx="3">
                  <c:v>CD</c:v>
                </c:pt>
                <c:pt idx="4">
                  <c:v>CE</c:v>
                </c:pt>
                <c:pt idx="5">
                  <c:v>CF</c:v>
                </c:pt>
                <c:pt idx="6">
                  <c:v>CG</c:v>
                </c:pt>
                <c:pt idx="7">
                  <c:v>CH</c:v>
                </c:pt>
                <c:pt idx="8">
                  <c:v>CI</c:v>
                </c:pt>
                <c:pt idx="9">
                  <c:v>CJ</c:v>
                </c:pt>
                <c:pt idx="10">
                  <c:v>CK</c:v>
                </c:pt>
                <c:pt idx="11">
                  <c:v>CL</c:v>
                </c:pt>
                <c:pt idx="12">
                  <c:v>CM</c:v>
                </c:pt>
              </c:strCache>
            </c:strRef>
          </c:cat>
          <c:val>
            <c:numRef>
              <c:f>'[GraficiElabImport10_22.xlsx]GR-11 italiano'!$C$3:$C$15</c:f>
              <c:numCache>
                <c:formatCode>0.0</c:formatCode>
                <c:ptCount val="13"/>
                <c:pt idx="0">
                  <c:v>16.7</c:v>
                </c:pt>
                <c:pt idx="1">
                  <c:v>11.8</c:v>
                </c:pt>
                <c:pt idx="2">
                  <c:v>24</c:v>
                </c:pt>
                <c:pt idx="3">
                  <c:v>30.5</c:v>
                </c:pt>
                <c:pt idx="4">
                  <c:v>12.9</c:v>
                </c:pt>
                <c:pt idx="5">
                  <c:v>-0.5</c:v>
                </c:pt>
                <c:pt idx="6">
                  <c:v>8.1</c:v>
                </c:pt>
                <c:pt idx="7">
                  <c:v>11.6</c:v>
                </c:pt>
                <c:pt idx="8">
                  <c:v>4.9000000000000004</c:v>
                </c:pt>
                <c:pt idx="9">
                  <c:v>8.5</c:v>
                </c:pt>
                <c:pt idx="10">
                  <c:v>9.4</c:v>
                </c:pt>
                <c:pt idx="11">
                  <c:v>7.3</c:v>
                </c:pt>
                <c:pt idx="12">
                  <c:v>6</c:v>
                </c:pt>
              </c:numCache>
            </c:numRef>
          </c:val>
          <c:extLst>
            <c:ext xmlns:c16="http://schemas.microsoft.com/office/drawing/2014/chart" uri="{C3380CC4-5D6E-409C-BE32-E72D297353CC}">
              <c16:uniqueId val="{00000004-A682-4E3C-B4BA-AA1F87E0A8B9}"/>
            </c:ext>
          </c:extLst>
        </c:ser>
        <c:dLbls>
          <c:showLegendKey val="0"/>
          <c:showVal val="0"/>
          <c:showCatName val="0"/>
          <c:showSerName val="0"/>
          <c:showPercent val="0"/>
          <c:showBubbleSize val="0"/>
        </c:dLbls>
        <c:gapWidth val="30"/>
        <c:axId val="242107616"/>
        <c:axId val="239661376"/>
      </c:barChart>
      <c:catAx>
        <c:axId val="242107616"/>
        <c:scaling>
          <c:orientation val="minMax"/>
        </c:scaling>
        <c:delete val="0"/>
        <c:axPos val="b"/>
        <c:majorGridlines>
          <c:spPr>
            <a:ln>
              <a:prstDash val="sysDash"/>
            </a:ln>
          </c:spPr>
        </c:majorGridlines>
        <c:numFmt formatCode="General" sourceLinked="1"/>
        <c:majorTickMark val="none"/>
        <c:minorTickMark val="none"/>
        <c:tickLblPos val="low"/>
        <c:spPr>
          <a:ln w="12700">
            <a:solidFill>
              <a:srgbClr val="808080"/>
            </a:solidFill>
            <a:prstDash val="solid"/>
          </a:ln>
        </c:spPr>
        <c:txPr>
          <a:bodyPr rot="0" vert="horz"/>
          <a:lstStyle/>
          <a:p>
            <a:pPr>
              <a:defRPr sz="875" b="1" i="0" u="none" strike="noStrike" baseline="0">
                <a:solidFill>
                  <a:srgbClr val="808080"/>
                </a:solidFill>
                <a:latin typeface="Arial Narrow"/>
                <a:ea typeface="Arial Narrow"/>
                <a:cs typeface="Arial Narrow"/>
              </a:defRPr>
            </a:pPr>
            <a:endParaRPr lang="it-IT"/>
          </a:p>
        </c:txPr>
        <c:crossAx val="239661376"/>
        <c:crosses val="autoZero"/>
        <c:auto val="1"/>
        <c:lblAlgn val="ctr"/>
        <c:lblOffset val="100"/>
        <c:tickLblSkip val="1"/>
        <c:tickMarkSkip val="1"/>
        <c:noMultiLvlLbl val="0"/>
      </c:catAx>
      <c:valAx>
        <c:axId val="239661376"/>
        <c:scaling>
          <c:orientation val="minMax"/>
        </c:scaling>
        <c:delete val="0"/>
        <c:axPos val="l"/>
        <c:majorGridlines>
          <c:spPr>
            <a:ln>
              <a:prstDash val="sysDash"/>
            </a:ln>
          </c:spPr>
        </c:majorGridlines>
        <c:numFmt formatCode="0" sourceLinked="0"/>
        <c:majorTickMark val="out"/>
        <c:minorTickMark val="none"/>
        <c:tickLblPos val="nextTo"/>
        <c:spPr>
          <a:ln>
            <a:noFill/>
          </a:ln>
        </c:spPr>
        <c:txPr>
          <a:bodyPr rot="0" vert="horz"/>
          <a:lstStyle/>
          <a:p>
            <a:pPr>
              <a:defRPr sz="800" b="0" i="0" u="none" strike="noStrike" baseline="0">
                <a:solidFill>
                  <a:srgbClr val="000000"/>
                </a:solidFill>
                <a:latin typeface="Arial Narrow"/>
                <a:ea typeface="Arial Narrow"/>
                <a:cs typeface="Arial Narrow"/>
              </a:defRPr>
            </a:pPr>
            <a:endParaRPr lang="it-IT"/>
          </a:p>
        </c:txPr>
        <c:crossAx val="242107616"/>
        <c:crosses val="autoZero"/>
        <c:crossBetween val="between"/>
        <c:majorUnit val="10"/>
      </c:valAx>
    </c:plotArea>
    <c:legend>
      <c:legendPos val="t"/>
      <c:legendEntry>
        <c:idx val="0"/>
        <c:txPr>
          <a:bodyPr/>
          <a:lstStyle/>
          <a:p>
            <a:pPr>
              <a:defRPr sz="845" b="0" i="0" u="none" strike="noStrike" baseline="0">
                <a:solidFill>
                  <a:srgbClr val="000000"/>
                </a:solidFill>
                <a:latin typeface="Arial Narrow"/>
                <a:ea typeface="Arial Narrow"/>
                <a:cs typeface="Arial Narrow"/>
              </a:defRPr>
            </a:pPr>
            <a:endParaRPr lang="it-IT"/>
          </a:p>
        </c:txPr>
      </c:legendEntry>
      <c:legendEntry>
        <c:idx val="1"/>
        <c:txPr>
          <a:bodyPr/>
          <a:lstStyle/>
          <a:p>
            <a:pPr>
              <a:defRPr sz="845" b="0" i="0" u="none" strike="noStrike" baseline="0">
                <a:solidFill>
                  <a:srgbClr val="000000"/>
                </a:solidFill>
                <a:latin typeface="Arial Narrow"/>
                <a:ea typeface="Arial Narrow"/>
                <a:cs typeface="Arial Narrow"/>
              </a:defRPr>
            </a:pPr>
            <a:endParaRPr lang="it-IT"/>
          </a:p>
        </c:txPr>
      </c:legendEntry>
      <c:layout>
        <c:manualLayout>
          <c:xMode val="edge"/>
          <c:yMode val="edge"/>
          <c:x val="0.39522108506459575"/>
          <c:y val="1.1761246692149369E-2"/>
          <c:w val="0.20955782987080848"/>
          <c:h val="9.0998247389026385E-2"/>
        </c:manualLayout>
      </c:layout>
      <c:overlay val="0"/>
      <c:spPr>
        <a:noFill/>
        <a:ln w="25400">
          <a:noFill/>
        </a:ln>
      </c:spPr>
      <c:txPr>
        <a:bodyPr/>
        <a:lstStyle/>
        <a:p>
          <a:pPr>
            <a:defRPr sz="365"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0"/>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'!$C$67:$C$138</c:f>
              <c:numCache>
                <c:formatCode>0</c:formatCode>
                <c:ptCount val="72"/>
                <c:pt idx="0">
                  <c:v>18437</c:v>
                </c:pt>
                <c:pt idx="1">
                  <c:v>18465</c:v>
                </c:pt>
                <c:pt idx="2">
                  <c:v>18798</c:v>
                </c:pt>
                <c:pt idx="3">
                  <c:v>18940</c:v>
                </c:pt>
                <c:pt idx="4">
                  <c:v>19173</c:v>
                </c:pt>
                <c:pt idx="5">
                  <c:v>19048</c:v>
                </c:pt>
                <c:pt idx="6">
                  <c:v>18868</c:v>
                </c:pt>
                <c:pt idx="7">
                  <c:v>19647</c:v>
                </c:pt>
                <c:pt idx="8">
                  <c:v>18915</c:v>
                </c:pt>
                <c:pt idx="9">
                  <c:v>19623</c:v>
                </c:pt>
                <c:pt idx="10">
                  <c:v>19366</c:v>
                </c:pt>
                <c:pt idx="11">
                  <c:v>20161</c:v>
                </c:pt>
                <c:pt idx="12">
                  <c:v>19581</c:v>
                </c:pt>
                <c:pt idx="13">
                  <c:v>19879</c:v>
                </c:pt>
                <c:pt idx="14">
                  <c:v>19622</c:v>
                </c:pt>
                <c:pt idx="15">
                  <c:v>19709</c:v>
                </c:pt>
                <c:pt idx="16">
                  <c:v>19390</c:v>
                </c:pt>
                <c:pt idx="17">
                  <c:v>20168</c:v>
                </c:pt>
                <c:pt idx="18">
                  <c:v>20363</c:v>
                </c:pt>
                <c:pt idx="19">
                  <c:v>20509</c:v>
                </c:pt>
                <c:pt idx="20">
                  <c:v>20062</c:v>
                </c:pt>
                <c:pt idx="21">
                  <c:v>20439</c:v>
                </c:pt>
                <c:pt idx="22">
                  <c:v>20245</c:v>
                </c:pt>
                <c:pt idx="23">
                  <c:v>19962</c:v>
                </c:pt>
                <c:pt idx="24">
                  <c:v>20342</c:v>
                </c:pt>
                <c:pt idx="25">
                  <c:v>20182</c:v>
                </c:pt>
                <c:pt idx="26">
                  <c:v>20450</c:v>
                </c:pt>
                <c:pt idx="27">
                  <c:v>20720</c:v>
                </c:pt>
                <c:pt idx="28">
                  <c:v>20904</c:v>
                </c:pt>
                <c:pt idx="29">
                  <c:v>20664</c:v>
                </c:pt>
                <c:pt idx="30">
                  <c:v>20679</c:v>
                </c:pt>
                <c:pt idx="31">
                  <c:v>20107</c:v>
                </c:pt>
                <c:pt idx="32">
                  <c:v>20868</c:v>
                </c:pt>
                <c:pt idx="33">
                  <c:v>20645</c:v>
                </c:pt>
                <c:pt idx="34">
                  <c:v>20080</c:v>
                </c:pt>
                <c:pt idx="35">
                  <c:v>20894</c:v>
                </c:pt>
                <c:pt idx="36">
                  <c:v>20413</c:v>
                </c:pt>
                <c:pt idx="37">
                  <c:v>20353</c:v>
                </c:pt>
                <c:pt idx="38">
                  <c:v>17301</c:v>
                </c:pt>
                <c:pt idx="39">
                  <c:v>11680</c:v>
                </c:pt>
                <c:pt idx="40">
                  <c:v>16016</c:v>
                </c:pt>
                <c:pt idx="41">
                  <c:v>18208</c:v>
                </c:pt>
                <c:pt idx="42">
                  <c:v>19287</c:v>
                </c:pt>
                <c:pt idx="43">
                  <c:v>20091</c:v>
                </c:pt>
                <c:pt idx="44">
                  <c:v>20106</c:v>
                </c:pt>
                <c:pt idx="45">
                  <c:v>19971</c:v>
                </c:pt>
                <c:pt idx="46">
                  <c:v>20992</c:v>
                </c:pt>
                <c:pt idx="47">
                  <c:v>20353</c:v>
                </c:pt>
                <c:pt idx="48">
                  <c:v>21054</c:v>
                </c:pt>
                <c:pt idx="49">
                  <c:v>21455</c:v>
                </c:pt>
                <c:pt idx="50">
                  <c:v>22139</c:v>
                </c:pt>
                <c:pt idx="51">
                  <c:v>22264</c:v>
                </c:pt>
                <c:pt idx="52">
                  <c:v>21650</c:v>
                </c:pt>
                <c:pt idx="53">
                  <c:v>22730</c:v>
                </c:pt>
                <c:pt idx="54">
                  <c:v>22567</c:v>
                </c:pt>
                <c:pt idx="55">
                  <c:v>23653</c:v>
                </c:pt>
                <c:pt idx="56">
                  <c:v>23587</c:v>
                </c:pt>
                <c:pt idx="57">
                  <c:v>23867</c:v>
                </c:pt>
                <c:pt idx="58">
                  <c:v>24551</c:v>
                </c:pt>
                <c:pt idx="59">
                  <c:v>24708</c:v>
                </c:pt>
                <c:pt idx="60">
                  <c:v>25727</c:v>
                </c:pt>
                <c:pt idx="61">
                  <c:v>26147</c:v>
                </c:pt>
                <c:pt idx="62">
                  <c:v>26693</c:v>
                </c:pt>
                <c:pt idx="63">
                  <c:v>26888</c:v>
                </c:pt>
                <c:pt idx="64">
                  <c:v>27987</c:v>
                </c:pt>
                <c:pt idx="65">
                  <c:v>27386</c:v>
                </c:pt>
                <c:pt idx="66">
                  <c:v>28570</c:v>
                </c:pt>
                <c:pt idx="67">
                  <c:v>28214</c:v>
                </c:pt>
                <c:pt idx="68">
                  <c:v>27741</c:v>
                </c:pt>
                <c:pt idx="69">
                  <c:v>28224</c:v>
                </c:pt>
              </c:numCache>
            </c:numRef>
          </c:val>
          <c:smooth val="0"/>
          <c:extLst>
            <c:ext xmlns:c16="http://schemas.microsoft.com/office/drawing/2014/chart" uri="{C3380CC4-5D6E-409C-BE32-E72D297353CC}">
              <c16:uniqueId val="{00000000-2B55-41AB-B501-134FA05A8610}"/>
            </c:ext>
          </c:extLst>
        </c:ser>
        <c:ser>
          <c:idx val="1"/>
          <c:order val="1"/>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'!$D$67:$D$138</c:f>
              <c:numCache>
                <c:formatCode>0</c:formatCode>
                <c:ptCount val="72"/>
                <c:pt idx="0">
                  <c:v>18012</c:v>
                </c:pt>
                <c:pt idx="1">
                  <c:v>18768</c:v>
                </c:pt>
                <c:pt idx="2">
                  <c:v>18911</c:v>
                </c:pt>
                <c:pt idx="3">
                  <c:v>18615</c:v>
                </c:pt>
                <c:pt idx="4">
                  <c:v>19237</c:v>
                </c:pt>
                <c:pt idx="5">
                  <c:v>19296</c:v>
                </c:pt>
                <c:pt idx="6">
                  <c:v>19752</c:v>
                </c:pt>
                <c:pt idx="7">
                  <c:v>19875</c:v>
                </c:pt>
                <c:pt idx="8">
                  <c:v>19091</c:v>
                </c:pt>
                <c:pt idx="9">
                  <c:v>19873</c:v>
                </c:pt>
                <c:pt idx="10">
                  <c:v>19845</c:v>
                </c:pt>
                <c:pt idx="11">
                  <c:v>20698</c:v>
                </c:pt>
                <c:pt idx="12">
                  <c:v>19727</c:v>
                </c:pt>
                <c:pt idx="13">
                  <c:v>19264</c:v>
                </c:pt>
                <c:pt idx="14">
                  <c:v>19628</c:v>
                </c:pt>
                <c:pt idx="15">
                  <c:v>19522</c:v>
                </c:pt>
                <c:pt idx="16">
                  <c:v>19858</c:v>
                </c:pt>
                <c:pt idx="17">
                  <c:v>19955</c:v>
                </c:pt>
                <c:pt idx="18">
                  <c:v>20539</c:v>
                </c:pt>
                <c:pt idx="19">
                  <c:v>20147</c:v>
                </c:pt>
                <c:pt idx="20">
                  <c:v>19676</c:v>
                </c:pt>
                <c:pt idx="21">
                  <c:v>20573</c:v>
                </c:pt>
                <c:pt idx="22">
                  <c:v>20129</c:v>
                </c:pt>
                <c:pt idx="23">
                  <c:v>20825</c:v>
                </c:pt>
                <c:pt idx="24">
                  <c:v>19953</c:v>
                </c:pt>
                <c:pt idx="25">
                  <c:v>19888</c:v>
                </c:pt>
                <c:pt idx="26">
                  <c:v>20114</c:v>
                </c:pt>
                <c:pt idx="27">
                  <c:v>20408</c:v>
                </c:pt>
                <c:pt idx="28">
                  <c:v>20608</c:v>
                </c:pt>
                <c:pt idx="29">
                  <c:v>20125</c:v>
                </c:pt>
                <c:pt idx="30">
                  <c:v>20133</c:v>
                </c:pt>
                <c:pt idx="31">
                  <c:v>19864</c:v>
                </c:pt>
                <c:pt idx="32">
                  <c:v>20554</c:v>
                </c:pt>
                <c:pt idx="33">
                  <c:v>19975</c:v>
                </c:pt>
                <c:pt idx="34">
                  <c:v>19719</c:v>
                </c:pt>
                <c:pt idx="35">
                  <c:v>20981</c:v>
                </c:pt>
                <c:pt idx="36">
                  <c:v>20440</c:v>
                </c:pt>
                <c:pt idx="37">
                  <c:v>20076</c:v>
                </c:pt>
                <c:pt idx="38">
                  <c:v>16397</c:v>
                </c:pt>
                <c:pt idx="39">
                  <c:v>12669</c:v>
                </c:pt>
                <c:pt idx="40">
                  <c:v>14733</c:v>
                </c:pt>
                <c:pt idx="41">
                  <c:v>16974</c:v>
                </c:pt>
                <c:pt idx="42">
                  <c:v>18299</c:v>
                </c:pt>
                <c:pt idx="43">
                  <c:v>18822</c:v>
                </c:pt>
                <c:pt idx="44">
                  <c:v>19334</c:v>
                </c:pt>
                <c:pt idx="45">
                  <c:v>19702</c:v>
                </c:pt>
                <c:pt idx="46">
                  <c:v>20190</c:v>
                </c:pt>
                <c:pt idx="47">
                  <c:v>20002</c:v>
                </c:pt>
                <c:pt idx="48">
                  <c:v>20330</c:v>
                </c:pt>
                <c:pt idx="49">
                  <c:v>20443</c:v>
                </c:pt>
                <c:pt idx="50">
                  <c:v>21569</c:v>
                </c:pt>
                <c:pt idx="51">
                  <c:v>21639</c:v>
                </c:pt>
                <c:pt idx="52">
                  <c:v>21614</c:v>
                </c:pt>
                <c:pt idx="53">
                  <c:v>22756</c:v>
                </c:pt>
                <c:pt idx="54">
                  <c:v>22748</c:v>
                </c:pt>
                <c:pt idx="55">
                  <c:v>23398</c:v>
                </c:pt>
                <c:pt idx="56">
                  <c:v>22797</c:v>
                </c:pt>
                <c:pt idx="57">
                  <c:v>23642</c:v>
                </c:pt>
                <c:pt idx="58">
                  <c:v>24225</c:v>
                </c:pt>
                <c:pt idx="59">
                  <c:v>26719</c:v>
                </c:pt>
                <c:pt idx="60">
                  <c:v>25725</c:v>
                </c:pt>
                <c:pt idx="61">
                  <c:v>26124</c:v>
                </c:pt>
                <c:pt idx="62">
                  <c:v>26572</c:v>
                </c:pt>
                <c:pt idx="63">
                  <c:v>28201</c:v>
                </c:pt>
                <c:pt idx="64">
                  <c:v>28869</c:v>
                </c:pt>
                <c:pt idx="65">
                  <c:v>27608</c:v>
                </c:pt>
                <c:pt idx="66">
                  <c:v>28191</c:v>
                </c:pt>
                <c:pt idx="67">
                  <c:v>30003</c:v>
                </c:pt>
                <c:pt idx="68">
                  <c:v>28929</c:v>
                </c:pt>
                <c:pt idx="69">
                  <c:v>28114</c:v>
                </c:pt>
              </c:numCache>
            </c:numRef>
          </c:val>
          <c:smooth val="0"/>
          <c:extLst>
            <c:ext xmlns:c16="http://schemas.microsoft.com/office/drawing/2014/chart" uri="{C3380CC4-5D6E-409C-BE32-E72D297353CC}">
              <c16:uniqueId val="{00000001-2B55-41AB-B501-134FA05A8610}"/>
            </c:ext>
          </c:extLst>
        </c:ser>
        <c:ser>
          <c:idx val="2"/>
          <c:order val="2"/>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'!$E$67:$E$138</c:f>
              <c:numCache>
                <c:formatCode>0</c:formatCode>
                <c:ptCount val="72"/>
                <c:pt idx="0">
                  <c:v>18460.666666666668</c:v>
                </c:pt>
                <c:pt idx="1">
                  <c:v>18566.666666666668</c:v>
                </c:pt>
                <c:pt idx="2">
                  <c:v>18734.333333333332</c:v>
                </c:pt>
                <c:pt idx="3">
                  <c:v>18970.333333333332</c:v>
                </c:pt>
                <c:pt idx="4">
                  <c:v>19053.666666666668</c:v>
                </c:pt>
                <c:pt idx="5">
                  <c:v>19029.666666666668</c:v>
                </c:pt>
                <c:pt idx="6">
                  <c:v>19187.666666666668</c:v>
                </c:pt>
                <c:pt idx="7">
                  <c:v>19143.333333333332</c:v>
                </c:pt>
                <c:pt idx="8">
                  <c:v>19395</c:v>
                </c:pt>
                <c:pt idx="9">
                  <c:v>19301.333333333332</c:v>
                </c:pt>
                <c:pt idx="10">
                  <c:v>19716.666666666668</c:v>
                </c:pt>
                <c:pt idx="11">
                  <c:v>19702.666666666668</c:v>
                </c:pt>
                <c:pt idx="12">
                  <c:v>19873.666666666668</c:v>
                </c:pt>
                <c:pt idx="13">
                  <c:v>19694</c:v>
                </c:pt>
                <c:pt idx="14">
                  <c:v>19736.666666666668</c:v>
                </c:pt>
                <c:pt idx="15">
                  <c:v>19573.666666666668</c:v>
                </c:pt>
                <c:pt idx="16">
                  <c:v>19755.666666666668</c:v>
                </c:pt>
                <c:pt idx="17">
                  <c:v>19973.666666666668</c:v>
                </c:pt>
                <c:pt idx="18">
                  <c:v>20346.666666666668</c:v>
                </c:pt>
                <c:pt idx="19">
                  <c:v>20311.333333333332</c:v>
                </c:pt>
                <c:pt idx="20">
                  <c:v>20336.666666666668</c:v>
                </c:pt>
                <c:pt idx="21">
                  <c:v>20248.666666666668</c:v>
                </c:pt>
                <c:pt idx="22">
                  <c:v>20215.333333333332</c:v>
                </c:pt>
                <c:pt idx="23">
                  <c:v>20183</c:v>
                </c:pt>
                <c:pt idx="24">
                  <c:v>20162</c:v>
                </c:pt>
                <c:pt idx="25">
                  <c:v>20324.666666666668</c:v>
                </c:pt>
                <c:pt idx="26">
                  <c:v>20450.666666666668</c:v>
                </c:pt>
                <c:pt idx="27">
                  <c:v>20691.333333333332</c:v>
                </c:pt>
                <c:pt idx="28">
                  <c:v>20762.666666666668</c:v>
                </c:pt>
                <c:pt idx="29">
                  <c:v>20749</c:v>
                </c:pt>
                <c:pt idx="30">
                  <c:v>20483.333333333332</c:v>
                </c:pt>
                <c:pt idx="31">
                  <c:v>20551.333333333332</c:v>
                </c:pt>
                <c:pt idx="32">
                  <c:v>20540</c:v>
                </c:pt>
                <c:pt idx="33">
                  <c:v>20531</c:v>
                </c:pt>
                <c:pt idx="34">
                  <c:v>20539.666666666668</c:v>
                </c:pt>
                <c:pt idx="35">
                  <c:v>20462.333333333332</c:v>
                </c:pt>
                <c:pt idx="36">
                  <c:v>20553.333333333332</c:v>
                </c:pt>
                <c:pt idx="37">
                  <c:v>19355.666666666668</c:v>
                </c:pt>
                <c:pt idx="38">
                  <c:v>16444.666666666668</c:v>
                </c:pt>
                <c:pt idx="39">
                  <c:v>14999</c:v>
                </c:pt>
                <c:pt idx="40">
                  <c:v>15301.333333333334</c:v>
                </c:pt>
                <c:pt idx="41">
                  <c:v>17837</c:v>
                </c:pt>
                <c:pt idx="42">
                  <c:v>19195.333333333332</c:v>
                </c:pt>
                <c:pt idx="43">
                  <c:v>19828</c:v>
                </c:pt>
                <c:pt idx="44">
                  <c:v>20056</c:v>
                </c:pt>
                <c:pt idx="45">
                  <c:v>20356.333333333332</c:v>
                </c:pt>
                <c:pt idx="46">
                  <c:v>20438.666666666668</c:v>
                </c:pt>
                <c:pt idx="47">
                  <c:v>20799.666666666668</c:v>
                </c:pt>
                <c:pt idx="48">
                  <c:v>20954</c:v>
                </c:pt>
                <c:pt idx="49">
                  <c:v>21549.333333333332</c:v>
                </c:pt>
                <c:pt idx="50">
                  <c:v>21952.666666666668</c:v>
                </c:pt>
                <c:pt idx="51">
                  <c:v>22017.666666666668</c:v>
                </c:pt>
                <c:pt idx="52">
                  <c:v>22214.666666666668</c:v>
                </c:pt>
                <c:pt idx="53">
                  <c:v>22315.666666666668</c:v>
                </c:pt>
                <c:pt idx="54">
                  <c:v>22983.333333333332</c:v>
                </c:pt>
                <c:pt idx="55">
                  <c:v>23269</c:v>
                </c:pt>
                <c:pt idx="56">
                  <c:v>23702.333333333332</c:v>
                </c:pt>
                <c:pt idx="57">
                  <c:v>24001.666666666668</c:v>
                </c:pt>
                <c:pt idx="58">
                  <c:v>24375.333333333332</c:v>
                </c:pt>
                <c:pt idx="59">
                  <c:v>24995.333333333332</c:v>
                </c:pt>
                <c:pt idx="60">
                  <c:v>25527.333333333332</c:v>
                </c:pt>
                <c:pt idx="61">
                  <c:v>26189</c:v>
                </c:pt>
                <c:pt idx="62">
                  <c:v>26576</c:v>
                </c:pt>
                <c:pt idx="63">
                  <c:v>27189.333333333332</c:v>
                </c:pt>
                <c:pt idx="64">
                  <c:v>27420.333333333332</c:v>
                </c:pt>
                <c:pt idx="65">
                  <c:v>27981</c:v>
                </c:pt>
                <c:pt idx="66">
                  <c:v>28056.666666666668</c:v>
                </c:pt>
                <c:pt idx="67">
                  <c:v>28175</c:v>
                </c:pt>
                <c:pt idx="68">
                  <c:v>28059.666666666668</c:v>
                </c:pt>
              </c:numCache>
            </c:numRef>
          </c:val>
          <c:smooth val="0"/>
          <c:extLst>
            <c:ext xmlns:c16="http://schemas.microsoft.com/office/drawing/2014/chart" uri="{C3380CC4-5D6E-409C-BE32-E72D297353CC}">
              <c16:uniqueId val="{00000002-2B55-41AB-B501-134FA05A8610}"/>
            </c:ext>
          </c:extLst>
        </c:ser>
        <c:ser>
          <c:idx val="3"/>
          <c:order val="3"/>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'!$F$67:$F$138</c:f>
              <c:numCache>
                <c:formatCode>0</c:formatCode>
                <c:ptCount val="72"/>
                <c:pt idx="0">
                  <c:v>18350.666666666668</c:v>
                </c:pt>
                <c:pt idx="1">
                  <c:v>18563.666666666668</c:v>
                </c:pt>
                <c:pt idx="2">
                  <c:v>18764.666666666668</c:v>
                </c:pt>
                <c:pt idx="3">
                  <c:v>18921</c:v>
                </c:pt>
                <c:pt idx="4">
                  <c:v>19049.333333333332</c:v>
                </c:pt>
                <c:pt idx="5">
                  <c:v>19428.333333333332</c:v>
                </c:pt>
                <c:pt idx="6">
                  <c:v>19641</c:v>
                </c:pt>
                <c:pt idx="7">
                  <c:v>19572.666666666668</c:v>
                </c:pt>
                <c:pt idx="8">
                  <c:v>19613</c:v>
                </c:pt>
                <c:pt idx="9">
                  <c:v>19603</c:v>
                </c:pt>
                <c:pt idx="10">
                  <c:v>20138.666666666668</c:v>
                </c:pt>
                <c:pt idx="11">
                  <c:v>20090</c:v>
                </c:pt>
                <c:pt idx="12">
                  <c:v>19896.333333333332</c:v>
                </c:pt>
                <c:pt idx="13">
                  <c:v>19539.666666666668</c:v>
                </c:pt>
                <c:pt idx="14">
                  <c:v>19471.333333333332</c:v>
                </c:pt>
                <c:pt idx="15">
                  <c:v>19669.333333333332</c:v>
                </c:pt>
                <c:pt idx="16">
                  <c:v>19778.333333333332</c:v>
                </c:pt>
                <c:pt idx="17">
                  <c:v>20117.333333333332</c:v>
                </c:pt>
                <c:pt idx="18">
                  <c:v>20213.666666666668</c:v>
                </c:pt>
                <c:pt idx="19">
                  <c:v>20120.666666666668</c:v>
                </c:pt>
                <c:pt idx="20">
                  <c:v>20132</c:v>
                </c:pt>
                <c:pt idx="21">
                  <c:v>20126</c:v>
                </c:pt>
                <c:pt idx="22">
                  <c:v>20509</c:v>
                </c:pt>
                <c:pt idx="23">
                  <c:v>20302.333333333332</c:v>
                </c:pt>
                <c:pt idx="24">
                  <c:v>20222</c:v>
                </c:pt>
                <c:pt idx="25">
                  <c:v>19985</c:v>
                </c:pt>
                <c:pt idx="26">
                  <c:v>20136.666666666668</c:v>
                </c:pt>
                <c:pt idx="27">
                  <c:v>20376.666666666668</c:v>
                </c:pt>
                <c:pt idx="28">
                  <c:v>20380.333333333332</c:v>
                </c:pt>
                <c:pt idx="29">
                  <c:v>20288.666666666668</c:v>
                </c:pt>
                <c:pt idx="30">
                  <c:v>20040.666666666668</c:v>
                </c:pt>
                <c:pt idx="31">
                  <c:v>20183.666666666668</c:v>
                </c:pt>
                <c:pt idx="32">
                  <c:v>20131</c:v>
                </c:pt>
                <c:pt idx="33">
                  <c:v>20082.666666666668</c:v>
                </c:pt>
                <c:pt idx="34">
                  <c:v>20225</c:v>
                </c:pt>
                <c:pt idx="35">
                  <c:v>20380</c:v>
                </c:pt>
                <c:pt idx="36">
                  <c:v>20499</c:v>
                </c:pt>
                <c:pt idx="37">
                  <c:v>18971</c:v>
                </c:pt>
                <c:pt idx="38">
                  <c:v>16380.666666666666</c:v>
                </c:pt>
                <c:pt idx="39">
                  <c:v>14599.666666666666</c:v>
                </c:pt>
                <c:pt idx="40">
                  <c:v>14792</c:v>
                </c:pt>
                <c:pt idx="41">
                  <c:v>16668.666666666668</c:v>
                </c:pt>
                <c:pt idx="42">
                  <c:v>18031.666666666668</c:v>
                </c:pt>
                <c:pt idx="43">
                  <c:v>18818.333333333332</c:v>
                </c:pt>
                <c:pt idx="44">
                  <c:v>19286</c:v>
                </c:pt>
                <c:pt idx="45">
                  <c:v>19742</c:v>
                </c:pt>
                <c:pt idx="46">
                  <c:v>19964.666666666668</c:v>
                </c:pt>
                <c:pt idx="47">
                  <c:v>20174</c:v>
                </c:pt>
                <c:pt idx="48">
                  <c:v>20258.333333333332</c:v>
                </c:pt>
                <c:pt idx="49">
                  <c:v>20780.666666666668</c:v>
                </c:pt>
                <c:pt idx="50">
                  <c:v>21217</c:v>
                </c:pt>
                <c:pt idx="51">
                  <c:v>21607.333333333332</c:v>
                </c:pt>
                <c:pt idx="52">
                  <c:v>22003</c:v>
                </c:pt>
                <c:pt idx="53">
                  <c:v>22372.666666666668</c:v>
                </c:pt>
                <c:pt idx="54">
                  <c:v>22967.333333333332</c:v>
                </c:pt>
                <c:pt idx="55">
                  <c:v>22981</c:v>
                </c:pt>
                <c:pt idx="56">
                  <c:v>23279</c:v>
                </c:pt>
                <c:pt idx="57">
                  <c:v>23554.666666666668</c:v>
                </c:pt>
                <c:pt idx="58">
                  <c:v>24862</c:v>
                </c:pt>
                <c:pt idx="59">
                  <c:v>25556.333333333332</c:v>
                </c:pt>
                <c:pt idx="60">
                  <c:v>26189.333333333332</c:v>
                </c:pt>
                <c:pt idx="61">
                  <c:v>26140.333333333332</c:v>
                </c:pt>
                <c:pt idx="62">
                  <c:v>26965.666666666668</c:v>
                </c:pt>
                <c:pt idx="63">
                  <c:v>27880.666666666668</c:v>
                </c:pt>
                <c:pt idx="64">
                  <c:v>28226</c:v>
                </c:pt>
                <c:pt idx="65">
                  <c:v>28222.666666666668</c:v>
                </c:pt>
                <c:pt idx="66">
                  <c:v>28600.666666666668</c:v>
                </c:pt>
                <c:pt idx="67">
                  <c:v>29041</c:v>
                </c:pt>
                <c:pt idx="68">
                  <c:v>29015.333333333332</c:v>
                </c:pt>
              </c:numCache>
            </c:numRef>
          </c:val>
          <c:smooth val="0"/>
          <c:extLst>
            <c:ext xmlns:c16="http://schemas.microsoft.com/office/drawing/2014/chart" uri="{C3380CC4-5D6E-409C-BE32-E72D297353CC}">
              <c16:uniqueId val="{00000003-2B55-41AB-B501-134FA05A8610}"/>
            </c:ext>
          </c:extLst>
        </c:ser>
        <c:dLbls>
          <c:showLegendKey val="0"/>
          <c:showVal val="0"/>
          <c:showCatName val="0"/>
          <c:showSerName val="0"/>
          <c:showPercent val="0"/>
          <c:showBubbleSize val="0"/>
        </c:dLbls>
        <c:marker val="1"/>
        <c:smooth val="0"/>
        <c:axId val="209412192"/>
        <c:axId val="209412752"/>
      </c:lineChart>
      <c:lineChart>
        <c:grouping val="standard"/>
        <c:varyColors val="0"/>
        <c:ser>
          <c:idx val="4"/>
          <c:order val="4"/>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4-2B55-41AB-B501-134FA05A8610}"/>
            </c:ext>
          </c:extLst>
        </c:ser>
        <c:dLbls>
          <c:showLegendKey val="0"/>
          <c:showVal val="0"/>
          <c:showCatName val="0"/>
          <c:showSerName val="0"/>
          <c:showPercent val="0"/>
          <c:showBubbleSize val="0"/>
        </c:dLbls>
        <c:marker val="1"/>
        <c:smooth val="0"/>
        <c:axId val="209413872"/>
        <c:axId val="209413312"/>
      </c:lineChart>
      <c:catAx>
        <c:axId val="20941219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412752"/>
        <c:crosses val="autoZero"/>
        <c:auto val="1"/>
        <c:lblAlgn val="l"/>
        <c:lblOffset val="0"/>
        <c:tickMarkSkip val="3"/>
        <c:noMultiLvlLbl val="0"/>
      </c:catAx>
      <c:valAx>
        <c:axId val="209412752"/>
        <c:scaling>
          <c:orientation val="minMax"/>
          <c:max val="32000"/>
          <c:min val="8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412192"/>
        <c:crosses val="autoZero"/>
        <c:crossBetween val="between"/>
        <c:majorUnit val="4000"/>
        <c:dispUnits>
          <c:builtInUnit val="thousands"/>
        </c:dispUnits>
      </c:valAx>
      <c:valAx>
        <c:axId val="209413312"/>
        <c:scaling>
          <c:orientation val="minMax"/>
        </c:scaling>
        <c:delete val="1"/>
        <c:axPos val="r"/>
        <c:numFmt formatCode="General" sourceLinked="1"/>
        <c:majorTickMark val="out"/>
        <c:minorTickMark val="none"/>
        <c:tickLblPos val="nextTo"/>
        <c:crossAx val="209413872"/>
        <c:crosses val="max"/>
        <c:crossBetween val="between"/>
      </c:valAx>
      <c:catAx>
        <c:axId val="209413872"/>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0941331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4"/>
        <c:delete val="1"/>
      </c:legendEntry>
      <c:layout>
        <c:manualLayout>
          <c:xMode val="edge"/>
          <c:yMode val="edge"/>
          <c:x val="0.17755877059552952"/>
          <c:y val="0"/>
          <c:w val="0.63421706965332536"/>
          <c:h val="8.978371300007030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5"/>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'!$G$67:$G$138</c:f>
              <c:numCache>
                <c:formatCode>0</c:formatCode>
                <c:ptCount val="72"/>
                <c:pt idx="0">
                  <c:v>18539</c:v>
                </c:pt>
                <c:pt idx="1">
                  <c:v>17992</c:v>
                </c:pt>
                <c:pt idx="2">
                  <c:v>19060</c:v>
                </c:pt>
                <c:pt idx="3">
                  <c:v>18000</c:v>
                </c:pt>
                <c:pt idx="4">
                  <c:v>18463</c:v>
                </c:pt>
                <c:pt idx="5">
                  <c:v>18217</c:v>
                </c:pt>
                <c:pt idx="6">
                  <c:v>18143</c:v>
                </c:pt>
                <c:pt idx="7">
                  <c:v>18671</c:v>
                </c:pt>
                <c:pt idx="8">
                  <c:v>18785</c:v>
                </c:pt>
                <c:pt idx="9">
                  <c:v>18372</c:v>
                </c:pt>
                <c:pt idx="10">
                  <c:v>19495</c:v>
                </c:pt>
                <c:pt idx="11">
                  <c:v>19742</c:v>
                </c:pt>
                <c:pt idx="12">
                  <c:v>18317</c:v>
                </c:pt>
                <c:pt idx="13">
                  <c:v>18084</c:v>
                </c:pt>
                <c:pt idx="14">
                  <c:v>18804</c:v>
                </c:pt>
                <c:pt idx="15">
                  <c:v>18661</c:v>
                </c:pt>
                <c:pt idx="16">
                  <c:v>18126</c:v>
                </c:pt>
                <c:pt idx="17">
                  <c:v>19509</c:v>
                </c:pt>
                <c:pt idx="18">
                  <c:v>18922</c:v>
                </c:pt>
                <c:pt idx="19">
                  <c:v>19300</c:v>
                </c:pt>
                <c:pt idx="20">
                  <c:v>18385</c:v>
                </c:pt>
                <c:pt idx="21">
                  <c:v>19454</c:v>
                </c:pt>
                <c:pt idx="22">
                  <c:v>19759</c:v>
                </c:pt>
                <c:pt idx="23">
                  <c:v>18751</c:v>
                </c:pt>
                <c:pt idx="24">
                  <c:v>19598</c:v>
                </c:pt>
                <c:pt idx="25">
                  <c:v>19391</c:v>
                </c:pt>
                <c:pt idx="26">
                  <c:v>19708</c:v>
                </c:pt>
                <c:pt idx="27">
                  <c:v>19164</c:v>
                </c:pt>
                <c:pt idx="28">
                  <c:v>19406</c:v>
                </c:pt>
                <c:pt idx="29">
                  <c:v>20063</c:v>
                </c:pt>
                <c:pt idx="30">
                  <c:v>19525</c:v>
                </c:pt>
                <c:pt idx="31">
                  <c:v>19430</c:v>
                </c:pt>
                <c:pt idx="32">
                  <c:v>19825</c:v>
                </c:pt>
                <c:pt idx="33">
                  <c:v>20961</c:v>
                </c:pt>
                <c:pt idx="34">
                  <c:v>19018</c:v>
                </c:pt>
                <c:pt idx="35">
                  <c:v>19598</c:v>
                </c:pt>
                <c:pt idx="36">
                  <c:v>20211</c:v>
                </c:pt>
                <c:pt idx="37">
                  <c:v>20012</c:v>
                </c:pt>
                <c:pt idx="38">
                  <c:v>16642</c:v>
                </c:pt>
                <c:pt idx="39">
                  <c:v>10288</c:v>
                </c:pt>
                <c:pt idx="40">
                  <c:v>14191</c:v>
                </c:pt>
                <c:pt idx="41">
                  <c:v>16556</c:v>
                </c:pt>
                <c:pt idx="42">
                  <c:v>17934</c:v>
                </c:pt>
                <c:pt idx="43">
                  <c:v>18008</c:v>
                </c:pt>
                <c:pt idx="44">
                  <c:v>19298</c:v>
                </c:pt>
                <c:pt idx="45">
                  <c:v>19116</c:v>
                </c:pt>
                <c:pt idx="46">
                  <c:v>19790</c:v>
                </c:pt>
                <c:pt idx="47">
                  <c:v>19042</c:v>
                </c:pt>
                <c:pt idx="48">
                  <c:v>19081</c:v>
                </c:pt>
                <c:pt idx="49">
                  <c:v>19051</c:v>
                </c:pt>
                <c:pt idx="50">
                  <c:v>19552</c:v>
                </c:pt>
                <c:pt idx="51">
                  <c:v>20999</c:v>
                </c:pt>
                <c:pt idx="52">
                  <c:v>19933</c:v>
                </c:pt>
                <c:pt idx="53">
                  <c:v>20152</c:v>
                </c:pt>
                <c:pt idx="54">
                  <c:v>21662</c:v>
                </c:pt>
                <c:pt idx="55">
                  <c:v>20647</c:v>
                </c:pt>
                <c:pt idx="56">
                  <c:v>20213</c:v>
                </c:pt>
                <c:pt idx="57">
                  <c:v>20881</c:v>
                </c:pt>
                <c:pt idx="58">
                  <c:v>21506</c:v>
                </c:pt>
                <c:pt idx="59">
                  <c:v>21083</c:v>
                </c:pt>
                <c:pt idx="60">
                  <c:v>22347</c:v>
                </c:pt>
                <c:pt idx="61">
                  <c:v>23141</c:v>
                </c:pt>
                <c:pt idx="62">
                  <c:v>23693</c:v>
                </c:pt>
                <c:pt idx="63">
                  <c:v>24071</c:v>
                </c:pt>
                <c:pt idx="64">
                  <c:v>25018</c:v>
                </c:pt>
                <c:pt idx="65">
                  <c:v>24652</c:v>
                </c:pt>
                <c:pt idx="66">
                  <c:v>25943</c:v>
                </c:pt>
                <c:pt idx="67">
                  <c:v>24165</c:v>
                </c:pt>
                <c:pt idx="68">
                  <c:v>25606</c:v>
                </c:pt>
                <c:pt idx="69">
                  <c:v>24511</c:v>
                </c:pt>
              </c:numCache>
            </c:numRef>
          </c:val>
          <c:smooth val="0"/>
          <c:extLst>
            <c:ext xmlns:c16="http://schemas.microsoft.com/office/drawing/2014/chart" uri="{C3380CC4-5D6E-409C-BE32-E72D297353CC}">
              <c16:uniqueId val="{00000000-57B2-4EC5-ABC6-2F69FF5C1676}"/>
            </c:ext>
          </c:extLst>
        </c:ser>
        <c:ser>
          <c:idx val="7"/>
          <c:order val="1"/>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'!$I$67:$I$138</c:f>
              <c:numCache>
                <c:formatCode>0</c:formatCode>
                <c:ptCount val="72"/>
                <c:pt idx="0">
                  <c:v>18257</c:v>
                </c:pt>
                <c:pt idx="1">
                  <c:v>18530.333333333332</c:v>
                </c:pt>
                <c:pt idx="2">
                  <c:v>18350.666666666668</c:v>
                </c:pt>
                <c:pt idx="3">
                  <c:v>18507.666666666668</c:v>
                </c:pt>
                <c:pt idx="4">
                  <c:v>18226.666666666668</c:v>
                </c:pt>
                <c:pt idx="5">
                  <c:v>18274.333333333332</c:v>
                </c:pt>
                <c:pt idx="6">
                  <c:v>18343.666666666668</c:v>
                </c:pt>
                <c:pt idx="7">
                  <c:v>18533</c:v>
                </c:pt>
                <c:pt idx="8">
                  <c:v>18609.333333333332</c:v>
                </c:pt>
                <c:pt idx="9">
                  <c:v>18884</c:v>
                </c:pt>
                <c:pt idx="10">
                  <c:v>19203</c:v>
                </c:pt>
                <c:pt idx="11">
                  <c:v>19184.666666666668</c:v>
                </c:pt>
                <c:pt idx="12">
                  <c:v>18714.333333333332</c:v>
                </c:pt>
                <c:pt idx="13">
                  <c:v>18401.666666666668</c:v>
                </c:pt>
                <c:pt idx="14">
                  <c:v>18516.333333333332</c:v>
                </c:pt>
                <c:pt idx="15">
                  <c:v>18530.333333333332</c:v>
                </c:pt>
                <c:pt idx="16">
                  <c:v>18765.333333333332</c:v>
                </c:pt>
                <c:pt idx="17">
                  <c:v>18852.333333333332</c:v>
                </c:pt>
                <c:pt idx="18">
                  <c:v>19243.666666666668</c:v>
                </c:pt>
                <c:pt idx="19">
                  <c:v>18869</c:v>
                </c:pt>
                <c:pt idx="20">
                  <c:v>19046.333333333332</c:v>
                </c:pt>
                <c:pt idx="21">
                  <c:v>19199.333333333332</c:v>
                </c:pt>
                <c:pt idx="22">
                  <c:v>19321.333333333332</c:v>
                </c:pt>
                <c:pt idx="23">
                  <c:v>19369.333333333332</c:v>
                </c:pt>
                <c:pt idx="24">
                  <c:v>19246.666666666668</c:v>
                </c:pt>
                <c:pt idx="25">
                  <c:v>19565.666666666668</c:v>
                </c:pt>
                <c:pt idx="26">
                  <c:v>19421</c:v>
                </c:pt>
                <c:pt idx="27">
                  <c:v>19426</c:v>
                </c:pt>
                <c:pt idx="28">
                  <c:v>19544.333333333332</c:v>
                </c:pt>
                <c:pt idx="29">
                  <c:v>19664.666666666668</c:v>
                </c:pt>
                <c:pt idx="30">
                  <c:v>19672.666666666668</c:v>
                </c:pt>
                <c:pt idx="31">
                  <c:v>19593.333333333332</c:v>
                </c:pt>
                <c:pt idx="32">
                  <c:v>20072</c:v>
                </c:pt>
                <c:pt idx="33">
                  <c:v>19934.666666666668</c:v>
                </c:pt>
                <c:pt idx="34">
                  <c:v>19859</c:v>
                </c:pt>
                <c:pt idx="35">
                  <c:v>19609</c:v>
                </c:pt>
                <c:pt idx="36">
                  <c:v>19940.333333333332</c:v>
                </c:pt>
                <c:pt idx="37">
                  <c:v>18955</c:v>
                </c:pt>
                <c:pt idx="38">
                  <c:v>15647.333333333334</c:v>
                </c:pt>
                <c:pt idx="39">
                  <c:v>13707</c:v>
                </c:pt>
                <c:pt idx="40">
                  <c:v>13678.333333333334</c:v>
                </c:pt>
                <c:pt idx="41">
                  <c:v>16227</c:v>
                </c:pt>
                <c:pt idx="42">
                  <c:v>17499.333333333332</c:v>
                </c:pt>
                <c:pt idx="43">
                  <c:v>18413.333333333332</c:v>
                </c:pt>
                <c:pt idx="44">
                  <c:v>18807.333333333332</c:v>
                </c:pt>
                <c:pt idx="45">
                  <c:v>19401.333333333332</c:v>
                </c:pt>
                <c:pt idx="46">
                  <c:v>19316</c:v>
                </c:pt>
                <c:pt idx="47">
                  <c:v>19304.333333333332</c:v>
                </c:pt>
                <c:pt idx="48">
                  <c:v>19058</c:v>
                </c:pt>
                <c:pt idx="49">
                  <c:v>19228</c:v>
                </c:pt>
                <c:pt idx="50">
                  <c:v>19867.333333333332</c:v>
                </c:pt>
                <c:pt idx="51">
                  <c:v>20161.333333333332</c:v>
                </c:pt>
                <c:pt idx="52">
                  <c:v>20361.333333333332</c:v>
                </c:pt>
                <c:pt idx="53">
                  <c:v>20582.333333333332</c:v>
                </c:pt>
                <c:pt idx="54">
                  <c:v>20820.333333333332</c:v>
                </c:pt>
                <c:pt idx="55">
                  <c:v>20840.666666666668</c:v>
                </c:pt>
                <c:pt idx="56">
                  <c:v>20580.333333333332</c:v>
                </c:pt>
                <c:pt idx="57">
                  <c:v>20866.666666666668</c:v>
                </c:pt>
                <c:pt idx="58">
                  <c:v>21156.666666666668</c:v>
                </c:pt>
                <c:pt idx="59">
                  <c:v>21645.333333333332</c:v>
                </c:pt>
                <c:pt idx="60">
                  <c:v>22190.333333333332</c:v>
                </c:pt>
                <c:pt idx="61">
                  <c:v>23060.333333333332</c:v>
                </c:pt>
                <c:pt idx="62">
                  <c:v>23635</c:v>
                </c:pt>
                <c:pt idx="63">
                  <c:v>24260.666666666668</c:v>
                </c:pt>
                <c:pt idx="64">
                  <c:v>24580.333333333332</c:v>
                </c:pt>
                <c:pt idx="65">
                  <c:v>25204.333333333332</c:v>
                </c:pt>
                <c:pt idx="66">
                  <c:v>24920</c:v>
                </c:pt>
                <c:pt idx="67">
                  <c:v>25238</c:v>
                </c:pt>
                <c:pt idx="68">
                  <c:v>24760.666666666668</c:v>
                </c:pt>
              </c:numCache>
            </c:numRef>
          </c:val>
          <c:smooth val="0"/>
          <c:extLst>
            <c:ext xmlns:c16="http://schemas.microsoft.com/office/drawing/2014/chart" uri="{C3380CC4-5D6E-409C-BE32-E72D297353CC}">
              <c16:uniqueId val="{00000001-57B2-4EC5-ABC6-2F69FF5C1676}"/>
            </c:ext>
          </c:extLst>
        </c:ser>
        <c:ser>
          <c:idx val="9"/>
          <c:order val="2"/>
          <c:spPr>
            <a:ln w="28575" cap="rnd">
              <a:solidFill>
                <a:srgbClr val="FFFFFF"/>
              </a:solidFill>
              <a:roun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'!$FO$1:$FO$74</c:f>
              <c:numCache>
                <c:formatCode>General</c:formatCode>
                <c:ptCount val="74"/>
              </c:numCache>
            </c:numRef>
          </c:val>
          <c:smooth val="0"/>
          <c:extLst>
            <c:ext xmlns:c16="http://schemas.microsoft.com/office/drawing/2014/chart" uri="{C3380CC4-5D6E-409C-BE32-E72D297353CC}">
              <c16:uniqueId val="{00000002-57B2-4EC5-ABC6-2F69FF5C1676}"/>
            </c:ext>
          </c:extLst>
        </c:ser>
        <c:ser>
          <c:idx val="1"/>
          <c:order val="3"/>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'!$H$67:$H$138</c:f>
              <c:numCache>
                <c:formatCode>0</c:formatCode>
                <c:ptCount val="72"/>
                <c:pt idx="0">
                  <c:v>14613</c:v>
                </c:pt>
                <c:pt idx="1">
                  <c:v>14665</c:v>
                </c:pt>
                <c:pt idx="2">
                  <c:v>14563</c:v>
                </c:pt>
                <c:pt idx="3">
                  <c:v>14361</c:v>
                </c:pt>
                <c:pt idx="4">
                  <c:v>15028</c:v>
                </c:pt>
                <c:pt idx="5">
                  <c:v>14333</c:v>
                </c:pt>
                <c:pt idx="6">
                  <c:v>13955</c:v>
                </c:pt>
                <c:pt idx="7">
                  <c:v>14183</c:v>
                </c:pt>
                <c:pt idx="8">
                  <c:v>13493</c:v>
                </c:pt>
                <c:pt idx="9">
                  <c:v>13953</c:v>
                </c:pt>
                <c:pt idx="10">
                  <c:v>14766</c:v>
                </c:pt>
                <c:pt idx="11">
                  <c:v>14981</c:v>
                </c:pt>
                <c:pt idx="12">
                  <c:v>14247</c:v>
                </c:pt>
                <c:pt idx="13">
                  <c:v>14668</c:v>
                </c:pt>
                <c:pt idx="14">
                  <c:v>14928</c:v>
                </c:pt>
                <c:pt idx="15">
                  <c:v>15469</c:v>
                </c:pt>
                <c:pt idx="16">
                  <c:v>15442</c:v>
                </c:pt>
                <c:pt idx="17">
                  <c:v>15578</c:v>
                </c:pt>
                <c:pt idx="18">
                  <c:v>15877</c:v>
                </c:pt>
                <c:pt idx="19">
                  <c:v>15689</c:v>
                </c:pt>
                <c:pt idx="20">
                  <c:v>16291</c:v>
                </c:pt>
                <c:pt idx="21">
                  <c:v>16536</c:v>
                </c:pt>
                <c:pt idx="22">
                  <c:v>16255</c:v>
                </c:pt>
                <c:pt idx="23">
                  <c:v>16007</c:v>
                </c:pt>
                <c:pt idx="24">
                  <c:v>15250</c:v>
                </c:pt>
                <c:pt idx="25">
                  <c:v>15232</c:v>
                </c:pt>
                <c:pt idx="26">
                  <c:v>15468</c:v>
                </c:pt>
                <c:pt idx="27">
                  <c:v>15457</c:v>
                </c:pt>
                <c:pt idx="28">
                  <c:v>15871</c:v>
                </c:pt>
                <c:pt idx="29">
                  <c:v>15547</c:v>
                </c:pt>
                <c:pt idx="30">
                  <c:v>15386</c:v>
                </c:pt>
                <c:pt idx="31">
                  <c:v>15043</c:v>
                </c:pt>
                <c:pt idx="32">
                  <c:v>15651</c:v>
                </c:pt>
                <c:pt idx="33">
                  <c:v>14803</c:v>
                </c:pt>
                <c:pt idx="34">
                  <c:v>14549</c:v>
                </c:pt>
                <c:pt idx="35">
                  <c:v>14563</c:v>
                </c:pt>
                <c:pt idx="36">
                  <c:v>15624</c:v>
                </c:pt>
                <c:pt idx="37">
                  <c:v>14293</c:v>
                </c:pt>
                <c:pt idx="38">
                  <c:v>11907</c:v>
                </c:pt>
                <c:pt idx="39">
                  <c:v>10328</c:v>
                </c:pt>
                <c:pt idx="40">
                  <c:v>10543</c:v>
                </c:pt>
                <c:pt idx="41">
                  <c:v>12414</c:v>
                </c:pt>
                <c:pt idx="42">
                  <c:v>12990</c:v>
                </c:pt>
                <c:pt idx="43">
                  <c:v>12838</c:v>
                </c:pt>
                <c:pt idx="44">
                  <c:v>12992</c:v>
                </c:pt>
                <c:pt idx="45">
                  <c:v>13467</c:v>
                </c:pt>
                <c:pt idx="46">
                  <c:v>13938</c:v>
                </c:pt>
                <c:pt idx="47">
                  <c:v>13597</c:v>
                </c:pt>
                <c:pt idx="48">
                  <c:v>13675</c:v>
                </c:pt>
                <c:pt idx="49">
                  <c:v>14287</c:v>
                </c:pt>
                <c:pt idx="50">
                  <c:v>15376</c:v>
                </c:pt>
                <c:pt idx="51">
                  <c:v>16274</c:v>
                </c:pt>
                <c:pt idx="52">
                  <c:v>16054</c:v>
                </c:pt>
                <c:pt idx="53">
                  <c:v>16273</c:v>
                </c:pt>
                <c:pt idx="54">
                  <c:v>17010</c:v>
                </c:pt>
                <c:pt idx="55">
                  <c:v>18119</c:v>
                </c:pt>
                <c:pt idx="56">
                  <c:v>18712</c:v>
                </c:pt>
                <c:pt idx="57">
                  <c:v>19991</c:v>
                </c:pt>
                <c:pt idx="58">
                  <c:v>20492</c:v>
                </c:pt>
                <c:pt idx="59">
                  <c:v>21855</c:v>
                </c:pt>
                <c:pt idx="60">
                  <c:v>22852</c:v>
                </c:pt>
                <c:pt idx="61">
                  <c:v>23800</c:v>
                </c:pt>
                <c:pt idx="62">
                  <c:v>24967</c:v>
                </c:pt>
                <c:pt idx="63">
                  <c:v>26595</c:v>
                </c:pt>
                <c:pt idx="64">
                  <c:v>26020</c:v>
                </c:pt>
                <c:pt idx="65">
                  <c:v>28539</c:v>
                </c:pt>
                <c:pt idx="66">
                  <c:v>29712</c:v>
                </c:pt>
                <c:pt idx="67">
                  <c:v>30172</c:v>
                </c:pt>
                <c:pt idx="68">
                  <c:v>30337</c:v>
                </c:pt>
                <c:pt idx="69">
                  <c:v>27892</c:v>
                </c:pt>
              </c:numCache>
            </c:numRef>
          </c:val>
          <c:smooth val="0"/>
          <c:extLst>
            <c:ext xmlns:c16="http://schemas.microsoft.com/office/drawing/2014/chart" uri="{C3380CC4-5D6E-409C-BE32-E72D297353CC}">
              <c16:uniqueId val="{00000003-57B2-4EC5-ABC6-2F69FF5C1676}"/>
            </c:ext>
          </c:extLst>
        </c:ser>
        <c:ser>
          <c:idx val="3"/>
          <c:order val="4"/>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'!$J$67:$J$138</c:f>
              <c:numCache>
                <c:formatCode>0</c:formatCode>
                <c:ptCount val="72"/>
                <c:pt idx="0">
                  <c:v>14475</c:v>
                </c:pt>
                <c:pt idx="1">
                  <c:v>14613.666666666666</c:v>
                </c:pt>
                <c:pt idx="2">
                  <c:v>14529.666666666666</c:v>
                </c:pt>
                <c:pt idx="3">
                  <c:v>14650.666666666666</c:v>
                </c:pt>
                <c:pt idx="4">
                  <c:v>14574</c:v>
                </c:pt>
                <c:pt idx="5">
                  <c:v>14438.666666666666</c:v>
                </c:pt>
                <c:pt idx="6">
                  <c:v>14157</c:v>
                </c:pt>
                <c:pt idx="7">
                  <c:v>13877</c:v>
                </c:pt>
                <c:pt idx="8">
                  <c:v>13876.333333333334</c:v>
                </c:pt>
                <c:pt idx="9">
                  <c:v>14070.666666666666</c:v>
                </c:pt>
                <c:pt idx="10">
                  <c:v>14566.666666666666</c:v>
                </c:pt>
                <c:pt idx="11">
                  <c:v>14664.666666666666</c:v>
                </c:pt>
                <c:pt idx="12">
                  <c:v>14632</c:v>
                </c:pt>
                <c:pt idx="13">
                  <c:v>14614.333333333334</c:v>
                </c:pt>
                <c:pt idx="14">
                  <c:v>15021.666666666666</c:v>
                </c:pt>
                <c:pt idx="15">
                  <c:v>15279.666666666666</c:v>
                </c:pt>
                <c:pt idx="16">
                  <c:v>15496.333333333334</c:v>
                </c:pt>
                <c:pt idx="17">
                  <c:v>15632.333333333334</c:v>
                </c:pt>
                <c:pt idx="18">
                  <c:v>15714.666666666666</c:v>
                </c:pt>
                <c:pt idx="19">
                  <c:v>15952.333333333334</c:v>
                </c:pt>
                <c:pt idx="20">
                  <c:v>16172</c:v>
                </c:pt>
                <c:pt idx="21">
                  <c:v>16360.666666666666</c:v>
                </c:pt>
                <c:pt idx="22">
                  <c:v>16266</c:v>
                </c:pt>
                <c:pt idx="23">
                  <c:v>15837.333333333334</c:v>
                </c:pt>
                <c:pt idx="24">
                  <c:v>15496.333333333334</c:v>
                </c:pt>
                <c:pt idx="25">
                  <c:v>15316.666666666666</c:v>
                </c:pt>
                <c:pt idx="26">
                  <c:v>15385.666666666666</c:v>
                </c:pt>
                <c:pt idx="27">
                  <c:v>15598.666666666666</c:v>
                </c:pt>
                <c:pt idx="28">
                  <c:v>15625</c:v>
                </c:pt>
                <c:pt idx="29">
                  <c:v>15601.333333333334</c:v>
                </c:pt>
                <c:pt idx="30">
                  <c:v>15325.333333333334</c:v>
                </c:pt>
                <c:pt idx="31">
                  <c:v>15360</c:v>
                </c:pt>
                <c:pt idx="32">
                  <c:v>15165.666666666666</c:v>
                </c:pt>
                <c:pt idx="33">
                  <c:v>15001</c:v>
                </c:pt>
                <c:pt idx="34">
                  <c:v>14638.333333333334</c:v>
                </c:pt>
                <c:pt idx="35">
                  <c:v>14912</c:v>
                </c:pt>
                <c:pt idx="36">
                  <c:v>14826.666666666666</c:v>
                </c:pt>
                <c:pt idx="37">
                  <c:v>13941.333333333334</c:v>
                </c:pt>
                <c:pt idx="38">
                  <c:v>12176</c:v>
                </c:pt>
                <c:pt idx="39">
                  <c:v>10926</c:v>
                </c:pt>
                <c:pt idx="40">
                  <c:v>11095</c:v>
                </c:pt>
                <c:pt idx="41">
                  <c:v>11982.333333333334</c:v>
                </c:pt>
                <c:pt idx="42">
                  <c:v>12747.333333333334</c:v>
                </c:pt>
                <c:pt idx="43">
                  <c:v>12940</c:v>
                </c:pt>
                <c:pt idx="44">
                  <c:v>13099</c:v>
                </c:pt>
                <c:pt idx="45">
                  <c:v>13465.666666666666</c:v>
                </c:pt>
                <c:pt idx="46">
                  <c:v>13667.333333333334</c:v>
                </c:pt>
                <c:pt idx="47">
                  <c:v>13736.666666666666</c:v>
                </c:pt>
                <c:pt idx="48">
                  <c:v>13853</c:v>
                </c:pt>
                <c:pt idx="49">
                  <c:v>14446</c:v>
                </c:pt>
                <c:pt idx="50">
                  <c:v>15312.333333333334</c:v>
                </c:pt>
                <c:pt idx="51">
                  <c:v>15901.333333333334</c:v>
                </c:pt>
                <c:pt idx="52">
                  <c:v>16200.333333333334</c:v>
                </c:pt>
                <c:pt idx="53">
                  <c:v>16445.666666666668</c:v>
                </c:pt>
                <c:pt idx="54">
                  <c:v>17134</c:v>
                </c:pt>
                <c:pt idx="55">
                  <c:v>17947</c:v>
                </c:pt>
                <c:pt idx="56">
                  <c:v>18940.666666666668</c:v>
                </c:pt>
                <c:pt idx="57">
                  <c:v>19731.666666666668</c:v>
                </c:pt>
                <c:pt idx="58">
                  <c:v>20779.333333333332</c:v>
                </c:pt>
                <c:pt idx="59">
                  <c:v>21733</c:v>
                </c:pt>
                <c:pt idx="60">
                  <c:v>22835.666666666668</c:v>
                </c:pt>
                <c:pt idx="61">
                  <c:v>23873</c:v>
                </c:pt>
                <c:pt idx="62">
                  <c:v>25120.666666666668</c:v>
                </c:pt>
                <c:pt idx="63">
                  <c:v>25860.666666666668</c:v>
                </c:pt>
                <c:pt idx="64">
                  <c:v>27051.333333333332</c:v>
                </c:pt>
                <c:pt idx="65">
                  <c:v>28090.333333333332</c:v>
                </c:pt>
                <c:pt idx="66">
                  <c:v>29474.333333333332</c:v>
                </c:pt>
                <c:pt idx="67">
                  <c:v>30073.666666666668</c:v>
                </c:pt>
                <c:pt idx="68">
                  <c:v>29467</c:v>
                </c:pt>
              </c:numCache>
            </c:numRef>
          </c:val>
          <c:smooth val="0"/>
          <c:extLst>
            <c:ext xmlns:c16="http://schemas.microsoft.com/office/drawing/2014/chart" uri="{C3380CC4-5D6E-409C-BE32-E72D297353CC}">
              <c16:uniqueId val="{00000004-57B2-4EC5-ABC6-2F69FF5C1676}"/>
            </c:ext>
          </c:extLst>
        </c:ser>
        <c:dLbls>
          <c:showLegendKey val="0"/>
          <c:showVal val="0"/>
          <c:showCatName val="0"/>
          <c:showSerName val="0"/>
          <c:showPercent val="0"/>
          <c:showBubbleSize val="0"/>
        </c:dLbls>
        <c:marker val="1"/>
        <c:smooth val="0"/>
        <c:axId val="209418912"/>
        <c:axId val="209419472"/>
      </c:lineChart>
      <c:lineChart>
        <c:grouping val="standard"/>
        <c:varyColors val="0"/>
        <c:ser>
          <c:idx val="4"/>
          <c:order val="5"/>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5-57B2-4EC5-ABC6-2F69FF5C1676}"/>
            </c:ext>
          </c:extLst>
        </c:ser>
        <c:dLbls>
          <c:showLegendKey val="0"/>
          <c:showVal val="0"/>
          <c:showCatName val="0"/>
          <c:showSerName val="0"/>
          <c:showPercent val="0"/>
          <c:showBubbleSize val="0"/>
        </c:dLbls>
        <c:marker val="1"/>
        <c:smooth val="0"/>
        <c:axId val="209420592"/>
        <c:axId val="209420032"/>
      </c:lineChart>
      <c:catAx>
        <c:axId val="20941891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419472"/>
        <c:crosses val="autoZero"/>
        <c:auto val="1"/>
        <c:lblAlgn val="l"/>
        <c:lblOffset val="0"/>
        <c:tickMarkSkip val="3"/>
        <c:noMultiLvlLbl val="0"/>
      </c:catAx>
      <c:valAx>
        <c:axId val="209419472"/>
        <c:scaling>
          <c:orientation val="minMax"/>
          <c:max val="32000"/>
          <c:min val="8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418912"/>
        <c:crosses val="autoZero"/>
        <c:crossBetween val="between"/>
        <c:majorUnit val="4000"/>
        <c:dispUnits>
          <c:builtInUnit val="thousands"/>
        </c:dispUnits>
      </c:valAx>
      <c:valAx>
        <c:axId val="209420032"/>
        <c:scaling>
          <c:orientation val="minMax"/>
        </c:scaling>
        <c:delete val="1"/>
        <c:axPos val="r"/>
        <c:numFmt formatCode="General" sourceLinked="1"/>
        <c:majorTickMark val="out"/>
        <c:minorTickMark val="none"/>
        <c:tickLblPos val="nextTo"/>
        <c:crossAx val="209420592"/>
        <c:crosses val="max"/>
        <c:crossBetween val="between"/>
      </c:valAx>
      <c:catAx>
        <c:axId val="209420592"/>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0942003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egendEntry>
        <c:idx val="5"/>
        <c:delete val="1"/>
      </c:legendEntry>
      <c:layout>
        <c:manualLayout>
          <c:xMode val="edge"/>
          <c:yMode val="edge"/>
          <c:x val="0.14132322163401495"/>
          <c:y val="0"/>
          <c:w val="0.78025629739952906"/>
          <c:h val="9.111012017569285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0" cap="flat" cmpd="sng" algn="ctr">
      <a:noFill/>
      <a:round/>
    </a:ln>
    <a:effectLs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952862122324263E-2"/>
          <c:y val="0.10798409327416178"/>
          <c:w val="0.91888935285600126"/>
          <c:h val="0.78678210029233187"/>
        </c:manualLayout>
      </c:layout>
      <c:lineChart>
        <c:grouping val="standard"/>
        <c:varyColors val="0"/>
        <c:ser>
          <c:idx val="0"/>
          <c:order val="0"/>
          <c:tx>
            <c:strRef>
              <c:f>'[GraficiElabImport10_22.xlsx]GR 5-italiano'!$F$28</c:f>
              <c:strCache>
                <c:ptCount val="1"/>
                <c:pt idx="0">
                  <c:v>Totale</c:v>
                </c:pt>
              </c:strCache>
            </c:strRef>
          </c:tx>
          <c:spPr>
            <a:ln w="19050" cap="rnd" cmpd="sng" algn="ctr">
              <a:solidFill>
                <a:srgbClr val="D22630"/>
              </a:solidFill>
              <a:prstDash val="solid"/>
              <a:round/>
              <a:headEnd type="none" w="med" len="med"/>
              <a:tailEnd type="none" w="med" len="med"/>
            </a:ln>
            <a:effectLst/>
          </c:spPr>
          <c:marker>
            <c:symbol val="none"/>
          </c:marker>
          <c:cat>
            <c:numRef>
              <c:f>'[GraficiElabImport10_22.xlsx]GR 5-italiano'!$C$101:$C$160</c:f>
              <c:numCache>
                <c:formatCode>General</c:formatCode>
                <c:ptCount val="60"/>
                <c:pt idx="5" formatCode="0">
                  <c:v>2018</c:v>
                </c:pt>
                <c:pt idx="17" formatCode="0">
                  <c:v>2019</c:v>
                </c:pt>
                <c:pt idx="29" formatCode="0">
                  <c:v>2020</c:v>
                </c:pt>
                <c:pt idx="41" formatCode="0">
                  <c:v>2021</c:v>
                </c:pt>
                <c:pt idx="53">
                  <c:v>2022</c:v>
                </c:pt>
              </c:numCache>
            </c:numRef>
          </c:cat>
          <c:val>
            <c:numRef>
              <c:f>'[GraficiElabImport10_22.xlsx]GR 5-italiano'!$F$101:$F$160</c:f>
              <c:numCache>
                <c:formatCode>0.0</c:formatCode>
                <c:ptCount val="60"/>
                <c:pt idx="0">
                  <c:v>2.123356926188058</c:v>
                </c:pt>
                <c:pt idx="1">
                  <c:v>1.3078470824949617</c:v>
                </c:pt>
                <c:pt idx="2">
                  <c:v>1.0040160642570184</c:v>
                </c:pt>
                <c:pt idx="3">
                  <c:v>1.5045135406218657</c:v>
                </c:pt>
                <c:pt idx="4">
                  <c:v>2.3115577889447181</c:v>
                </c:pt>
                <c:pt idx="5">
                  <c:v>3.6217303822937641</c:v>
                </c:pt>
                <c:pt idx="6">
                  <c:v>4.2467138523761161</c:v>
                </c:pt>
                <c:pt idx="7">
                  <c:v>4.9796747967479682</c:v>
                </c:pt>
                <c:pt idx="8">
                  <c:v>4.8632218844984809</c:v>
                </c:pt>
                <c:pt idx="9">
                  <c:v>5.5387713997985921</c:v>
                </c:pt>
                <c:pt idx="10">
                  <c:v>3.1872509960159334</c:v>
                </c:pt>
                <c:pt idx="11">
                  <c:v>1.3930348258706537</c:v>
                </c:pt>
                <c:pt idx="12">
                  <c:v>0.29702970297029729</c:v>
                </c:pt>
                <c:pt idx="13">
                  <c:v>0.59582919563057057</c:v>
                </c:pt>
                <c:pt idx="14">
                  <c:v>1.2922465208747624</c:v>
                </c:pt>
                <c:pt idx="15">
                  <c:v>1.1857707509881354</c:v>
                </c:pt>
                <c:pt idx="16">
                  <c:v>0.98231827111985304</c:v>
                </c:pt>
                <c:pt idx="17">
                  <c:v>-1.650485436893212</c:v>
                </c:pt>
                <c:pt idx="18">
                  <c:v>-1.6488845780795236</c:v>
                </c:pt>
                <c:pt idx="19">
                  <c:v>-2.5169409486931249</c:v>
                </c:pt>
                <c:pt idx="20">
                  <c:v>-2.70531400966183</c:v>
                </c:pt>
                <c:pt idx="21">
                  <c:v>-3.8167938931297662</c:v>
                </c:pt>
                <c:pt idx="22">
                  <c:v>-2.1235521235521082</c:v>
                </c:pt>
                <c:pt idx="23">
                  <c:v>-0.49067713444553851</c:v>
                </c:pt>
                <c:pt idx="24">
                  <c:v>-0.29615004935833467</c:v>
                </c:pt>
                <c:pt idx="25">
                  <c:v>-1.4807502467917066</c:v>
                </c:pt>
                <c:pt idx="26">
                  <c:v>-5.0049067713444639</c:v>
                </c:pt>
                <c:pt idx="27">
                  <c:v>-8.1054687500000107</c:v>
                </c:pt>
                <c:pt idx="28">
                  <c:v>-7.9766536964980599</c:v>
                </c:pt>
                <c:pt idx="29">
                  <c:v>-6.5153010858835074</c:v>
                </c:pt>
                <c:pt idx="30">
                  <c:v>-6.4102564102564097</c:v>
                </c:pt>
                <c:pt idx="31">
                  <c:v>-5.7596822244289969</c:v>
                </c:pt>
                <c:pt idx="32">
                  <c:v>-5.1638530287984157</c:v>
                </c:pt>
                <c:pt idx="33">
                  <c:v>-4.9603174603174649</c:v>
                </c:pt>
                <c:pt idx="34">
                  <c:v>-5.1282051282051322</c:v>
                </c:pt>
                <c:pt idx="35">
                  <c:v>-4.1420118343195256</c:v>
                </c:pt>
                <c:pt idx="36">
                  <c:v>-2.7722772277227747</c:v>
                </c:pt>
                <c:pt idx="37">
                  <c:v>-0.80160320641282645</c:v>
                </c:pt>
                <c:pt idx="38">
                  <c:v>4.3388429752066138</c:v>
                </c:pt>
                <c:pt idx="39">
                  <c:v>8.1827842720510127</c:v>
                </c:pt>
                <c:pt idx="40">
                  <c:v>8.9852008456659647</c:v>
                </c:pt>
                <c:pt idx="41">
                  <c:v>9.5036958817317885</c:v>
                </c:pt>
                <c:pt idx="42">
                  <c:v>11.064278187565858</c:v>
                </c:pt>
                <c:pt idx="43">
                  <c:v>12.012644889357205</c:v>
                </c:pt>
                <c:pt idx="44">
                  <c:v>12.565445026178001</c:v>
                </c:pt>
                <c:pt idx="45">
                  <c:v>15.344467640918591</c:v>
                </c:pt>
                <c:pt idx="46">
                  <c:v>15.800415800415802</c:v>
                </c:pt>
                <c:pt idx="47">
                  <c:v>15.6</c:v>
                </c:pt>
                <c:pt idx="48">
                  <c:v>17.5</c:v>
                </c:pt>
                <c:pt idx="49">
                  <c:v>18.5</c:v>
                </c:pt>
                <c:pt idx="50">
                  <c:v>19</c:v>
                </c:pt>
                <c:pt idx="51">
                  <c:v>21.4</c:v>
                </c:pt>
                <c:pt idx="52">
                  <c:v>20.100000000000001</c:v>
                </c:pt>
                <c:pt idx="53">
                  <c:v>21.5</c:v>
                </c:pt>
                <c:pt idx="54">
                  <c:v>21.2</c:v>
                </c:pt>
                <c:pt idx="55">
                  <c:v>21.5</c:v>
                </c:pt>
                <c:pt idx="56">
                  <c:v>20.3</c:v>
                </c:pt>
                <c:pt idx="57">
                  <c:v>15.9</c:v>
                </c:pt>
              </c:numCache>
            </c:numRef>
          </c:val>
          <c:smooth val="0"/>
          <c:extLst>
            <c:ext xmlns:c16="http://schemas.microsoft.com/office/drawing/2014/chart" uri="{C3380CC4-5D6E-409C-BE32-E72D297353CC}">
              <c16:uniqueId val="{00000000-6910-4DF5-8FC6-ED6C1BFC10CC}"/>
            </c:ext>
          </c:extLst>
        </c:ser>
        <c:ser>
          <c:idx val="1"/>
          <c:order val="1"/>
          <c:tx>
            <c:strRef>
              <c:f>'[GraficiElabImport10_22.xlsx]GR 5-italiano'!$G$28</c:f>
              <c:strCache>
                <c:ptCount val="1"/>
                <c:pt idx="0">
                  <c:v>Totale al netto energia</c:v>
                </c:pt>
              </c:strCache>
            </c:strRef>
          </c:tx>
          <c:spPr>
            <a:ln w="19050" cap="rnd" cmpd="sng" algn="ctr">
              <a:solidFill>
                <a:srgbClr val="003B5C"/>
              </a:solidFill>
              <a:prstDash val="sysDash"/>
              <a:round/>
              <a:headEnd type="none" w="med" len="med"/>
              <a:tailEnd type="none" w="med" len="med"/>
            </a:ln>
            <a:effectLst/>
          </c:spPr>
          <c:marker>
            <c:symbol val="none"/>
          </c:marker>
          <c:cat>
            <c:numRef>
              <c:f>'[GraficiElabImport10_22.xlsx]GR 5-italiano'!$C$101:$C$160</c:f>
              <c:numCache>
                <c:formatCode>General</c:formatCode>
                <c:ptCount val="60"/>
                <c:pt idx="5" formatCode="0">
                  <c:v>2018</c:v>
                </c:pt>
                <c:pt idx="17" formatCode="0">
                  <c:v>2019</c:v>
                </c:pt>
                <c:pt idx="29" formatCode="0">
                  <c:v>2020</c:v>
                </c:pt>
                <c:pt idx="41" formatCode="0">
                  <c:v>2021</c:v>
                </c:pt>
                <c:pt idx="53">
                  <c:v>2022</c:v>
                </c:pt>
              </c:numCache>
            </c:numRef>
          </c:cat>
          <c:val>
            <c:numRef>
              <c:f>'[GraficiElabImport10_22.xlsx]GR 5-italiano'!$G$101:$G$160</c:f>
              <c:numCache>
                <c:formatCode>0.0</c:formatCode>
                <c:ptCount val="60"/>
                <c:pt idx="0">
                  <c:v>0.60362173038228661</c:v>
                </c:pt>
                <c:pt idx="1">
                  <c:v>0.10020040080160886</c:v>
                </c:pt>
                <c:pt idx="2">
                  <c:v>0</c:v>
                </c:pt>
                <c:pt idx="3">
                  <c:v>-0.29910269192422456</c:v>
                </c:pt>
                <c:pt idx="4">
                  <c:v>-0.39880358923229942</c:v>
                </c:pt>
                <c:pt idx="5">
                  <c:v>9.9700897308085956E-2</c:v>
                </c:pt>
                <c:pt idx="6">
                  <c:v>0.60000000000000053</c:v>
                </c:pt>
                <c:pt idx="7">
                  <c:v>0.80080080080080496</c:v>
                </c:pt>
                <c:pt idx="8">
                  <c:v>0.70070070070069601</c:v>
                </c:pt>
                <c:pt idx="9">
                  <c:v>0.70070070070069601</c:v>
                </c:pt>
                <c:pt idx="10">
                  <c:v>0.9000000000000119</c:v>
                </c:pt>
                <c:pt idx="11">
                  <c:v>0.80000000000000071</c:v>
                </c:pt>
                <c:pt idx="12">
                  <c:v>0.70000000000001172</c:v>
                </c:pt>
                <c:pt idx="13">
                  <c:v>0.60060060060058706</c:v>
                </c:pt>
                <c:pt idx="14">
                  <c:v>0.49999999999998934</c:v>
                </c:pt>
                <c:pt idx="15">
                  <c:v>0.49999999999998934</c:v>
                </c:pt>
                <c:pt idx="16">
                  <c:v>0.60060060060058706</c:v>
                </c:pt>
                <c:pt idx="17">
                  <c:v>-0.19920318725099584</c:v>
                </c:pt>
                <c:pt idx="18">
                  <c:v>-0.19880715705764551</c:v>
                </c:pt>
                <c:pt idx="19">
                  <c:v>-0.49652432969214955</c:v>
                </c:pt>
                <c:pt idx="20">
                  <c:v>-0.39761431411530213</c:v>
                </c:pt>
                <c:pt idx="21">
                  <c:v>-0.29821073558647937</c:v>
                </c:pt>
                <c:pt idx="22">
                  <c:v>-0.7928642220019988</c:v>
                </c:pt>
                <c:pt idx="23">
                  <c:v>-0.79365079365079083</c:v>
                </c:pt>
                <c:pt idx="24">
                  <c:v>-0.9930486593843102</c:v>
                </c:pt>
                <c:pt idx="25">
                  <c:v>-0.89552238805971074</c:v>
                </c:pt>
                <c:pt idx="26">
                  <c:v>-0.89552238805971074</c:v>
                </c:pt>
                <c:pt idx="27">
                  <c:v>-1.3930348258706537</c:v>
                </c:pt>
                <c:pt idx="28">
                  <c:v>-1.6915422885572129</c:v>
                </c:pt>
                <c:pt idx="29">
                  <c:v>-1.4970059880239472</c:v>
                </c:pt>
                <c:pt idx="30">
                  <c:v>-1.5936254980079778</c:v>
                </c:pt>
                <c:pt idx="31">
                  <c:v>-1.4970059880239472</c:v>
                </c:pt>
                <c:pt idx="32">
                  <c:v>-1.2974051896207595</c:v>
                </c:pt>
                <c:pt idx="33">
                  <c:v>-1.395812562313048</c:v>
                </c:pt>
                <c:pt idx="34">
                  <c:v>-0.99900099900099848</c:v>
                </c:pt>
                <c:pt idx="35">
                  <c:v>-0.50000000000000044</c:v>
                </c:pt>
                <c:pt idx="36">
                  <c:v>-0.10030090270812808</c:v>
                </c:pt>
                <c:pt idx="37">
                  <c:v>0.40160642570281624</c:v>
                </c:pt>
                <c:pt idx="38">
                  <c:v>1.4056224899598346</c:v>
                </c:pt>
                <c:pt idx="39">
                  <c:v>3.128153380423826</c:v>
                </c:pt>
                <c:pt idx="40">
                  <c:v>4.3522267206477672</c:v>
                </c:pt>
                <c:pt idx="41">
                  <c:v>4.8632218844984809</c:v>
                </c:pt>
                <c:pt idx="42">
                  <c:v>5.4655870445344146</c:v>
                </c:pt>
                <c:pt idx="43">
                  <c:v>6.2816616008105397</c:v>
                </c:pt>
                <c:pt idx="44">
                  <c:v>6.9767441860465018</c:v>
                </c:pt>
                <c:pt idx="45">
                  <c:v>7.3811931243680462</c:v>
                </c:pt>
                <c:pt idx="46">
                  <c:v>8.1735620585267519</c:v>
                </c:pt>
                <c:pt idx="47">
                  <c:v>8.6999999999999993</c:v>
                </c:pt>
                <c:pt idx="48">
                  <c:v>9.9</c:v>
                </c:pt>
                <c:pt idx="49">
                  <c:v>10.5</c:v>
                </c:pt>
                <c:pt idx="50">
                  <c:v>11.3</c:v>
                </c:pt>
                <c:pt idx="51">
                  <c:v>11.5</c:v>
                </c:pt>
                <c:pt idx="52">
                  <c:v>11.3</c:v>
                </c:pt>
                <c:pt idx="53">
                  <c:v>11.6</c:v>
                </c:pt>
                <c:pt idx="54">
                  <c:v>11.2</c:v>
                </c:pt>
                <c:pt idx="55">
                  <c:v>10.9</c:v>
                </c:pt>
                <c:pt idx="56">
                  <c:v>10.1</c:v>
                </c:pt>
                <c:pt idx="57">
                  <c:v>9.6999999999999993</c:v>
                </c:pt>
              </c:numCache>
            </c:numRef>
          </c:val>
          <c:smooth val="0"/>
          <c:extLst>
            <c:ext xmlns:c16="http://schemas.microsoft.com/office/drawing/2014/chart" uri="{C3380CC4-5D6E-409C-BE32-E72D297353CC}">
              <c16:uniqueId val="{00000001-6910-4DF5-8FC6-ED6C1BFC10CC}"/>
            </c:ext>
          </c:extLst>
        </c:ser>
        <c:dLbls>
          <c:showLegendKey val="0"/>
          <c:showVal val="0"/>
          <c:showCatName val="0"/>
          <c:showSerName val="0"/>
          <c:showPercent val="0"/>
          <c:showBubbleSize val="0"/>
        </c:dLbls>
        <c:marker val="1"/>
        <c:smooth val="0"/>
        <c:axId val="247912448"/>
        <c:axId val="248988416"/>
      </c:lineChart>
      <c:lineChart>
        <c:grouping val="standard"/>
        <c:varyColors val="0"/>
        <c:ser>
          <c:idx val="2"/>
          <c:order val="2"/>
          <c:spPr>
            <a:ln w="25400">
              <a:solidFill>
                <a:srgbClr val="FFFFFF"/>
              </a:solidFill>
              <a:prstDash val="solid"/>
            </a:ln>
          </c:spPr>
          <c:marker>
            <c:symbol val="none"/>
          </c:marker>
          <c:cat>
            <c:numRef>
              <c:f>'\\NAS-BALBO\Prezzi_Produzione\Users\FRCOPP~1\AppData\Local\Temp\[Coe_LONG e xUe.xlsx]PREZZI IMPORT'!$C$41:$C$100</c:f>
              <c:numCache>
                <c:formatCode>General</c:formatCode>
                <c:ptCount val="60"/>
                <c:pt idx="5">
                  <c:v>2013</c:v>
                </c:pt>
                <c:pt idx="17">
                  <c:v>2014</c:v>
                </c:pt>
                <c:pt idx="29">
                  <c:v>2015</c:v>
                </c:pt>
                <c:pt idx="41">
                  <c:v>2016</c:v>
                </c:pt>
                <c:pt idx="53">
                  <c:v>2017</c:v>
                </c:pt>
              </c:numCache>
            </c:numRef>
          </c:cat>
          <c:val>
            <c:numRef>
              <c:f>'\\NAS-BALBO\Prezzi_Produzione\Users\FRCOPP~1\AppData\Local\Temp\[Coe_LONG e xUe.xlsx]PREZZI IMPORT'!$FU$1:$FU$60</c:f>
              <c:numCache>
                <c:formatCode>General</c:formatCode>
                <c:ptCount val="60"/>
              </c:numCache>
            </c:numRef>
          </c:val>
          <c:smooth val="0"/>
          <c:extLst>
            <c:ext xmlns:c16="http://schemas.microsoft.com/office/drawing/2014/chart" uri="{C3380CC4-5D6E-409C-BE32-E72D297353CC}">
              <c16:uniqueId val="{00000002-6910-4DF5-8FC6-ED6C1BFC10CC}"/>
            </c:ext>
          </c:extLst>
        </c:ser>
        <c:dLbls>
          <c:showLegendKey val="0"/>
          <c:showVal val="0"/>
          <c:showCatName val="0"/>
          <c:showSerName val="0"/>
          <c:showPercent val="0"/>
          <c:showBubbleSize val="0"/>
        </c:dLbls>
        <c:marker val="1"/>
        <c:smooth val="0"/>
        <c:axId val="248988976"/>
        <c:axId val="248989536"/>
      </c:lineChart>
      <c:catAx>
        <c:axId val="24791244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12700" cap="flat" cmpd="sng" algn="ctr">
            <a:solidFill>
              <a:schemeClr val="tx1"/>
            </a:solidFill>
            <a:round/>
          </a:ln>
          <a:effectLst/>
        </c:spPr>
        <c:txPr>
          <a:bodyPr rot="0" vert="horz"/>
          <a:lstStyle/>
          <a:p>
            <a:pPr>
              <a:defRPr sz="1000" b="1" i="0" u="none" strike="noStrike" baseline="0">
                <a:solidFill>
                  <a:srgbClr val="000000"/>
                </a:solidFill>
                <a:latin typeface="Arial Narrow"/>
                <a:ea typeface="Arial Narrow"/>
                <a:cs typeface="Arial Narrow"/>
              </a:defRPr>
            </a:pPr>
            <a:endParaRPr lang="it-IT"/>
          </a:p>
        </c:txPr>
        <c:crossAx val="248988416"/>
        <c:crosses val="autoZero"/>
        <c:auto val="1"/>
        <c:lblAlgn val="ctr"/>
        <c:lblOffset val="0"/>
        <c:tickMarkSkip val="3"/>
        <c:noMultiLvlLbl val="0"/>
      </c:catAx>
      <c:valAx>
        <c:axId val="248988416"/>
        <c:scaling>
          <c:orientation val="minMax"/>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vert="horz"/>
              <a:lstStyle/>
              <a:p>
                <a:pPr algn="ctr">
                  <a:defRPr sz="900" b="0" i="0" u="none" strike="noStrike" baseline="0">
                    <a:solidFill>
                      <a:srgbClr val="000000"/>
                    </a:solidFill>
                    <a:latin typeface="Arial Narrow"/>
                    <a:ea typeface="Arial Narrow"/>
                    <a:cs typeface="Arial Narrow"/>
                  </a:defRPr>
                </a:pPr>
                <a:r>
                  <a:rPr lang="it-IT"/>
                  <a:t>%</a:t>
                </a:r>
              </a:p>
            </c:rich>
          </c:tx>
          <c:layout>
            <c:manualLayout>
              <c:xMode val="edge"/>
              <c:yMode val="edge"/>
              <c:x val="9.5379650577385698E-3"/>
              <c:y val="5.0320982604447166E-3"/>
            </c:manualLayout>
          </c:layout>
          <c:overlay val="0"/>
          <c:spPr>
            <a:noFill/>
            <a:ln w="25400">
              <a:noFill/>
            </a:ln>
          </c:spPr>
        </c:title>
        <c:numFmt formatCode="0" sourceLinked="0"/>
        <c:majorTickMark val="none"/>
        <c:minorTickMark val="none"/>
        <c:tickLblPos val="nextTo"/>
        <c:spPr>
          <a:ln w="9525">
            <a:noFill/>
          </a:ln>
        </c:spPr>
        <c:txPr>
          <a:bodyPr rot="0" vert="horz"/>
          <a:lstStyle/>
          <a:p>
            <a:pPr>
              <a:defRPr sz="900" b="0" i="0" u="none" strike="noStrike" baseline="0">
                <a:solidFill>
                  <a:srgbClr val="000000"/>
                </a:solidFill>
                <a:latin typeface="Arial Narrow"/>
                <a:ea typeface="Arial Narrow"/>
                <a:cs typeface="Arial Narrow"/>
              </a:defRPr>
            </a:pPr>
            <a:endParaRPr lang="it-IT"/>
          </a:p>
        </c:txPr>
        <c:crossAx val="247912448"/>
        <c:crosses val="autoZero"/>
        <c:crossBetween val="between"/>
        <c:majorUnit val="4"/>
      </c:valAx>
      <c:catAx>
        <c:axId val="248988976"/>
        <c:scaling>
          <c:orientation val="minMax"/>
        </c:scaling>
        <c:delete val="1"/>
        <c:axPos val="t"/>
        <c:numFmt formatCode="General" sourceLinked="1"/>
        <c:majorTickMark val="out"/>
        <c:minorTickMark val="none"/>
        <c:tickLblPos val="nextTo"/>
        <c:crossAx val="248989536"/>
        <c:crosses val="max"/>
        <c:auto val="1"/>
        <c:lblAlgn val="ctr"/>
        <c:lblOffset val="100"/>
        <c:noMultiLvlLbl val="0"/>
      </c:catAx>
      <c:valAx>
        <c:axId val="248989536"/>
        <c:scaling>
          <c:orientation val="minMax"/>
        </c:scaling>
        <c:delete val="1"/>
        <c:axPos val="r"/>
        <c:numFmt formatCode="General" sourceLinked="1"/>
        <c:majorTickMark val="out"/>
        <c:minorTickMark val="none"/>
        <c:tickLblPos val="nextTo"/>
        <c:crossAx val="248988976"/>
        <c:crosses val="max"/>
        <c:crossBetween val="between"/>
      </c:val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37086976487489626"/>
          <c:y val="0"/>
          <c:w val="0.35930283995399454"/>
          <c:h val="9.1890331890331883E-2"/>
        </c:manualLayout>
      </c:layout>
      <c:overlay val="0"/>
      <c:spPr>
        <a:noFill/>
        <a:ln w="25400">
          <a:noFill/>
        </a:ln>
      </c:spPr>
      <c:txPr>
        <a:bodyPr/>
        <a:lstStyle/>
        <a:p>
          <a:pPr>
            <a:defRPr sz="800" b="0" i="0" u="none" strike="noStrike" baseline="0">
              <a:solidFill>
                <a:srgbClr val="000000"/>
              </a:solidFill>
              <a:latin typeface="Arial Narrow"/>
              <a:ea typeface="Arial Narrow"/>
              <a:cs typeface="Arial Narrow"/>
            </a:defRPr>
          </a:pPr>
          <a:endParaRPr lang="it-IT"/>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000600600600591E-2"/>
          <c:y val="0.11227175925925927"/>
          <c:w val="0.91781336336336339"/>
          <c:h val="0.44112500000000004"/>
        </c:manualLayout>
      </c:layout>
      <c:barChart>
        <c:barDir val="col"/>
        <c:grouping val="clustered"/>
        <c:varyColors val="0"/>
        <c:ser>
          <c:idx val="1"/>
          <c:order val="0"/>
          <c:tx>
            <c:strRef>
              <c:f>'figg. 6 e 7'!$D$42</c:f>
              <c:strCache>
                <c:ptCount val="1"/>
                <c:pt idx="0">
                  <c:v>Contributi alla var. (punti perc. - sinistra)</c:v>
                </c:pt>
              </c:strCache>
            </c:strRef>
          </c:tx>
          <c:spPr>
            <a:solidFill>
              <a:srgbClr val="003B5C"/>
            </a:solidFill>
            <a:ln>
              <a:solidFill>
                <a:schemeClr val="bg1"/>
              </a:solidFill>
            </a:ln>
            <a:effectLst/>
          </c:spPr>
          <c:invertIfNegative val="0"/>
          <c:cat>
            <c:strRef>
              <c:f>'figg. 6 e 7'!$P$44:$P$61</c:f>
              <c:strCache>
                <c:ptCount val="18"/>
                <c:pt idx="0">
                  <c:v>Farmaceutica</c:v>
                </c:pt>
                <c:pt idx="1">
                  <c:v>Macchinari</c:v>
                </c:pt>
                <c:pt idx="2">
                  <c:v>Raffinazione</c:v>
                </c:pt>
                <c:pt idx="3">
                  <c:v>Metalli</c:v>
                </c:pt>
                <c:pt idx="4">
                  <c:v>Chimica</c:v>
                </c:pt>
                <c:pt idx="5">
                  <c:v>Alimentari</c:v>
                </c:pt>
                <c:pt idx="6">
                  <c:v>Elettronica</c:v>
                </c:pt>
                <c:pt idx="7">
                  <c:v>Apparecchi elettrici</c:v>
                </c:pt>
                <c:pt idx="8">
                  <c:v>Autoveicoli</c:v>
                </c:pt>
                <c:pt idx="9">
                  <c:v>Abbigliamento</c:v>
                </c:pt>
                <c:pt idx="10">
                  <c:v>Pelletteria</c:v>
                </c:pt>
                <c:pt idx="11">
                  <c:v>Altra manifattura</c:v>
                </c:pt>
                <c:pt idx="12">
                  <c:v>Minerali non metalliferi</c:v>
                </c:pt>
                <c:pt idx="13">
                  <c:v>Gomma-plastica</c:v>
                </c:pt>
                <c:pt idx="14">
                  <c:v>Altri mezzi trasporto</c:v>
                </c:pt>
                <c:pt idx="15">
                  <c:v>Tessili</c:v>
                </c:pt>
                <c:pt idx="16">
                  <c:v>Mobili</c:v>
                </c:pt>
                <c:pt idx="17">
                  <c:v>Agricoltura</c:v>
                </c:pt>
              </c:strCache>
            </c:strRef>
          </c:cat>
          <c:val>
            <c:numRef>
              <c:f>'figg. 6 e 7'!$D$44:$D$61</c:f>
              <c:numCache>
                <c:formatCode>0.00</c:formatCode>
                <c:ptCount val="18"/>
                <c:pt idx="0">
                  <c:v>2.2994734938995212</c:v>
                </c:pt>
                <c:pt idx="1">
                  <c:v>2.0110241944532907</c:v>
                </c:pt>
                <c:pt idx="2">
                  <c:v>1.8313557192275973</c:v>
                </c:pt>
                <c:pt idx="3">
                  <c:v>1.76432303234016</c:v>
                </c:pt>
                <c:pt idx="4">
                  <c:v>1.2489801351102874</c:v>
                </c:pt>
                <c:pt idx="5">
                  <c:v>1.0947214433071233</c:v>
                </c:pt>
                <c:pt idx="6">
                  <c:v>0.80904648736119011</c:v>
                </c:pt>
                <c:pt idx="7">
                  <c:v>0.71545941326892049</c:v>
                </c:pt>
                <c:pt idx="8">
                  <c:v>0.67478863571512393</c:v>
                </c:pt>
                <c:pt idx="9">
                  <c:v>0.62021376519566385</c:v>
                </c:pt>
                <c:pt idx="10">
                  <c:v>0.60199531166266484</c:v>
                </c:pt>
                <c:pt idx="11">
                  <c:v>0.32913715111073094</c:v>
                </c:pt>
                <c:pt idx="12">
                  <c:v>0.3163227582125413</c:v>
                </c:pt>
                <c:pt idx="13">
                  <c:v>0.27907599439482556</c:v>
                </c:pt>
                <c:pt idx="14">
                  <c:v>0.26313875592241981</c:v>
                </c:pt>
                <c:pt idx="15">
                  <c:v>0.19124365906000196</c:v>
                </c:pt>
                <c:pt idx="16">
                  <c:v>0.18516250652494004</c:v>
                </c:pt>
                <c:pt idx="17">
                  <c:v>5.3763711157806135E-2</c:v>
                </c:pt>
              </c:numCache>
            </c:numRef>
          </c:val>
          <c:extLst>
            <c:ext xmlns:c16="http://schemas.microsoft.com/office/drawing/2014/chart" uri="{C3380CC4-5D6E-409C-BE32-E72D297353CC}">
              <c16:uniqueId val="{00000000-9A72-4381-9AB8-58668097A85E}"/>
            </c:ext>
          </c:extLst>
        </c:ser>
        <c:dLbls>
          <c:showLegendKey val="0"/>
          <c:showVal val="0"/>
          <c:showCatName val="0"/>
          <c:showSerName val="0"/>
          <c:showPercent val="0"/>
          <c:showBubbleSize val="0"/>
        </c:dLbls>
        <c:gapWidth val="0"/>
        <c:axId val="235970992"/>
        <c:axId val="235971552"/>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2402151419221509E-2"/>
                  <c:y val="-5.47411411172792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A72-4381-9AB8-58668097A85E}"/>
                </c:ext>
              </c:extLst>
            </c:dLbl>
            <c:dLbl>
              <c:idx val="1"/>
              <c:layout>
                <c:manualLayout>
                  <c:x val="-3.0498878540650639E-2"/>
                  <c:y val="-4.80497997247795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A72-4381-9AB8-58668097A85E}"/>
                </c:ext>
              </c:extLst>
            </c:dLbl>
            <c:dLbl>
              <c:idx val="2"/>
              <c:layout>
                <c:manualLayout>
                  <c:x val="-2.8620432260998745E-2"/>
                  <c:y val="-5.35316340941022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A72-4381-9AB8-58668097A85E}"/>
                </c:ext>
              </c:extLst>
            </c:dLbl>
            <c:dLbl>
              <c:idx val="3"/>
              <c:layout>
                <c:manualLayout>
                  <c:x val="-3.0511590955759782E-2"/>
                  <c:y val="-4.9673762681990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A72-4381-9AB8-58668097A85E}"/>
                </c:ext>
              </c:extLst>
            </c:dLbl>
            <c:dLbl>
              <c:idx val="4"/>
              <c:layout>
                <c:manualLayout>
                  <c:x val="-3.4313663663663667E-2"/>
                  <c:y val="-4.984467592592592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484069069069069E-2"/>
                      <c:h val="6.4299999999999982E-2"/>
                    </c:manualLayout>
                  </c15:layout>
                </c:ext>
                <c:ext xmlns:c16="http://schemas.microsoft.com/office/drawing/2014/chart" uri="{C3380CC4-5D6E-409C-BE32-E72D297353CC}">
                  <c16:uniqueId val="{00000005-9A72-4381-9AB8-58668097A85E}"/>
                </c:ext>
              </c:extLst>
            </c:dLbl>
            <c:dLbl>
              <c:idx val="5"/>
              <c:layout>
                <c:manualLayout>
                  <c:x val="-2.867162162162162E-2"/>
                  <c:y val="-6.17606481481481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A72-4381-9AB8-58668097A85E}"/>
                </c:ext>
              </c:extLst>
            </c:dLbl>
            <c:dLbl>
              <c:idx val="6"/>
              <c:layout>
                <c:manualLayout>
                  <c:x val="-3.0570217623086534E-2"/>
                  <c:y val="-5.8515940751763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A72-4381-9AB8-58668097A85E}"/>
                </c:ext>
              </c:extLst>
            </c:dLbl>
            <c:dLbl>
              <c:idx val="7"/>
              <c:layout>
                <c:manualLayout>
                  <c:x val="-3.0561094595772938E-2"/>
                  <c:y val="-5.38535372324095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A72-4381-9AB8-58668097A85E}"/>
                </c:ext>
              </c:extLst>
            </c:dLbl>
            <c:dLbl>
              <c:idx val="8"/>
              <c:layout>
                <c:manualLayout>
                  <c:x val="-3.0611645140559678E-2"/>
                  <c:y val="-4.80303862115296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A72-4381-9AB8-58668097A85E}"/>
                </c:ext>
              </c:extLst>
            </c:dLbl>
            <c:dLbl>
              <c:idx val="9"/>
              <c:layout>
                <c:manualLayout>
                  <c:x val="-3.0597138031552812E-2"/>
                  <c:y val="-4.8368091046668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A72-4381-9AB8-58668097A85E}"/>
                </c:ext>
              </c:extLst>
            </c:dLbl>
            <c:dLbl>
              <c:idx val="10"/>
              <c:layout>
                <c:manualLayout>
                  <c:x val="-3.2508337474838764E-2"/>
                  <c:y val="-5.89078228331810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A72-4381-9AB8-58668097A85E}"/>
                </c:ext>
              </c:extLst>
            </c:dLbl>
            <c:dLbl>
              <c:idx val="11"/>
              <c:layout>
                <c:manualLayout>
                  <c:x val="-2.6779375437550042E-2"/>
                  <c:y val="-5.31045368026033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A72-4381-9AB8-58668097A85E}"/>
                </c:ext>
              </c:extLst>
            </c:dLbl>
            <c:dLbl>
              <c:idx val="12"/>
              <c:layout>
                <c:manualLayout>
                  <c:x val="-3.0570068065261649E-2"/>
                  <c:y val="-5.32151486804228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A72-4381-9AB8-58668097A85E}"/>
                </c:ext>
              </c:extLst>
            </c:dLbl>
            <c:dLbl>
              <c:idx val="13"/>
              <c:layout>
                <c:manualLayout>
                  <c:x val="-2.8650493383786169E-2"/>
                  <c:y val="-5.78987716212360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A72-4381-9AB8-58668097A85E}"/>
                </c:ext>
              </c:extLst>
            </c:dLbl>
            <c:dLbl>
              <c:idx val="14"/>
              <c:layout>
                <c:manualLayout>
                  <c:x val="-3.9101743739546842E-2"/>
                  <c:y val="-4.552988055723103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6916230686408151E-2"/>
                      <c:h val="8.4297402541367319E-2"/>
                    </c:manualLayout>
                  </c15:layout>
                </c:ext>
                <c:ext xmlns:c16="http://schemas.microsoft.com/office/drawing/2014/chart" uri="{C3380CC4-5D6E-409C-BE32-E72D297353CC}">
                  <c16:uniqueId val="{0000000F-9A72-4381-9AB8-58668097A85E}"/>
                </c:ext>
              </c:extLst>
            </c:dLbl>
            <c:dLbl>
              <c:idx val="15"/>
              <c:layout>
                <c:manualLayout>
                  <c:x val="-2.8611411411411412E-2"/>
                  <c:y val="-5.36694444444444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A72-4381-9AB8-58668097A85E}"/>
                </c:ext>
              </c:extLst>
            </c:dLbl>
            <c:dLbl>
              <c:idx val="16"/>
              <c:layout>
                <c:manualLayout>
                  <c:x val="-3.0620270270270269E-2"/>
                  <c:y val="-5.71060185185184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A72-4381-9AB8-58668097A85E}"/>
                </c:ext>
              </c:extLst>
            </c:dLbl>
            <c:dLbl>
              <c:idx val="17"/>
              <c:layout>
                <c:manualLayout>
                  <c:x val="-3.4343093093093094E-2"/>
                  <c:y val="-6.41569444444444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9A72-4381-9AB8-58668097A85E}"/>
                </c:ext>
              </c:extLst>
            </c:dLbl>
            <c:dLbl>
              <c:idx val="18"/>
              <c:layout>
                <c:manualLayout>
                  <c:x val="-3.8156504823624024E-2"/>
                  <c:y val="7.658101851851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A72-4381-9AB8-58668097A85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7'!$P$44:$P$61</c:f>
              <c:strCache>
                <c:ptCount val="18"/>
                <c:pt idx="0">
                  <c:v>Farmaceutica</c:v>
                </c:pt>
                <c:pt idx="1">
                  <c:v>Macchinari</c:v>
                </c:pt>
                <c:pt idx="2">
                  <c:v>Raffinazione</c:v>
                </c:pt>
                <c:pt idx="3">
                  <c:v>Metalli</c:v>
                </c:pt>
                <c:pt idx="4">
                  <c:v>Chimica</c:v>
                </c:pt>
                <c:pt idx="5">
                  <c:v>Alimentari</c:v>
                </c:pt>
                <c:pt idx="6">
                  <c:v>Elettronica</c:v>
                </c:pt>
                <c:pt idx="7">
                  <c:v>Apparecchi elettrici</c:v>
                </c:pt>
                <c:pt idx="8">
                  <c:v>Autoveicoli</c:v>
                </c:pt>
                <c:pt idx="9">
                  <c:v>Abbigliamento</c:v>
                </c:pt>
                <c:pt idx="10">
                  <c:v>Pelletteria</c:v>
                </c:pt>
                <c:pt idx="11">
                  <c:v>Altra manifattura</c:v>
                </c:pt>
                <c:pt idx="12">
                  <c:v>Minerali non metalliferi</c:v>
                </c:pt>
                <c:pt idx="13">
                  <c:v>Gomma-plastica</c:v>
                </c:pt>
                <c:pt idx="14">
                  <c:v>Altri mezzi trasporto</c:v>
                </c:pt>
                <c:pt idx="15">
                  <c:v>Tessili</c:v>
                </c:pt>
                <c:pt idx="16">
                  <c:v>Mobili</c:v>
                </c:pt>
                <c:pt idx="17">
                  <c:v>Agricoltura</c:v>
                </c:pt>
              </c:strCache>
            </c:strRef>
          </c:cat>
          <c:val>
            <c:numRef>
              <c:f>'figg. 6 e 7'!$B$44:$B$61</c:f>
              <c:numCache>
                <c:formatCode>0.0</c:formatCode>
                <c:ptCount val="18"/>
                <c:pt idx="0">
                  <c:v>31.735913311106771</c:v>
                </c:pt>
                <c:pt idx="1">
                  <c:v>13.163251636641263</c:v>
                </c:pt>
                <c:pt idx="2">
                  <c:v>65.347666938933742</c:v>
                </c:pt>
                <c:pt idx="3">
                  <c:v>15.167973822008889</c:v>
                </c:pt>
                <c:pt idx="4">
                  <c:v>18.499035933613939</c:v>
                </c:pt>
                <c:pt idx="5">
                  <c:v>12.097185908567766</c:v>
                </c:pt>
                <c:pt idx="6">
                  <c:v>22.747134512216675</c:v>
                </c:pt>
                <c:pt idx="7">
                  <c:v>13.58106906849487</c:v>
                </c:pt>
                <c:pt idx="8">
                  <c:v>17.955958484044729</c:v>
                </c:pt>
                <c:pt idx="9">
                  <c:v>13.657000641261476</c:v>
                </c:pt>
                <c:pt idx="10">
                  <c:v>13.50894091137512</c:v>
                </c:pt>
                <c:pt idx="11">
                  <c:v>7.8909082656879974</c:v>
                </c:pt>
                <c:pt idx="12">
                  <c:v>14.564465141083858</c:v>
                </c:pt>
                <c:pt idx="13">
                  <c:v>7.9388530790383953</c:v>
                </c:pt>
                <c:pt idx="14">
                  <c:v>4.9129978868843409</c:v>
                </c:pt>
                <c:pt idx="15">
                  <c:v>9.8385080440238397</c:v>
                </c:pt>
                <c:pt idx="16">
                  <c:v>8.6268122173029553</c:v>
                </c:pt>
                <c:pt idx="17">
                  <c:v>3.5425091555112971</c:v>
                </c:pt>
              </c:numCache>
            </c:numRef>
          </c:val>
          <c:smooth val="0"/>
          <c:extLst>
            <c:ext xmlns:c16="http://schemas.microsoft.com/office/drawing/2014/chart" uri="{C3380CC4-5D6E-409C-BE32-E72D297353CC}">
              <c16:uniqueId val="{00000014-9A72-4381-9AB8-58668097A85E}"/>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5972672"/>
        <c:axId val="235972112"/>
      </c:lineChart>
      <c:catAx>
        <c:axId val="23597099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5971552"/>
        <c:crosses val="autoZero"/>
        <c:auto val="1"/>
        <c:lblAlgn val="ctr"/>
        <c:lblOffset val="0"/>
        <c:noMultiLvlLbl val="0"/>
      </c:catAx>
      <c:valAx>
        <c:axId val="235971552"/>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6948843843843846"/>
              <c:y val="3.7319444444444444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0992"/>
        <c:crosses val="autoZero"/>
        <c:crossBetween val="between"/>
        <c:majorUnit val="5"/>
      </c:valAx>
      <c:valAx>
        <c:axId val="235972112"/>
        <c:scaling>
          <c:orientation val="minMax"/>
          <c:max val="200"/>
          <c:min val="-200"/>
        </c:scaling>
        <c:delete val="0"/>
        <c:axPos val="r"/>
        <c:numFmt formatCode="0" sourceLinked="0"/>
        <c:majorTickMark val="out"/>
        <c:minorTickMark val="none"/>
        <c:tickLblPos val="nextTo"/>
        <c:crossAx val="235972672"/>
        <c:crosses val="max"/>
        <c:crossBetween val="between"/>
        <c:majorUnit val="100"/>
      </c:valAx>
      <c:catAx>
        <c:axId val="235972672"/>
        <c:scaling>
          <c:orientation val="minMax"/>
        </c:scaling>
        <c:delete val="1"/>
        <c:axPos val="b"/>
        <c:numFmt formatCode="General" sourceLinked="1"/>
        <c:majorTickMark val="out"/>
        <c:minorTickMark val="none"/>
        <c:tickLblPos val="nextTo"/>
        <c:crossAx val="235972112"/>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0371775005577228"/>
          <c:y val="5.8431693350473298E-3"/>
          <c:w val="0.5417566066066066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95195195195195E-2"/>
          <c:y val="0.12223055555555555"/>
          <c:w val="0.91971876876876879"/>
          <c:h val="0.4729078703703703"/>
        </c:manualLayout>
      </c:layout>
      <c:barChart>
        <c:barDir val="col"/>
        <c:grouping val="clustered"/>
        <c:varyColors val="0"/>
        <c:ser>
          <c:idx val="1"/>
          <c:order val="0"/>
          <c:tx>
            <c:strRef>
              <c:f>'figg. 6 e 7'!$D$42</c:f>
              <c:strCache>
                <c:ptCount val="1"/>
                <c:pt idx="0">
                  <c:v>Contributi alla var. (punti perc. - sinistra)</c:v>
                </c:pt>
              </c:strCache>
            </c:strRef>
          </c:tx>
          <c:spPr>
            <a:solidFill>
              <a:srgbClr val="D22630"/>
            </a:solidFill>
            <a:ln>
              <a:solidFill>
                <a:schemeClr val="bg1"/>
              </a:solidFill>
            </a:ln>
            <a:effectLst/>
          </c:spPr>
          <c:invertIfNegative val="0"/>
          <c:cat>
            <c:strRef>
              <c:f>'figg. 6 e 7'!$P$72:$P$90</c:f>
              <c:strCache>
                <c:ptCount val="19"/>
                <c:pt idx="0">
                  <c:v>Gas naturale</c:v>
                </c:pt>
                <c:pt idx="1">
                  <c:v>Autoveicoli</c:v>
                </c:pt>
                <c:pt idx="2">
                  <c:v>Chimica</c:v>
                </c:pt>
                <c:pt idx="3">
                  <c:v>Raffinazione</c:v>
                </c:pt>
                <c:pt idx="4">
                  <c:v>Farmaceutica</c:v>
                </c:pt>
                <c:pt idx="5">
                  <c:v>Elettronica</c:v>
                </c:pt>
                <c:pt idx="6">
                  <c:v>Macchinari</c:v>
                </c:pt>
                <c:pt idx="7">
                  <c:v>Alimentari</c:v>
                </c:pt>
                <c:pt idx="8">
                  <c:v>Petrolio greggio</c:v>
                </c:pt>
                <c:pt idx="9">
                  <c:v>Apparecchi elettrici</c:v>
                </c:pt>
                <c:pt idx="10">
                  <c:v>Abbigliamento</c:v>
                </c:pt>
                <c:pt idx="11">
                  <c:v>Agricoltura</c:v>
                </c:pt>
                <c:pt idx="12">
                  <c:v>Altri mezzi trasporto</c:v>
                </c:pt>
                <c:pt idx="13">
                  <c:v>Pelletteria</c:v>
                </c:pt>
                <c:pt idx="14">
                  <c:v>Carta-stampa</c:v>
                </c:pt>
                <c:pt idx="15">
                  <c:v>Metalli</c:v>
                </c:pt>
                <c:pt idx="16">
                  <c:v>Gomma-plastica</c:v>
                </c:pt>
                <c:pt idx="17">
                  <c:v>Altra manifattura</c:v>
                </c:pt>
                <c:pt idx="18">
                  <c:v>Trattamento rifiuti</c:v>
                </c:pt>
              </c:strCache>
            </c:strRef>
          </c:cat>
          <c:val>
            <c:numRef>
              <c:f>'figg. 6 e 7'!$D$72:$D$90</c:f>
              <c:numCache>
                <c:formatCode>0.00</c:formatCode>
                <c:ptCount val="19"/>
                <c:pt idx="0">
                  <c:v>5.6084837410444823</c:v>
                </c:pt>
                <c:pt idx="1">
                  <c:v>2.2794345558806905</c:v>
                </c:pt>
                <c:pt idx="2">
                  <c:v>2.23620653802702</c:v>
                </c:pt>
                <c:pt idx="3">
                  <c:v>2.1589638893734504</c:v>
                </c:pt>
                <c:pt idx="4">
                  <c:v>1.9900600852031503</c:v>
                </c:pt>
                <c:pt idx="5">
                  <c:v>1.7110414873758419</c:v>
                </c:pt>
                <c:pt idx="6">
                  <c:v>1.6183291534242243</c:v>
                </c:pt>
                <c:pt idx="7">
                  <c:v>1.4782986286317206</c:v>
                </c:pt>
                <c:pt idx="8">
                  <c:v>1.3739496839954635</c:v>
                </c:pt>
                <c:pt idx="9">
                  <c:v>1.2221215908123726</c:v>
                </c:pt>
                <c:pt idx="10">
                  <c:v>1.0849195920530335</c:v>
                </c:pt>
                <c:pt idx="11">
                  <c:v>1.0271512064124009</c:v>
                </c:pt>
                <c:pt idx="12">
                  <c:v>0.81095959736050571</c:v>
                </c:pt>
                <c:pt idx="13">
                  <c:v>0.80635073179016725</c:v>
                </c:pt>
                <c:pt idx="14">
                  <c:v>0.7112253051256836</c:v>
                </c:pt>
                <c:pt idx="15">
                  <c:v>0.63097154515956144</c:v>
                </c:pt>
                <c:pt idx="16">
                  <c:v>0.37552249975175833</c:v>
                </c:pt>
                <c:pt idx="17">
                  <c:v>0.22785008286004677</c:v>
                </c:pt>
                <c:pt idx="18">
                  <c:v>-6.2887266944806397E-2</c:v>
                </c:pt>
              </c:numCache>
            </c:numRef>
          </c:val>
          <c:extLst>
            <c:ext xmlns:c16="http://schemas.microsoft.com/office/drawing/2014/chart" uri="{C3380CC4-5D6E-409C-BE32-E72D297353CC}">
              <c16:uniqueId val="{00000000-B079-4989-A3D5-26B404508741}"/>
            </c:ext>
          </c:extLst>
        </c:ser>
        <c:dLbls>
          <c:showLegendKey val="0"/>
          <c:showVal val="0"/>
          <c:showCatName val="0"/>
          <c:showSerName val="0"/>
          <c:showPercent val="0"/>
          <c:showBubbleSize val="0"/>
        </c:dLbls>
        <c:gapWidth val="0"/>
        <c:axId val="235976032"/>
        <c:axId val="235976592"/>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0530930930930941E-2"/>
                  <c:y val="-4.81782407407407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079-4989-A3D5-26B404508741}"/>
                </c:ext>
              </c:extLst>
            </c:dLbl>
            <c:dLbl>
              <c:idx val="1"/>
              <c:layout>
                <c:manualLayout>
                  <c:x val="-3.048706347249041E-2"/>
                  <c:y val="-5.89917075899343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079-4989-A3D5-26B404508741}"/>
                </c:ext>
              </c:extLst>
            </c:dLbl>
            <c:dLbl>
              <c:idx val="2"/>
              <c:layout>
                <c:manualLayout>
                  <c:x val="-2.4823159088995447E-2"/>
                  <c:y val="-6.20959130005230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079-4989-A3D5-26B404508741}"/>
                </c:ext>
              </c:extLst>
            </c:dLbl>
            <c:dLbl>
              <c:idx val="3"/>
              <c:layout>
                <c:manualLayout>
                  <c:x val="-3.432762762762763E-2"/>
                  <c:y val="-5.0903703703703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079-4989-A3D5-26B404508741}"/>
                </c:ext>
              </c:extLst>
            </c:dLbl>
            <c:dLbl>
              <c:idx val="4"/>
              <c:layout>
                <c:manualLayout>
                  <c:x val="-3.6230330330330331E-2"/>
                  <c:y val="-5.20750000000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079-4989-A3D5-26B404508741}"/>
                </c:ext>
              </c:extLst>
            </c:dLbl>
            <c:dLbl>
              <c:idx val="5"/>
              <c:layout>
                <c:manualLayout>
                  <c:x val="-2.6691741741741777E-2"/>
                  <c:y val="-6.41000000000000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079-4989-A3D5-26B404508741}"/>
                </c:ext>
              </c:extLst>
            </c:dLbl>
            <c:dLbl>
              <c:idx val="6"/>
              <c:layout>
                <c:manualLayout>
                  <c:x val="-3.4326576576576576E-2"/>
                  <c:y val="-4.98898148148148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079-4989-A3D5-26B404508741}"/>
                </c:ext>
              </c:extLst>
            </c:dLbl>
            <c:dLbl>
              <c:idx val="7"/>
              <c:layout>
                <c:manualLayout>
                  <c:x val="-3.0544792792868244E-2"/>
                  <c:y val="-5.02021343058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079-4989-A3D5-26B404508741}"/>
                </c:ext>
              </c:extLst>
            </c:dLbl>
            <c:dLbl>
              <c:idx val="8"/>
              <c:layout>
                <c:manualLayout>
                  <c:x val="-3.0547185718065323E-2"/>
                  <c:y val="-4.45040535828442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079-4989-A3D5-26B404508741}"/>
                </c:ext>
              </c:extLst>
            </c:dLbl>
            <c:dLbl>
              <c:idx val="9"/>
              <c:layout>
                <c:manualLayout>
                  <c:x val="-3.0526397180416311E-2"/>
                  <c:y val="-4.98765945545417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079-4989-A3D5-26B404508741}"/>
                </c:ext>
              </c:extLst>
            </c:dLbl>
            <c:dLbl>
              <c:idx val="10"/>
              <c:layout>
                <c:manualLayout>
                  <c:x val="-3.0522060003496661E-2"/>
                  <c:y val="-4.49140429766955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079-4989-A3D5-26B404508741}"/>
                </c:ext>
              </c:extLst>
            </c:dLbl>
            <c:dLbl>
              <c:idx val="11"/>
              <c:layout>
                <c:manualLayout>
                  <c:x val="-3.0514282996606454E-2"/>
                  <c:y val="-4.70606984076248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079-4989-A3D5-26B404508741}"/>
                </c:ext>
              </c:extLst>
            </c:dLbl>
            <c:dLbl>
              <c:idx val="12"/>
              <c:layout>
                <c:manualLayout>
                  <c:x val="-3.0554663609305907E-2"/>
                  <c:y val="-5.2839142500145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079-4989-A3D5-26B404508741}"/>
                </c:ext>
              </c:extLst>
            </c:dLbl>
            <c:dLbl>
              <c:idx val="13"/>
              <c:layout>
                <c:manualLayout>
                  <c:x val="-3.2427875365089343E-2"/>
                  <c:y val="-6.30811588307084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079-4989-A3D5-26B404508741}"/>
                </c:ext>
              </c:extLst>
            </c:dLbl>
            <c:dLbl>
              <c:idx val="14"/>
              <c:layout>
                <c:manualLayout>
                  <c:x val="-3.0535370649905025E-2"/>
                  <c:y val="-4.97471959086418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079-4989-A3D5-26B404508741}"/>
                </c:ext>
              </c:extLst>
            </c:dLbl>
            <c:dLbl>
              <c:idx val="15"/>
              <c:layout>
                <c:manualLayout>
                  <c:x val="-3.0549877758911888E-2"/>
                  <c:y val="-6.26452897076771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079-4989-A3D5-26B404508741}"/>
                </c:ext>
              </c:extLst>
            </c:dLbl>
            <c:dLbl>
              <c:idx val="16"/>
              <c:layout>
                <c:manualLayout>
                  <c:x val="-2.6745945945945947E-2"/>
                  <c:y val="-5.25296296296296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079-4989-A3D5-26B404508741}"/>
                </c:ext>
              </c:extLst>
            </c:dLbl>
            <c:dLbl>
              <c:idx val="17"/>
              <c:layout>
                <c:manualLayout>
                  <c:x val="-2.6756906906906908E-2"/>
                  <c:y val="-5.14898148148148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079-4989-A3D5-26B404508741}"/>
                </c:ext>
              </c:extLst>
            </c:dLbl>
            <c:dLbl>
              <c:idx val="18"/>
              <c:layout>
                <c:manualLayout>
                  <c:x val="-3.4387387387387384E-2"/>
                  <c:y val="4.9976851851851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079-4989-A3D5-26B40450874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7'!$P$72:$P$90</c:f>
              <c:strCache>
                <c:ptCount val="19"/>
                <c:pt idx="0">
                  <c:v>Gas naturale</c:v>
                </c:pt>
                <c:pt idx="1">
                  <c:v>Autoveicoli</c:v>
                </c:pt>
                <c:pt idx="2">
                  <c:v>Chimica</c:v>
                </c:pt>
                <c:pt idx="3">
                  <c:v>Raffinazione</c:v>
                </c:pt>
                <c:pt idx="4">
                  <c:v>Farmaceutica</c:v>
                </c:pt>
                <c:pt idx="5">
                  <c:v>Elettronica</c:v>
                </c:pt>
                <c:pt idx="6">
                  <c:v>Macchinari</c:v>
                </c:pt>
                <c:pt idx="7">
                  <c:v>Alimentari</c:v>
                </c:pt>
                <c:pt idx="8">
                  <c:v>Petrolio greggio</c:v>
                </c:pt>
                <c:pt idx="9">
                  <c:v>Apparecchi elettrici</c:v>
                </c:pt>
                <c:pt idx="10">
                  <c:v>Abbigliamento</c:v>
                </c:pt>
                <c:pt idx="11">
                  <c:v>Agricoltura</c:v>
                </c:pt>
                <c:pt idx="12">
                  <c:v>Altri mezzi trasporto</c:v>
                </c:pt>
                <c:pt idx="13">
                  <c:v>Pelletteria</c:v>
                </c:pt>
                <c:pt idx="14">
                  <c:v>Carta-stampa</c:v>
                </c:pt>
                <c:pt idx="15">
                  <c:v>Metalli</c:v>
                </c:pt>
                <c:pt idx="16">
                  <c:v>Gomma-plastica</c:v>
                </c:pt>
                <c:pt idx="17">
                  <c:v>Altra manifattura</c:v>
                </c:pt>
                <c:pt idx="18">
                  <c:v>Trattamento rifiuti</c:v>
                </c:pt>
              </c:strCache>
            </c:strRef>
          </c:cat>
          <c:val>
            <c:numRef>
              <c:f>'figg. 6 e 7'!$B$72:$B$90</c:f>
              <c:numCache>
                <c:formatCode>0.0</c:formatCode>
                <c:ptCount val="19"/>
                <c:pt idx="0">
                  <c:v>87.171004944370111</c:v>
                </c:pt>
                <c:pt idx="1">
                  <c:v>50.471209460164147</c:v>
                </c:pt>
                <c:pt idx="2">
                  <c:v>23.593957945947395</c:v>
                </c:pt>
                <c:pt idx="3">
                  <c:v>131.47156865898529</c:v>
                </c:pt>
                <c:pt idx="4">
                  <c:v>32.817488254389588</c:v>
                </c:pt>
                <c:pt idx="5">
                  <c:v>24.968284688024738</c:v>
                </c:pt>
                <c:pt idx="6">
                  <c:v>24.497964310463416</c:v>
                </c:pt>
                <c:pt idx="7">
                  <c:v>22.495208293881731</c:v>
                </c:pt>
                <c:pt idx="8">
                  <c:v>23.067158291035796</c:v>
                </c:pt>
                <c:pt idx="9">
                  <c:v>26.890657913018458</c:v>
                </c:pt>
                <c:pt idx="10">
                  <c:v>37.602437491130956</c:v>
                </c:pt>
                <c:pt idx="11">
                  <c:v>30.515863638305348</c:v>
                </c:pt>
                <c:pt idx="12">
                  <c:v>25.638909371286687</c:v>
                </c:pt>
                <c:pt idx="13">
                  <c:v>43.228474846423069</c:v>
                </c:pt>
                <c:pt idx="14">
                  <c:v>48.859586157925463</c:v>
                </c:pt>
                <c:pt idx="15">
                  <c:v>4.6573446016363675</c:v>
                </c:pt>
                <c:pt idx="16">
                  <c:v>15.027652069122908</c:v>
                </c:pt>
                <c:pt idx="17">
                  <c:v>8.1909145543718012</c:v>
                </c:pt>
                <c:pt idx="18">
                  <c:v>-3.9077657512721231</c:v>
                </c:pt>
              </c:numCache>
            </c:numRef>
          </c:val>
          <c:smooth val="0"/>
          <c:extLst>
            <c:ext xmlns:c16="http://schemas.microsoft.com/office/drawing/2014/chart" uri="{C3380CC4-5D6E-409C-BE32-E72D297353CC}">
              <c16:uniqueId val="{00000014-B079-4989-A3D5-26B40450874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5977712"/>
        <c:axId val="235977152"/>
      </c:lineChart>
      <c:catAx>
        <c:axId val="23597603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5976592"/>
        <c:crosses val="autoZero"/>
        <c:auto val="1"/>
        <c:lblAlgn val="ctr"/>
        <c:lblOffset val="0"/>
        <c:noMultiLvlLbl val="0"/>
      </c:catAx>
      <c:valAx>
        <c:axId val="235976592"/>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703804804804805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6032"/>
        <c:crosses val="autoZero"/>
        <c:crossBetween val="between"/>
        <c:majorUnit val="5"/>
      </c:valAx>
      <c:valAx>
        <c:axId val="235977152"/>
        <c:scaling>
          <c:orientation val="minMax"/>
          <c:max val="200"/>
          <c:min val="-2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7712"/>
        <c:crosses val="max"/>
        <c:crossBetween val="between"/>
        <c:majorUnit val="100"/>
      </c:valAx>
      <c:catAx>
        <c:axId val="235977712"/>
        <c:scaling>
          <c:orientation val="minMax"/>
        </c:scaling>
        <c:delete val="1"/>
        <c:axPos val="b"/>
        <c:numFmt formatCode="General" sourceLinked="1"/>
        <c:majorTickMark val="out"/>
        <c:minorTickMark val="none"/>
        <c:tickLblPos val="nextTo"/>
        <c:crossAx val="235977152"/>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9540800849385712"/>
          <c:y val="0"/>
          <c:w val="0.5072046109510086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8137696099E-2"/>
          <c:y val="0.1005125"/>
          <c:w val="0.89947552894285987"/>
          <c:h val="0.55515925925925924"/>
        </c:manualLayout>
      </c:layout>
      <c:barChart>
        <c:barDir val="col"/>
        <c:grouping val="clustered"/>
        <c:varyColors val="0"/>
        <c:ser>
          <c:idx val="0"/>
          <c:order val="0"/>
          <c:tx>
            <c:strRef>
              <c:f>'figg. 8 e 9'!$D$36</c:f>
              <c:strCache>
                <c:ptCount val="1"/>
                <c:pt idx="0">
                  <c:v>Contributi alla var. (punti perc. - sinistra)</c:v>
                </c:pt>
              </c:strCache>
            </c:strRef>
          </c:tx>
          <c:spPr>
            <a:solidFill>
              <a:srgbClr val="003B5C"/>
            </a:solidFill>
            <a:ln w="9525" cap="flat" cmpd="sng" algn="ctr">
              <a:solidFill>
                <a:srgbClr val="FFFFFF"/>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EA-4391-914A-5FC67BC7817F}"/>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9'!$A$38:$A$56</c:f>
              <c:strCache>
                <c:ptCount val="19"/>
                <c:pt idx="0">
                  <c:v>Stati Uniti</c:v>
                </c:pt>
                <c:pt idx="1">
                  <c:v>Germania</c:v>
                </c:pt>
                <c:pt idx="2">
                  <c:v>Francia</c:v>
                </c:pt>
                <c:pt idx="3">
                  <c:v>Austria</c:v>
                </c:pt>
                <c:pt idx="4">
                  <c:v>Spagna</c:v>
                </c:pt>
                <c:pt idx="5">
                  <c:v>OPEC</c:v>
                </c:pt>
                <c:pt idx="6">
                  <c:v>Turchia</c:v>
                </c:pt>
                <c:pt idx="7">
                  <c:v>Svizzera</c:v>
                </c:pt>
                <c:pt idx="8">
                  <c:v>Polonia</c:v>
                </c:pt>
                <c:pt idx="9">
                  <c:v>Paesi Bassi</c:v>
                </c:pt>
                <c:pt idx="10">
                  <c:v>ASEAN</c:v>
                </c:pt>
                <c:pt idx="11">
                  <c:v>Regno Unito</c:v>
                </c:pt>
                <c:pt idx="12">
                  <c:v>MERCOSUR</c:v>
                </c:pt>
                <c:pt idx="13">
                  <c:v>Repubblica ceca</c:v>
                </c:pt>
                <c:pt idx="14">
                  <c:v>Romania</c:v>
                </c:pt>
                <c:pt idx="15">
                  <c:v>Cina</c:v>
                </c:pt>
                <c:pt idx="16">
                  <c:v>Belgio</c:v>
                </c:pt>
                <c:pt idx="17">
                  <c:v>Giappone</c:v>
                </c:pt>
                <c:pt idx="18">
                  <c:v>Russia</c:v>
                </c:pt>
              </c:strCache>
            </c:strRef>
          </c:cat>
          <c:val>
            <c:numRef>
              <c:f>'figg. 8 e 9'!$D$38:$D$56</c:f>
              <c:numCache>
                <c:formatCode>0.00</c:formatCode>
                <c:ptCount val="19"/>
                <c:pt idx="0">
                  <c:v>3.1606461995834358</c:v>
                </c:pt>
                <c:pt idx="1">
                  <c:v>1.9266678952997169</c:v>
                </c:pt>
                <c:pt idx="2">
                  <c:v>1.5185345900309306</c:v>
                </c:pt>
                <c:pt idx="3">
                  <c:v>0.99795899007203326</c:v>
                </c:pt>
                <c:pt idx="4">
                  <c:v>0.9463150652348411</c:v>
                </c:pt>
                <c:pt idx="5">
                  <c:v>0.93949754989078871</c:v>
                </c:pt>
                <c:pt idx="6">
                  <c:v>0.88906481506401469</c:v>
                </c:pt>
                <c:pt idx="7">
                  <c:v>0.82726790842940823</c:v>
                </c:pt>
                <c:pt idx="8">
                  <c:v>0.79676667566029469</c:v>
                </c:pt>
                <c:pt idx="9">
                  <c:v>0.48985556753999659</c:v>
                </c:pt>
                <c:pt idx="10">
                  <c:v>0.35932335284269795</c:v>
                </c:pt>
                <c:pt idx="11">
                  <c:v>0.32462628407061311</c:v>
                </c:pt>
                <c:pt idx="12">
                  <c:v>0.24002758516703307</c:v>
                </c:pt>
                <c:pt idx="13">
                  <c:v>0.23773469190643187</c:v>
                </c:pt>
                <c:pt idx="14">
                  <c:v>0.22500327353586963</c:v>
                </c:pt>
                <c:pt idx="15">
                  <c:v>0.16364457437302621</c:v>
                </c:pt>
                <c:pt idx="16">
                  <c:v>-2.6917409928917762E-2</c:v>
                </c:pt>
                <c:pt idx="17">
                  <c:v>-0.16718800120872565</c:v>
                </c:pt>
                <c:pt idx="18">
                  <c:v>-0.43806411997088618</c:v>
                </c:pt>
              </c:numCache>
            </c:numRef>
          </c:val>
          <c:extLst>
            <c:ext xmlns:c16="http://schemas.microsoft.com/office/drawing/2014/chart" uri="{C3380CC4-5D6E-409C-BE32-E72D297353CC}">
              <c16:uniqueId val="{00000001-33EA-4391-914A-5FC67BC7817F}"/>
            </c:ext>
          </c:extLst>
        </c:ser>
        <c:dLbls>
          <c:showLegendKey val="0"/>
          <c:showVal val="0"/>
          <c:showCatName val="0"/>
          <c:showSerName val="0"/>
          <c:showPercent val="0"/>
          <c:showBubbleSize val="0"/>
        </c:dLbls>
        <c:gapWidth val="0"/>
        <c:axId val="237443648"/>
        <c:axId val="237444208"/>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3.1023648763274861E-2"/>
                  <c:y val="-7.55954204722199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3EA-4391-914A-5FC67BC7817F}"/>
                </c:ext>
              </c:extLst>
            </c:dLbl>
            <c:dLbl>
              <c:idx val="1"/>
              <c:layout>
                <c:manualLayout>
                  <c:x val="-2.686171171171171E-2"/>
                  <c:y val="-6.10949074074074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3EA-4391-914A-5FC67BC7817F}"/>
                </c:ext>
              </c:extLst>
            </c:dLbl>
            <c:dLbl>
              <c:idx val="2"/>
              <c:layout>
                <c:manualLayout>
                  <c:x val="-2.6493393393393412E-2"/>
                  <c:y val="-6.58305555555555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3EA-4391-914A-5FC67BC7817F}"/>
                </c:ext>
              </c:extLst>
            </c:dLbl>
            <c:dLbl>
              <c:idx val="3"/>
              <c:layout>
                <c:manualLayout>
                  <c:x val="-2.9933333333333333E-2"/>
                  <c:y val="-4.6578240740740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3EA-4391-914A-5FC67BC7817F}"/>
                </c:ext>
              </c:extLst>
            </c:dLbl>
            <c:dLbl>
              <c:idx val="4"/>
              <c:layout>
                <c:manualLayout>
                  <c:x val="-3.0637387387387353E-2"/>
                  <c:y val="-6.207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3EA-4391-914A-5FC67BC7817F}"/>
                </c:ext>
              </c:extLst>
            </c:dLbl>
            <c:dLbl>
              <c:idx val="5"/>
              <c:layout>
                <c:manualLayout>
                  <c:x val="-3.2396246246246249E-2"/>
                  <c:y val="-6.49870370370370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3EA-4391-914A-5FC67BC7817F}"/>
                </c:ext>
              </c:extLst>
            </c:dLbl>
            <c:dLbl>
              <c:idx val="6"/>
              <c:layout>
                <c:manualLayout>
                  <c:x val="-2.9084534534534533E-2"/>
                  <c:y val="-5.90796296296296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3EA-4391-914A-5FC67BC7817F}"/>
                </c:ext>
              </c:extLst>
            </c:dLbl>
            <c:dLbl>
              <c:idx val="7"/>
              <c:layout>
                <c:manualLayout>
                  <c:x val="-3.064634747484625E-2"/>
                  <c:y val="-5.55426740185682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3EA-4391-914A-5FC67BC7817F}"/>
                </c:ext>
              </c:extLst>
            </c:dLbl>
            <c:dLbl>
              <c:idx val="8"/>
              <c:layout>
                <c:manualLayout>
                  <c:x val="-3.1382831001310424E-2"/>
                  <c:y val="-5.88020170601819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3EA-4391-914A-5FC67BC7817F}"/>
                </c:ext>
              </c:extLst>
            </c:dLbl>
            <c:dLbl>
              <c:idx val="9"/>
              <c:layout>
                <c:manualLayout>
                  <c:x val="-3.0662683800524771E-2"/>
                  <c:y val="-5.8871765870210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3EA-4391-914A-5FC67BC7817F}"/>
                </c:ext>
              </c:extLst>
            </c:dLbl>
            <c:dLbl>
              <c:idx val="10"/>
              <c:layout>
                <c:manualLayout>
                  <c:x val="-3.329987633851085E-2"/>
                  <c:y val="-4.8915123238606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3EA-4391-914A-5FC67BC7817F}"/>
                </c:ext>
              </c:extLst>
            </c:dLbl>
            <c:dLbl>
              <c:idx val="11"/>
              <c:layout>
                <c:manualLayout>
                  <c:x val="-3.0512509503919812E-2"/>
                  <c:y val="-5.52641500541967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3EA-4391-914A-5FC67BC7817F}"/>
                </c:ext>
              </c:extLst>
            </c:dLbl>
            <c:dLbl>
              <c:idx val="12"/>
              <c:layout>
                <c:manualLayout>
                  <c:x val="-3.0451210813988151E-2"/>
                  <c:y val="-5.62038738866110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3EA-4391-914A-5FC67BC7817F}"/>
                </c:ext>
              </c:extLst>
            </c:dLbl>
            <c:dLbl>
              <c:idx val="13"/>
              <c:layout>
                <c:manualLayout>
                  <c:x val="-3.0521921921921921E-2"/>
                  <c:y val="-5.28939814814814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3EA-4391-914A-5FC67BC7817F}"/>
                </c:ext>
              </c:extLst>
            </c:dLbl>
            <c:dLbl>
              <c:idx val="14"/>
              <c:layout>
                <c:manualLayout>
                  <c:x val="-2.6693993993993994E-2"/>
                  <c:y val="-5.89615740740741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3EA-4391-914A-5FC67BC7817F}"/>
                </c:ext>
              </c:extLst>
            </c:dLbl>
            <c:dLbl>
              <c:idx val="15"/>
              <c:layout>
                <c:manualLayout>
                  <c:x val="-2.6690840840840842E-2"/>
                  <c:y val="-5.75379629629629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3EA-4391-914A-5FC67BC7817F}"/>
                </c:ext>
              </c:extLst>
            </c:dLbl>
            <c:dLbl>
              <c:idx val="16"/>
              <c:layout>
                <c:manualLayout>
                  <c:x val="-3.052772722631639E-2"/>
                  <c:y val="5.92646442570156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33EA-4391-914A-5FC67BC7817F}"/>
                </c:ext>
              </c:extLst>
            </c:dLbl>
            <c:dLbl>
              <c:idx val="17"/>
              <c:layout>
                <c:manualLayout>
                  <c:x val="-3.0464564564564565E-2"/>
                  <c:y val="5.5902314814814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33EA-4391-914A-5FC67BC7817F}"/>
                </c:ext>
              </c:extLst>
            </c:dLbl>
            <c:dLbl>
              <c:idx val="18"/>
              <c:layout>
                <c:manualLayout>
                  <c:x val="-3.4286786786786788E-2"/>
                  <c:y val="5.7497685185185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33EA-4391-914A-5FC67BC7817F}"/>
                </c:ext>
              </c:extLst>
            </c:dLbl>
            <c:dLbl>
              <c:idx val="19"/>
              <c:layout>
                <c:manualLayout>
                  <c:x val="-2.8581180448681003E-2"/>
                  <c:y val="5.2916516437468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3EA-4391-914A-5FC67BC7817F}"/>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9'!$A$38:$A$56</c:f>
              <c:strCache>
                <c:ptCount val="19"/>
                <c:pt idx="0">
                  <c:v>Stati Uniti</c:v>
                </c:pt>
                <c:pt idx="1">
                  <c:v>Germania</c:v>
                </c:pt>
                <c:pt idx="2">
                  <c:v>Francia</c:v>
                </c:pt>
                <c:pt idx="3">
                  <c:v>Austria</c:v>
                </c:pt>
                <c:pt idx="4">
                  <c:v>Spagna</c:v>
                </c:pt>
                <c:pt idx="5">
                  <c:v>OPEC</c:v>
                </c:pt>
                <c:pt idx="6">
                  <c:v>Turchia</c:v>
                </c:pt>
                <c:pt idx="7">
                  <c:v>Svizzera</c:v>
                </c:pt>
                <c:pt idx="8">
                  <c:v>Polonia</c:v>
                </c:pt>
                <c:pt idx="9">
                  <c:v>Paesi Bassi</c:v>
                </c:pt>
                <c:pt idx="10">
                  <c:v>ASEAN</c:v>
                </c:pt>
                <c:pt idx="11">
                  <c:v>Regno Unito</c:v>
                </c:pt>
                <c:pt idx="12">
                  <c:v>MERCOSUR</c:v>
                </c:pt>
                <c:pt idx="13">
                  <c:v>Repubblica ceca</c:v>
                </c:pt>
                <c:pt idx="14">
                  <c:v>Romania</c:v>
                </c:pt>
                <c:pt idx="15">
                  <c:v>Cina</c:v>
                </c:pt>
                <c:pt idx="16">
                  <c:v>Belgio</c:v>
                </c:pt>
                <c:pt idx="17">
                  <c:v>Giappone</c:v>
                </c:pt>
                <c:pt idx="18">
                  <c:v>Russia</c:v>
                </c:pt>
              </c:strCache>
            </c:strRef>
          </c:cat>
          <c:val>
            <c:numRef>
              <c:f>'figg. 8 e 9'!$B$38:$B$56</c:f>
              <c:numCache>
                <c:formatCode>0.0</c:formatCode>
                <c:ptCount val="19"/>
                <c:pt idx="0">
                  <c:v>34.240856544409098</c:v>
                </c:pt>
                <c:pt idx="1">
                  <c:v>15.01808295289328</c:v>
                </c:pt>
                <c:pt idx="2">
                  <c:v>14.994178816570127</c:v>
                </c:pt>
                <c:pt idx="3">
                  <c:v>46.287470400601279</c:v>
                </c:pt>
                <c:pt idx="4">
                  <c:v>18.735414661637193</c:v>
                </c:pt>
                <c:pt idx="5">
                  <c:v>32.040706474948479</c:v>
                </c:pt>
                <c:pt idx="6">
                  <c:v>47.663870993110464</c:v>
                </c:pt>
                <c:pt idx="7">
                  <c:v>17.087010233803781</c:v>
                </c:pt>
                <c:pt idx="8">
                  <c:v>26.455695111179622</c:v>
                </c:pt>
                <c:pt idx="9">
                  <c:v>17.282837802479477</c:v>
                </c:pt>
                <c:pt idx="10">
                  <c:v>25.162920133883688</c:v>
                </c:pt>
                <c:pt idx="11">
                  <c:v>7.1226614644601369</c:v>
                </c:pt>
                <c:pt idx="12">
                  <c:v>22.203283742423935</c:v>
                </c:pt>
                <c:pt idx="13">
                  <c:v>17.720589458210085</c:v>
                </c:pt>
                <c:pt idx="14">
                  <c:v>13.948278995767836</c:v>
                </c:pt>
                <c:pt idx="15">
                  <c:v>5.5993613411135357</c:v>
                </c:pt>
                <c:pt idx="16">
                  <c:v>-0.68392053791195906</c:v>
                </c:pt>
                <c:pt idx="17">
                  <c:v>-11.202706864272997</c:v>
                </c:pt>
                <c:pt idx="18">
                  <c:v>-30.862328365771972</c:v>
                </c:pt>
              </c:numCache>
            </c:numRef>
          </c:val>
          <c:smooth val="0"/>
          <c:extLst>
            <c:ext xmlns:c16="http://schemas.microsoft.com/office/drawing/2014/chart" uri="{C3380CC4-5D6E-409C-BE32-E72D297353CC}">
              <c16:uniqueId val="{00000016-33EA-4391-914A-5FC67BC7817F}"/>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7445328"/>
        <c:axId val="237444768"/>
      </c:lineChart>
      <c:catAx>
        <c:axId val="23744364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444208"/>
        <c:crosses val="autoZero"/>
        <c:auto val="1"/>
        <c:lblAlgn val="ctr"/>
        <c:lblOffset val="0"/>
        <c:tickLblSkip val="1"/>
        <c:noMultiLvlLbl val="0"/>
      </c:catAx>
      <c:valAx>
        <c:axId val="237444208"/>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3648"/>
        <c:crosses val="autoZero"/>
        <c:crossBetween val="between"/>
        <c:majorUnit val="5"/>
      </c:valAx>
      <c:valAx>
        <c:axId val="237444768"/>
        <c:scaling>
          <c:orientation val="minMax"/>
          <c:max val="200"/>
          <c:min val="-200"/>
        </c:scaling>
        <c:delete val="0"/>
        <c:axPos val="r"/>
        <c:title>
          <c:tx>
            <c:rich>
              <a:bodyPr rot="0" vert="horz"/>
              <a:lstStyle/>
              <a:p>
                <a:pPr>
                  <a:defRPr/>
                </a:pPr>
                <a:r>
                  <a:rPr lang="it-IT"/>
                  <a:t>%</a:t>
                </a:r>
              </a:p>
            </c:rich>
          </c:tx>
          <c:layout>
            <c:manualLayout>
              <c:xMode val="edge"/>
              <c:yMode val="edge"/>
              <c:x val="0.96365048731977809"/>
              <c:y val="5.3280345976272573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5328"/>
        <c:crosses val="max"/>
        <c:crossBetween val="between"/>
        <c:majorUnit val="100"/>
      </c:valAx>
      <c:catAx>
        <c:axId val="237445328"/>
        <c:scaling>
          <c:orientation val="minMax"/>
        </c:scaling>
        <c:delete val="1"/>
        <c:axPos val="b"/>
        <c:numFmt formatCode="General" sourceLinked="1"/>
        <c:majorTickMark val="out"/>
        <c:minorTickMark val="none"/>
        <c:tickLblPos val="nextTo"/>
        <c:crossAx val="237444768"/>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942897298149685"/>
          <c:y val="0"/>
          <c:w val="0.6493736878500454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3220714708E-2"/>
          <c:y val="0.10639207360356027"/>
          <c:w val="0.89947552894285987"/>
          <c:h val="0.54927962962962962"/>
        </c:manualLayout>
      </c:layout>
      <c:barChart>
        <c:barDir val="col"/>
        <c:grouping val="clustered"/>
        <c:varyColors val="0"/>
        <c:ser>
          <c:idx val="0"/>
          <c:order val="0"/>
          <c:tx>
            <c:strRef>
              <c:f>'figg. 8 e 9'!$D$36</c:f>
              <c:strCache>
                <c:ptCount val="1"/>
                <c:pt idx="0">
                  <c:v>Contributi alla var. (punti perc. - sinistra)</c:v>
                </c:pt>
              </c:strCache>
            </c:strRef>
          </c:tx>
          <c:spPr>
            <a:solidFill>
              <a:srgbClr val="D22630"/>
            </a:solidFill>
            <a:ln w="9525" cap="flat" cmpd="sng" algn="ctr">
              <a:solidFill>
                <a:schemeClr val="bg1"/>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40-40FA-8DA3-863B2CF0ABF7}"/>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9'!$A$61:$A$79</c:f>
              <c:strCache>
                <c:ptCount val="19"/>
                <c:pt idx="0">
                  <c:v>Cina</c:v>
                </c:pt>
                <c:pt idx="1">
                  <c:v>OPEC</c:v>
                </c:pt>
                <c:pt idx="2">
                  <c:v>Germania</c:v>
                </c:pt>
                <c:pt idx="3">
                  <c:v>Stati Uniti</c:v>
                </c:pt>
                <c:pt idx="4">
                  <c:v>Belgio</c:v>
                </c:pt>
                <c:pt idx="5">
                  <c:v>Paesi Bassi</c:v>
                </c:pt>
                <c:pt idx="6">
                  <c:v>Svizzera</c:v>
                </c:pt>
                <c:pt idx="7">
                  <c:v>ASEAN</c:v>
                </c:pt>
                <c:pt idx="8">
                  <c:v>Francia</c:v>
                </c:pt>
                <c:pt idx="9">
                  <c:v>Spagna</c:v>
                </c:pt>
                <c:pt idx="10">
                  <c:v>MERCOSUR</c:v>
                </c:pt>
                <c:pt idx="11">
                  <c:v>Romania</c:v>
                </c:pt>
                <c:pt idx="12">
                  <c:v>Polonia</c:v>
                </c:pt>
                <c:pt idx="13">
                  <c:v>Repubblica ceca</c:v>
                </c:pt>
                <c:pt idx="14">
                  <c:v>Regno Unito</c:v>
                </c:pt>
                <c:pt idx="15">
                  <c:v>Austria</c:v>
                </c:pt>
                <c:pt idx="16">
                  <c:v>Turchia</c:v>
                </c:pt>
                <c:pt idx="17">
                  <c:v>India</c:v>
                </c:pt>
                <c:pt idx="18">
                  <c:v>Russia</c:v>
                </c:pt>
              </c:strCache>
            </c:strRef>
          </c:cat>
          <c:val>
            <c:numRef>
              <c:f>'figg. 8 e 9'!$D$61:$D$79</c:f>
              <c:numCache>
                <c:formatCode>0.00</c:formatCode>
                <c:ptCount val="19"/>
                <c:pt idx="0">
                  <c:v>3.7348602034837857</c:v>
                </c:pt>
                <c:pt idx="1">
                  <c:v>3.4505741737934188</c:v>
                </c:pt>
                <c:pt idx="2">
                  <c:v>1.9509623200874122</c:v>
                </c:pt>
                <c:pt idx="3">
                  <c:v>1.7739583067950693</c:v>
                </c:pt>
                <c:pt idx="4">
                  <c:v>1.5722983026144759</c:v>
                </c:pt>
                <c:pt idx="5">
                  <c:v>1.3717706193387731</c:v>
                </c:pt>
                <c:pt idx="6">
                  <c:v>1.370130601962295</c:v>
                </c:pt>
                <c:pt idx="7">
                  <c:v>1.2643160828971312</c:v>
                </c:pt>
                <c:pt idx="8">
                  <c:v>0.88172445822514955</c:v>
                </c:pt>
                <c:pt idx="9">
                  <c:v>0.74660745357739045</c:v>
                </c:pt>
                <c:pt idx="10">
                  <c:v>0.60048311705712176</c:v>
                </c:pt>
                <c:pt idx="11">
                  <c:v>0.44076804871959402</c:v>
                </c:pt>
                <c:pt idx="12">
                  <c:v>0.43108689772615655</c:v>
                </c:pt>
                <c:pt idx="13">
                  <c:v>0.26869752976512268</c:v>
                </c:pt>
                <c:pt idx="14">
                  <c:v>0.20630087285206389</c:v>
                </c:pt>
                <c:pt idx="15">
                  <c:v>0.18208800827190683</c:v>
                </c:pt>
                <c:pt idx="16">
                  <c:v>0.13422091328625585</c:v>
                </c:pt>
                <c:pt idx="17">
                  <c:v>0.12235544305759814</c:v>
                </c:pt>
                <c:pt idx="18">
                  <c:v>-2.0883935203913548</c:v>
                </c:pt>
              </c:numCache>
            </c:numRef>
          </c:val>
          <c:extLst>
            <c:ext xmlns:c16="http://schemas.microsoft.com/office/drawing/2014/chart" uri="{C3380CC4-5D6E-409C-BE32-E72D297353CC}">
              <c16:uniqueId val="{00000001-0740-40FA-8DA3-863B2CF0ABF7}"/>
            </c:ext>
          </c:extLst>
        </c:ser>
        <c:dLbls>
          <c:showLegendKey val="0"/>
          <c:showVal val="0"/>
          <c:showCatName val="0"/>
          <c:showSerName val="0"/>
          <c:showPercent val="0"/>
          <c:showBubbleSize val="0"/>
        </c:dLbls>
        <c:gapWidth val="0"/>
        <c:axId val="237448688"/>
        <c:axId val="237449248"/>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3.449846752394848E-2"/>
                  <c:y val="-8.80028307491528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740-40FA-8DA3-863B2CF0ABF7}"/>
                </c:ext>
              </c:extLst>
            </c:dLbl>
            <c:dLbl>
              <c:idx val="1"/>
              <c:layout>
                <c:manualLayout>
                  <c:x val="-2.6852573053725397E-2"/>
                  <c:y val="-4.67893545398031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740-40FA-8DA3-863B2CF0ABF7}"/>
                </c:ext>
              </c:extLst>
            </c:dLbl>
            <c:dLbl>
              <c:idx val="2"/>
              <c:layout>
                <c:manualLayout>
                  <c:x val="-3.4527327327327308E-2"/>
                  <c:y val="-6.16189814814814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740-40FA-8DA3-863B2CF0ABF7}"/>
                </c:ext>
              </c:extLst>
            </c:dLbl>
            <c:dLbl>
              <c:idx val="3"/>
              <c:layout>
                <c:manualLayout>
                  <c:x val="-3.6475525525525528E-2"/>
                  <c:y val="-6.75203703703703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740-40FA-8DA3-863B2CF0ABF7}"/>
                </c:ext>
              </c:extLst>
            </c:dLbl>
            <c:dLbl>
              <c:idx val="4"/>
              <c:layout>
                <c:manualLayout>
                  <c:x val="-2.8790090090090089E-2"/>
                  <c:y val="-5.8786574074074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740-40FA-8DA3-863B2CF0ABF7}"/>
                </c:ext>
              </c:extLst>
            </c:dLbl>
            <c:dLbl>
              <c:idx val="5"/>
              <c:layout>
                <c:manualLayout>
                  <c:x val="-3.0508762640232029E-2"/>
                  <c:y val="-5.34351431554007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740-40FA-8DA3-863B2CF0ABF7}"/>
                </c:ext>
              </c:extLst>
            </c:dLbl>
            <c:dLbl>
              <c:idx val="6"/>
              <c:layout>
                <c:manualLayout>
                  <c:x val="-3.2971501204916494E-2"/>
                  <c:y val="-7.32125221389446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740-40FA-8DA3-863B2CF0ABF7}"/>
                </c:ext>
              </c:extLst>
            </c:dLbl>
            <c:dLbl>
              <c:idx val="7"/>
              <c:layout>
                <c:manualLayout>
                  <c:x val="-2.9155994974406744E-2"/>
                  <c:y val="-5.54300526642973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740-40FA-8DA3-863B2CF0ABF7}"/>
                </c:ext>
              </c:extLst>
            </c:dLbl>
            <c:dLbl>
              <c:idx val="8"/>
              <c:layout>
                <c:manualLayout>
                  <c:x val="-2.9155545350764141E-2"/>
                  <c:y val="-5.67521728421126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740-40FA-8DA3-863B2CF0ABF7}"/>
                </c:ext>
              </c:extLst>
            </c:dLbl>
            <c:dLbl>
              <c:idx val="9"/>
              <c:layout>
                <c:manualLayout>
                  <c:x val="-3.2948270650052375E-2"/>
                  <c:y val="-5.86804602554628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740-40FA-8DA3-863B2CF0ABF7}"/>
                </c:ext>
              </c:extLst>
            </c:dLbl>
            <c:dLbl>
              <c:idx val="10"/>
              <c:layout>
                <c:manualLayout>
                  <c:x val="-2.8139545793193808E-2"/>
                  <c:y val="-5.28280375804919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740-40FA-8DA3-863B2CF0ABF7}"/>
                </c:ext>
              </c:extLst>
            </c:dLbl>
            <c:dLbl>
              <c:idx val="11"/>
              <c:layout>
                <c:manualLayout>
                  <c:x val="-3.0496023303693713E-2"/>
                  <c:y val="-4.57276235382431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740-40FA-8DA3-863B2CF0ABF7}"/>
                </c:ext>
              </c:extLst>
            </c:dLbl>
            <c:dLbl>
              <c:idx val="12"/>
              <c:layout>
                <c:manualLayout>
                  <c:x val="-3.0495273930956093E-2"/>
                  <c:y val="-5.68915162391357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740-40FA-8DA3-863B2CF0ABF7}"/>
                </c:ext>
              </c:extLst>
            </c:dLbl>
            <c:dLbl>
              <c:idx val="13"/>
              <c:layout>
                <c:manualLayout>
                  <c:x val="-3.0510860883897272E-2"/>
                  <c:y val="-5.09729406383053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740-40FA-8DA3-863B2CF0ABF7}"/>
                </c:ext>
              </c:extLst>
            </c:dLbl>
            <c:dLbl>
              <c:idx val="14"/>
              <c:layout>
                <c:manualLayout>
                  <c:x val="-3.0506664396566855E-2"/>
                  <c:y val="-5.19919771983532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740-40FA-8DA3-863B2CF0ABF7}"/>
                </c:ext>
              </c:extLst>
            </c:dLbl>
            <c:dLbl>
              <c:idx val="15"/>
              <c:layout>
                <c:manualLayout>
                  <c:x val="-3.2429554841120242E-2"/>
                  <c:y val="-4.6940427178999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740-40FA-8DA3-863B2CF0ABF7}"/>
                </c:ext>
              </c:extLst>
            </c:dLbl>
            <c:dLbl>
              <c:idx val="16"/>
              <c:layout>
                <c:manualLayout>
                  <c:x val="-2.8614264264264402E-2"/>
                  <c:y val="-5.3095370370370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740-40FA-8DA3-863B2CF0ABF7}"/>
                </c:ext>
              </c:extLst>
            </c:dLbl>
            <c:dLbl>
              <c:idx val="17"/>
              <c:layout>
                <c:manualLayout>
                  <c:x val="-3.0557807807807806E-2"/>
                  <c:y val="-5.91722222222222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0740-40FA-8DA3-863B2CF0ABF7}"/>
                </c:ext>
              </c:extLst>
            </c:dLbl>
            <c:dLbl>
              <c:idx val="18"/>
              <c:layout>
                <c:manualLayout>
                  <c:x val="-3.6207957957957955E-2"/>
                  <c:y val="4.89013888888888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740-40FA-8DA3-863B2CF0ABF7}"/>
                </c:ext>
              </c:extLst>
            </c:dLbl>
            <c:dLbl>
              <c:idx val="19"/>
              <c:layout>
                <c:manualLayout>
                  <c:x val="-2.8592754421838274E-2"/>
                  <c:y val="5.4076051251789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740-40FA-8DA3-863B2CF0ABF7}"/>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9'!$A$61:$A$79</c:f>
              <c:strCache>
                <c:ptCount val="19"/>
                <c:pt idx="0">
                  <c:v>Cina</c:v>
                </c:pt>
                <c:pt idx="1">
                  <c:v>OPEC</c:v>
                </c:pt>
                <c:pt idx="2">
                  <c:v>Germania</c:v>
                </c:pt>
                <c:pt idx="3">
                  <c:v>Stati Uniti</c:v>
                </c:pt>
                <c:pt idx="4">
                  <c:v>Belgio</c:v>
                </c:pt>
                <c:pt idx="5">
                  <c:v>Paesi Bassi</c:v>
                </c:pt>
                <c:pt idx="6">
                  <c:v>Svizzera</c:v>
                </c:pt>
                <c:pt idx="7">
                  <c:v>ASEAN</c:v>
                </c:pt>
                <c:pt idx="8">
                  <c:v>Francia</c:v>
                </c:pt>
                <c:pt idx="9">
                  <c:v>Spagna</c:v>
                </c:pt>
                <c:pt idx="10">
                  <c:v>MERCOSUR</c:v>
                </c:pt>
                <c:pt idx="11">
                  <c:v>Romania</c:v>
                </c:pt>
                <c:pt idx="12">
                  <c:v>Polonia</c:v>
                </c:pt>
                <c:pt idx="13">
                  <c:v>Repubblica ceca</c:v>
                </c:pt>
                <c:pt idx="14">
                  <c:v>Regno Unito</c:v>
                </c:pt>
                <c:pt idx="15">
                  <c:v>Austria</c:v>
                </c:pt>
                <c:pt idx="16">
                  <c:v>Turchia</c:v>
                </c:pt>
                <c:pt idx="17">
                  <c:v>India</c:v>
                </c:pt>
                <c:pt idx="18">
                  <c:v>Russia</c:v>
                </c:pt>
              </c:strCache>
            </c:strRef>
          </c:cat>
          <c:val>
            <c:numRef>
              <c:f>'figg. 8 e 9'!$B$61:$B$79</c:f>
              <c:numCache>
                <c:formatCode>0.0</c:formatCode>
                <c:ptCount val="19"/>
                <c:pt idx="0">
                  <c:v>50.353689608869132</c:v>
                </c:pt>
                <c:pt idx="1">
                  <c:v>56.223561674604696</c:v>
                </c:pt>
                <c:pt idx="2">
                  <c:v>12.664488411387282</c:v>
                </c:pt>
                <c:pt idx="3">
                  <c:v>57.413581019340569</c:v>
                </c:pt>
                <c:pt idx="4">
                  <c:v>39.98052179951668</c:v>
                </c:pt>
                <c:pt idx="5">
                  <c:v>23.440752789498688</c:v>
                </c:pt>
                <c:pt idx="6">
                  <c:v>58.743347073665518</c:v>
                </c:pt>
                <c:pt idx="7">
                  <c:v>64.559009095570474</c:v>
                </c:pt>
                <c:pt idx="8">
                  <c:v>10.699909468685661</c:v>
                </c:pt>
                <c:pt idx="9">
                  <c:v>14.819549920897529</c:v>
                </c:pt>
                <c:pt idx="10">
                  <c:v>59.639353156072957</c:v>
                </c:pt>
                <c:pt idx="11">
                  <c:v>31.401154895393063</c:v>
                </c:pt>
                <c:pt idx="12">
                  <c:v>17.222781211981214</c:v>
                </c:pt>
                <c:pt idx="13">
                  <c:v>17.27331804160346</c:v>
                </c:pt>
                <c:pt idx="14">
                  <c:v>11.647284586557433</c:v>
                </c:pt>
                <c:pt idx="15">
                  <c:v>7.7293931469315567</c:v>
                </c:pt>
                <c:pt idx="16">
                  <c:v>5.6883541887724505</c:v>
                </c:pt>
                <c:pt idx="17">
                  <c:v>5.1706113903973687</c:v>
                </c:pt>
                <c:pt idx="18">
                  <c:v>-44.188531613526735</c:v>
                </c:pt>
              </c:numCache>
            </c:numRef>
          </c:val>
          <c:smooth val="0"/>
          <c:extLst>
            <c:ext xmlns:c16="http://schemas.microsoft.com/office/drawing/2014/chart" uri="{C3380CC4-5D6E-409C-BE32-E72D297353CC}">
              <c16:uniqueId val="{00000016-0740-40FA-8DA3-863B2CF0ABF7}"/>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7625504"/>
        <c:axId val="237449808"/>
      </c:lineChart>
      <c:catAx>
        <c:axId val="23744868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449248"/>
        <c:crosses val="autoZero"/>
        <c:auto val="1"/>
        <c:lblAlgn val="ctr"/>
        <c:lblOffset val="0"/>
        <c:tickLblSkip val="1"/>
        <c:noMultiLvlLbl val="0"/>
      </c:catAx>
      <c:valAx>
        <c:axId val="237449248"/>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8688"/>
        <c:crosses val="autoZero"/>
        <c:crossBetween val="between"/>
        <c:majorUnit val="5"/>
      </c:valAx>
      <c:valAx>
        <c:axId val="237449808"/>
        <c:scaling>
          <c:orientation val="minMax"/>
          <c:max val="200"/>
          <c:min val="-200"/>
        </c:scaling>
        <c:delete val="0"/>
        <c:axPos val="r"/>
        <c:title>
          <c:tx>
            <c:rich>
              <a:bodyPr rot="0" vert="horz"/>
              <a:lstStyle/>
              <a:p>
                <a:pPr>
                  <a:defRPr b="1"/>
                </a:pPr>
                <a:r>
                  <a:rPr lang="it-IT" b="1"/>
                  <a:t>%</a:t>
                </a:r>
              </a:p>
            </c:rich>
          </c:tx>
          <c:layout>
            <c:manualLayout>
              <c:xMode val="edge"/>
              <c:yMode val="edge"/>
              <c:x val="0.96162867867867863"/>
              <c:y val="1.9740740740740756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625504"/>
        <c:crosses val="max"/>
        <c:crossBetween val="between"/>
        <c:majorUnit val="100"/>
      </c:valAx>
      <c:catAx>
        <c:axId val="237625504"/>
        <c:scaling>
          <c:orientation val="minMax"/>
        </c:scaling>
        <c:delete val="1"/>
        <c:axPos val="b"/>
        <c:numFmt formatCode="General" sourceLinked="1"/>
        <c:majorTickMark val="out"/>
        <c:minorTickMark val="none"/>
        <c:tickLblPos val="nextTo"/>
        <c:crossAx val="237449808"/>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6853560371427334"/>
          <c:y val="0"/>
          <c:w val="0.6898444699442881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000000"/>
                </a:solidFill>
                <a:latin typeface="Arial Narrow" panose="020B0606020202030204" pitchFamily="34" charset="0"/>
                <a:ea typeface="+mn-ea"/>
                <a:cs typeface="+mn-cs"/>
              </a:defRPr>
            </a:pPr>
            <a:r>
              <a:rPr lang="en-US" b="1"/>
              <a:t>Valori medi unitari</a:t>
            </a:r>
          </a:p>
        </c:rich>
      </c:tx>
      <c:layout>
        <c:manualLayout>
          <c:xMode val="edge"/>
          <c:yMode val="edge"/>
          <c:x val="0.32500246913580255"/>
          <c:y val="1.1423431526872049E-2"/>
        </c:manualLayout>
      </c:layout>
      <c:overlay val="1"/>
      <c:spPr>
        <a:noFill/>
        <a:ln>
          <a:noFill/>
        </a:ln>
        <a:effectLst/>
      </c:spPr>
    </c:title>
    <c:autoTitleDeleted val="0"/>
    <c:plotArea>
      <c:layout>
        <c:manualLayout>
          <c:layoutTarget val="inner"/>
          <c:xMode val="edge"/>
          <c:yMode val="edge"/>
          <c:x val="3.8200031242677498E-2"/>
          <c:y val="0.1838210029233191"/>
          <c:w val="0.9225041907245296"/>
          <c:h val="0.72395322689453567"/>
        </c:manualLayout>
      </c:layout>
      <c:lineChart>
        <c:grouping val="standard"/>
        <c:varyColors val="0"/>
        <c:ser>
          <c:idx val="0"/>
          <c:order val="0"/>
          <c:tx>
            <c:strRef>
              <c:f>'figura 10'!$D$16</c:f>
              <c:strCache>
                <c:ptCount val="1"/>
                <c:pt idx="0">
                  <c:v>Esportazioni</c:v>
                </c:pt>
              </c:strCache>
            </c:strRef>
          </c:tx>
          <c:spPr>
            <a:ln w="19050" cap="rnd" cmpd="sng" algn="ctr">
              <a:solidFill>
                <a:srgbClr val="003B5C"/>
              </a:solidFill>
              <a:prstDash val="solid"/>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10'!$D$77:$D$136</c:f>
              <c:numCache>
                <c:formatCode>0.0</c:formatCode>
                <c:ptCount val="60"/>
                <c:pt idx="0">
                  <c:v>2.0019065776930205</c:v>
                </c:pt>
                <c:pt idx="1">
                  <c:v>1.7224880382775183</c:v>
                </c:pt>
                <c:pt idx="2">
                  <c:v>1.6252390057361339</c:v>
                </c:pt>
                <c:pt idx="3">
                  <c:v>1.7291066282420644</c:v>
                </c:pt>
                <c:pt idx="4">
                  <c:v>3.1639501438159243</c:v>
                </c:pt>
                <c:pt idx="5">
                  <c:v>4.5148895292987277</c:v>
                </c:pt>
                <c:pt idx="6">
                  <c:v>4.5192307692307736</c:v>
                </c:pt>
                <c:pt idx="7">
                  <c:v>4.711538461538467</c:v>
                </c:pt>
                <c:pt idx="8">
                  <c:v>5.1158301158301214</c:v>
                </c:pt>
                <c:pt idx="9">
                  <c:v>4.6979865771812115</c:v>
                </c:pt>
                <c:pt idx="10">
                  <c:v>3.6053130929791308</c:v>
                </c:pt>
                <c:pt idx="11">
                  <c:v>3.0217186024551381</c:v>
                </c:pt>
                <c:pt idx="12">
                  <c:v>2.8037383177570092</c:v>
                </c:pt>
                <c:pt idx="13">
                  <c:v>3.7629350893697051</c:v>
                </c:pt>
                <c:pt idx="14">
                  <c:v>4.2333019755409254</c:v>
                </c:pt>
                <c:pt idx="15">
                  <c:v>5.6657223796033946</c:v>
                </c:pt>
                <c:pt idx="16">
                  <c:v>4.5539033457249047</c:v>
                </c:pt>
                <c:pt idx="17">
                  <c:v>3.033088235294116</c:v>
                </c:pt>
                <c:pt idx="18">
                  <c:v>3.3118675252989931</c:v>
                </c:pt>
                <c:pt idx="19">
                  <c:v>2.4793388429752241</c:v>
                </c:pt>
                <c:pt idx="20">
                  <c:v>2.7548209366391205</c:v>
                </c:pt>
                <c:pt idx="21">
                  <c:v>3.1135531135531096</c:v>
                </c:pt>
                <c:pt idx="22">
                  <c:v>3.6630036630036642</c:v>
                </c:pt>
                <c:pt idx="23">
                  <c:v>4.307974335472025</c:v>
                </c:pt>
                <c:pt idx="24">
                  <c:v>3.0909090909090935</c:v>
                </c:pt>
                <c:pt idx="25">
                  <c:v>1.9945602901178603</c:v>
                </c:pt>
                <c:pt idx="26">
                  <c:v>0.36101083032492909</c:v>
                </c:pt>
                <c:pt idx="27">
                  <c:v>-1.9660411081322593</c:v>
                </c:pt>
                <c:pt idx="28">
                  <c:v>-0.9777777777777743</c:v>
                </c:pt>
                <c:pt idx="29">
                  <c:v>0.62444246208741561</c:v>
                </c:pt>
                <c:pt idx="30">
                  <c:v>-0.62333036509349427</c:v>
                </c:pt>
                <c:pt idx="31">
                  <c:v>-0.71684587813621192</c:v>
                </c:pt>
                <c:pt idx="32">
                  <c:v>-0.26809651474529517</c:v>
                </c:pt>
                <c:pt idx="33">
                  <c:v>-0.7992895204262993</c:v>
                </c:pt>
                <c:pt idx="34">
                  <c:v>-0.97173144876325068</c:v>
                </c:pt>
                <c:pt idx="35">
                  <c:v>-0.70298769771528669</c:v>
                </c:pt>
                <c:pt idx="36">
                  <c:v>2.0282186948853536</c:v>
                </c:pt>
                <c:pt idx="37">
                  <c:v>4.2666666666666657</c:v>
                </c:pt>
                <c:pt idx="38">
                  <c:v>6.9244604316546656</c:v>
                </c:pt>
                <c:pt idx="39">
                  <c:v>8.8422971741112235</c:v>
                </c:pt>
                <c:pt idx="40">
                  <c:v>8.2585278276481091</c:v>
                </c:pt>
                <c:pt idx="41">
                  <c:v>7.4468085106383057</c:v>
                </c:pt>
                <c:pt idx="42">
                  <c:v>10.035842293906796</c:v>
                </c:pt>
                <c:pt idx="43">
                  <c:v>12.454873646209407</c:v>
                </c:pt>
                <c:pt idx="44">
                  <c:v>12.903225806451601</c:v>
                </c:pt>
                <c:pt idx="45">
                  <c:v>12.533572068039391</c:v>
                </c:pt>
                <c:pt idx="46">
                  <c:v>14.272970561998207</c:v>
                </c:pt>
                <c:pt idx="47">
                  <c:v>15.221238938053105</c:v>
                </c:pt>
                <c:pt idx="48">
                  <c:v>17.718236819360399</c:v>
                </c:pt>
                <c:pt idx="49">
                  <c:v>17.817561807331643</c:v>
                </c:pt>
                <c:pt idx="50">
                  <c:v>19.596299411269982</c:v>
                </c:pt>
                <c:pt idx="51">
                  <c:v>20.268006700167504</c:v>
                </c:pt>
                <c:pt idx="52">
                  <c:v>22.553897180762846</c:v>
                </c:pt>
                <c:pt idx="53">
                  <c:v>23.184818481848197</c:v>
                </c:pt>
                <c:pt idx="54">
                  <c:v>20.928338762214992</c:v>
                </c:pt>
                <c:pt idx="55">
                  <c:v>21.508828250401294</c:v>
                </c:pt>
                <c:pt idx="56">
                  <c:v>19.047619047619051</c:v>
                </c:pt>
                <c:pt idx="57">
                  <c:v>20.76372315035799</c:v>
                </c:pt>
              </c:numCache>
            </c:numRef>
          </c:val>
          <c:smooth val="0"/>
          <c:extLst>
            <c:ext xmlns:c16="http://schemas.microsoft.com/office/drawing/2014/chart" uri="{C3380CC4-5D6E-409C-BE32-E72D297353CC}">
              <c16:uniqueId val="{00000000-C999-41CD-9EAA-A6AF7D62450E}"/>
            </c:ext>
          </c:extLst>
        </c:ser>
        <c:ser>
          <c:idx val="1"/>
          <c:order val="1"/>
          <c:tx>
            <c:strRef>
              <c:f>'figura 10'!$E$16</c:f>
              <c:strCache>
                <c:ptCount val="1"/>
                <c:pt idx="0">
                  <c:v>Importazioni</c:v>
                </c:pt>
              </c:strCache>
            </c:strRef>
          </c:tx>
          <c:spPr>
            <a:ln w="19050" cap="rnd" cmpd="sng" algn="ctr">
              <a:solidFill>
                <a:srgbClr val="D22630"/>
              </a:solidFill>
              <a:prstDash val="sysDash"/>
              <a:round/>
              <a:headEnd type="none" w="med" len="med"/>
              <a:tailEnd type="none" w="med" len="med"/>
            </a:ln>
            <a:effectLst/>
          </c:spPr>
          <c:marker>
            <c:symbol val="none"/>
          </c:marker>
          <c:cat>
            <c:numRef>
              <c:f>'figura 10'!$C$77:$C$136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10'!$E$77:$E$136</c:f>
              <c:numCache>
                <c:formatCode>0.0</c:formatCode>
                <c:ptCount val="60"/>
                <c:pt idx="0">
                  <c:v>1.8464528668610143</c:v>
                </c:pt>
                <c:pt idx="1">
                  <c:v>1.5549076773566384</c:v>
                </c:pt>
                <c:pt idx="2">
                  <c:v>0.58027079303674611</c:v>
                </c:pt>
                <c:pt idx="3">
                  <c:v>1.257253384912957</c:v>
                </c:pt>
                <c:pt idx="4">
                  <c:v>3.7037037037037095</c:v>
                </c:pt>
                <c:pt idx="5">
                  <c:v>6.9169960474308283</c:v>
                </c:pt>
                <c:pt idx="6">
                  <c:v>8.8118811881188179</c:v>
                </c:pt>
                <c:pt idx="7">
                  <c:v>8.2758620689655373</c:v>
                </c:pt>
                <c:pt idx="8">
                  <c:v>8.7301587301587347</c:v>
                </c:pt>
                <c:pt idx="9">
                  <c:v>7.3457394711067536</c:v>
                </c:pt>
                <c:pt idx="10">
                  <c:v>6.7307692307692264</c:v>
                </c:pt>
                <c:pt idx="11">
                  <c:v>3.5339063992359314</c:v>
                </c:pt>
                <c:pt idx="12">
                  <c:v>3.3396946564885468</c:v>
                </c:pt>
                <c:pt idx="13">
                  <c:v>3.6363636363636402</c:v>
                </c:pt>
                <c:pt idx="14">
                  <c:v>4.1346153846153726</c:v>
                </c:pt>
                <c:pt idx="15">
                  <c:v>4.2979942693409896</c:v>
                </c:pt>
                <c:pt idx="16">
                  <c:v>2.6315789473684248</c:v>
                </c:pt>
                <c:pt idx="17">
                  <c:v>-0.46210720887246737</c:v>
                </c:pt>
                <c:pt idx="18">
                  <c:v>-2.365787079162871</c:v>
                </c:pt>
                <c:pt idx="19">
                  <c:v>-3.8216560509554114</c:v>
                </c:pt>
                <c:pt idx="20">
                  <c:v>-2.6459854014598534</c:v>
                </c:pt>
                <c:pt idx="21">
                  <c:v>-2.1897810218978151</c:v>
                </c:pt>
                <c:pt idx="22">
                  <c:v>-3.4234234234234293</c:v>
                </c:pt>
                <c:pt idx="23">
                  <c:v>0.2767527675276682</c:v>
                </c:pt>
                <c:pt idx="24">
                  <c:v>0.46168051708218627</c:v>
                </c:pt>
                <c:pt idx="25">
                  <c:v>-1.7543859649122737</c:v>
                </c:pt>
                <c:pt idx="26">
                  <c:v>-3.9704524469067337</c:v>
                </c:pt>
                <c:pt idx="27">
                  <c:v>-8.7912087912087884</c:v>
                </c:pt>
                <c:pt idx="28">
                  <c:v>-10.256410256410263</c:v>
                </c:pt>
                <c:pt idx="29">
                  <c:v>-7.3351903435468842</c:v>
                </c:pt>
                <c:pt idx="30">
                  <c:v>-4.8462255358806914</c:v>
                </c:pt>
                <c:pt idx="31">
                  <c:v>-5.0141911069063241</c:v>
                </c:pt>
                <c:pt idx="32">
                  <c:v>-5.3420805998125473</c:v>
                </c:pt>
                <c:pt idx="33">
                  <c:v>-5.7835820895522403</c:v>
                </c:pt>
                <c:pt idx="34">
                  <c:v>-3.7313432835820919</c:v>
                </c:pt>
                <c:pt idx="35">
                  <c:v>-3.6798528058877622</c:v>
                </c:pt>
                <c:pt idx="36">
                  <c:v>-0.82720588235294201</c:v>
                </c:pt>
                <c:pt idx="37">
                  <c:v>2.5375939849624132</c:v>
                </c:pt>
                <c:pt idx="38">
                  <c:v>7.4038461538461462</c:v>
                </c:pt>
                <c:pt idx="39">
                  <c:v>14.156626506024082</c:v>
                </c:pt>
                <c:pt idx="40">
                  <c:v>19.795918367346943</c:v>
                </c:pt>
                <c:pt idx="41">
                  <c:v>18.236472945891791</c:v>
                </c:pt>
                <c:pt idx="42">
                  <c:v>20.470127326150816</c:v>
                </c:pt>
                <c:pt idx="43">
                  <c:v>24.900398406374507</c:v>
                </c:pt>
                <c:pt idx="44">
                  <c:v>26.831683168316829</c:v>
                </c:pt>
                <c:pt idx="45">
                  <c:v>32.871287128712851</c:v>
                </c:pt>
                <c:pt idx="46">
                  <c:v>33.817829457364326</c:v>
                </c:pt>
                <c:pt idx="47">
                  <c:v>33.428844317096491</c:v>
                </c:pt>
                <c:pt idx="48">
                  <c:v>39.944392956441163</c:v>
                </c:pt>
                <c:pt idx="49">
                  <c:v>36.938588450962413</c:v>
                </c:pt>
                <c:pt idx="50">
                  <c:v>40.913160250671439</c:v>
                </c:pt>
                <c:pt idx="51">
                  <c:v>44.5910290237467</c:v>
                </c:pt>
                <c:pt idx="52">
                  <c:v>39.437819420783654</c:v>
                </c:pt>
                <c:pt idx="53">
                  <c:v>42.372881355932208</c:v>
                </c:pt>
                <c:pt idx="54">
                  <c:v>42.195121951219505</c:v>
                </c:pt>
                <c:pt idx="55">
                  <c:v>47.76714513556621</c:v>
                </c:pt>
                <c:pt idx="56">
                  <c:v>40.827478532396583</c:v>
                </c:pt>
                <c:pt idx="57">
                  <c:v>27.496274217585707</c:v>
                </c:pt>
              </c:numCache>
            </c:numRef>
          </c:val>
          <c:smooth val="0"/>
          <c:extLst>
            <c:ext xmlns:c16="http://schemas.microsoft.com/office/drawing/2014/chart" uri="{C3380CC4-5D6E-409C-BE32-E72D297353CC}">
              <c16:uniqueId val="{00000001-C999-41CD-9EAA-A6AF7D62450E}"/>
            </c:ext>
          </c:extLst>
        </c:ser>
        <c:dLbls>
          <c:showLegendKey val="0"/>
          <c:showVal val="0"/>
          <c:showCatName val="0"/>
          <c:showSerName val="0"/>
          <c:showPercent val="0"/>
          <c:showBubbleSize val="0"/>
        </c:dLbls>
        <c:marker val="1"/>
        <c:smooth val="0"/>
        <c:axId val="237639504"/>
        <c:axId val="237640064"/>
      </c:lineChart>
      <c:lineChart>
        <c:grouping val="standard"/>
        <c:varyColors val="0"/>
        <c:ser>
          <c:idx val="2"/>
          <c:order val="2"/>
          <c:spPr>
            <a:ln w="28575" cap="rnd">
              <a:solidFill>
                <a:srgbClr val="FFFFFF"/>
              </a:solidFill>
              <a:round/>
            </a:ln>
            <a:effectLst/>
          </c:spPr>
          <c:marker>
            <c:symbol val="none"/>
          </c:marker>
          <c:cat>
            <c:numRef>
              <c:f>'figura 10'!$C$17:$C$76</c:f>
              <c:numCache>
                <c:formatCode>General</c:formatCode>
                <c:ptCount val="60"/>
                <c:pt idx="5" formatCode="0">
                  <c:v>2013</c:v>
                </c:pt>
                <c:pt idx="17" formatCode="0">
                  <c:v>2014</c:v>
                </c:pt>
                <c:pt idx="29" formatCode="0">
                  <c:v>2015</c:v>
                </c:pt>
                <c:pt idx="41" formatCode="0">
                  <c:v>2016</c:v>
                </c:pt>
                <c:pt idx="53" formatCode="0">
                  <c:v>2017</c:v>
                </c:pt>
              </c:numCache>
            </c:numRef>
          </c:cat>
          <c:val>
            <c:numRef>
              <c:f>'figura 10'!$FR$2:$FR$45</c:f>
              <c:numCache>
                <c:formatCode>General</c:formatCode>
                <c:ptCount val="44"/>
              </c:numCache>
            </c:numRef>
          </c:val>
          <c:smooth val="0"/>
          <c:extLst>
            <c:ext xmlns:c16="http://schemas.microsoft.com/office/drawing/2014/chart" uri="{C3380CC4-5D6E-409C-BE32-E72D297353CC}">
              <c16:uniqueId val="{00000002-C999-41CD-9EAA-A6AF7D62450E}"/>
            </c:ext>
          </c:extLst>
        </c:ser>
        <c:dLbls>
          <c:showLegendKey val="0"/>
          <c:showVal val="0"/>
          <c:showCatName val="0"/>
          <c:showSerName val="0"/>
          <c:showPercent val="0"/>
          <c:showBubbleSize val="0"/>
        </c:dLbls>
        <c:marker val="1"/>
        <c:smooth val="0"/>
        <c:axId val="237641184"/>
        <c:axId val="237640624"/>
      </c:lineChart>
      <c:catAx>
        <c:axId val="23763950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640064"/>
        <c:crosses val="autoZero"/>
        <c:auto val="1"/>
        <c:lblAlgn val="ctr"/>
        <c:lblOffset val="0"/>
        <c:tickMarkSkip val="3"/>
        <c:noMultiLvlLbl val="0"/>
      </c:catAx>
      <c:valAx>
        <c:axId val="237640064"/>
        <c:scaling>
          <c:orientation val="minMax"/>
          <c:max val="75"/>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5.8228395061728395E-3"/>
              <c:y val="1.513843941028407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639504"/>
        <c:crosses val="autoZero"/>
        <c:crossBetween val="between"/>
        <c:majorUnit val="25"/>
      </c:valAx>
      <c:valAx>
        <c:axId val="237640624"/>
        <c:scaling>
          <c:orientation val="minMax"/>
        </c:scaling>
        <c:delete val="1"/>
        <c:axPos val="r"/>
        <c:numFmt formatCode="General" sourceLinked="1"/>
        <c:majorTickMark val="out"/>
        <c:minorTickMark val="none"/>
        <c:tickLblPos val="nextTo"/>
        <c:crossAx val="237641184"/>
        <c:crosses val="max"/>
        <c:crossBetween val="between"/>
      </c:valAx>
      <c:catAx>
        <c:axId val="237641184"/>
        <c:scaling>
          <c:orientation val="minMax"/>
        </c:scaling>
        <c:delete val="1"/>
        <c:axPos val="t"/>
        <c:majorGridlines>
          <c:spPr>
            <a:ln w="6350" cap="flat" cmpd="sng" algn="ctr">
              <a:solidFill>
                <a:srgbClr val="A6A6A6"/>
              </a:solidFill>
              <a:prstDash val="solid"/>
              <a:round/>
              <a:headEnd type="none" w="med" len="med"/>
              <a:tailEnd type="none" w="med" len="med"/>
            </a:ln>
            <a:effectLst/>
          </c:spPr>
        </c:majorGridlines>
        <c:numFmt formatCode="General" sourceLinked="1"/>
        <c:majorTickMark val="out"/>
        <c:minorTickMark val="none"/>
        <c:tickLblPos val="nextTo"/>
        <c:crossAx val="237640624"/>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ayout>
        <c:manualLayout>
          <c:xMode val="edge"/>
          <c:yMode val="edge"/>
          <c:x val="0.14301820987654318"/>
          <c:y val="9.7099167978412407E-2"/>
          <c:w val="0.7456351851851852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AF039-4907-44F4-9163-8CBD2D9FEF44}">
  <ds:schemaRefs>
    <ds:schemaRef ds:uri="http://schemas.microsoft.com/office/2006/metadata/longProperties"/>
  </ds:schemaRefs>
</ds:datastoreItem>
</file>

<file path=customXml/itemProps2.xml><?xml version="1.0" encoding="utf-8"?>
<ds:datastoreItem xmlns:ds="http://schemas.openxmlformats.org/officeDocument/2006/customXml" ds:itemID="{4463D393-A86E-48FE-A47C-966673B0F313}">
  <ds:schemaRefs>
    <ds:schemaRef ds:uri="http://schemas.microsoft.com/sharepoint/events"/>
  </ds:schemaRefs>
</ds:datastoreItem>
</file>

<file path=customXml/itemProps3.xml><?xml version="1.0" encoding="utf-8"?>
<ds:datastoreItem xmlns:ds="http://schemas.openxmlformats.org/officeDocument/2006/customXml" ds:itemID="{3FA3A331-E51C-433B-B400-E4AB42279668}">
  <ds:schemaRefs>
    <ds:schemaRef ds:uri="http://schemas.microsoft.com/sharepoint/v3/contenttype/forms"/>
  </ds:schemaRefs>
</ds:datastoreItem>
</file>

<file path=customXml/itemProps4.xml><?xml version="1.0" encoding="utf-8"?>
<ds:datastoreItem xmlns:ds="http://schemas.openxmlformats.org/officeDocument/2006/customXml" ds:itemID="{416CBCD4-A0D9-4779-82A0-880610C2D008}">
  <ds:schemaRefs>
    <ds:schemaRef ds:uri="http://purl.org/dc/elements/1.1/"/>
    <ds:schemaRef ds:uri="http://purl.org/dc/terms/"/>
    <ds:schemaRef ds:uri="2886d22a-1eb9-406b-961e-e52bb60f5915"/>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BBAC46FC-E450-4A0E-A8DC-D0559AC30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D50FD9A-F748-4CEC-BA47-A4F2C57E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8670</Words>
  <Characters>55197</Characters>
  <Application>Microsoft Office Word</Application>
  <DocSecurity>0</DocSecurity>
  <Lines>459</Lines>
  <Paragraphs>127</Paragraphs>
  <ScaleCrop>false</ScaleCrop>
  <HeadingPairs>
    <vt:vector size="2" baseType="variant">
      <vt:variant>
        <vt:lpstr>Titolo</vt:lpstr>
      </vt:variant>
      <vt:variant>
        <vt:i4>1</vt:i4>
      </vt:variant>
    </vt:vector>
  </HeadingPairs>
  <TitlesOfParts>
    <vt:vector size="1" baseType="lpstr">
      <vt:lpstr>COMMERCIO CON L'ESTERO E PREZZI ALL'IMPORT</vt:lpstr>
    </vt:vector>
  </TitlesOfParts>
  <Company>HP</Company>
  <LinksUpToDate>false</LinksUpToDate>
  <CharactersWithSpaces>63740</CharactersWithSpaces>
  <SharedDoc>false</SharedDoc>
  <HLinks>
    <vt:vector size="108" baseType="variant">
      <vt:variant>
        <vt:i4>3670095</vt:i4>
      </vt:variant>
      <vt:variant>
        <vt:i4>51</vt:i4>
      </vt:variant>
      <vt:variant>
        <vt:i4>0</vt:i4>
      </vt:variant>
      <vt:variant>
        <vt:i4>5</vt:i4>
      </vt:variant>
      <vt:variant>
        <vt:lpwstr>https://www.istat.it/it/files/2018/05/nota_informativa_prezzi_import.pdf</vt:lpwstr>
      </vt:variant>
      <vt:variant>
        <vt:lpwstr/>
      </vt:variant>
      <vt:variant>
        <vt:i4>6881380</vt:i4>
      </vt:variant>
      <vt:variant>
        <vt:i4>48</vt:i4>
      </vt:variant>
      <vt:variant>
        <vt:i4>0</vt:i4>
      </vt:variant>
      <vt:variant>
        <vt:i4>5</vt:i4>
      </vt:variant>
      <vt:variant>
        <vt:lpwstr>http://www.istat.it/it/files/2015/11/Ricostruzione-serie-indici-2005-2009.pdf?title=Prezzi+all%27importazione+dei+prodotti+industriali+-+17%2Fnov%2F2015+-+Ricostruzione+serie.pdf</vt:lpwstr>
      </vt:variant>
      <vt:variant>
        <vt:lpwstr/>
      </vt:variant>
      <vt:variant>
        <vt:i4>7340158</vt:i4>
      </vt:variant>
      <vt:variant>
        <vt:i4>45</vt:i4>
      </vt:variant>
      <vt:variant>
        <vt:i4>0</vt:i4>
      </vt:variant>
      <vt:variant>
        <vt:i4>5</vt:i4>
      </vt:variant>
      <vt:variant>
        <vt:lpwstr>http://www.istat.it/it/files/2016/02/Prezzi-all-importazione-dei-prodotti-industriali-Nota-informativa.pdf?title=Prezzi+all%E2%80%99importazione+dei+prodotti+industriali+-+16%2Ffeb%2F2016+-+Nota+informativa.pdf</vt:lpwstr>
      </vt:variant>
      <vt:variant>
        <vt:lpwstr/>
      </vt:variant>
      <vt:variant>
        <vt:i4>5898331</vt:i4>
      </vt:variant>
      <vt:variant>
        <vt:i4>42</vt:i4>
      </vt:variant>
      <vt:variant>
        <vt:i4>0</vt:i4>
      </vt:variant>
      <vt:variant>
        <vt:i4>5</vt:i4>
      </vt:variant>
      <vt:variant>
        <vt:lpwstr>http://www.istat.it/it/archivio/45225</vt:lpwstr>
      </vt:variant>
      <vt:variant>
        <vt:lpwstr/>
      </vt:variant>
      <vt:variant>
        <vt:i4>852042</vt:i4>
      </vt:variant>
      <vt:variant>
        <vt:i4>39</vt:i4>
      </vt:variant>
      <vt:variant>
        <vt:i4>0</vt:i4>
      </vt:variant>
      <vt:variant>
        <vt:i4>5</vt:i4>
      </vt:variant>
      <vt:variant>
        <vt:lpwstr>https://www.istat.it/it/files/2011/03/testointegrale20080225.pdf</vt:lpwstr>
      </vt:variant>
      <vt:variant>
        <vt:lpwstr/>
      </vt:variant>
      <vt:variant>
        <vt:i4>7340157</vt:i4>
      </vt:variant>
      <vt:variant>
        <vt:i4>36</vt:i4>
      </vt:variant>
      <vt:variant>
        <vt:i4>0</vt:i4>
      </vt:variant>
      <vt:variant>
        <vt:i4>5</vt:i4>
      </vt:variant>
      <vt:variant>
        <vt:lpwstr>http://ec.europa.eu/eurostat/data/database</vt:lpwstr>
      </vt:variant>
      <vt:variant>
        <vt:lpwstr/>
      </vt:variant>
      <vt:variant>
        <vt:i4>3604535</vt:i4>
      </vt:variant>
      <vt:variant>
        <vt:i4>33</vt:i4>
      </vt:variant>
      <vt:variant>
        <vt:i4>0</vt:i4>
      </vt:variant>
      <vt:variant>
        <vt:i4>5</vt:i4>
      </vt:variant>
      <vt:variant>
        <vt:lpwstr>http://www.istat.it/it/archivio/esportazioni+delle+regioni</vt:lpwstr>
      </vt:variant>
      <vt:variant>
        <vt:lpwstr/>
      </vt:variant>
      <vt:variant>
        <vt:i4>1245267</vt:i4>
      </vt:variant>
      <vt:variant>
        <vt:i4>30</vt:i4>
      </vt:variant>
      <vt:variant>
        <vt:i4>0</vt:i4>
      </vt:variant>
      <vt:variant>
        <vt:i4>5</vt:i4>
      </vt:variant>
      <vt:variant>
        <vt:lpwstr>http://www.istat.it/it/archivio/commercio+estero+extra+ue</vt:lpwstr>
      </vt:variant>
      <vt:variant>
        <vt:lpwstr/>
      </vt:variant>
      <vt:variant>
        <vt:i4>4259923</vt:i4>
      </vt:variant>
      <vt:variant>
        <vt:i4>27</vt:i4>
      </vt:variant>
      <vt:variant>
        <vt:i4>0</vt:i4>
      </vt:variant>
      <vt:variant>
        <vt:i4>5</vt:i4>
      </vt:variant>
      <vt:variant>
        <vt:lpwstr>http://www.istat.it/it/archivio/commercio+estero+e+prezzi+import</vt:lpwstr>
      </vt:variant>
      <vt:variant>
        <vt:lpwstr/>
      </vt:variant>
      <vt:variant>
        <vt:i4>2359335</vt:i4>
      </vt:variant>
      <vt:variant>
        <vt:i4>24</vt:i4>
      </vt:variant>
      <vt:variant>
        <vt:i4>0</vt:i4>
      </vt:variant>
      <vt:variant>
        <vt:i4>5</vt:i4>
      </vt:variant>
      <vt:variant>
        <vt:lpwstr>http://www.istat.it/it/files/2016/07/scheda-CommercioEstero-e-prezzi-allimport-dei-prodotti-industriali.pdf</vt:lpwstr>
      </vt:variant>
      <vt:variant>
        <vt:lpwstr/>
      </vt:variant>
      <vt:variant>
        <vt:i4>2031617</vt:i4>
      </vt:variant>
      <vt:variant>
        <vt:i4>21</vt:i4>
      </vt:variant>
      <vt:variant>
        <vt:i4>0</vt:i4>
      </vt:variant>
      <vt:variant>
        <vt:i4>5</vt:i4>
      </vt:variant>
      <vt:variant>
        <vt:lpwstr>http://www.istat.it/it/congiuntura/revisioni</vt:lpwstr>
      </vt:variant>
      <vt:variant>
        <vt:lpwstr/>
      </vt:variant>
      <vt:variant>
        <vt:i4>1310812</vt:i4>
      </vt:variant>
      <vt:variant>
        <vt:i4>18</vt:i4>
      </vt:variant>
      <vt:variant>
        <vt:i4>0</vt:i4>
      </vt:variant>
      <vt:variant>
        <vt:i4>5</vt:i4>
      </vt:variant>
      <vt:variant>
        <vt:lpwstr>http://www.istat.it/it/informazioni/per-i-giornalisti/calendario/</vt:lpwstr>
      </vt:variant>
      <vt:variant>
        <vt:lpwstr/>
      </vt:variant>
      <vt:variant>
        <vt:i4>1900613</vt:i4>
      </vt:variant>
      <vt:variant>
        <vt:i4>15</vt:i4>
      </vt:variant>
      <vt:variant>
        <vt:i4>0</vt:i4>
      </vt:variant>
      <vt:variant>
        <vt:i4>5</vt:i4>
      </vt:variant>
      <vt:variant>
        <vt:lpwstr>https://www.coeweb.istat.it/</vt:lpwstr>
      </vt:variant>
      <vt:variant>
        <vt:lpwstr/>
      </vt:variant>
      <vt:variant>
        <vt:i4>6815848</vt:i4>
      </vt:variant>
      <vt:variant>
        <vt:i4>12</vt:i4>
      </vt:variant>
      <vt:variant>
        <vt:i4>0</vt:i4>
      </vt:variant>
      <vt:variant>
        <vt:i4>5</vt:i4>
      </vt:variant>
      <vt:variant>
        <vt:lpwstr>http://ec.europa.eu/eurostat/documents/3859598/5902521/KS-RA-07-015-EN.PDF</vt:lpwstr>
      </vt:variant>
      <vt:variant>
        <vt:lpwstr/>
      </vt:variant>
      <vt:variant>
        <vt:i4>5832811</vt:i4>
      </vt:variant>
      <vt:variant>
        <vt:i4>9</vt:i4>
      </vt:variant>
      <vt:variant>
        <vt:i4>0</vt:i4>
      </vt:variant>
      <vt:variant>
        <vt:i4>5</vt:i4>
      </vt:variant>
      <vt:variant>
        <vt:lpwstr>https://unstats.un.org/unsd/cr/registry/docs/i4_SNA.pdf</vt:lpwstr>
      </vt:variant>
      <vt:variant>
        <vt:lpwstr/>
      </vt:variant>
      <vt:variant>
        <vt:i4>1900613</vt:i4>
      </vt:variant>
      <vt:variant>
        <vt:i4>6</vt:i4>
      </vt:variant>
      <vt:variant>
        <vt:i4>0</vt:i4>
      </vt:variant>
      <vt:variant>
        <vt:i4>5</vt:i4>
      </vt:variant>
      <vt:variant>
        <vt:lpwstr>https://www.coeweb.istat.it/</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COMMERCIO CON L'ESTERO E PREZZI ALL'IMPORT</dc:title>
  <dc:subject/>
  <dc:creator>ISTAT</dc:creator>
  <cp:keywords/>
  <dc:description/>
  <cp:lastModifiedBy>Lorenzo Soriani</cp:lastModifiedBy>
  <cp:revision>2</cp:revision>
  <cp:lastPrinted>2022-12-14T21:20:00Z</cp:lastPrinted>
  <dcterms:created xsi:type="dcterms:W3CDTF">2022-12-15T16:37:00Z</dcterms:created>
  <dcterms:modified xsi:type="dcterms:W3CDTF">2022-12-15T16:37:00Z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2QYKZWF4TN2A-29-1413</vt:lpwstr>
  </property>
  <property fmtid="{D5CDD505-2E9C-101B-9397-08002B2CF9AE}" pid="3" name="_dlc_DocIdItemGuid">
    <vt:lpwstr>91d25d38-75ff-4036-8e43-5fa02ffec53a</vt:lpwstr>
  </property>
  <property fmtid="{D5CDD505-2E9C-101B-9397-08002B2CF9AE}" pid="4" name="_dlc_DocIdUrl">
    <vt:lpwstr>https://collaborazione.istat.it/siti/ed/ufficio_stampa/_layouts/DocIdRedir.aspx?ID=2QYKZWF4TN2A-29-1413, 2QYKZWF4TN2A-29-1413</vt:lpwstr>
  </property>
</Properties>
</file>