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A68AA" w14:textId="7EAB9D90" w:rsidR="007E6EAA" w:rsidRPr="0058002A" w:rsidRDefault="005D5E20" w:rsidP="00281114">
      <w:pPr>
        <w:autoSpaceDE w:val="0"/>
        <w:autoSpaceDN w:val="0"/>
        <w:adjustRightInd w:val="0"/>
        <w:ind w:left="-425"/>
        <w:rPr>
          <w:rFonts w:ascii="Arial Narrow" w:hAnsi="Arial Narrow" w:cs="Arial"/>
          <w:bCs/>
          <w:color w:val="000000"/>
          <w:sz w:val="26"/>
          <w:szCs w:val="26"/>
        </w:rPr>
      </w:pPr>
      <w:bookmarkStart w:id="0" w:name="OLE_LINK1"/>
      <w:bookmarkStart w:id="1" w:name="OLE_LINK3"/>
      <w:bookmarkStart w:id="2" w:name="OLE_LINK4"/>
      <w:r>
        <w:rPr>
          <w:rFonts w:ascii="Arial Narrow" w:hAnsi="Arial Narrow" w:cs="Arial"/>
          <w:bCs/>
          <w:color w:val="000000"/>
          <w:sz w:val="26"/>
          <w:szCs w:val="26"/>
        </w:rPr>
        <w:t xml:space="preserve"> </w:t>
      </w:r>
    </w:p>
    <w:p w14:paraId="5F224266" w14:textId="4055DE8F" w:rsidR="00571835" w:rsidRDefault="00BB39B6" w:rsidP="00571835">
      <w:pPr>
        <w:spacing w:after="120"/>
        <w:rPr>
          <w:rFonts w:ascii="Arial Narrow" w:hAnsi="Arial Narrow" w:cs="Arial"/>
          <w:b/>
          <w:bCs/>
          <w:color w:val="E42618"/>
          <w:sz w:val="28"/>
          <w:szCs w:val="28"/>
        </w:rPr>
      </w:pPr>
      <w:r w:rsidRPr="00BB39B6">
        <w:rPr>
          <w:rFonts w:ascii="Arial Narrow" w:hAnsi="Arial Narrow" w:cs="Arial"/>
          <w:b/>
          <w:bCs/>
          <w:color w:val="E42618"/>
          <w:sz w:val="28"/>
          <w:szCs w:val="28"/>
        </w:rPr>
        <w:t xml:space="preserve">ECONOMIA E AMBIENTE: PRINCIPALI INDICATORI </w:t>
      </w:r>
      <w:r w:rsidR="00571835" w:rsidRPr="006D7322">
        <w:rPr>
          <w:rFonts w:ascii="Arial Narrow" w:hAnsi="Arial Narrow" w:cs="Arial"/>
          <w:b/>
          <w:bCs/>
          <w:color w:val="7F7F7F" w:themeColor="text1" w:themeTint="80"/>
          <w:sz w:val="28"/>
          <w:szCs w:val="28"/>
        </w:rPr>
        <w:t>|</w:t>
      </w:r>
      <w:r w:rsidR="00571835">
        <w:rPr>
          <w:rFonts w:ascii="Arial Narrow" w:hAnsi="Arial Narrow" w:cs="Arial"/>
          <w:b/>
          <w:bCs/>
          <w:color w:val="E42618"/>
          <w:sz w:val="28"/>
          <w:szCs w:val="28"/>
        </w:rPr>
        <w:t xml:space="preserve"> </w:t>
      </w:r>
      <w:r>
        <w:rPr>
          <w:rFonts w:ascii="Arial Narrow" w:hAnsi="Arial Narrow" w:cs="Arial"/>
          <w:b/>
          <w:bCs/>
          <w:color w:val="E42618"/>
          <w:sz w:val="28"/>
          <w:szCs w:val="28"/>
        </w:rPr>
        <w:t xml:space="preserve">ANNI </w:t>
      </w:r>
      <w:r w:rsidRPr="00492562">
        <w:rPr>
          <w:rFonts w:ascii="Arial Narrow" w:hAnsi="Arial Narrow" w:cs="Arial"/>
          <w:b/>
          <w:bCs/>
          <w:color w:val="E42618"/>
          <w:sz w:val="28"/>
          <w:szCs w:val="28"/>
        </w:rPr>
        <w:t>20</w:t>
      </w:r>
      <w:r w:rsidR="0022420A" w:rsidRPr="00492562">
        <w:rPr>
          <w:rFonts w:ascii="Arial Narrow" w:hAnsi="Arial Narrow" w:cs="Arial"/>
          <w:b/>
          <w:bCs/>
          <w:color w:val="E42618"/>
          <w:sz w:val="28"/>
          <w:szCs w:val="28"/>
        </w:rPr>
        <w:t>2</w:t>
      </w:r>
      <w:r w:rsidR="00B90677" w:rsidRPr="00492562">
        <w:rPr>
          <w:rFonts w:ascii="Arial Narrow" w:hAnsi="Arial Narrow" w:cs="Arial"/>
          <w:b/>
          <w:bCs/>
          <w:color w:val="E42618"/>
          <w:sz w:val="28"/>
          <w:szCs w:val="28"/>
        </w:rPr>
        <w:t>1</w:t>
      </w:r>
      <w:r>
        <w:rPr>
          <w:rFonts w:ascii="Arial Narrow" w:hAnsi="Arial Narrow" w:cs="Arial"/>
          <w:b/>
          <w:bCs/>
          <w:color w:val="E42618"/>
          <w:sz w:val="28"/>
          <w:szCs w:val="28"/>
        </w:rPr>
        <w:t>-202</w:t>
      </w:r>
      <w:r w:rsidR="00B90677">
        <w:rPr>
          <w:rFonts w:ascii="Arial Narrow" w:hAnsi="Arial Narrow" w:cs="Arial"/>
          <w:b/>
          <w:bCs/>
          <w:color w:val="E42618"/>
          <w:sz w:val="28"/>
          <w:szCs w:val="28"/>
        </w:rPr>
        <w:t>3</w:t>
      </w:r>
    </w:p>
    <w:p w14:paraId="405A3B04" w14:textId="77777777" w:rsidR="00571835" w:rsidRPr="00734482" w:rsidRDefault="00571835" w:rsidP="00571835">
      <w:pPr>
        <w:tabs>
          <w:tab w:val="left" w:pos="851"/>
        </w:tabs>
        <w:autoSpaceDE w:val="0"/>
        <w:autoSpaceDN w:val="0"/>
        <w:adjustRightInd w:val="0"/>
        <w:jc w:val="both"/>
        <w:rPr>
          <w:rFonts w:ascii="Arial Narrow" w:hAnsi="Arial Narrow" w:cs="Arial"/>
          <w:bCs/>
          <w:color w:val="1F497D" w:themeColor="text2"/>
          <w:sz w:val="10"/>
          <w:szCs w:val="52"/>
        </w:rPr>
      </w:pPr>
    </w:p>
    <w:p w14:paraId="74AFAA7B" w14:textId="75082B0C" w:rsidR="00B21721" w:rsidRPr="00734482" w:rsidRDefault="005904C5" w:rsidP="00734482">
      <w:pPr>
        <w:autoSpaceDE w:val="0"/>
        <w:autoSpaceDN w:val="0"/>
        <w:adjustRightInd w:val="0"/>
        <w:spacing w:after="80"/>
        <w:jc w:val="both"/>
        <w:outlineLvl w:val="0"/>
        <w:rPr>
          <w:rFonts w:ascii="Georgia" w:hAnsi="Georgia" w:cs="Arial"/>
          <w:bCs/>
          <w:color w:val="1F497D" w:themeColor="text2"/>
          <w:sz w:val="2"/>
          <w:szCs w:val="28"/>
        </w:rPr>
      </w:pPr>
      <w:r w:rsidRPr="007B6FCE">
        <w:rPr>
          <w:rFonts w:ascii="Georgia" w:hAnsi="Georgia" w:cs="Arial"/>
          <w:bCs/>
          <w:noProof/>
          <w:color w:val="FF0000"/>
          <w:sz w:val="4"/>
          <w:szCs w:val="12"/>
          <w:highlight w:val="yellow"/>
        </w:rPr>
        <mc:AlternateContent>
          <mc:Choice Requires="wps">
            <w:drawing>
              <wp:anchor distT="0" distB="0" distL="114300" distR="114300" simplePos="0" relativeHeight="251669504" behindDoc="0" locked="0" layoutInCell="1" allowOverlap="1" wp14:anchorId="428A043F" wp14:editId="7BDC28F6">
                <wp:simplePos x="0" y="0"/>
                <wp:positionH relativeFrom="page">
                  <wp:posOffset>635</wp:posOffset>
                </wp:positionH>
                <wp:positionV relativeFrom="paragraph">
                  <wp:posOffset>641985</wp:posOffset>
                </wp:positionV>
                <wp:extent cx="514350" cy="438150"/>
                <wp:effectExtent l="0" t="19050" r="38100" b="38100"/>
                <wp:wrapNone/>
                <wp:docPr id="4" name="Freccia a destr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43815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41062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4" o:spid="_x0000_s1026" type="#_x0000_t13" style="position:absolute;margin-left:.05pt;margin-top:50.55pt;width:40.5pt;height:3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" adj="12400" fillcolor="#e42618" strokecolor="#e42618" strokeweight="2pt">
                <v:path arrowok="t"/>
                <w10:wrap anchorx="page"/>
              </v:shape>
            </w:pict>
          </mc:Fallback>
        </mc:AlternateContent>
      </w:r>
      <w:r w:rsidR="00BD4764">
        <w:rPr>
          <w:rFonts w:ascii="Georgia" w:hAnsi="Georgia" w:cs="Arial"/>
          <w:color w:val="1F497D"/>
          <w:sz w:val="48"/>
          <w:szCs w:val="48"/>
        </w:rPr>
        <w:t>Crescit</w:t>
      </w:r>
      <w:r w:rsidR="00F40C83">
        <w:rPr>
          <w:rFonts w:ascii="Georgia" w:hAnsi="Georgia" w:cs="Arial"/>
          <w:color w:val="1F497D"/>
          <w:sz w:val="48"/>
          <w:szCs w:val="48"/>
        </w:rPr>
        <w:t>a</w:t>
      </w:r>
      <w:r w:rsidR="00BD4764">
        <w:rPr>
          <w:rFonts w:ascii="Georgia" w:hAnsi="Georgia" w:cs="Arial"/>
          <w:color w:val="1F497D"/>
          <w:sz w:val="48"/>
          <w:szCs w:val="48"/>
        </w:rPr>
        <w:t xml:space="preserve"> </w:t>
      </w:r>
      <w:r w:rsidR="00711D8A">
        <w:rPr>
          <w:rFonts w:ascii="Georgia" w:hAnsi="Georgia" w:cs="Arial"/>
          <w:color w:val="1F497D"/>
          <w:sz w:val="48"/>
          <w:szCs w:val="48"/>
        </w:rPr>
        <w:t>e</w:t>
      </w:r>
      <w:r w:rsidR="00BD4764">
        <w:rPr>
          <w:rFonts w:ascii="Georgia" w:hAnsi="Georgia" w:cs="Arial"/>
          <w:color w:val="1F497D"/>
          <w:sz w:val="48"/>
          <w:szCs w:val="48"/>
        </w:rPr>
        <w:t xml:space="preserve"> sostenibil</w:t>
      </w:r>
      <w:r w:rsidR="00711D8A">
        <w:rPr>
          <w:rFonts w:ascii="Georgia" w:hAnsi="Georgia" w:cs="Arial"/>
          <w:color w:val="1F497D"/>
          <w:sz w:val="48"/>
          <w:szCs w:val="48"/>
        </w:rPr>
        <w:t>ità</w:t>
      </w:r>
      <w:r w:rsidR="001A37F3">
        <w:rPr>
          <w:rFonts w:ascii="Georgia" w:hAnsi="Georgia" w:cs="Arial"/>
          <w:color w:val="1F497D"/>
          <w:sz w:val="48"/>
          <w:szCs w:val="48"/>
        </w:rPr>
        <w:t>:</w:t>
      </w:r>
      <w:r w:rsidR="00F40C83">
        <w:rPr>
          <w:rFonts w:ascii="Georgia" w:hAnsi="Georgia" w:cs="Arial"/>
          <w:color w:val="1F497D"/>
          <w:sz w:val="48"/>
          <w:szCs w:val="48"/>
        </w:rPr>
        <w:t xml:space="preserve"> cala</w:t>
      </w:r>
      <w:r w:rsidR="00711D8A">
        <w:rPr>
          <w:rFonts w:ascii="Georgia" w:hAnsi="Georgia" w:cs="Arial"/>
          <w:color w:val="1F497D"/>
          <w:sz w:val="48"/>
          <w:szCs w:val="48"/>
        </w:rPr>
        <w:t>no</w:t>
      </w:r>
      <w:r w:rsidR="00F40C83">
        <w:rPr>
          <w:rFonts w:ascii="Georgia" w:hAnsi="Georgia" w:cs="Arial"/>
          <w:color w:val="1F497D"/>
          <w:sz w:val="48"/>
          <w:szCs w:val="48"/>
        </w:rPr>
        <w:t xml:space="preserve"> </w:t>
      </w:r>
      <w:r w:rsidR="00BD4764">
        <w:rPr>
          <w:rFonts w:ascii="Georgia" w:hAnsi="Georgia" w:cs="Arial"/>
          <w:color w:val="1F497D"/>
          <w:sz w:val="48"/>
          <w:szCs w:val="48"/>
        </w:rPr>
        <w:t xml:space="preserve">i </w:t>
      </w:r>
      <w:r w:rsidR="00711D8A">
        <w:rPr>
          <w:rFonts w:ascii="Georgia" w:hAnsi="Georgia" w:cs="Arial"/>
          <w:color w:val="1F497D"/>
          <w:sz w:val="48"/>
          <w:szCs w:val="48"/>
        </w:rPr>
        <w:t>flussi</w:t>
      </w:r>
      <w:r w:rsidR="00BD4764">
        <w:rPr>
          <w:rFonts w:ascii="Georgia" w:hAnsi="Georgia" w:cs="Arial"/>
          <w:color w:val="1F497D"/>
          <w:sz w:val="48"/>
          <w:szCs w:val="48"/>
        </w:rPr>
        <w:t xml:space="preserve"> fisici</w:t>
      </w:r>
      <w:r w:rsidR="00F40C83">
        <w:rPr>
          <w:rFonts w:ascii="Georgia" w:hAnsi="Georgia" w:cs="Arial"/>
          <w:color w:val="1F497D"/>
          <w:sz w:val="48"/>
          <w:szCs w:val="48"/>
        </w:rPr>
        <w:t xml:space="preserve">, aumenta la spesa </w:t>
      </w:r>
      <w:r w:rsidR="00C45C01">
        <w:rPr>
          <w:rFonts w:ascii="Georgia" w:hAnsi="Georgia" w:cs="Arial"/>
          <w:color w:val="1F497D"/>
          <w:sz w:val="48"/>
          <w:szCs w:val="48"/>
        </w:rPr>
        <w:t xml:space="preserve">in </w:t>
      </w:r>
      <w:r w:rsidR="00F40C83">
        <w:rPr>
          <w:rFonts w:ascii="Georgia" w:hAnsi="Georgia" w:cs="Arial"/>
          <w:color w:val="1F497D"/>
          <w:sz w:val="48"/>
          <w:szCs w:val="48"/>
        </w:rPr>
        <w:t>protezione ambientale</w:t>
      </w:r>
    </w:p>
    <w:p w14:paraId="4EFAF67D" w14:textId="34EBDD1D" w:rsidR="00BD4764" w:rsidRPr="00BD4764" w:rsidRDefault="00BD4764" w:rsidP="00BD4764">
      <w:pPr>
        <w:pStyle w:val="Default"/>
        <w:tabs>
          <w:tab w:val="left" w:pos="567"/>
        </w:tabs>
        <w:spacing w:after="120" w:line="360" w:lineRule="exact"/>
        <w:ind w:left="142"/>
        <w:jc w:val="both"/>
        <w:rPr>
          <w:rFonts w:ascii="Georgia" w:hAnsi="Georgia" w:cs="Arial"/>
          <w:bCs/>
          <w:color w:val="1F497D" w:themeColor="text2"/>
          <w:sz w:val="28"/>
          <w:szCs w:val="28"/>
        </w:rPr>
      </w:pPr>
      <w:bookmarkStart w:id="3" w:name="_Hlk189649829"/>
      <w:r>
        <w:rPr>
          <w:rFonts w:ascii="Georgia" w:hAnsi="Georgia" w:cs="Arial"/>
          <w:bCs/>
          <w:color w:val="1F497D" w:themeColor="text2"/>
          <w:sz w:val="28"/>
          <w:szCs w:val="28"/>
        </w:rPr>
        <w:t>Nel biennio 2022-2023</w:t>
      </w:r>
      <w:r w:rsidR="00890071">
        <w:rPr>
          <w:rFonts w:ascii="Georgia" w:hAnsi="Georgia" w:cs="Arial"/>
          <w:bCs/>
          <w:color w:val="1F497D" w:themeColor="text2"/>
          <w:sz w:val="28"/>
          <w:szCs w:val="28"/>
        </w:rPr>
        <w:t xml:space="preserve"> </w:t>
      </w:r>
      <w:r w:rsidR="00890071" w:rsidRPr="00890071">
        <w:rPr>
          <w:rFonts w:ascii="Georgia" w:hAnsi="Georgia" w:cs="Arial"/>
          <w:bCs/>
          <w:color w:val="1F497D" w:themeColor="text2"/>
          <w:sz w:val="28"/>
          <w:szCs w:val="28"/>
        </w:rPr>
        <w:t xml:space="preserve">i principali indicatori fisici forniti dai conti satellite ambientali </w:t>
      </w:r>
      <w:r w:rsidR="00890071">
        <w:rPr>
          <w:rFonts w:ascii="Georgia" w:hAnsi="Georgia" w:cs="Arial"/>
          <w:bCs/>
          <w:color w:val="1F497D" w:themeColor="text2"/>
          <w:sz w:val="28"/>
          <w:szCs w:val="28"/>
        </w:rPr>
        <w:t>sono in flessione a fronte d</w:t>
      </w:r>
      <w:r w:rsidR="00AB5F71">
        <w:rPr>
          <w:rFonts w:ascii="Georgia" w:hAnsi="Georgia" w:cs="Arial"/>
          <w:bCs/>
          <w:color w:val="1F497D" w:themeColor="text2"/>
          <w:sz w:val="28"/>
          <w:szCs w:val="28"/>
        </w:rPr>
        <w:t>ella c</w:t>
      </w:r>
      <w:r w:rsidR="00890071">
        <w:rPr>
          <w:rFonts w:ascii="Georgia" w:hAnsi="Georgia" w:cs="Arial"/>
          <w:bCs/>
          <w:color w:val="1F497D" w:themeColor="text2"/>
          <w:sz w:val="28"/>
          <w:szCs w:val="28"/>
        </w:rPr>
        <w:t xml:space="preserve">rescita </w:t>
      </w:r>
      <w:r w:rsidR="00AB5F71">
        <w:rPr>
          <w:rFonts w:ascii="Georgia" w:hAnsi="Georgia" w:cs="Arial"/>
          <w:bCs/>
          <w:color w:val="1F497D" w:themeColor="text2"/>
          <w:sz w:val="28"/>
          <w:szCs w:val="28"/>
        </w:rPr>
        <w:t>del Pil in termini reali</w:t>
      </w:r>
      <w:r w:rsidR="00890071">
        <w:rPr>
          <w:rFonts w:ascii="Georgia" w:hAnsi="Georgia" w:cs="Arial"/>
          <w:bCs/>
          <w:color w:val="1F497D" w:themeColor="text2"/>
          <w:sz w:val="28"/>
          <w:szCs w:val="28"/>
        </w:rPr>
        <w:t>.</w:t>
      </w:r>
      <w:r w:rsidR="005904C5" w:rsidRPr="005904C5">
        <w:rPr>
          <w:rFonts w:ascii="Georgia" w:hAnsi="Georgia" w:cs="Arial"/>
          <w:bCs/>
          <w:noProof/>
          <w:color w:val="FF0000"/>
          <w:sz w:val="4"/>
          <w:szCs w:val="12"/>
          <w:highlight w:val="yellow"/>
        </w:rPr>
        <w:t xml:space="preserve"> </w:t>
      </w:r>
    </w:p>
    <w:p w14:paraId="0CCEFDBE" w14:textId="31B1E375" w:rsidR="00BD4764" w:rsidRPr="00BD4764" w:rsidRDefault="00BD4764" w:rsidP="00BD4764">
      <w:pPr>
        <w:pStyle w:val="Default"/>
        <w:tabs>
          <w:tab w:val="left" w:pos="567"/>
        </w:tabs>
        <w:spacing w:after="120" w:line="360" w:lineRule="exact"/>
        <w:ind w:left="142"/>
        <w:jc w:val="both"/>
        <w:rPr>
          <w:rFonts w:ascii="Georgia" w:hAnsi="Georgia" w:cs="Arial"/>
          <w:bCs/>
          <w:color w:val="1F497D" w:themeColor="text2"/>
          <w:sz w:val="28"/>
          <w:szCs w:val="28"/>
        </w:rPr>
      </w:pPr>
      <w:r w:rsidRPr="00BD4764">
        <w:rPr>
          <w:rFonts w:ascii="Georgia" w:hAnsi="Georgia" w:cs="Arial"/>
          <w:bCs/>
          <w:color w:val="1F497D" w:themeColor="text2"/>
          <w:sz w:val="28"/>
          <w:szCs w:val="28"/>
        </w:rPr>
        <w:t xml:space="preserve">Nel 2023 il disaccoppiamento risulta assoluto poiché a fronte di una crescita del </w:t>
      </w:r>
      <w:r w:rsidRPr="00BD4764">
        <w:rPr>
          <w:rFonts w:ascii="Georgia" w:hAnsi="Georgia" w:cs="Arial"/>
          <w:b/>
          <w:color w:val="1F497D" w:themeColor="text2"/>
          <w:sz w:val="28"/>
          <w:szCs w:val="28"/>
        </w:rPr>
        <w:t>Pil</w:t>
      </w:r>
      <w:r w:rsidRPr="00BD4764">
        <w:rPr>
          <w:rFonts w:ascii="Georgia" w:hAnsi="Georgia" w:cs="Arial"/>
          <w:bCs/>
          <w:color w:val="1F497D" w:themeColor="text2"/>
          <w:sz w:val="28"/>
          <w:szCs w:val="28"/>
        </w:rPr>
        <w:t xml:space="preserve">, pari a </w:t>
      </w:r>
      <w:r w:rsidR="00AB5F71">
        <w:rPr>
          <w:rFonts w:ascii="Georgia" w:hAnsi="Georgia" w:cs="Arial"/>
          <w:bCs/>
          <w:color w:val="1F497D" w:themeColor="text2"/>
          <w:sz w:val="28"/>
          <w:szCs w:val="28"/>
        </w:rPr>
        <w:t>+</w:t>
      </w:r>
      <w:r w:rsidRPr="00BD4764">
        <w:rPr>
          <w:rFonts w:ascii="Georgia" w:hAnsi="Georgia" w:cs="Arial"/>
          <w:bCs/>
          <w:color w:val="1F497D" w:themeColor="text2"/>
          <w:sz w:val="28"/>
          <w:szCs w:val="28"/>
        </w:rPr>
        <w:t xml:space="preserve">0,7%, decrescono tutti i principali indicatori fisici: il </w:t>
      </w:r>
      <w:r w:rsidRPr="00BD4764">
        <w:rPr>
          <w:rFonts w:ascii="Georgia" w:hAnsi="Georgia" w:cs="Arial"/>
          <w:b/>
          <w:color w:val="1F497D" w:themeColor="text2"/>
          <w:sz w:val="28"/>
          <w:szCs w:val="28"/>
        </w:rPr>
        <w:t>Consumo di energia</w:t>
      </w:r>
      <w:r w:rsidRPr="00BD4764">
        <w:rPr>
          <w:rFonts w:ascii="Georgia" w:hAnsi="Georgia" w:cs="Arial"/>
          <w:bCs/>
          <w:color w:val="1F497D" w:themeColor="text2"/>
          <w:sz w:val="28"/>
          <w:szCs w:val="28"/>
        </w:rPr>
        <w:t xml:space="preserve"> diminuisce del 4,1%, le </w:t>
      </w:r>
      <w:r w:rsidRPr="00BD4764">
        <w:rPr>
          <w:rFonts w:ascii="Georgia" w:hAnsi="Georgia" w:cs="Arial"/>
          <w:b/>
          <w:color w:val="1F497D" w:themeColor="text2"/>
          <w:sz w:val="28"/>
          <w:szCs w:val="28"/>
        </w:rPr>
        <w:t>Emissioni di gas climalteranti</w:t>
      </w:r>
      <w:r w:rsidRPr="00BD4764">
        <w:rPr>
          <w:rFonts w:ascii="Georgia" w:hAnsi="Georgia" w:cs="Arial"/>
          <w:bCs/>
          <w:color w:val="1F497D" w:themeColor="text2"/>
          <w:sz w:val="28"/>
          <w:szCs w:val="28"/>
        </w:rPr>
        <w:t xml:space="preserve"> si riducono del 5,3% e il </w:t>
      </w:r>
      <w:r w:rsidRPr="00BD4764">
        <w:rPr>
          <w:rFonts w:ascii="Georgia" w:hAnsi="Georgia" w:cs="Arial"/>
          <w:b/>
          <w:color w:val="1F497D" w:themeColor="text2"/>
          <w:sz w:val="28"/>
          <w:szCs w:val="28"/>
        </w:rPr>
        <w:t>Consumo materiale interno</w:t>
      </w:r>
      <w:r w:rsidRPr="00BD4764">
        <w:rPr>
          <w:rFonts w:ascii="Georgia" w:hAnsi="Georgia" w:cs="Arial"/>
          <w:bCs/>
          <w:color w:val="1F497D" w:themeColor="text2"/>
          <w:sz w:val="28"/>
          <w:szCs w:val="28"/>
        </w:rPr>
        <w:t xml:space="preserve"> flette del 6,4%. </w:t>
      </w:r>
    </w:p>
    <w:p w14:paraId="7BE91DD0" w14:textId="0D0F26DB" w:rsidR="00BD4764" w:rsidRDefault="00BD4764" w:rsidP="00BD4764">
      <w:pPr>
        <w:pStyle w:val="Default"/>
        <w:tabs>
          <w:tab w:val="left" w:pos="567"/>
        </w:tabs>
        <w:spacing w:after="120" w:line="360" w:lineRule="exact"/>
        <w:ind w:left="142"/>
        <w:jc w:val="both"/>
        <w:rPr>
          <w:rFonts w:ascii="Georgia" w:hAnsi="Georgia" w:cs="Arial"/>
          <w:bCs/>
          <w:color w:val="1F497D" w:themeColor="text2"/>
          <w:sz w:val="28"/>
          <w:szCs w:val="28"/>
        </w:rPr>
      </w:pPr>
      <w:r w:rsidRPr="00BD4764">
        <w:rPr>
          <w:rFonts w:ascii="Georgia" w:hAnsi="Georgia" w:cs="Arial"/>
          <w:bCs/>
          <w:color w:val="1F497D" w:themeColor="text2"/>
          <w:sz w:val="28"/>
          <w:szCs w:val="28"/>
        </w:rPr>
        <w:t xml:space="preserve">Nel 2022, la crescita del Pil </w:t>
      </w:r>
      <w:r w:rsidR="00E108F4">
        <w:rPr>
          <w:rFonts w:ascii="Georgia" w:hAnsi="Georgia" w:cs="Arial"/>
          <w:bCs/>
          <w:color w:val="1F497D" w:themeColor="text2"/>
          <w:sz w:val="28"/>
          <w:szCs w:val="28"/>
        </w:rPr>
        <w:t>(</w:t>
      </w:r>
      <w:r w:rsidRPr="00BD4764">
        <w:rPr>
          <w:rFonts w:ascii="Georgia" w:hAnsi="Georgia" w:cs="Arial"/>
          <w:bCs/>
          <w:color w:val="1F497D" w:themeColor="text2"/>
          <w:sz w:val="28"/>
          <w:szCs w:val="28"/>
        </w:rPr>
        <w:t>+4,7%</w:t>
      </w:r>
      <w:r w:rsidR="00E108F4">
        <w:rPr>
          <w:rFonts w:ascii="Georgia" w:hAnsi="Georgia" w:cs="Arial"/>
          <w:bCs/>
          <w:color w:val="1F497D" w:themeColor="text2"/>
          <w:sz w:val="28"/>
          <w:szCs w:val="28"/>
        </w:rPr>
        <w:t>)</w:t>
      </w:r>
      <w:r w:rsidRPr="00BD4764">
        <w:rPr>
          <w:rFonts w:ascii="Georgia" w:hAnsi="Georgia" w:cs="Arial"/>
          <w:bCs/>
          <w:color w:val="1F497D" w:themeColor="text2"/>
          <w:sz w:val="28"/>
          <w:szCs w:val="28"/>
        </w:rPr>
        <w:t xml:space="preserve"> si accompagna</w:t>
      </w:r>
      <w:r w:rsidR="00AB5F71">
        <w:rPr>
          <w:rFonts w:ascii="Georgia" w:hAnsi="Georgia" w:cs="Arial"/>
          <w:bCs/>
          <w:color w:val="1F497D" w:themeColor="text2"/>
          <w:sz w:val="28"/>
          <w:szCs w:val="28"/>
        </w:rPr>
        <w:t xml:space="preserve"> </w:t>
      </w:r>
      <w:r w:rsidR="00E108F4">
        <w:rPr>
          <w:rFonts w:ascii="Georgia" w:hAnsi="Georgia" w:cs="Arial"/>
          <w:bCs/>
          <w:color w:val="1F497D" w:themeColor="text2"/>
          <w:sz w:val="28"/>
          <w:szCs w:val="28"/>
        </w:rPr>
        <w:t>a</w:t>
      </w:r>
      <w:r w:rsidR="00AB5F71">
        <w:rPr>
          <w:rFonts w:ascii="Georgia" w:hAnsi="Georgia" w:cs="Arial"/>
          <w:bCs/>
          <w:color w:val="1F497D" w:themeColor="text2"/>
          <w:sz w:val="28"/>
          <w:szCs w:val="28"/>
        </w:rPr>
        <w:t xml:space="preserve"> </w:t>
      </w:r>
      <w:r w:rsidRPr="00BD4764">
        <w:rPr>
          <w:rFonts w:ascii="Georgia" w:hAnsi="Georgia" w:cs="Arial"/>
          <w:bCs/>
          <w:color w:val="1F497D" w:themeColor="text2"/>
          <w:sz w:val="28"/>
          <w:szCs w:val="28"/>
        </w:rPr>
        <w:t xml:space="preserve">una decrescita </w:t>
      </w:r>
      <w:r w:rsidR="00AB5F71">
        <w:rPr>
          <w:rFonts w:ascii="Georgia" w:hAnsi="Georgia" w:cs="Arial"/>
          <w:bCs/>
          <w:color w:val="1F497D" w:themeColor="text2"/>
          <w:sz w:val="28"/>
          <w:szCs w:val="28"/>
        </w:rPr>
        <w:t xml:space="preserve">rilevante </w:t>
      </w:r>
      <w:r w:rsidRPr="00BD4764">
        <w:rPr>
          <w:rFonts w:ascii="Georgia" w:hAnsi="Georgia" w:cs="Arial"/>
          <w:bCs/>
          <w:color w:val="1F497D" w:themeColor="text2"/>
          <w:sz w:val="28"/>
          <w:szCs w:val="28"/>
        </w:rPr>
        <w:t xml:space="preserve">per il solo Consumo di energia (-3,1%), mentre il disaccoppiamento del Consumo materiale interno (+1,3%) è stato solo relativo, come per le Emissioni di gas climalteranti, rimaste stazionarie. </w:t>
      </w:r>
    </w:p>
    <w:p w14:paraId="43501469" w14:textId="0E1B15DC" w:rsidR="00C45C01" w:rsidRPr="00734482" w:rsidRDefault="00C45C01" w:rsidP="00B21721">
      <w:pPr>
        <w:pStyle w:val="Default"/>
        <w:tabs>
          <w:tab w:val="left" w:pos="567"/>
        </w:tabs>
        <w:spacing w:after="120" w:line="360" w:lineRule="exact"/>
        <w:ind w:left="142"/>
        <w:jc w:val="both"/>
        <w:rPr>
          <w:rFonts w:ascii="Georgia" w:hAnsi="Georgia" w:cs="Arial"/>
          <w:bCs/>
          <w:color w:val="1F497D" w:themeColor="text2"/>
          <w:sz w:val="12"/>
          <w:szCs w:val="28"/>
        </w:rPr>
      </w:pPr>
      <w:r w:rsidRPr="00C45C01">
        <w:rPr>
          <w:rFonts w:ascii="Georgia" w:hAnsi="Georgia" w:cs="Arial"/>
          <w:bCs/>
          <w:color w:val="1F497D" w:themeColor="text2"/>
          <w:sz w:val="28"/>
          <w:szCs w:val="28"/>
        </w:rPr>
        <w:t xml:space="preserve">Nel 2022 il </w:t>
      </w:r>
      <w:r w:rsidRPr="00C45C01">
        <w:rPr>
          <w:rFonts w:ascii="Georgia" w:hAnsi="Georgia" w:cs="Arial"/>
          <w:b/>
          <w:color w:val="1F497D" w:themeColor="text2"/>
          <w:sz w:val="28"/>
          <w:szCs w:val="28"/>
        </w:rPr>
        <w:t>valore dei beni e servizi per la tutela ambientale</w:t>
      </w:r>
      <w:r w:rsidRPr="00C45C01">
        <w:rPr>
          <w:rFonts w:ascii="Georgia" w:hAnsi="Georgia" w:cs="Arial"/>
          <w:bCs/>
          <w:color w:val="1F497D" w:themeColor="text2"/>
          <w:sz w:val="28"/>
          <w:szCs w:val="28"/>
        </w:rPr>
        <w:t xml:space="preserve"> è in forte espansione: 79,9 miliardi (+40,6% rispetto all’anno precedente)</w:t>
      </w:r>
      <w:r w:rsidR="00395A0C">
        <w:rPr>
          <w:rFonts w:ascii="Georgia" w:hAnsi="Georgia" w:cs="Arial"/>
          <w:bCs/>
          <w:color w:val="1F497D" w:themeColor="text2"/>
          <w:sz w:val="28"/>
          <w:szCs w:val="28"/>
        </w:rPr>
        <w:t>.</w:t>
      </w:r>
      <w:r w:rsidRPr="00C45C01">
        <w:rPr>
          <w:rFonts w:ascii="Georgia" w:hAnsi="Georgia" w:cs="Arial"/>
          <w:bCs/>
          <w:color w:val="1F497D" w:themeColor="text2"/>
          <w:sz w:val="28"/>
          <w:szCs w:val="28"/>
        </w:rPr>
        <w:t xml:space="preserve"> </w:t>
      </w:r>
      <w:r w:rsidR="00395A0C">
        <w:rPr>
          <w:rFonts w:ascii="Georgia" w:hAnsi="Georgia" w:cs="Arial"/>
          <w:bCs/>
          <w:color w:val="1F497D" w:themeColor="text2"/>
          <w:sz w:val="28"/>
          <w:szCs w:val="28"/>
        </w:rPr>
        <w:t>L</w:t>
      </w:r>
      <w:r w:rsidRPr="00C45C01">
        <w:rPr>
          <w:rFonts w:ascii="Georgia" w:hAnsi="Georgia" w:cs="Arial"/>
          <w:bCs/>
          <w:color w:val="1F497D" w:themeColor="text2"/>
          <w:sz w:val="28"/>
          <w:szCs w:val="28"/>
        </w:rPr>
        <w:t>a Spesa per la protezione dell’ambiente si posiziona a 51,4 miliardi (+9,4%), mentre il gettito delle imposte ambientali cala a 45,4 miliardi (-18,9%) per poi recuperare nel 2023.</w:t>
      </w:r>
    </w:p>
    <w:tbl>
      <w:tblPr>
        <w:tblStyle w:val="Grigliatabella"/>
        <w:tblW w:w="12137" w:type="dxa"/>
        <w:tblInd w:w="-851"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CellMar>
          <w:left w:w="113" w:type="dxa"/>
          <w:right w:w="113" w:type="dxa"/>
        </w:tblCellMar>
        <w:tblLook w:val="04A0" w:firstRow="1" w:lastRow="0" w:firstColumn="1" w:lastColumn="0" w:noHBand="0" w:noVBand="1"/>
      </w:tblPr>
      <w:tblGrid>
        <w:gridCol w:w="12137"/>
      </w:tblGrid>
      <w:tr w:rsidR="006956CE" w:rsidRPr="001A62B5" w14:paraId="626D23E7" w14:textId="77777777" w:rsidTr="006956CE">
        <w:trPr>
          <w:trHeight w:val="3969"/>
        </w:trPr>
        <w:tc>
          <w:tcPr>
            <w:tcW w:w="0" w:type="auto"/>
            <w:shd w:val="clear" w:color="auto" w:fill="D9D9D9" w:themeFill="background1" w:themeFillShade="D9"/>
          </w:tcPr>
          <w:tbl>
            <w:tblPr>
              <w:tblStyle w:val="Grigliatabella"/>
              <w:tblW w:w="11798"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CellMar>
                <w:left w:w="113" w:type="dxa"/>
                <w:right w:w="113" w:type="dxa"/>
              </w:tblCellMar>
              <w:tblLook w:val="04A0" w:firstRow="1" w:lastRow="0" w:firstColumn="1" w:lastColumn="0" w:noHBand="0" w:noVBand="1"/>
            </w:tblPr>
            <w:tblGrid>
              <w:gridCol w:w="3901"/>
              <w:gridCol w:w="3901"/>
              <w:gridCol w:w="3996"/>
            </w:tblGrid>
            <w:tr w:rsidR="006956CE" w:rsidRPr="008B53CA" w14:paraId="545E9156" w14:textId="08DEE9AA" w:rsidTr="00734482">
              <w:trPr>
                <w:trHeight w:val="3385"/>
              </w:trPr>
              <w:tc>
                <w:tcPr>
                  <w:tcW w:w="3901" w:type="dxa"/>
                  <w:shd w:val="clear" w:color="auto" w:fill="D9D9D9" w:themeFill="background1" w:themeFillShade="D9"/>
                </w:tcPr>
                <w:bookmarkEnd w:id="3"/>
                <w:p w14:paraId="021FDC02" w14:textId="3BD86E3C" w:rsidR="006956CE" w:rsidRPr="00CE0FBE" w:rsidRDefault="006956CE" w:rsidP="004D1152">
                  <w:pPr>
                    <w:tabs>
                      <w:tab w:val="left" w:pos="851"/>
                    </w:tabs>
                    <w:autoSpaceDE w:val="0"/>
                    <w:autoSpaceDN w:val="0"/>
                    <w:adjustRightInd w:val="0"/>
                    <w:ind w:left="227"/>
                    <w:rPr>
                      <w:rFonts w:ascii="Georgia" w:hAnsi="Georgia" w:cs="Arial"/>
                      <w:bCs/>
                      <w:color w:val="E42618"/>
                      <w:sz w:val="88"/>
                      <w:szCs w:val="88"/>
                    </w:rPr>
                  </w:pPr>
                  <w:r w:rsidRPr="00CE0FBE">
                    <w:rPr>
                      <w:rFonts w:ascii="Georgia" w:hAnsi="Georgia" w:cs="Arial"/>
                      <w:bCs/>
                      <w:color w:val="E42618"/>
                      <w:sz w:val="88"/>
                      <w:szCs w:val="88"/>
                    </w:rPr>
                    <w:t>+19,4%</w:t>
                  </w:r>
                </w:p>
                <w:p w14:paraId="1B47EEC1" w14:textId="77777777" w:rsidR="006956CE" w:rsidRPr="00CE0FBE" w:rsidRDefault="006956CE" w:rsidP="004D1152">
                  <w:pPr>
                    <w:tabs>
                      <w:tab w:val="left" w:pos="317"/>
                      <w:tab w:val="left" w:pos="743"/>
                    </w:tabs>
                    <w:autoSpaceDE w:val="0"/>
                    <w:autoSpaceDN w:val="0"/>
                    <w:adjustRightInd w:val="0"/>
                    <w:ind w:left="227"/>
                    <w:rPr>
                      <w:rFonts w:ascii="Georgia" w:hAnsi="Georgia" w:cs="Arial"/>
                      <w:b/>
                      <w:bCs/>
                      <w:color w:val="1F497D"/>
                      <w:sz w:val="26"/>
                      <w:szCs w:val="26"/>
                    </w:rPr>
                  </w:pPr>
                </w:p>
                <w:p w14:paraId="064D7295" w14:textId="17AC1729" w:rsidR="00F40C83" w:rsidRDefault="00F40C83" w:rsidP="00F40C83">
                  <w:pPr>
                    <w:tabs>
                      <w:tab w:val="left" w:pos="194"/>
                      <w:tab w:val="left" w:pos="743"/>
                    </w:tabs>
                    <w:autoSpaceDE w:val="0"/>
                    <w:autoSpaceDN w:val="0"/>
                    <w:adjustRightInd w:val="0"/>
                    <w:ind w:left="227"/>
                    <w:rPr>
                      <w:rFonts w:ascii="Georgia" w:hAnsi="Georgia" w:cs="Arial"/>
                      <w:b/>
                      <w:bCs/>
                      <w:color w:val="E42618"/>
                      <w:sz w:val="26"/>
                      <w:szCs w:val="26"/>
                    </w:rPr>
                  </w:pPr>
                  <w:r>
                    <w:rPr>
                      <w:rFonts w:ascii="Georgia" w:hAnsi="Georgia" w:cs="Arial"/>
                      <w:b/>
                      <w:bCs/>
                      <w:color w:val="E42618"/>
                      <w:sz w:val="26"/>
                      <w:szCs w:val="26"/>
                    </w:rPr>
                    <w:t>L</w:t>
                  </w:r>
                  <w:r w:rsidR="006956CE" w:rsidRPr="00CE0FBE">
                    <w:rPr>
                      <w:rFonts w:ascii="Georgia" w:hAnsi="Georgia" w:cs="Arial"/>
                      <w:b/>
                      <w:bCs/>
                      <w:color w:val="E42618"/>
                      <w:sz w:val="26"/>
                      <w:szCs w:val="26"/>
                    </w:rPr>
                    <w:t xml:space="preserve">’aumento del gettito </w:t>
                  </w:r>
                </w:p>
                <w:p w14:paraId="319F142B" w14:textId="2CE9D43D" w:rsidR="006956CE" w:rsidRPr="00CE0FBE" w:rsidRDefault="006956CE">
                  <w:pPr>
                    <w:tabs>
                      <w:tab w:val="left" w:pos="194"/>
                      <w:tab w:val="left" w:pos="743"/>
                    </w:tabs>
                    <w:autoSpaceDE w:val="0"/>
                    <w:autoSpaceDN w:val="0"/>
                    <w:adjustRightInd w:val="0"/>
                    <w:ind w:left="227"/>
                    <w:rPr>
                      <w:rFonts w:ascii="Arial Narrow" w:hAnsi="Arial Narrow" w:cs="Arial"/>
                      <w:color w:val="1F497D"/>
                      <w:sz w:val="26"/>
                      <w:szCs w:val="26"/>
                    </w:rPr>
                  </w:pPr>
                  <w:r w:rsidRPr="00CE0FBE">
                    <w:rPr>
                      <w:rFonts w:ascii="Georgia" w:hAnsi="Georgia" w:cs="Arial"/>
                      <w:b/>
                      <w:bCs/>
                      <w:color w:val="E42618"/>
                      <w:sz w:val="26"/>
                      <w:szCs w:val="26"/>
                    </w:rPr>
                    <w:t xml:space="preserve">delle imposte ambientali nel 2023 </w:t>
                  </w:r>
                </w:p>
                <w:p w14:paraId="64ED4398" w14:textId="217CBBFF" w:rsidR="006956CE" w:rsidRDefault="006956CE" w:rsidP="004D1152">
                  <w:pPr>
                    <w:tabs>
                      <w:tab w:val="left" w:pos="194"/>
                      <w:tab w:val="left" w:pos="743"/>
                    </w:tabs>
                    <w:autoSpaceDE w:val="0"/>
                    <w:autoSpaceDN w:val="0"/>
                    <w:adjustRightInd w:val="0"/>
                    <w:ind w:left="227"/>
                    <w:rPr>
                      <w:rFonts w:ascii="Arial Narrow" w:hAnsi="Arial Narrow" w:cs="Arial"/>
                      <w:bCs/>
                      <w:color w:val="1F497D" w:themeColor="text2"/>
                    </w:rPr>
                  </w:pPr>
                </w:p>
                <w:p w14:paraId="4944FAFB" w14:textId="77777777" w:rsidR="004A169B" w:rsidRPr="00CE0FBE" w:rsidRDefault="004A169B" w:rsidP="004D1152">
                  <w:pPr>
                    <w:tabs>
                      <w:tab w:val="left" w:pos="194"/>
                      <w:tab w:val="left" w:pos="743"/>
                    </w:tabs>
                    <w:autoSpaceDE w:val="0"/>
                    <w:autoSpaceDN w:val="0"/>
                    <w:adjustRightInd w:val="0"/>
                    <w:ind w:left="227"/>
                    <w:rPr>
                      <w:rFonts w:ascii="Arial Narrow" w:hAnsi="Arial Narrow" w:cs="Arial"/>
                      <w:bCs/>
                      <w:color w:val="1F497D" w:themeColor="text2"/>
                    </w:rPr>
                  </w:pPr>
                </w:p>
                <w:p w14:paraId="50ACBF5D" w14:textId="6F53D904" w:rsidR="006956CE" w:rsidRPr="008B53CA" w:rsidRDefault="006956CE" w:rsidP="004D1152">
                  <w:pPr>
                    <w:tabs>
                      <w:tab w:val="left" w:pos="194"/>
                      <w:tab w:val="left" w:pos="743"/>
                    </w:tabs>
                    <w:autoSpaceDE w:val="0"/>
                    <w:autoSpaceDN w:val="0"/>
                    <w:adjustRightInd w:val="0"/>
                    <w:ind w:left="227"/>
                    <w:rPr>
                      <w:rFonts w:ascii="Arial Narrow" w:hAnsi="Arial Narrow" w:cs="Arial"/>
                      <w:color w:val="1F497D"/>
                      <w:sz w:val="26"/>
                      <w:szCs w:val="26"/>
                      <w:highlight w:val="yellow"/>
                    </w:rPr>
                  </w:pPr>
                  <w:r>
                    <w:rPr>
                      <w:rFonts w:ascii="Arial Narrow" w:hAnsi="Arial Narrow" w:cs="Arial"/>
                      <w:bCs/>
                      <w:color w:val="1F497D"/>
                    </w:rPr>
                    <w:t xml:space="preserve">L’incidenza sul Pil è pari a 2,5% </w:t>
                  </w:r>
                  <w:r w:rsidR="004A169B">
                    <w:rPr>
                      <w:rFonts w:ascii="Arial Narrow" w:hAnsi="Arial Narrow" w:cs="Arial"/>
                      <w:bCs/>
                      <w:color w:val="1F497D"/>
                    </w:rPr>
                    <w:br/>
                  </w:r>
                  <w:r>
                    <w:rPr>
                      <w:rFonts w:ascii="Arial Narrow" w:hAnsi="Arial Narrow" w:cs="Arial"/>
                      <w:bCs/>
                      <w:color w:val="1F497D"/>
                    </w:rPr>
                    <w:t xml:space="preserve">nel 2023. </w:t>
                  </w:r>
                </w:p>
              </w:tc>
              <w:tc>
                <w:tcPr>
                  <w:tcW w:w="3901" w:type="dxa"/>
                  <w:shd w:val="clear" w:color="auto" w:fill="D9D9D9" w:themeFill="background1" w:themeFillShade="D9"/>
                </w:tcPr>
                <w:p w14:paraId="7AE7E1B6" w14:textId="77777777" w:rsidR="006956CE" w:rsidRPr="00825867" w:rsidRDefault="006956CE" w:rsidP="0085279C">
                  <w:pPr>
                    <w:tabs>
                      <w:tab w:val="left" w:pos="851"/>
                    </w:tabs>
                    <w:autoSpaceDE w:val="0"/>
                    <w:autoSpaceDN w:val="0"/>
                    <w:adjustRightInd w:val="0"/>
                    <w:ind w:left="57"/>
                    <w:rPr>
                      <w:rFonts w:ascii="Georgia" w:hAnsi="Georgia" w:cs="Arial"/>
                      <w:bCs/>
                      <w:color w:val="1F497D" w:themeColor="text2"/>
                      <w:sz w:val="88"/>
                      <w:szCs w:val="88"/>
                    </w:rPr>
                  </w:pPr>
                  <w:r w:rsidRPr="00825867">
                    <w:rPr>
                      <w:rFonts w:ascii="Georgia" w:hAnsi="Georgia" w:cs="Arial"/>
                      <w:bCs/>
                      <w:color w:val="1F497D" w:themeColor="text2"/>
                      <w:sz w:val="88"/>
                      <w:szCs w:val="88"/>
                    </w:rPr>
                    <w:t>54,0</w:t>
                  </w:r>
                </w:p>
                <w:p w14:paraId="2CCAF190" w14:textId="77777777" w:rsidR="006956CE" w:rsidRPr="00825867" w:rsidRDefault="006956CE" w:rsidP="0085279C">
                  <w:pPr>
                    <w:tabs>
                      <w:tab w:val="left" w:pos="851"/>
                    </w:tabs>
                    <w:autoSpaceDE w:val="0"/>
                    <w:autoSpaceDN w:val="0"/>
                    <w:adjustRightInd w:val="0"/>
                    <w:ind w:left="57"/>
                    <w:rPr>
                      <w:rFonts w:ascii="Georgia" w:hAnsi="Georgia" w:cs="Arial"/>
                      <w:b/>
                      <w:bCs/>
                      <w:color w:val="1F497D" w:themeColor="text2"/>
                      <w:sz w:val="26"/>
                      <w:szCs w:val="26"/>
                    </w:rPr>
                  </w:pPr>
                </w:p>
                <w:p w14:paraId="00A1F144" w14:textId="400130AC" w:rsidR="006956CE" w:rsidRDefault="00F40C83" w:rsidP="0085279C">
                  <w:pPr>
                    <w:tabs>
                      <w:tab w:val="left" w:pos="851"/>
                    </w:tabs>
                    <w:autoSpaceDE w:val="0"/>
                    <w:autoSpaceDN w:val="0"/>
                    <w:adjustRightInd w:val="0"/>
                    <w:ind w:left="57"/>
                    <w:rPr>
                      <w:rFonts w:ascii="Georgia" w:hAnsi="Georgia" w:cs="Arial"/>
                      <w:b/>
                      <w:bCs/>
                      <w:color w:val="1F497D" w:themeColor="text2"/>
                      <w:sz w:val="26"/>
                      <w:szCs w:val="26"/>
                    </w:rPr>
                  </w:pPr>
                  <w:r>
                    <w:rPr>
                      <w:rFonts w:ascii="Georgia" w:hAnsi="Georgia" w:cs="Arial"/>
                      <w:b/>
                      <w:bCs/>
                      <w:color w:val="1F497D" w:themeColor="text2"/>
                      <w:sz w:val="26"/>
                      <w:szCs w:val="26"/>
                    </w:rPr>
                    <w:t>L</w:t>
                  </w:r>
                  <w:r w:rsidR="006956CE" w:rsidRPr="00825867">
                    <w:rPr>
                      <w:rFonts w:ascii="Georgia" w:hAnsi="Georgia" w:cs="Arial"/>
                      <w:b/>
                      <w:bCs/>
                      <w:color w:val="1F497D" w:themeColor="text2"/>
                      <w:sz w:val="26"/>
                      <w:szCs w:val="26"/>
                    </w:rPr>
                    <w:t>e tonnellate di CO</w:t>
                  </w:r>
                  <w:r w:rsidR="006956CE" w:rsidRPr="00825867">
                    <w:rPr>
                      <w:rFonts w:ascii="Georgia" w:hAnsi="Georgia" w:cs="Arial"/>
                      <w:b/>
                      <w:bCs/>
                      <w:color w:val="1F497D" w:themeColor="text2"/>
                      <w:sz w:val="26"/>
                      <w:szCs w:val="26"/>
                      <w:vertAlign w:val="subscript"/>
                    </w:rPr>
                    <w:t>2</w:t>
                  </w:r>
                  <w:r w:rsidR="006956CE" w:rsidRPr="00825867">
                    <w:rPr>
                      <w:rFonts w:ascii="Georgia" w:hAnsi="Georgia" w:cs="Arial"/>
                      <w:b/>
                      <w:bCs/>
                      <w:color w:val="1F497D" w:themeColor="text2"/>
                      <w:sz w:val="26"/>
                      <w:szCs w:val="26"/>
                    </w:rPr>
                    <w:t xml:space="preserve"> </w:t>
                  </w:r>
                </w:p>
                <w:p w14:paraId="5FB169E9" w14:textId="77777777" w:rsidR="006956CE" w:rsidRDefault="006956CE" w:rsidP="0085279C">
                  <w:pPr>
                    <w:tabs>
                      <w:tab w:val="left" w:pos="851"/>
                    </w:tabs>
                    <w:autoSpaceDE w:val="0"/>
                    <w:autoSpaceDN w:val="0"/>
                    <w:adjustRightInd w:val="0"/>
                    <w:ind w:left="57"/>
                    <w:rPr>
                      <w:rFonts w:ascii="Georgia" w:hAnsi="Georgia" w:cs="Arial"/>
                      <w:b/>
                      <w:bCs/>
                      <w:color w:val="1F497D" w:themeColor="text2"/>
                      <w:sz w:val="26"/>
                      <w:szCs w:val="26"/>
                    </w:rPr>
                  </w:pPr>
                  <w:r w:rsidRPr="00825867">
                    <w:rPr>
                      <w:rFonts w:ascii="Georgia" w:hAnsi="Georgia" w:cs="Arial"/>
                      <w:b/>
                      <w:bCs/>
                      <w:color w:val="1F497D" w:themeColor="text2"/>
                      <w:sz w:val="26"/>
                      <w:szCs w:val="26"/>
                    </w:rPr>
                    <w:t xml:space="preserve">emesse per ogni terajoule di energia consumato </w:t>
                  </w:r>
                </w:p>
                <w:p w14:paraId="3438EFEE" w14:textId="77777777" w:rsidR="006956CE" w:rsidRPr="00825867" w:rsidRDefault="006956CE" w:rsidP="0085279C">
                  <w:pPr>
                    <w:tabs>
                      <w:tab w:val="left" w:pos="851"/>
                    </w:tabs>
                    <w:autoSpaceDE w:val="0"/>
                    <w:autoSpaceDN w:val="0"/>
                    <w:adjustRightInd w:val="0"/>
                    <w:ind w:left="57"/>
                    <w:rPr>
                      <w:rFonts w:ascii="Georgia" w:hAnsi="Georgia" w:cs="Arial"/>
                      <w:b/>
                      <w:bCs/>
                      <w:color w:val="1F497D" w:themeColor="text2"/>
                      <w:sz w:val="26"/>
                      <w:szCs w:val="26"/>
                    </w:rPr>
                  </w:pPr>
                  <w:r w:rsidRPr="00825867">
                    <w:rPr>
                      <w:rFonts w:ascii="Georgia" w:hAnsi="Georgia" w:cs="Arial"/>
                      <w:b/>
                      <w:bCs/>
                      <w:color w:val="1F497D" w:themeColor="text2"/>
                      <w:sz w:val="26"/>
                      <w:szCs w:val="26"/>
                    </w:rPr>
                    <w:t>nel 2023</w:t>
                  </w:r>
                </w:p>
                <w:p w14:paraId="07C7CA0C" w14:textId="77777777" w:rsidR="006956CE" w:rsidRPr="00825867" w:rsidRDefault="006956CE" w:rsidP="0085279C">
                  <w:pPr>
                    <w:tabs>
                      <w:tab w:val="left" w:pos="194"/>
                      <w:tab w:val="left" w:pos="743"/>
                    </w:tabs>
                    <w:autoSpaceDE w:val="0"/>
                    <w:autoSpaceDN w:val="0"/>
                    <w:adjustRightInd w:val="0"/>
                    <w:ind w:left="57"/>
                    <w:rPr>
                      <w:rFonts w:ascii="Arial Narrow" w:hAnsi="Arial Narrow" w:cs="Arial"/>
                      <w:bCs/>
                      <w:color w:val="1F497D" w:themeColor="text2"/>
                    </w:rPr>
                  </w:pPr>
                </w:p>
                <w:p w14:paraId="75E3E5DA" w14:textId="77777777" w:rsidR="006956CE" w:rsidRDefault="006956CE" w:rsidP="0085279C">
                  <w:pPr>
                    <w:tabs>
                      <w:tab w:val="left" w:pos="194"/>
                      <w:tab w:val="left" w:pos="743"/>
                    </w:tabs>
                    <w:autoSpaceDE w:val="0"/>
                    <w:autoSpaceDN w:val="0"/>
                    <w:adjustRightInd w:val="0"/>
                    <w:ind w:left="57"/>
                    <w:rPr>
                      <w:rFonts w:ascii="Arial Narrow" w:hAnsi="Arial Narrow" w:cs="Arial"/>
                      <w:bCs/>
                      <w:color w:val="1F497D"/>
                    </w:rPr>
                  </w:pPr>
                  <w:r w:rsidRPr="00582DE8">
                    <w:rPr>
                      <w:rFonts w:ascii="Arial Narrow" w:hAnsi="Arial Narrow" w:cs="Arial"/>
                      <w:bCs/>
                      <w:color w:val="1F497D"/>
                    </w:rPr>
                    <w:t xml:space="preserve">L’indicatore, in calo dal 2012 al 2020, torna a scendere nel 2023 (-2,4%) </w:t>
                  </w:r>
                </w:p>
                <w:p w14:paraId="6AB6DAC6" w14:textId="20BC1D3B" w:rsidR="006956CE" w:rsidRPr="00790F2D" w:rsidRDefault="006956CE" w:rsidP="0085279C">
                  <w:pPr>
                    <w:tabs>
                      <w:tab w:val="left" w:pos="194"/>
                      <w:tab w:val="left" w:pos="743"/>
                    </w:tabs>
                    <w:autoSpaceDE w:val="0"/>
                    <w:autoSpaceDN w:val="0"/>
                    <w:adjustRightInd w:val="0"/>
                    <w:ind w:left="57"/>
                    <w:rPr>
                      <w:rFonts w:ascii="Georgia" w:hAnsi="Georgia" w:cs="Arial"/>
                      <w:bCs/>
                      <w:color w:val="E42618"/>
                      <w:sz w:val="16"/>
                      <w:szCs w:val="16"/>
                    </w:rPr>
                  </w:pPr>
                  <w:r w:rsidRPr="00582DE8">
                    <w:rPr>
                      <w:rFonts w:ascii="Arial Narrow" w:hAnsi="Arial Narrow" w:cs="Arial"/>
                      <w:bCs/>
                      <w:color w:val="1F497D"/>
                    </w:rPr>
                    <w:t xml:space="preserve">dopo due anni di crescita </w:t>
                  </w:r>
                </w:p>
              </w:tc>
              <w:tc>
                <w:tcPr>
                  <w:tcW w:w="3996" w:type="dxa"/>
                  <w:shd w:val="clear" w:color="auto" w:fill="D9D9D9" w:themeFill="background1" w:themeFillShade="D9"/>
                </w:tcPr>
                <w:p w14:paraId="68E019B0" w14:textId="77777777" w:rsidR="006956CE" w:rsidRPr="00DA5A24" w:rsidRDefault="006956CE" w:rsidP="004D1152">
                  <w:pPr>
                    <w:tabs>
                      <w:tab w:val="left" w:pos="851"/>
                    </w:tabs>
                    <w:autoSpaceDE w:val="0"/>
                    <w:autoSpaceDN w:val="0"/>
                    <w:adjustRightInd w:val="0"/>
                    <w:ind w:left="57"/>
                    <w:rPr>
                      <w:rFonts w:ascii="Georgia" w:hAnsi="Georgia" w:cs="Arial"/>
                      <w:bCs/>
                      <w:color w:val="E42618"/>
                      <w:sz w:val="88"/>
                      <w:szCs w:val="88"/>
                    </w:rPr>
                  </w:pPr>
                  <w:r w:rsidRPr="00DA5A24">
                    <w:rPr>
                      <w:rFonts w:ascii="Georgia" w:hAnsi="Georgia" w:cs="Arial"/>
                      <w:bCs/>
                      <w:color w:val="E42618"/>
                      <w:sz w:val="88"/>
                      <w:szCs w:val="88"/>
                    </w:rPr>
                    <w:t>250</w:t>
                  </w:r>
                </w:p>
                <w:p w14:paraId="78465E35" w14:textId="77777777" w:rsidR="006956CE" w:rsidRPr="00DA5A24" w:rsidRDefault="006956CE" w:rsidP="004D1152">
                  <w:pPr>
                    <w:tabs>
                      <w:tab w:val="left" w:pos="317"/>
                      <w:tab w:val="left" w:pos="743"/>
                    </w:tabs>
                    <w:autoSpaceDE w:val="0"/>
                    <w:autoSpaceDN w:val="0"/>
                    <w:adjustRightInd w:val="0"/>
                    <w:ind w:left="57"/>
                    <w:rPr>
                      <w:rFonts w:ascii="Georgia" w:hAnsi="Georgia" w:cs="Arial"/>
                      <w:b/>
                      <w:bCs/>
                      <w:color w:val="1F497D"/>
                      <w:sz w:val="26"/>
                      <w:szCs w:val="26"/>
                    </w:rPr>
                  </w:pPr>
                </w:p>
                <w:p w14:paraId="3E991F53" w14:textId="08B519D8" w:rsidR="006956CE" w:rsidRDefault="00F40C83" w:rsidP="004D1152">
                  <w:pPr>
                    <w:tabs>
                      <w:tab w:val="left" w:pos="194"/>
                      <w:tab w:val="left" w:pos="743"/>
                    </w:tabs>
                    <w:autoSpaceDE w:val="0"/>
                    <w:autoSpaceDN w:val="0"/>
                    <w:adjustRightInd w:val="0"/>
                    <w:ind w:left="57"/>
                    <w:rPr>
                      <w:rFonts w:ascii="Georgia" w:hAnsi="Georgia" w:cs="Arial"/>
                      <w:b/>
                      <w:bCs/>
                      <w:color w:val="E42618"/>
                      <w:sz w:val="26"/>
                      <w:szCs w:val="26"/>
                    </w:rPr>
                  </w:pPr>
                  <w:r>
                    <w:rPr>
                      <w:rFonts w:ascii="Georgia" w:hAnsi="Georgia" w:cs="Arial"/>
                      <w:b/>
                      <w:bCs/>
                      <w:color w:val="E42618"/>
                      <w:sz w:val="26"/>
                      <w:szCs w:val="26"/>
                    </w:rPr>
                    <w:t>L</w:t>
                  </w:r>
                  <w:r w:rsidR="006956CE" w:rsidRPr="00DA5A24">
                    <w:rPr>
                      <w:rFonts w:ascii="Georgia" w:hAnsi="Georgia" w:cs="Arial"/>
                      <w:b/>
                      <w:bCs/>
                      <w:color w:val="E42618"/>
                      <w:sz w:val="26"/>
                      <w:szCs w:val="26"/>
                    </w:rPr>
                    <w:t>e tonnellate di materia</w:t>
                  </w:r>
                </w:p>
                <w:p w14:paraId="06FFFF64" w14:textId="77777777" w:rsidR="006956CE" w:rsidRDefault="006956CE" w:rsidP="004D1152">
                  <w:pPr>
                    <w:tabs>
                      <w:tab w:val="left" w:pos="194"/>
                      <w:tab w:val="left" w:pos="743"/>
                    </w:tabs>
                    <w:autoSpaceDE w:val="0"/>
                    <w:autoSpaceDN w:val="0"/>
                    <w:adjustRightInd w:val="0"/>
                    <w:ind w:left="57"/>
                    <w:rPr>
                      <w:rFonts w:ascii="Georgia" w:hAnsi="Georgia" w:cs="Arial"/>
                      <w:b/>
                      <w:bCs/>
                      <w:color w:val="E42618"/>
                      <w:sz w:val="26"/>
                      <w:szCs w:val="26"/>
                    </w:rPr>
                  </w:pPr>
                  <w:r w:rsidRPr="00DA5A24">
                    <w:rPr>
                      <w:rFonts w:ascii="Georgia" w:hAnsi="Georgia" w:cs="Arial"/>
                      <w:b/>
                      <w:bCs/>
                      <w:color w:val="E42618"/>
                      <w:sz w:val="26"/>
                      <w:szCs w:val="26"/>
                    </w:rPr>
                    <w:t>utilizzat</w:t>
                  </w:r>
                  <w:r>
                    <w:rPr>
                      <w:rFonts w:ascii="Georgia" w:hAnsi="Georgia" w:cs="Arial"/>
                      <w:b/>
                      <w:bCs/>
                      <w:color w:val="E42618"/>
                      <w:sz w:val="26"/>
                      <w:szCs w:val="26"/>
                    </w:rPr>
                    <w:t>e</w:t>
                  </w:r>
                  <w:r w:rsidRPr="00DA5A24">
                    <w:rPr>
                      <w:rFonts w:ascii="Georgia" w:hAnsi="Georgia" w:cs="Arial"/>
                      <w:b/>
                      <w:bCs/>
                      <w:color w:val="E42618"/>
                      <w:sz w:val="26"/>
                      <w:szCs w:val="26"/>
                    </w:rPr>
                    <w:t xml:space="preserve"> nell’economia italiana per </w:t>
                  </w:r>
                  <w:r>
                    <w:rPr>
                      <w:rFonts w:ascii="Georgia" w:hAnsi="Georgia" w:cs="Arial"/>
                      <w:b/>
                      <w:bCs/>
                      <w:color w:val="E42618"/>
                      <w:sz w:val="26"/>
                      <w:szCs w:val="26"/>
                    </w:rPr>
                    <w:t>milione</w:t>
                  </w:r>
                </w:p>
                <w:p w14:paraId="13538799" w14:textId="65A259C7" w:rsidR="006956CE" w:rsidRPr="00DA5A24" w:rsidRDefault="006956CE" w:rsidP="004D1152">
                  <w:pPr>
                    <w:tabs>
                      <w:tab w:val="left" w:pos="194"/>
                      <w:tab w:val="left" w:pos="743"/>
                    </w:tabs>
                    <w:autoSpaceDE w:val="0"/>
                    <w:autoSpaceDN w:val="0"/>
                    <w:adjustRightInd w:val="0"/>
                    <w:ind w:left="57"/>
                    <w:rPr>
                      <w:rFonts w:ascii="Georgia" w:hAnsi="Georgia" w:cs="Arial"/>
                      <w:b/>
                      <w:bCs/>
                      <w:color w:val="E42618"/>
                      <w:sz w:val="26"/>
                      <w:szCs w:val="26"/>
                    </w:rPr>
                  </w:pPr>
                  <w:r>
                    <w:rPr>
                      <w:rFonts w:ascii="Georgia" w:hAnsi="Georgia" w:cs="Arial"/>
                      <w:b/>
                      <w:bCs/>
                      <w:color w:val="E42618"/>
                      <w:sz w:val="26"/>
                      <w:szCs w:val="26"/>
                    </w:rPr>
                    <w:t>di euro di Pil nel 2023</w:t>
                  </w:r>
                </w:p>
                <w:p w14:paraId="0685C743" w14:textId="77777777" w:rsidR="006956CE" w:rsidRPr="00DA5A24" w:rsidRDefault="006956CE" w:rsidP="004D1152">
                  <w:pPr>
                    <w:tabs>
                      <w:tab w:val="left" w:pos="194"/>
                      <w:tab w:val="left" w:pos="743"/>
                    </w:tabs>
                    <w:autoSpaceDE w:val="0"/>
                    <w:autoSpaceDN w:val="0"/>
                    <w:adjustRightInd w:val="0"/>
                    <w:ind w:left="57"/>
                    <w:rPr>
                      <w:rFonts w:ascii="Arial Narrow" w:hAnsi="Arial Narrow" w:cs="Arial"/>
                      <w:bCs/>
                      <w:color w:val="1F497D" w:themeColor="text2"/>
                    </w:rPr>
                  </w:pPr>
                </w:p>
                <w:p w14:paraId="2EB1E4FF" w14:textId="77777777" w:rsidR="006956CE" w:rsidRDefault="006956CE" w:rsidP="004D1152">
                  <w:pPr>
                    <w:tabs>
                      <w:tab w:val="left" w:pos="194"/>
                      <w:tab w:val="left" w:pos="743"/>
                    </w:tabs>
                    <w:autoSpaceDE w:val="0"/>
                    <w:autoSpaceDN w:val="0"/>
                    <w:adjustRightInd w:val="0"/>
                    <w:ind w:left="57"/>
                    <w:rPr>
                      <w:rFonts w:ascii="Arial Narrow" w:hAnsi="Arial Narrow" w:cs="Arial"/>
                      <w:bCs/>
                      <w:color w:val="1F497D"/>
                    </w:rPr>
                  </w:pPr>
                  <w:r w:rsidRPr="00582DE8">
                    <w:rPr>
                      <w:rFonts w:ascii="Arial Narrow" w:hAnsi="Arial Narrow" w:cs="Arial"/>
                      <w:bCs/>
                      <w:color w:val="1F497D"/>
                    </w:rPr>
                    <w:t xml:space="preserve">Prosegue nel 2022 e nel 2023 </w:t>
                  </w:r>
                </w:p>
                <w:p w14:paraId="03F3CABB" w14:textId="380B9077" w:rsidR="006956CE" w:rsidRPr="00790F2D" w:rsidRDefault="006956CE" w:rsidP="004D1152">
                  <w:pPr>
                    <w:tabs>
                      <w:tab w:val="left" w:pos="194"/>
                      <w:tab w:val="left" w:pos="743"/>
                    </w:tabs>
                    <w:autoSpaceDE w:val="0"/>
                    <w:autoSpaceDN w:val="0"/>
                    <w:adjustRightInd w:val="0"/>
                    <w:ind w:left="57"/>
                    <w:rPr>
                      <w:rFonts w:ascii="Georgia" w:hAnsi="Georgia" w:cs="Arial"/>
                      <w:bCs/>
                      <w:color w:val="E42618"/>
                      <w:sz w:val="16"/>
                      <w:szCs w:val="16"/>
                    </w:rPr>
                  </w:pPr>
                  <w:r w:rsidRPr="00582DE8">
                    <w:rPr>
                      <w:rFonts w:ascii="Arial Narrow" w:hAnsi="Arial Narrow" w:cs="Arial"/>
                      <w:bCs/>
                      <w:color w:val="1F497D"/>
                    </w:rPr>
                    <w:t>la tendenza alla riduzione dell’intensità materiale</w:t>
                  </w:r>
                </w:p>
              </w:tc>
            </w:tr>
          </w:tbl>
          <w:p w14:paraId="15DFE1B4" w14:textId="77777777" w:rsidR="006956CE" w:rsidRPr="008B53CA" w:rsidRDefault="006956CE" w:rsidP="002B3D30">
            <w:pPr>
              <w:rPr>
                <w:highlight w:val="yellow"/>
              </w:rPr>
            </w:pPr>
          </w:p>
        </w:tc>
      </w:tr>
    </w:tbl>
    <w:p w14:paraId="4D928C40" w14:textId="77777777" w:rsidR="00C65721" w:rsidRPr="0058002A" w:rsidRDefault="00C65721" w:rsidP="000467F2">
      <w:pPr>
        <w:rPr>
          <w:rFonts w:ascii="Arial" w:hAnsi="Arial" w:cs="Arial"/>
          <w:iCs/>
          <w:noProof/>
          <w:color w:val="000000"/>
          <w:sz w:val="20"/>
          <w:szCs w:val="20"/>
        </w:rPr>
        <w:sectPr w:rsidR="00C65721" w:rsidRPr="0058002A" w:rsidSect="00123E17">
          <w:footerReference w:type="even" r:id="rId8"/>
          <w:footerReference w:type="default" r:id="rId9"/>
          <w:headerReference w:type="first" r:id="rId10"/>
          <w:footerReference w:type="first" r:id="rId11"/>
          <w:type w:val="continuous"/>
          <w:pgSz w:w="11906" w:h="16838"/>
          <w:pgMar w:top="567" w:right="851" w:bottom="680" w:left="851" w:header="0" w:footer="0" w:gutter="0"/>
          <w:pgNumType w:start="1"/>
          <w:cols w:space="708"/>
          <w:titlePg/>
          <w:docGrid w:linePitch="360"/>
        </w:sectPr>
      </w:pPr>
    </w:p>
    <w:p w14:paraId="1A610921" w14:textId="77777777" w:rsidR="002A333E" w:rsidRPr="00790F2D" w:rsidRDefault="002A333E">
      <w:pPr>
        <w:pStyle w:val="Titolo2"/>
        <w:rPr>
          <w:rFonts w:ascii="Arial" w:hAnsi="Arial" w:cs="Arial"/>
          <w:bCs w:val="0"/>
          <w:i w:val="0"/>
          <w:color w:val="1F497D" w:themeColor="text2"/>
          <w:sz w:val="22"/>
          <w:szCs w:val="26"/>
        </w:rPr>
      </w:pPr>
    </w:p>
    <w:p w14:paraId="0E88EFAA" w14:textId="1EED8DAE" w:rsidR="00D665F9" w:rsidRPr="00125798" w:rsidRDefault="00F40C83">
      <w:pPr>
        <w:pStyle w:val="Titolo2"/>
        <w:rPr>
          <w:rFonts w:ascii="Arial" w:hAnsi="Arial" w:cs="Arial"/>
          <w:b/>
          <w:bCs w:val="0"/>
          <w:i w:val="0"/>
          <w:color w:val="1F497D" w:themeColor="text2"/>
          <w:sz w:val="26"/>
          <w:szCs w:val="26"/>
          <w:highlight w:val="green"/>
        </w:rPr>
      </w:pPr>
      <w:r>
        <w:rPr>
          <w:rFonts w:ascii="Arial" w:hAnsi="Arial" w:cs="Arial"/>
          <w:b/>
          <w:bCs w:val="0"/>
          <w:i w:val="0"/>
          <w:color w:val="1F497D" w:themeColor="text2"/>
          <w:sz w:val="26"/>
          <w:szCs w:val="26"/>
        </w:rPr>
        <w:t>Cala</w:t>
      </w:r>
      <w:r w:rsidR="004B1CBA">
        <w:rPr>
          <w:rFonts w:ascii="Arial" w:hAnsi="Arial" w:cs="Arial"/>
          <w:b/>
          <w:bCs w:val="0"/>
          <w:i w:val="0"/>
          <w:color w:val="1F497D" w:themeColor="text2"/>
          <w:sz w:val="26"/>
          <w:szCs w:val="26"/>
        </w:rPr>
        <w:t>no</w:t>
      </w:r>
      <w:r w:rsidR="000D44D2">
        <w:rPr>
          <w:rFonts w:ascii="Arial" w:hAnsi="Arial" w:cs="Arial"/>
          <w:b/>
          <w:bCs w:val="0"/>
          <w:i w:val="0"/>
          <w:color w:val="1F497D" w:themeColor="text2"/>
          <w:sz w:val="26"/>
          <w:szCs w:val="26"/>
        </w:rPr>
        <w:t xml:space="preserve"> </w:t>
      </w:r>
      <w:r w:rsidR="004E0515">
        <w:rPr>
          <w:rFonts w:ascii="Arial" w:hAnsi="Arial" w:cs="Arial"/>
          <w:b/>
          <w:bCs w:val="0"/>
          <w:i w:val="0"/>
          <w:color w:val="1F497D" w:themeColor="text2"/>
          <w:sz w:val="26"/>
          <w:szCs w:val="26"/>
        </w:rPr>
        <w:t>gli</w:t>
      </w:r>
      <w:r w:rsidR="004B1CBA">
        <w:rPr>
          <w:rFonts w:ascii="Arial" w:hAnsi="Arial" w:cs="Arial"/>
          <w:b/>
          <w:bCs w:val="0"/>
          <w:i w:val="0"/>
          <w:color w:val="1F497D" w:themeColor="text2"/>
          <w:sz w:val="26"/>
          <w:szCs w:val="26"/>
        </w:rPr>
        <w:t xml:space="preserve"> </w:t>
      </w:r>
      <w:r w:rsidR="004E0515">
        <w:rPr>
          <w:rFonts w:ascii="Arial" w:hAnsi="Arial" w:cs="Arial"/>
          <w:b/>
          <w:bCs w:val="0"/>
          <w:i w:val="0"/>
          <w:color w:val="1F497D" w:themeColor="text2"/>
          <w:sz w:val="26"/>
          <w:szCs w:val="26"/>
        </w:rPr>
        <w:t>indicatori</w:t>
      </w:r>
      <w:r w:rsidR="004B1CBA">
        <w:rPr>
          <w:rFonts w:ascii="Arial" w:hAnsi="Arial" w:cs="Arial"/>
          <w:b/>
          <w:bCs w:val="0"/>
          <w:i w:val="0"/>
          <w:color w:val="1F497D" w:themeColor="text2"/>
          <w:sz w:val="26"/>
          <w:szCs w:val="26"/>
        </w:rPr>
        <w:t xml:space="preserve"> </w:t>
      </w:r>
      <w:r w:rsidR="000D44D2">
        <w:rPr>
          <w:rFonts w:ascii="Arial" w:hAnsi="Arial" w:cs="Arial"/>
          <w:b/>
          <w:bCs w:val="0"/>
          <w:i w:val="0"/>
          <w:color w:val="1F497D" w:themeColor="text2"/>
          <w:sz w:val="26"/>
          <w:szCs w:val="26"/>
        </w:rPr>
        <w:t xml:space="preserve">fisici, aumenta la </w:t>
      </w:r>
      <w:r w:rsidR="00083E13" w:rsidRPr="00FB1AA5">
        <w:rPr>
          <w:rFonts w:ascii="Arial" w:hAnsi="Arial" w:cs="Arial"/>
          <w:b/>
          <w:bCs w:val="0"/>
          <w:i w:val="0"/>
          <w:color w:val="1F497D" w:themeColor="text2"/>
          <w:sz w:val="26"/>
          <w:szCs w:val="26"/>
        </w:rPr>
        <w:t xml:space="preserve">spesa per la protezione ambientale </w:t>
      </w:r>
    </w:p>
    <w:p w14:paraId="5144A866" w14:textId="05FAE39E" w:rsidR="00F74C4C" w:rsidRDefault="00FE26D9" w:rsidP="00566B7A">
      <w:pPr>
        <w:spacing w:after="120"/>
        <w:jc w:val="both"/>
        <w:rPr>
          <w:rFonts w:ascii="Arial" w:hAnsi="Arial" w:cs="Arial"/>
          <w:sz w:val="22"/>
          <w:szCs w:val="22"/>
        </w:rPr>
      </w:pPr>
      <w:r w:rsidRPr="00FE26D9">
        <w:rPr>
          <w:rFonts w:ascii="Arial" w:hAnsi="Arial" w:cs="Arial"/>
          <w:sz w:val="22"/>
          <w:szCs w:val="22"/>
        </w:rPr>
        <w:t>I</w:t>
      </w:r>
      <w:r w:rsidR="001B3535" w:rsidRPr="00FE26D9">
        <w:rPr>
          <w:rFonts w:ascii="Arial" w:hAnsi="Arial" w:cs="Arial"/>
          <w:sz w:val="22"/>
          <w:szCs w:val="22"/>
        </w:rPr>
        <w:t xml:space="preserve"> </w:t>
      </w:r>
      <w:r w:rsidRPr="00FE26D9">
        <w:rPr>
          <w:rFonts w:ascii="Arial" w:hAnsi="Arial" w:cs="Arial"/>
          <w:sz w:val="22"/>
          <w:szCs w:val="22"/>
        </w:rPr>
        <w:t xml:space="preserve">principali </w:t>
      </w:r>
      <w:r w:rsidR="001B3535" w:rsidRPr="00FE26D9">
        <w:rPr>
          <w:rFonts w:ascii="Arial" w:hAnsi="Arial" w:cs="Arial"/>
          <w:sz w:val="22"/>
          <w:szCs w:val="22"/>
        </w:rPr>
        <w:t>indicatori</w:t>
      </w:r>
      <w:r>
        <w:rPr>
          <w:rFonts w:ascii="Arial" w:hAnsi="Arial" w:cs="Arial"/>
          <w:sz w:val="22"/>
          <w:szCs w:val="22"/>
        </w:rPr>
        <w:t xml:space="preserve"> fisici</w:t>
      </w:r>
      <w:r w:rsidR="001B3535" w:rsidRPr="00FE26D9">
        <w:rPr>
          <w:rFonts w:ascii="Arial" w:hAnsi="Arial" w:cs="Arial"/>
          <w:sz w:val="22"/>
          <w:szCs w:val="22"/>
        </w:rPr>
        <w:t xml:space="preserve"> forniti dai </w:t>
      </w:r>
      <w:r w:rsidR="002A333E">
        <w:rPr>
          <w:rFonts w:ascii="Arial" w:hAnsi="Arial" w:cs="Arial"/>
          <w:sz w:val="22"/>
          <w:szCs w:val="22"/>
        </w:rPr>
        <w:t>C</w:t>
      </w:r>
      <w:r w:rsidR="008C5EFB" w:rsidRPr="00790F2D">
        <w:rPr>
          <w:rFonts w:ascii="Arial" w:hAnsi="Arial" w:cs="Arial"/>
          <w:sz w:val="22"/>
          <w:szCs w:val="22"/>
        </w:rPr>
        <w:t xml:space="preserve">onti </w:t>
      </w:r>
      <w:r w:rsidR="004220A7" w:rsidRPr="00790F2D">
        <w:rPr>
          <w:rFonts w:ascii="Arial" w:hAnsi="Arial" w:cs="Arial"/>
          <w:sz w:val="22"/>
          <w:szCs w:val="22"/>
        </w:rPr>
        <w:t>economici dell’ambiente</w:t>
      </w:r>
      <w:r w:rsidR="004220A7">
        <w:rPr>
          <w:rFonts w:ascii="Arial" w:hAnsi="Arial" w:cs="Arial"/>
          <w:i/>
          <w:sz w:val="22"/>
          <w:szCs w:val="22"/>
        </w:rPr>
        <w:t xml:space="preserve"> </w:t>
      </w:r>
      <w:r w:rsidR="007D0FEB">
        <w:rPr>
          <w:rFonts w:ascii="Arial" w:hAnsi="Arial" w:cs="Arial"/>
          <w:sz w:val="22"/>
          <w:szCs w:val="22"/>
        </w:rPr>
        <w:t>mostrano ne</w:t>
      </w:r>
      <w:r w:rsidRPr="00FE26D9">
        <w:rPr>
          <w:rFonts w:ascii="Arial" w:hAnsi="Arial" w:cs="Arial"/>
          <w:sz w:val="22"/>
          <w:szCs w:val="22"/>
        </w:rPr>
        <w:t>gli anni 2022 e 2023 una</w:t>
      </w:r>
      <w:r w:rsidR="000D44D2">
        <w:rPr>
          <w:rFonts w:ascii="Arial" w:hAnsi="Arial" w:cs="Arial"/>
          <w:sz w:val="22"/>
          <w:szCs w:val="22"/>
        </w:rPr>
        <w:t xml:space="preserve"> riduzione a fronte di una crescita del Pil in termini reali</w:t>
      </w:r>
      <w:r w:rsidR="00F74C4C">
        <w:rPr>
          <w:rFonts w:ascii="Arial" w:hAnsi="Arial" w:cs="Arial"/>
          <w:sz w:val="22"/>
          <w:szCs w:val="22"/>
        </w:rPr>
        <w:t xml:space="preserve">. Questa evoluzione nella dinamica dei principali indicatori economici ed ambientali, denominata disaccoppiamento </w:t>
      </w:r>
      <w:r w:rsidR="002A333E">
        <w:rPr>
          <w:rFonts w:ascii="Arial" w:hAnsi="Arial" w:cs="Arial"/>
          <w:sz w:val="22"/>
          <w:szCs w:val="22"/>
        </w:rPr>
        <w:t>(</w:t>
      </w:r>
      <w:r w:rsidR="00F74C4C">
        <w:rPr>
          <w:rFonts w:ascii="Arial" w:hAnsi="Arial" w:cs="Arial"/>
          <w:sz w:val="22"/>
          <w:szCs w:val="22"/>
        </w:rPr>
        <w:t xml:space="preserve">dall’inglese </w:t>
      </w:r>
      <w:r w:rsidR="000D44D2" w:rsidRPr="00C45C01">
        <w:rPr>
          <w:rFonts w:ascii="Arial" w:hAnsi="Arial" w:cs="Arial"/>
          <w:i/>
          <w:iCs/>
          <w:sz w:val="22"/>
          <w:szCs w:val="22"/>
        </w:rPr>
        <w:t>decoupling</w:t>
      </w:r>
      <w:r w:rsidR="002A333E">
        <w:rPr>
          <w:rFonts w:ascii="Arial" w:hAnsi="Arial" w:cs="Arial"/>
          <w:iCs/>
          <w:sz w:val="22"/>
          <w:szCs w:val="22"/>
        </w:rPr>
        <w:t>),</w:t>
      </w:r>
      <w:r w:rsidR="002A333E">
        <w:rPr>
          <w:rFonts w:ascii="Arial" w:hAnsi="Arial" w:cs="Arial"/>
          <w:i/>
          <w:iCs/>
          <w:sz w:val="22"/>
          <w:szCs w:val="22"/>
        </w:rPr>
        <w:t xml:space="preserve"> </w:t>
      </w:r>
      <w:r w:rsidR="004B1CBA">
        <w:rPr>
          <w:rFonts w:ascii="Arial" w:hAnsi="Arial" w:cs="Arial"/>
          <w:sz w:val="22"/>
          <w:szCs w:val="22"/>
        </w:rPr>
        <w:t>va nella direzione di una minore pressione sull’ambiente dell’economia</w:t>
      </w:r>
      <w:r>
        <w:rPr>
          <w:rFonts w:ascii="Arial" w:hAnsi="Arial" w:cs="Arial"/>
          <w:sz w:val="22"/>
          <w:szCs w:val="22"/>
        </w:rPr>
        <w:t xml:space="preserve">. </w:t>
      </w:r>
    </w:p>
    <w:p w14:paraId="1F0A00BB" w14:textId="3490F446" w:rsidR="00FE26D9" w:rsidRPr="00FE26D9" w:rsidRDefault="0072494D" w:rsidP="00566B7A">
      <w:pPr>
        <w:spacing w:after="120"/>
        <w:jc w:val="both"/>
        <w:rPr>
          <w:rFonts w:ascii="Arial" w:hAnsi="Arial" w:cs="Arial"/>
          <w:sz w:val="22"/>
          <w:szCs w:val="22"/>
        </w:rPr>
      </w:pPr>
      <w:r>
        <w:rPr>
          <w:rFonts w:ascii="Arial" w:hAnsi="Arial" w:cs="Arial"/>
          <w:sz w:val="22"/>
          <w:szCs w:val="22"/>
        </w:rPr>
        <w:t>Tale disaccoppiamento risulta assoluto n</w:t>
      </w:r>
      <w:r w:rsidR="00DE4824">
        <w:rPr>
          <w:rFonts w:ascii="Arial" w:hAnsi="Arial" w:cs="Arial"/>
          <w:sz w:val="22"/>
          <w:szCs w:val="22"/>
        </w:rPr>
        <w:t>el 2023</w:t>
      </w:r>
      <w:r>
        <w:rPr>
          <w:rFonts w:ascii="Arial" w:hAnsi="Arial" w:cs="Arial"/>
          <w:sz w:val="22"/>
          <w:szCs w:val="22"/>
        </w:rPr>
        <w:t xml:space="preserve">, dove </w:t>
      </w:r>
      <w:r w:rsidR="00DE4824">
        <w:rPr>
          <w:rFonts w:ascii="Arial" w:hAnsi="Arial" w:cs="Arial"/>
          <w:sz w:val="22"/>
          <w:szCs w:val="22"/>
        </w:rPr>
        <w:t xml:space="preserve">a fronte </w:t>
      </w:r>
      <w:r>
        <w:rPr>
          <w:rFonts w:ascii="Arial" w:hAnsi="Arial" w:cs="Arial"/>
          <w:sz w:val="22"/>
          <w:szCs w:val="22"/>
        </w:rPr>
        <w:t>di una</w:t>
      </w:r>
      <w:r w:rsidDel="0072494D">
        <w:rPr>
          <w:rFonts w:ascii="Arial" w:hAnsi="Arial" w:cs="Arial"/>
          <w:sz w:val="22"/>
          <w:szCs w:val="22"/>
        </w:rPr>
        <w:t xml:space="preserve"> </w:t>
      </w:r>
      <w:r w:rsidR="00DE4824">
        <w:rPr>
          <w:rFonts w:ascii="Arial" w:hAnsi="Arial" w:cs="Arial"/>
          <w:sz w:val="22"/>
          <w:szCs w:val="22"/>
        </w:rPr>
        <w:t>crescita del Pil pari a 0,7%,</w:t>
      </w:r>
      <w:r w:rsidR="007D0FEB">
        <w:rPr>
          <w:rFonts w:ascii="Arial" w:hAnsi="Arial" w:cs="Arial"/>
          <w:sz w:val="22"/>
          <w:szCs w:val="22"/>
        </w:rPr>
        <w:t xml:space="preserve"> il </w:t>
      </w:r>
      <w:r w:rsidR="007D0FEB" w:rsidRPr="007D0FEB">
        <w:rPr>
          <w:rFonts w:ascii="Arial" w:hAnsi="Arial" w:cs="Arial"/>
          <w:sz w:val="22"/>
          <w:szCs w:val="22"/>
        </w:rPr>
        <w:t>Consumo di energia delle unità residenti</w:t>
      </w:r>
      <w:r w:rsidR="007D0FEB">
        <w:rPr>
          <w:rFonts w:ascii="Arial" w:hAnsi="Arial" w:cs="Arial"/>
          <w:sz w:val="22"/>
          <w:szCs w:val="22"/>
        </w:rPr>
        <w:t xml:space="preserve"> diminuisce del 4,1%, le </w:t>
      </w:r>
      <w:r w:rsidR="00D71EDC">
        <w:rPr>
          <w:rFonts w:ascii="Arial" w:hAnsi="Arial" w:cs="Arial"/>
          <w:sz w:val="22"/>
          <w:szCs w:val="22"/>
        </w:rPr>
        <w:t>E</w:t>
      </w:r>
      <w:r w:rsidR="007D0FEB">
        <w:rPr>
          <w:rFonts w:ascii="Arial" w:hAnsi="Arial" w:cs="Arial"/>
          <w:sz w:val="22"/>
          <w:szCs w:val="22"/>
        </w:rPr>
        <w:t xml:space="preserve">missioni di </w:t>
      </w:r>
      <w:r w:rsidR="00D71EDC">
        <w:rPr>
          <w:rFonts w:ascii="Arial" w:hAnsi="Arial" w:cs="Arial"/>
          <w:sz w:val="22"/>
          <w:szCs w:val="22"/>
        </w:rPr>
        <w:t>g</w:t>
      </w:r>
      <w:r w:rsidR="007D0FEB">
        <w:rPr>
          <w:rFonts w:ascii="Arial" w:hAnsi="Arial" w:cs="Arial"/>
          <w:sz w:val="22"/>
          <w:szCs w:val="22"/>
        </w:rPr>
        <w:t xml:space="preserve">as </w:t>
      </w:r>
      <w:r w:rsidR="00D71EDC">
        <w:rPr>
          <w:rFonts w:ascii="Arial" w:hAnsi="Arial" w:cs="Arial"/>
          <w:sz w:val="22"/>
          <w:szCs w:val="22"/>
        </w:rPr>
        <w:t>c</w:t>
      </w:r>
      <w:r w:rsidR="007D0FEB">
        <w:rPr>
          <w:rFonts w:ascii="Arial" w:hAnsi="Arial" w:cs="Arial"/>
          <w:sz w:val="22"/>
          <w:szCs w:val="22"/>
        </w:rPr>
        <w:t xml:space="preserve">limalteranti </w:t>
      </w:r>
      <w:r>
        <w:rPr>
          <w:rFonts w:ascii="Arial" w:hAnsi="Arial" w:cs="Arial"/>
          <w:sz w:val="22"/>
          <w:szCs w:val="22"/>
        </w:rPr>
        <w:t xml:space="preserve">si riducono </w:t>
      </w:r>
      <w:r w:rsidR="007D0FEB">
        <w:rPr>
          <w:rFonts w:ascii="Arial" w:hAnsi="Arial" w:cs="Arial"/>
          <w:sz w:val="22"/>
          <w:szCs w:val="22"/>
        </w:rPr>
        <w:t xml:space="preserve">del 5,3% e il Consumo materiale interno </w:t>
      </w:r>
      <w:r>
        <w:rPr>
          <w:rFonts w:ascii="Arial" w:hAnsi="Arial" w:cs="Arial"/>
          <w:sz w:val="22"/>
          <w:szCs w:val="22"/>
        </w:rPr>
        <w:t xml:space="preserve">flette </w:t>
      </w:r>
      <w:r w:rsidR="007D0FEB">
        <w:rPr>
          <w:rFonts w:ascii="Arial" w:hAnsi="Arial" w:cs="Arial"/>
          <w:sz w:val="22"/>
          <w:szCs w:val="22"/>
        </w:rPr>
        <w:t>del 6,4%</w:t>
      </w:r>
      <w:r w:rsidR="00423154">
        <w:rPr>
          <w:rFonts w:ascii="Arial" w:hAnsi="Arial" w:cs="Arial"/>
          <w:sz w:val="22"/>
          <w:szCs w:val="22"/>
        </w:rPr>
        <w:t>.</w:t>
      </w:r>
      <w:r w:rsidR="007D0FEB">
        <w:rPr>
          <w:rFonts w:ascii="Arial" w:hAnsi="Arial" w:cs="Arial"/>
          <w:sz w:val="22"/>
          <w:szCs w:val="22"/>
        </w:rPr>
        <w:t xml:space="preserve"> N</w:t>
      </w:r>
      <w:r w:rsidR="005C0409">
        <w:rPr>
          <w:rFonts w:ascii="Arial" w:hAnsi="Arial" w:cs="Arial"/>
          <w:sz w:val="22"/>
          <w:szCs w:val="22"/>
        </w:rPr>
        <w:t>el 2022</w:t>
      </w:r>
      <w:r w:rsidR="00414510">
        <w:rPr>
          <w:rFonts w:ascii="Arial" w:hAnsi="Arial" w:cs="Arial"/>
          <w:sz w:val="22"/>
          <w:szCs w:val="22"/>
        </w:rPr>
        <w:t>,</w:t>
      </w:r>
      <w:r w:rsidR="007D0FEB" w:rsidRPr="00423154">
        <w:rPr>
          <w:rFonts w:ascii="Arial" w:hAnsi="Arial" w:cs="Arial"/>
          <w:sz w:val="22"/>
          <w:szCs w:val="22"/>
        </w:rPr>
        <w:t xml:space="preserve"> </w:t>
      </w:r>
      <w:r w:rsidR="00423154" w:rsidRPr="00423154">
        <w:rPr>
          <w:rFonts w:ascii="Arial" w:hAnsi="Arial" w:cs="Arial"/>
          <w:sz w:val="22"/>
          <w:szCs w:val="22"/>
        </w:rPr>
        <w:t xml:space="preserve">invece, </w:t>
      </w:r>
      <w:r w:rsidR="00423154">
        <w:rPr>
          <w:rFonts w:ascii="Arial" w:hAnsi="Arial" w:cs="Arial"/>
          <w:sz w:val="22"/>
          <w:szCs w:val="22"/>
        </w:rPr>
        <w:t xml:space="preserve">alla crescita del Pil del +4,7%, </w:t>
      </w:r>
      <w:r w:rsidR="007D0FEB">
        <w:rPr>
          <w:rFonts w:ascii="Arial" w:hAnsi="Arial" w:cs="Arial"/>
          <w:sz w:val="22"/>
          <w:szCs w:val="22"/>
        </w:rPr>
        <w:t>s</w:t>
      </w:r>
      <w:r w:rsidR="00423154">
        <w:rPr>
          <w:rFonts w:ascii="Arial" w:hAnsi="Arial" w:cs="Arial"/>
          <w:sz w:val="22"/>
          <w:szCs w:val="22"/>
        </w:rPr>
        <w:t>i è accompagnata una decrescita per il s</w:t>
      </w:r>
      <w:r w:rsidR="007D0FEB">
        <w:rPr>
          <w:rFonts w:ascii="Arial" w:hAnsi="Arial" w:cs="Arial"/>
          <w:sz w:val="22"/>
          <w:szCs w:val="22"/>
        </w:rPr>
        <w:t xml:space="preserve">olo </w:t>
      </w:r>
      <w:r w:rsidR="007D0FEB" w:rsidRPr="007D0FEB">
        <w:rPr>
          <w:rFonts w:ascii="Arial" w:hAnsi="Arial" w:cs="Arial"/>
          <w:sz w:val="22"/>
          <w:szCs w:val="22"/>
        </w:rPr>
        <w:t xml:space="preserve">Consumo di energia </w:t>
      </w:r>
      <w:r w:rsidR="007D0FEB">
        <w:rPr>
          <w:rFonts w:ascii="Arial" w:hAnsi="Arial" w:cs="Arial"/>
          <w:sz w:val="22"/>
          <w:szCs w:val="22"/>
        </w:rPr>
        <w:t xml:space="preserve">(-3,1%), mentre </w:t>
      </w:r>
      <w:r w:rsidR="00FE26D9" w:rsidRPr="00FE26D9">
        <w:rPr>
          <w:rFonts w:ascii="Arial" w:hAnsi="Arial" w:cs="Arial"/>
          <w:sz w:val="22"/>
          <w:szCs w:val="22"/>
        </w:rPr>
        <w:t xml:space="preserve">il disaccoppiamento </w:t>
      </w:r>
      <w:r w:rsidR="007D0FEB">
        <w:rPr>
          <w:rFonts w:ascii="Arial" w:hAnsi="Arial" w:cs="Arial"/>
          <w:sz w:val="22"/>
          <w:szCs w:val="22"/>
        </w:rPr>
        <w:t xml:space="preserve">del </w:t>
      </w:r>
      <w:r w:rsidR="007D0FEB" w:rsidRPr="00FE26D9">
        <w:rPr>
          <w:rFonts w:ascii="Arial" w:hAnsi="Arial" w:cs="Arial"/>
          <w:sz w:val="22"/>
          <w:szCs w:val="22"/>
        </w:rPr>
        <w:t>Consumo materiale interno</w:t>
      </w:r>
      <w:r w:rsidR="007D0FEB">
        <w:rPr>
          <w:rFonts w:ascii="Arial" w:hAnsi="Arial" w:cs="Arial"/>
          <w:sz w:val="22"/>
          <w:szCs w:val="22"/>
        </w:rPr>
        <w:t xml:space="preserve"> (+1,3%) </w:t>
      </w:r>
      <w:r w:rsidR="00414510">
        <w:rPr>
          <w:rFonts w:ascii="Arial" w:hAnsi="Arial" w:cs="Arial"/>
          <w:sz w:val="22"/>
          <w:szCs w:val="22"/>
        </w:rPr>
        <w:t xml:space="preserve">è stato </w:t>
      </w:r>
      <w:r w:rsidR="00414510" w:rsidRPr="00FE26D9">
        <w:rPr>
          <w:rFonts w:ascii="Arial" w:hAnsi="Arial" w:cs="Arial"/>
          <w:sz w:val="22"/>
          <w:szCs w:val="22"/>
        </w:rPr>
        <w:t>solo relativo</w:t>
      </w:r>
      <w:r w:rsidR="00414510">
        <w:rPr>
          <w:rFonts w:ascii="Arial" w:hAnsi="Arial" w:cs="Arial"/>
          <w:sz w:val="22"/>
          <w:szCs w:val="22"/>
        </w:rPr>
        <w:t xml:space="preserve">, come per </w:t>
      </w:r>
      <w:r w:rsidR="007D0FEB">
        <w:rPr>
          <w:rFonts w:ascii="Arial" w:hAnsi="Arial" w:cs="Arial"/>
          <w:sz w:val="22"/>
          <w:szCs w:val="22"/>
        </w:rPr>
        <w:t xml:space="preserve">le </w:t>
      </w:r>
      <w:r w:rsidR="00D71EDC">
        <w:rPr>
          <w:rFonts w:ascii="Arial" w:hAnsi="Arial" w:cs="Arial"/>
          <w:sz w:val="22"/>
          <w:szCs w:val="22"/>
        </w:rPr>
        <w:t>E</w:t>
      </w:r>
      <w:r w:rsidR="007D0FEB">
        <w:rPr>
          <w:rFonts w:ascii="Arial" w:hAnsi="Arial" w:cs="Arial"/>
          <w:sz w:val="22"/>
          <w:szCs w:val="22"/>
        </w:rPr>
        <w:t>missioni di</w:t>
      </w:r>
      <w:r w:rsidR="005C0409">
        <w:rPr>
          <w:rFonts w:ascii="Arial" w:hAnsi="Arial" w:cs="Arial"/>
          <w:sz w:val="22"/>
          <w:szCs w:val="22"/>
        </w:rPr>
        <w:t xml:space="preserve"> </w:t>
      </w:r>
      <w:r w:rsidR="00D71EDC">
        <w:rPr>
          <w:rFonts w:ascii="Arial" w:hAnsi="Arial" w:cs="Arial"/>
          <w:sz w:val="22"/>
          <w:szCs w:val="22"/>
        </w:rPr>
        <w:t>g</w:t>
      </w:r>
      <w:r w:rsidR="005C0409" w:rsidRPr="005C0409">
        <w:rPr>
          <w:rFonts w:ascii="Arial" w:hAnsi="Arial" w:cs="Arial"/>
          <w:sz w:val="22"/>
          <w:szCs w:val="22"/>
        </w:rPr>
        <w:t xml:space="preserve">as </w:t>
      </w:r>
      <w:r w:rsidR="005C0409">
        <w:rPr>
          <w:rFonts w:ascii="Arial" w:hAnsi="Arial" w:cs="Arial"/>
          <w:sz w:val="22"/>
          <w:szCs w:val="22"/>
        </w:rPr>
        <w:t>climalteranti</w:t>
      </w:r>
      <w:r>
        <w:rPr>
          <w:rFonts w:ascii="Arial" w:hAnsi="Arial" w:cs="Arial"/>
          <w:sz w:val="22"/>
          <w:szCs w:val="22"/>
        </w:rPr>
        <w:t>, rimaste stazionarie</w:t>
      </w:r>
      <w:r w:rsidR="00FE26D9" w:rsidRPr="00FE26D9">
        <w:rPr>
          <w:rFonts w:ascii="Arial" w:hAnsi="Arial" w:cs="Arial"/>
          <w:sz w:val="22"/>
          <w:szCs w:val="22"/>
        </w:rPr>
        <w:t xml:space="preserve">. </w:t>
      </w:r>
    </w:p>
    <w:p w14:paraId="0FC7F98F" w14:textId="2C7FC873" w:rsidR="00D6652B" w:rsidRPr="00D71EDC" w:rsidRDefault="00813D7F" w:rsidP="00D71EDC">
      <w:pPr>
        <w:spacing w:after="120"/>
        <w:ind w:right="57"/>
        <w:jc w:val="both"/>
        <w:rPr>
          <w:rFonts w:ascii="Arial" w:hAnsi="Arial" w:cs="Arial"/>
          <w:sz w:val="22"/>
          <w:szCs w:val="22"/>
        </w:rPr>
      </w:pPr>
      <w:r>
        <w:rPr>
          <w:rFonts w:ascii="Arial" w:hAnsi="Arial" w:cs="Arial"/>
          <w:sz w:val="22"/>
          <w:szCs w:val="22"/>
        </w:rPr>
        <w:t xml:space="preserve">Nel 2022 la </w:t>
      </w:r>
      <w:r w:rsidR="00D60F3A">
        <w:rPr>
          <w:rFonts w:ascii="Arial" w:hAnsi="Arial" w:cs="Arial"/>
          <w:sz w:val="22"/>
          <w:szCs w:val="22"/>
        </w:rPr>
        <w:t xml:space="preserve">stabilità complessiva delle </w:t>
      </w:r>
      <w:r w:rsidR="00D6652B" w:rsidRPr="00D6652B">
        <w:rPr>
          <w:rFonts w:ascii="Arial" w:hAnsi="Arial" w:cs="Arial"/>
          <w:sz w:val="22"/>
          <w:szCs w:val="22"/>
        </w:rPr>
        <w:t xml:space="preserve">emissioni di gas serra </w:t>
      </w:r>
      <w:r w:rsidR="000D3627">
        <w:rPr>
          <w:rFonts w:ascii="Arial" w:hAnsi="Arial" w:cs="Arial"/>
          <w:sz w:val="22"/>
          <w:szCs w:val="22"/>
        </w:rPr>
        <w:t xml:space="preserve">nonostante la </w:t>
      </w:r>
      <w:r w:rsidR="00FB2840">
        <w:rPr>
          <w:rFonts w:ascii="Arial" w:hAnsi="Arial" w:cs="Arial"/>
          <w:sz w:val="22"/>
          <w:szCs w:val="22"/>
        </w:rPr>
        <w:t xml:space="preserve">contrazione </w:t>
      </w:r>
      <w:r w:rsidR="00FB2840" w:rsidRPr="00D6652B">
        <w:rPr>
          <w:rFonts w:ascii="Arial" w:hAnsi="Arial" w:cs="Arial"/>
          <w:sz w:val="22"/>
          <w:szCs w:val="22"/>
        </w:rPr>
        <w:t>dei consumi energetici</w:t>
      </w:r>
      <w:r w:rsidR="00900963">
        <w:rPr>
          <w:rFonts w:ascii="Arial" w:hAnsi="Arial" w:cs="Arial"/>
          <w:sz w:val="22"/>
          <w:szCs w:val="22"/>
        </w:rPr>
        <w:t xml:space="preserve"> in termini fisici</w:t>
      </w:r>
      <w:r w:rsidR="00D60F3A">
        <w:rPr>
          <w:rFonts w:ascii="Arial" w:hAnsi="Arial" w:cs="Arial"/>
          <w:sz w:val="22"/>
          <w:szCs w:val="22"/>
        </w:rPr>
        <w:t>,</w:t>
      </w:r>
      <w:r w:rsidR="00E7661F">
        <w:rPr>
          <w:rFonts w:ascii="Arial" w:hAnsi="Arial" w:cs="Arial"/>
          <w:sz w:val="22"/>
          <w:szCs w:val="22"/>
        </w:rPr>
        <w:t xml:space="preserve"> </w:t>
      </w:r>
      <w:r>
        <w:rPr>
          <w:rFonts w:ascii="Arial" w:hAnsi="Arial" w:cs="Arial"/>
          <w:sz w:val="22"/>
          <w:szCs w:val="22"/>
        </w:rPr>
        <w:t>è</w:t>
      </w:r>
      <w:r w:rsidR="00DD3F53">
        <w:rPr>
          <w:rFonts w:ascii="Arial" w:hAnsi="Arial" w:cs="Arial"/>
          <w:sz w:val="22"/>
          <w:szCs w:val="22"/>
        </w:rPr>
        <w:t xml:space="preserve"> </w:t>
      </w:r>
      <w:r w:rsidR="00870512">
        <w:rPr>
          <w:rFonts w:ascii="Arial" w:hAnsi="Arial" w:cs="Arial"/>
          <w:sz w:val="22"/>
          <w:szCs w:val="22"/>
        </w:rPr>
        <w:t>riconducibile</w:t>
      </w:r>
      <w:r w:rsidR="00DD3F53">
        <w:rPr>
          <w:rFonts w:ascii="Arial" w:hAnsi="Arial" w:cs="Arial"/>
          <w:sz w:val="22"/>
          <w:szCs w:val="22"/>
        </w:rPr>
        <w:t xml:space="preserve"> in gran parte </w:t>
      </w:r>
      <w:r w:rsidR="000D3627">
        <w:rPr>
          <w:rFonts w:ascii="Arial" w:hAnsi="Arial" w:cs="Arial"/>
          <w:sz w:val="22"/>
          <w:szCs w:val="22"/>
        </w:rPr>
        <w:t xml:space="preserve">all’uso di prodotti energetici a maggiore intensità di carbonio </w:t>
      </w:r>
      <w:r w:rsidRPr="00813D7F">
        <w:rPr>
          <w:rFonts w:ascii="Arial" w:hAnsi="Arial" w:cs="Arial"/>
          <w:sz w:val="22"/>
          <w:szCs w:val="22"/>
        </w:rPr>
        <w:t>in risposta alla crisi energetica e alla siccità</w:t>
      </w:r>
      <w:r w:rsidR="00A914F0" w:rsidRPr="00D6652B">
        <w:rPr>
          <w:rFonts w:ascii="Arial" w:hAnsi="Arial" w:cs="Arial"/>
          <w:sz w:val="22"/>
          <w:szCs w:val="22"/>
        </w:rPr>
        <w:t xml:space="preserve">. </w:t>
      </w:r>
      <w:r w:rsidR="00DD3F53">
        <w:rPr>
          <w:rFonts w:ascii="Arial" w:hAnsi="Arial" w:cs="Arial"/>
          <w:sz w:val="22"/>
          <w:szCs w:val="22"/>
        </w:rPr>
        <w:t>Le</w:t>
      </w:r>
      <w:r w:rsidR="00DD3F53" w:rsidRPr="00D6652B">
        <w:rPr>
          <w:rFonts w:ascii="Arial" w:hAnsi="Arial" w:cs="Arial"/>
          <w:sz w:val="22"/>
          <w:szCs w:val="22"/>
        </w:rPr>
        <w:t xml:space="preserve"> famiglie</w:t>
      </w:r>
      <w:r w:rsidR="00DD3F53">
        <w:rPr>
          <w:rFonts w:ascii="Arial" w:hAnsi="Arial" w:cs="Arial"/>
          <w:sz w:val="22"/>
          <w:szCs w:val="22"/>
        </w:rPr>
        <w:t xml:space="preserve">, se da un lato </w:t>
      </w:r>
      <w:r w:rsidR="00C762B0">
        <w:rPr>
          <w:rFonts w:ascii="Arial" w:hAnsi="Arial" w:cs="Arial"/>
          <w:sz w:val="22"/>
          <w:szCs w:val="22"/>
        </w:rPr>
        <w:t xml:space="preserve">hanno registrato </w:t>
      </w:r>
      <w:r w:rsidR="00DD3F53">
        <w:rPr>
          <w:rFonts w:ascii="Arial" w:hAnsi="Arial" w:cs="Arial"/>
          <w:sz w:val="22"/>
          <w:szCs w:val="22"/>
        </w:rPr>
        <w:t>aument</w:t>
      </w:r>
      <w:r>
        <w:rPr>
          <w:rFonts w:ascii="Arial" w:hAnsi="Arial" w:cs="Arial"/>
          <w:sz w:val="22"/>
          <w:szCs w:val="22"/>
        </w:rPr>
        <w:t xml:space="preserve">i per il </w:t>
      </w:r>
      <w:r w:rsidR="00DD3F53" w:rsidRPr="00D6652B">
        <w:rPr>
          <w:rFonts w:ascii="Arial" w:hAnsi="Arial" w:cs="Arial"/>
          <w:sz w:val="22"/>
          <w:szCs w:val="22"/>
        </w:rPr>
        <w:t>trasporto in conto proprio</w:t>
      </w:r>
      <w:r w:rsidR="00DD3F53">
        <w:rPr>
          <w:rFonts w:ascii="Arial" w:hAnsi="Arial" w:cs="Arial"/>
          <w:sz w:val="22"/>
          <w:szCs w:val="22"/>
        </w:rPr>
        <w:t xml:space="preserve"> (</w:t>
      </w:r>
      <w:r w:rsidR="00DD3F53" w:rsidRPr="00D6652B">
        <w:rPr>
          <w:rFonts w:ascii="Arial" w:hAnsi="Arial" w:cs="Arial"/>
          <w:sz w:val="22"/>
          <w:szCs w:val="22"/>
        </w:rPr>
        <w:t>+9,3</w:t>
      </w:r>
      <w:r w:rsidR="00C762B0">
        <w:rPr>
          <w:rFonts w:ascii="Arial" w:hAnsi="Arial" w:cs="Arial"/>
          <w:sz w:val="22"/>
          <w:szCs w:val="22"/>
        </w:rPr>
        <w:t>%</w:t>
      </w:r>
      <w:r w:rsidR="00C762B0" w:rsidRPr="00D6652B">
        <w:rPr>
          <w:rFonts w:ascii="Arial" w:hAnsi="Arial" w:cs="Arial"/>
          <w:sz w:val="22"/>
          <w:szCs w:val="22"/>
        </w:rPr>
        <w:t xml:space="preserve"> </w:t>
      </w:r>
      <w:r w:rsidR="00DD3F53" w:rsidRPr="00D6652B">
        <w:rPr>
          <w:rFonts w:ascii="Arial" w:hAnsi="Arial" w:cs="Arial"/>
          <w:sz w:val="22"/>
          <w:szCs w:val="22"/>
        </w:rPr>
        <w:t>per le emissioni</w:t>
      </w:r>
      <w:r w:rsidR="00DD3F53">
        <w:rPr>
          <w:rFonts w:ascii="Arial" w:hAnsi="Arial" w:cs="Arial"/>
          <w:sz w:val="22"/>
          <w:szCs w:val="22"/>
        </w:rPr>
        <w:t xml:space="preserve"> e +8,3</w:t>
      </w:r>
      <w:r w:rsidR="00C762B0">
        <w:rPr>
          <w:rFonts w:ascii="Arial" w:hAnsi="Arial" w:cs="Arial"/>
          <w:sz w:val="22"/>
          <w:szCs w:val="22"/>
        </w:rPr>
        <w:t>%</w:t>
      </w:r>
      <w:r w:rsidR="00C762B0" w:rsidRPr="00D6652B">
        <w:rPr>
          <w:rFonts w:ascii="Arial" w:hAnsi="Arial" w:cs="Arial"/>
          <w:sz w:val="22"/>
          <w:szCs w:val="22"/>
        </w:rPr>
        <w:t xml:space="preserve"> </w:t>
      </w:r>
      <w:r w:rsidR="00DD3F53">
        <w:rPr>
          <w:rFonts w:ascii="Arial" w:hAnsi="Arial" w:cs="Arial"/>
          <w:sz w:val="22"/>
          <w:szCs w:val="22"/>
        </w:rPr>
        <w:t xml:space="preserve">per i consumi), dall’altro </w:t>
      </w:r>
      <w:r w:rsidR="00C762B0">
        <w:rPr>
          <w:rFonts w:ascii="Arial" w:hAnsi="Arial" w:cs="Arial"/>
          <w:sz w:val="22"/>
          <w:szCs w:val="22"/>
        </w:rPr>
        <w:t xml:space="preserve">hanno ridotto </w:t>
      </w:r>
      <w:r w:rsidR="00DD3F53">
        <w:rPr>
          <w:rFonts w:ascii="Arial" w:hAnsi="Arial" w:cs="Arial"/>
          <w:sz w:val="22"/>
          <w:szCs w:val="22"/>
        </w:rPr>
        <w:t xml:space="preserve">sensibilmente </w:t>
      </w:r>
      <w:r w:rsidR="00DD3F53" w:rsidRPr="00D6652B">
        <w:rPr>
          <w:rFonts w:ascii="Arial" w:hAnsi="Arial" w:cs="Arial"/>
          <w:sz w:val="22"/>
          <w:szCs w:val="22"/>
        </w:rPr>
        <w:t xml:space="preserve">emissioni </w:t>
      </w:r>
      <w:r w:rsidR="00DD3F53">
        <w:rPr>
          <w:rFonts w:ascii="Arial" w:hAnsi="Arial" w:cs="Arial"/>
          <w:sz w:val="22"/>
          <w:szCs w:val="22"/>
        </w:rPr>
        <w:t>e consumi negli usi domestici</w:t>
      </w:r>
      <w:r w:rsidR="00A32FB4">
        <w:rPr>
          <w:rFonts w:ascii="Arial" w:hAnsi="Arial" w:cs="Arial"/>
          <w:sz w:val="22"/>
          <w:szCs w:val="22"/>
        </w:rPr>
        <w:t xml:space="preserve"> (</w:t>
      </w:r>
      <w:r w:rsidR="00A32FB4" w:rsidRPr="00D6652B">
        <w:rPr>
          <w:rFonts w:ascii="Arial" w:hAnsi="Arial" w:cs="Arial"/>
          <w:sz w:val="22"/>
          <w:szCs w:val="22"/>
        </w:rPr>
        <w:t xml:space="preserve">-12,8% </w:t>
      </w:r>
      <w:r w:rsidR="00A32FB4">
        <w:rPr>
          <w:rFonts w:ascii="Arial" w:hAnsi="Arial" w:cs="Arial"/>
          <w:sz w:val="22"/>
          <w:szCs w:val="22"/>
        </w:rPr>
        <w:t xml:space="preserve">e </w:t>
      </w:r>
      <w:r w:rsidR="00A32FB4" w:rsidRPr="00D6652B">
        <w:rPr>
          <w:rFonts w:ascii="Arial" w:hAnsi="Arial" w:cs="Arial"/>
          <w:sz w:val="22"/>
          <w:szCs w:val="22"/>
        </w:rPr>
        <w:t>-10,1%</w:t>
      </w:r>
      <w:r w:rsidR="00C762B0">
        <w:rPr>
          <w:rFonts w:ascii="Arial" w:hAnsi="Arial" w:cs="Arial"/>
          <w:sz w:val="22"/>
          <w:szCs w:val="22"/>
        </w:rPr>
        <w:t xml:space="preserve"> rispettivamente</w:t>
      </w:r>
      <w:r w:rsidR="00A32FB4">
        <w:rPr>
          <w:rFonts w:ascii="Arial" w:hAnsi="Arial" w:cs="Arial"/>
          <w:sz w:val="22"/>
          <w:szCs w:val="22"/>
        </w:rPr>
        <w:t>)</w:t>
      </w:r>
      <w:r w:rsidR="00DD3F53" w:rsidRPr="00D6652B">
        <w:rPr>
          <w:rFonts w:ascii="Arial" w:hAnsi="Arial" w:cs="Arial"/>
          <w:sz w:val="22"/>
          <w:szCs w:val="22"/>
        </w:rPr>
        <w:t xml:space="preserve">. </w:t>
      </w:r>
      <w:r w:rsidR="00D6652B" w:rsidRPr="00DD3F53">
        <w:rPr>
          <w:rFonts w:ascii="Arial" w:hAnsi="Arial" w:cs="Arial"/>
          <w:sz w:val="22"/>
          <w:szCs w:val="22"/>
        </w:rPr>
        <w:t>Secondo le stime provvisorie disponibili per il 2023</w:t>
      </w:r>
      <w:r w:rsidR="00DD3F53">
        <w:rPr>
          <w:rFonts w:ascii="Arial" w:hAnsi="Arial" w:cs="Arial"/>
          <w:sz w:val="22"/>
          <w:szCs w:val="22"/>
        </w:rPr>
        <w:t xml:space="preserve">, il </w:t>
      </w:r>
      <w:r w:rsidR="00DD3F53" w:rsidRPr="007D0FEB">
        <w:rPr>
          <w:rFonts w:ascii="Arial" w:hAnsi="Arial" w:cs="Arial"/>
          <w:sz w:val="22"/>
          <w:szCs w:val="22"/>
        </w:rPr>
        <w:t>Consumo di energia delle unità residenti</w:t>
      </w:r>
      <w:r w:rsidR="00DD3F53">
        <w:rPr>
          <w:rFonts w:ascii="Arial" w:hAnsi="Arial" w:cs="Arial"/>
          <w:sz w:val="22"/>
          <w:szCs w:val="22"/>
        </w:rPr>
        <w:t xml:space="preserve"> si </w:t>
      </w:r>
      <w:r w:rsidR="00CA3A4A">
        <w:rPr>
          <w:rFonts w:ascii="Arial" w:hAnsi="Arial" w:cs="Arial"/>
          <w:sz w:val="22"/>
          <w:szCs w:val="22"/>
        </w:rPr>
        <w:t xml:space="preserve">è ridotto </w:t>
      </w:r>
      <w:r w:rsidR="00DD3F53" w:rsidRPr="00D71EDC">
        <w:rPr>
          <w:rFonts w:ascii="Arial" w:hAnsi="Arial" w:cs="Arial"/>
          <w:sz w:val="22"/>
          <w:szCs w:val="22"/>
        </w:rPr>
        <w:t>del</w:t>
      </w:r>
      <w:r w:rsidR="00D71EDC" w:rsidRPr="00D71EDC">
        <w:rPr>
          <w:rFonts w:ascii="Arial" w:hAnsi="Arial" w:cs="Arial"/>
          <w:sz w:val="22"/>
          <w:szCs w:val="22"/>
        </w:rPr>
        <w:t xml:space="preserve"> </w:t>
      </w:r>
      <w:r w:rsidR="00D6652B" w:rsidRPr="00D71EDC">
        <w:rPr>
          <w:rFonts w:ascii="Arial" w:hAnsi="Arial" w:cs="Arial"/>
          <w:sz w:val="22"/>
          <w:szCs w:val="22"/>
        </w:rPr>
        <w:t>4,0%</w:t>
      </w:r>
      <w:r w:rsidR="00D71EDC" w:rsidRPr="00D71EDC">
        <w:rPr>
          <w:rFonts w:ascii="Arial" w:hAnsi="Arial" w:cs="Arial"/>
          <w:sz w:val="22"/>
          <w:szCs w:val="22"/>
        </w:rPr>
        <w:t xml:space="preserve"> nelle attività produttive</w:t>
      </w:r>
      <w:r w:rsidR="00D71EDC">
        <w:rPr>
          <w:rFonts w:ascii="Arial" w:hAnsi="Arial" w:cs="Arial"/>
          <w:sz w:val="22"/>
          <w:szCs w:val="22"/>
        </w:rPr>
        <w:t xml:space="preserve"> e</w:t>
      </w:r>
      <w:r w:rsidR="00D6652B" w:rsidRPr="00D71EDC">
        <w:rPr>
          <w:rFonts w:ascii="Arial" w:hAnsi="Arial" w:cs="Arial"/>
          <w:sz w:val="22"/>
          <w:szCs w:val="22"/>
        </w:rPr>
        <w:t xml:space="preserve"> </w:t>
      </w:r>
      <w:r w:rsidR="00D71EDC">
        <w:rPr>
          <w:rFonts w:ascii="Arial" w:hAnsi="Arial" w:cs="Arial"/>
          <w:sz w:val="22"/>
          <w:szCs w:val="22"/>
        </w:rPr>
        <w:t xml:space="preserve">del 4,4% nelle </w:t>
      </w:r>
      <w:r w:rsidR="00D6652B" w:rsidRPr="00D71EDC">
        <w:rPr>
          <w:rFonts w:ascii="Arial" w:hAnsi="Arial" w:cs="Arial"/>
          <w:sz w:val="22"/>
          <w:szCs w:val="22"/>
        </w:rPr>
        <w:t xml:space="preserve">famiglie </w:t>
      </w:r>
      <w:r w:rsidR="00D71EDC">
        <w:rPr>
          <w:rFonts w:ascii="Arial" w:hAnsi="Arial" w:cs="Arial"/>
          <w:sz w:val="22"/>
          <w:szCs w:val="22"/>
        </w:rPr>
        <w:t>(ancora in crescita, dello 0</w:t>
      </w:r>
      <w:r w:rsidR="00D6652B" w:rsidRPr="00D71EDC">
        <w:rPr>
          <w:rFonts w:ascii="Arial" w:hAnsi="Arial" w:cs="Arial"/>
          <w:sz w:val="22"/>
          <w:szCs w:val="22"/>
        </w:rPr>
        <w:t>,6%</w:t>
      </w:r>
      <w:r w:rsidR="00D71EDC">
        <w:rPr>
          <w:rFonts w:ascii="Arial" w:hAnsi="Arial" w:cs="Arial"/>
          <w:sz w:val="22"/>
          <w:szCs w:val="22"/>
        </w:rPr>
        <w:t xml:space="preserve">, </w:t>
      </w:r>
      <w:r w:rsidR="009A4AAB">
        <w:rPr>
          <w:rFonts w:ascii="Arial" w:hAnsi="Arial" w:cs="Arial"/>
          <w:sz w:val="22"/>
          <w:szCs w:val="22"/>
        </w:rPr>
        <w:t xml:space="preserve">sono stati </w:t>
      </w:r>
      <w:r w:rsidR="00D71EDC">
        <w:rPr>
          <w:rFonts w:ascii="Arial" w:hAnsi="Arial" w:cs="Arial"/>
          <w:sz w:val="22"/>
          <w:szCs w:val="22"/>
        </w:rPr>
        <w:t xml:space="preserve">gli impieghi per trasporto, </w:t>
      </w:r>
      <w:r w:rsidR="009A4AAB">
        <w:rPr>
          <w:rFonts w:ascii="Arial" w:hAnsi="Arial" w:cs="Arial"/>
          <w:sz w:val="22"/>
          <w:szCs w:val="22"/>
        </w:rPr>
        <w:t xml:space="preserve">mentre sono risultati </w:t>
      </w:r>
      <w:r w:rsidR="00D71EDC">
        <w:rPr>
          <w:rFonts w:ascii="Arial" w:hAnsi="Arial" w:cs="Arial"/>
          <w:sz w:val="22"/>
          <w:szCs w:val="22"/>
        </w:rPr>
        <w:t>in calo dell’8,0% quelli domestici</w:t>
      </w:r>
      <w:r w:rsidR="00D6652B" w:rsidRPr="00D71EDC">
        <w:rPr>
          <w:rFonts w:ascii="Arial" w:hAnsi="Arial" w:cs="Arial"/>
          <w:sz w:val="22"/>
          <w:szCs w:val="22"/>
        </w:rPr>
        <w:t>)</w:t>
      </w:r>
      <w:r w:rsidR="009A4AAB">
        <w:rPr>
          <w:rFonts w:ascii="Arial" w:hAnsi="Arial" w:cs="Arial"/>
          <w:sz w:val="22"/>
          <w:szCs w:val="22"/>
        </w:rPr>
        <w:t>.</w:t>
      </w:r>
      <w:r w:rsidR="00D71EDC">
        <w:rPr>
          <w:rFonts w:ascii="Arial" w:hAnsi="Arial" w:cs="Arial"/>
          <w:sz w:val="22"/>
          <w:szCs w:val="22"/>
        </w:rPr>
        <w:t xml:space="preserve"> </w:t>
      </w:r>
      <w:r w:rsidR="009A4AAB">
        <w:rPr>
          <w:rFonts w:ascii="Arial" w:hAnsi="Arial" w:cs="Arial"/>
          <w:sz w:val="22"/>
          <w:szCs w:val="22"/>
        </w:rPr>
        <w:t>L</w:t>
      </w:r>
      <w:r w:rsidR="00D71EDC">
        <w:rPr>
          <w:rFonts w:ascii="Arial" w:hAnsi="Arial" w:cs="Arial"/>
          <w:sz w:val="22"/>
          <w:szCs w:val="22"/>
        </w:rPr>
        <w:t>e Emissioni di gas</w:t>
      </w:r>
      <w:r w:rsidR="00D71EDC" w:rsidRPr="00D71EDC">
        <w:rPr>
          <w:rFonts w:ascii="Arial" w:hAnsi="Arial" w:cs="Arial"/>
          <w:sz w:val="22"/>
          <w:szCs w:val="22"/>
        </w:rPr>
        <w:t xml:space="preserve"> </w:t>
      </w:r>
      <w:r w:rsidR="00D71EDC">
        <w:rPr>
          <w:rFonts w:ascii="Arial" w:hAnsi="Arial" w:cs="Arial"/>
          <w:sz w:val="22"/>
          <w:szCs w:val="22"/>
        </w:rPr>
        <w:t xml:space="preserve">climalteranti </w:t>
      </w:r>
      <w:r w:rsidR="009A4AAB">
        <w:rPr>
          <w:rFonts w:ascii="Arial" w:hAnsi="Arial" w:cs="Arial"/>
          <w:sz w:val="22"/>
          <w:szCs w:val="22"/>
        </w:rPr>
        <w:t>si sono ridotte</w:t>
      </w:r>
      <w:r w:rsidR="00D71EDC">
        <w:rPr>
          <w:rFonts w:ascii="Arial" w:hAnsi="Arial" w:cs="Arial"/>
          <w:sz w:val="22"/>
          <w:szCs w:val="22"/>
        </w:rPr>
        <w:t xml:space="preserve"> del </w:t>
      </w:r>
      <w:r w:rsidR="00D6652B" w:rsidRPr="00D71EDC">
        <w:rPr>
          <w:rFonts w:ascii="Arial" w:hAnsi="Arial" w:cs="Arial"/>
          <w:sz w:val="22"/>
          <w:szCs w:val="22"/>
        </w:rPr>
        <w:t>6,0%</w:t>
      </w:r>
      <w:r w:rsidR="00D71EDC">
        <w:rPr>
          <w:rFonts w:ascii="Arial" w:hAnsi="Arial" w:cs="Arial"/>
          <w:sz w:val="22"/>
          <w:szCs w:val="22"/>
        </w:rPr>
        <w:t xml:space="preserve"> nelle </w:t>
      </w:r>
      <w:r w:rsidR="00D71EDC" w:rsidRPr="00D71EDC">
        <w:rPr>
          <w:rFonts w:ascii="Arial" w:hAnsi="Arial" w:cs="Arial"/>
          <w:sz w:val="22"/>
          <w:szCs w:val="22"/>
        </w:rPr>
        <w:t>attivit</w:t>
      </w:r>
      <w:r w:rsidR="00D71EDC">
        <w:rPr>
          <w:rFonts w:ascii="Arial" w:hAnsi="Arial" w:cs="Arial"/>
          <w:sz w:val="22"/>
          <w:szCs w:val="22"/>
        </w:rPr>
        <w:t xml:space="preserve">à produttive e del </w:t>
      </w:r>
      <w:r w:rsidR="00D6652B" w:rsidRPr="00D71EDC">
        <w:rPr>
          <w:rFonts w:ascii="Arial" w:hAnsi="Arial" w:cs="Arial"/>
          <w:sz w:val="22"/>
          <w:szCs w:val="22"/>
        </w:rPr>
        <w:t>3,5</w:t>
      </w:r>
      <w:r w:rsidR="00D71EDC">
        <w:rPr>
          <w:rFonts w:ascii="Arial" w:hAnsi="Arial" w:cs="Arial"/>
          <w:sz w:val="22"/>
          <w:szCs w:val="22"/>
        </w:rPr>
        <w:t xml:space="preserve">% nelle </w:t>
      </w:r>
      <w:r w:rsidR="00D71EDC" w:rsidRPr="00D71EDC">
        <w:rPr>
          <w:rFonts w:ascii="Arial" w:hAnsi="Arial" w:cs="Arial"/>
          <w:sz w:val="22"/>
          <w:szCs w:val="22"/>
        </w:rPr>
        <w:t>famiglie</w:t>
      </w:r>
      <w:r w:rsidR="00D71EDC">
        <w:rPr>
          <w:rFonts w:ascii="Arial" w:hAnsi="Arial" w:cs="Arial"/>
          <w:sz w:val="22"/>
          <w:szCs w:val="22"/>
        </w:rPr>
        <w:t xml:space="preserve"> (</w:t>
      </w:r>
      <w:r w:rsidR="00D6652B" w:rsidRPr="00D71EDC">
        <w:rPr>
          <w:rFonts w:ascii="Arial" w:hAnsi="Arial" w:cs="Arial"/>
          <w:sz w:val="22"/>
          <w:szCs w:val="22"/>
        </w:rPr>
        <w:t>trasporto +0,6%; domestico -9,3%)</w:t>
      </w:r>
      <w:r w:rsidR="00D71EDC">
        <w:rPr>
          <w:rFonts w:ascii="Arial" w:hAnsi="Arial" w:cs="Arial"/>
          <w:sz w:val="22"/>
          <w:szCs w:val="22"/>
        </w:rPr>
        <w:t>.</w:t>
      </w:r>
    </w:p>
    <w:p w14:paraId="181E1240" w14:textId="0011E6DC" w:rsidR="006A13ED" w:rsidRPr="006A13ED" w:rsidRDefault="008F63B9" w:rsidP="006A13ED">
      <w:pPr>
        <w:spacing w:after="120"/>
        <w:ind w:right="57"/>
        <w:jc w:val="both"/>
        <w:rPr>
          <w:rFonts w:ascii="Arial" w:hAnsi="Arial" w:cs="Arial"/>
          <w:sz w:val="22"/>
          <w:szCs w:val="22"/>
        </w:rPr>
      </w:pPr>
      <w:r w:rsidRPr="006A13ED">
        <w:rPr>
          <w:rFonts w:ascii="Arial" w:hAnsi="Arial" w:cs="Arial"/>
          <w:sz w:val="22"/>
          <w:szCs w:val="22"/>
        </w:rPr>
        <w:t xml:space="preserve">Mentre </w:t>
      </w:r>
      <w:r w:rsidR="00755F57" w:rsidRPr="006A13ED">
        <w:rPr>
          <w:rFonts w:ascii="Arial" w:hAnsi="Arial" w:cs="Arial"/>
          <w:sz w:val="22"/>
          <w:szCs w:val="22"/>
        </w:rPr>
        <w:t>nel 202</w:t>
      </w:r>
      <w:r w:rsidR="006A13ED" w:rsidRPr="006A13ED">
        <w:rPr>
          <w:rFonts w:ascii="Arial" w:hAnsi="Arial" w:cs="Arial"/>
          <w:sz w:val="22"/>
          <w:szCs w:val="22"/>
        </w:rPr>
        <w:t>2</w:t>
      </w:r>
      <w:r w:rsidR="00755F57" w:rsidRPr="006A13ED">
        <w:rPr>
          <w:rFonts w:ascii="Arial" w:hAnsi="Arial" w:cs="Arial"/>
          <w:sz w:val="22"/>
          <w:szCs w:val="22"/>
        </w:rPr>
        <w:t xml:space="preserve"> </w:t>
      </w:r>
      <w:r w:rsidR="006A13ED" w:rsidRPr="006A13ED">
        <w:rPr>
          <w:rFonts w:ascii="Arial" w:hAnsi="Arial" w:cs="Arial"/>
          <w:sz w:val="22"/>
          <w:szCs w:val="22"/>
        </w:rPr>
        <w:t>i</w:t>
      </w:r>
      <w:r w:rsidR="003E6003" w:rsidRPr="006A13ED">
        <w:rPr>
          <w:rFonts w:ascii="Arial" w:hAnsi="Arial" w:cs="Arial"/>
          <w:sz w:val="22"/>
          <w:szCs w:val="22"/>
        </w:rPr>
        <w:t>l gettito complessivo da fiscalità ambientale</w:t>
      </w:r>
      <w:r w:rsidR="006A13ED" w:rsidRPr="006A13ED">
        <w:rPr>
          <w:rFonts w:ascii="Arial" w:hAnsi="Arial" w:cs="Arial"/>
          <w:sz w:val="22"/>
          <w:szCs w:val="22"/>
        </w:rPr>
        <w:t xml:space="preserve"> si è ridotto del 1</w:t>
      </w:r>
      <w:r w:rsidR="00366A64">
        <w:rPr>
          <w:rFonts w:ascii="Arial" w:hAnsi="Arial" w:cs="Arial"/>
          <w:sz w:val="22"/>
          <w:szCs w:val="22"/>
        </w:rPr>
        <w:t>9</w:t>
      </w:r>
      <w:r w:rsidR="006A13ED" w:rsidRPr="006A13ED">
        <w:rPr>
          <w:rFonts w:ascii="Arial" w:hAnsi="Arial" w:cs="Arial"/>
          <w:sz w:val="22"/>
          <w:szCs w:val="22"/>
        </w:rPr>
        <w:t>,</w:t>
      </w:r>
      <w:r w:rsidR="00366A64">
        <w:rPr>
          <w:rFonts w:ascii="Arial" w:hAnsi="Arial" w:cs="Arial"/>
          <w:sz w:val="22"/>
          <w:szCs w:val="22"/>
        </w:rPr>
        <w:t>0</w:t>
      </w:r>
      <w:r w:rsidR="006A13ED" w:rsidRPr="006A13ED">
        <w:rPr>
          <w:rFonts w:ascii="Arial" w:hAnsi="Arial" w:cs="Arial"/>
          <w:sz w:val="22"/>
          <w:szCs w:val="22"/>
        </w:rPr>
        <w:t xml:space="preserve">%, raggiungendo il minimo storico di incidenza sul Pil (2,3%), a causa delle misure di contenimento della crescita dei prezzi dei prodotti energetici (riduzione delle accise sui carburanti e azzeramento degli oneri generali del sistema elettrico), nel 2023 </w:t>
      </w:r>
      <w:r w:rsidR="002A333E">
        <w:rPr>
          <w:rFonts w:ascii="Arial" w:hAnsi="Arial" w:cs="Arial"/>
          <w:sz w:val="22"/>
          <w:szCs w:val="22"/>
        </w:rPr>
        <w:t>vi è stata</w:t>
      </w:r>
      <w:r w:rsidR="006A13ED" w:rsidRPr="006A13ED">
        <w:rPr>
          <w:rFonts w:ascii="Arial" w:hAnsi="Arial" w:cs="Arial"/>
          <w:sz w:val="22"/>
          <w:szCs w:val="22"/>
        </w:rPr>
        <w:t xml:space="preserve"> una netta ripresa (+19,4%), che </w:t>
      </w:r>
      <w:r w:rsidR="009A4AAB">
        <w:rPr>
          <w:rFonts w:ascii="Arial" w:hAnsi="Arial" w:cs="Arial"/>
          <w:sz w:val="22"/>
          <w:szCs w:val="22"/>
        </w:rPr>
        <w:t xml:space="preserve">ha </w:t>
      </w:r>
      <w:r w:rsidR="009A4AAB" w:rsidRPr="006A13ED">
        <w:rPr>
          <w:rFonts w:ascii="Arial" w:hAnsi="Arial" w:cs="Arial"/>
          <w:sz w:val="22"/>
          <w:szCs w:val="22"/>
        </w:rPr>
        <w:t>riporta</w:t>
      </w:r>
      <w:r w:rsidR="009A4AAB">
        <w:rPr>
          <w:rFonts w:ascii="Arial" w:hAnsi="Arial" w:cs="Arial"/>
          <w:sz w:val="22"/>
          <w:szCs w:val="22"/>
        </w:rPr>
        <w:t>to</w:t>
      </w:r>
      <w:r w:rsidR="006A13ED" w:rsidRPr="006A13ED">
        <w:rPr>
          <w:rFonts w:ascii="Arial" w:hAnsi="Arial" w:cs="Arial"/>
          <w:sz w:val="22"/>
          <w:szCs w:val="22"/>
        </w:rPr>
        <w:t xml:space="preserve"> </w:t>
      </w:r>
      <w:r w:rsidR="00A32FB4">
        <w:rPr>
          <w:rFonts w:ascii="Arial" w:hAnsi="Arial" w:cs="Arial"/>
          <w:sz w:val="22"/>
          <w:szCs w:val="22"/>
        </w:rPr>
        <w:t>il</w:t>
      </w:r>
      <w:r w:rsidR="006A13ED" w:rsidRPr="006A13ED">
        <w:rPr>
          <w:rFonts w:ascii="Arial" w:hAnsi="Arial" w:cs="Arial"/>
          <w:sz w:val="22"/>
          <w:szCs w:val="22"/>
        </w:rPr>
        <w:t xml:space="preserve"> gettito quasi al livello del</w:t>
      </w:r>
      <w:r w:rsidR="006A13ED">
        <w:rPr>
          <w:rFonts w:ascii="Arial" w:hAnsi="Arial" w:cs="Arial"/>
          <w:sz w:val="22"/>
          <w:szCs w:val="22"/>
        </w:rPr>
        <w:t xml:space="preserve"> 2021, </w:t>
      </w:r>
      <w:r w:rsidR="00A32FB4">
        <w:rPr>
          <w:rFonts w:ascii="Arial" w:hAnsi="Arial" w:cs="Arial"/>
          <w:sz w:val="22"/>
          <w:szCs w:val="22"/>
        </w:rPr>
        <w:t xml:space="preserve">soprattutto </w:t>
      </w:r>
      <w:r w:rsidR="006A13ED">
        <w:rPr>
          <w:rFonts w:ascii="Arial" w:hAnsi="Arial" w:cs="Arial"/>
          <w:sz w:val="22"/>
          <w:szCs w:val="22"/>
        </w:rPr>
        <w:t>per via della</w:t>
      </w:r>
      <w:r w:rsidR="006A13ED" w:rsidRPr="006A13ED">
        <w:rPr>
          <w:rFonts w:ascii="Arial" w:hAnsi="Arial" w:cs="Arial"/>
          <w:sz w:val="22"/>
          <w:szCs w:val="22"/>
        </w:rPr>
        <w:t xml:space="preserve"> </w:t>
      </w:r>
      <w:r w:rsidR="00A32FB4">
        <w:rPr>
          <w:rFonts w:ascii="Arial" w:hAnsi="Arial" w:cs="Arial"/>
          <w:sz w:val="22"/>
          <w:szCs w:val="22"/>
        </w:rPr>
        <w:t>cancellazione di tali misure.</w:t>
      </w:r>
    </w:p>
    <w:p w14:paraId="49B750E9" w14:textId="5A1FF23B" w:rsidR="00D665F9" w:rsidRPr="00E70C78" w:rsidRDefault="00E70C78" w:rsidP="00AF6472">
      <w:pPr>
        <w:spacing w:after="120"/>
        <w:ind w:right="57"/>
        <w:jc w:val="both"/>
        <w:rPr>
          <w:rFonts w:ascii="Arial" w:hAnsi="Arial" w:cs="Arial"/>
          <w:sz w:val="22"/>
          <w:szCs w:val="22"/>
        </w:rPr>
      </w:pPr>
      <w:r w:rsidRPr="00E70C78">
        <w:rPr>
          <w:rFonts w:ascii="Arial" w:hAnsi="Arial" w:cs="Arial"/>
          <w:sz w:val="22"/>
          <w:szCs w:val="22"/>
        </w:rPr>
        <w:t xml:space="preserve">È proseguita </w:t>
      </w:r>
      <w:r w:rsidR="00F6020B" w:rsidRPr="00E70C78">
        <w:rPr>
          <w:rFonts w:ascii="Arial" w:hAnsi="Arial" w:cs="Arial"/>
          <w:sz w:val="22"/>
          <w:szCs w:val="22"/>
        </w:rPr>
        <w:t xml:space="preserve">nel 2022 </w:t>
      </w:r>
      <w:r w:rsidR="006139FC" w:rsidRPr="00E70C78">
        <w:rPr>
          <w:rFonts w:ascii="Arial" w:hAnsi="Arial" w:cs="Arial"/>
          <w:sz w:val="22"/>
          <w:szCs w:val="22"/>
        </w:rPr>
        <w:t xml:space="preserve">la </w:t>
      </w:r>
      <w:r w:rsidR="00F6020B" w:rsidRPr="00E70C78">
        <w:rPr>
          <w:rFonts w:ascii="Arial" w:hAnsi="Arial" w:cs="Arial"/>
          <w:sz w:val="22"/>
          <w:szCs w:val="22"/>
        </w:rPr>
        <w:t xml:space="preserve">dinamica fortemente espansiva del settore dei beni e servizi ambientali, </w:t>
      </w:r>
      <w:r w:rsidR="000143EB" w:rsidRPr="00E70C78">
        <w:rPr>
          <w:rFonts w:ascii="Arial" w:hAnsi="Arial" w:cs="Arial"/>
          <w:sz w:val="22"/>
          <w:szCs w:val="22"/>
        </w:rPr>
        <w:t>(+4</w:t>
      </w:r>
      <w:r w:rsidR="00F6020B" w:rsidRPr="00E70C78">
        <w:rPr>
          <w:rFonts w:ascii="Arial" w:hAnsi="Arial" w:cs="Arial"/>
          <w:sz w:val="22"/>
          <w:szCs w:val="22"/>
        </w:rPr>
        <w:t>0</w:t>
      </w:r>
      <w:r w:rsidR="000143EB" w:rsidRPr="00E70C78">
        <w:rPr>
          <w:rFonts w:ascii="Arial" w:hAnsi="Arial" w:cs="Arial"/>
          <w:sz w:val="22"/>
          <w:szCs w:val="22"/>
        </w:rPr>
        <w:t>,</w:t>
      </w:r>
      <w:r w:rsidR="00F6020B" w:rsidRPr="00E70C78">
        <w:rPr>
          <w:rFonts w:ascii="Arial" w:hAnsi="Arial" w:cs="Arial"/>
          <w:sz w:val="22"/>
          <w:szCs w:val="22"/>
        </w:rPr>
        <w:t>6</w:t>
      </w:r>
      <w:r w:rsidR="000143EB" w:rsidRPr="00E70C78">
        <w:rPr>
          <w:rFonts w:ascii="Arial" w:hAnsi="Arial" w:cs="Arial"/>
          <w:sz w:val="22"/>
          <w:szCs w:val="22"/>
        </w:rPr>
        <w:t>%</w:t>
      </w:r>
      <w:r w:rsidR="00F6020B" w:rsidRPr="00E70C78">
        <w:rPr>
          <w:rFonts w:ascii="Arial" w:hAnsi="Arial" w:cs="Arial"/>
          <w:sz w:val="22"/>
          <w:szCs w:val="22"/>
        </w:rPr>
        <w:t xml:space="preserve"> in termini di valore aggiunto</w:t>
      </w:r>
      <w:r w:rsidR="000143EB" w:rsidRPr="00E70C78">
        <w:rPr>
          <w:rFonts w:ascii="Arial" w:hAnsi="Arial" w:cs="Arial"/>
          <w:sz w:val="22"/>
          <w:szCs w:val="22"/>
        </w:rPr>
        <w:t>)</w:t>
      </w:r>
      <w:r w:rsidR="00611E23">
        <w:rPr>
          <w:rFonts w:ascii="Arial" w:hAnsi="Arial" w:cs="Arial"/>
          <w:sz w:val="22"/>
          <w:szCs w:val="22"/>
        </w:rPr>
        <w:t>,</w:t>
      </w:r>
      <w:r w:rsidR="000143EB" w:rsidRPr="00E70C78">
        <w:rPr>
          <w:rFonts w:ascii="Arial" w:hAnsi="Arial" w:cs="Arial"/>
          <w:sz w:val="22"/>
          <w:szCs w:val="22"/>
        </w:rPr>
        <w:t xml:space="preserve"> </w:t>
      </w:r>
      <w:r>
        <w:rPr>
          <w:rFonts w:ascii="Arial" w:hAnsi="Arial" w:cs="Arial"/>
          <w:sz w:val="22"/>
          <w:szCs w:val="22"/>
        </w:rPr>
        <w:t xml:space="preserve">che </w:t>
      </w:r>
      <w:r w:rsidR="00611E23">
        <w:rPr>
          <w:rFonts w:ascii="Arial" w:hAnsi="Arial" w:cs="Arial"/>
          <w:sz w:val="22"/>
          <w:szCs w:val="22"/>
        </w:rPr>
        <w:t xml:space="preserve">ha </w:t>
      </w:r>
      <w:r>
        <w:rPr>
          <w:rFonts w:ascii="Arial" w:hAnsi="Arial" w:cs="Arial"/>
          <w:sz w:val="22"/>
          <w:szCs w:val="22"/>
        </w:rPr>
        <w:t>porta</w:t>
      </w:r>
      <w:r w:rsidR="00611E23">
        <w:rPr>
          <w:rFonts w:ascii="Arial" w:hAnsi="Arial" w:cs="Arial"/>
          <w:sz w:val="22"/>
          <w:szCs w:val="22"/>
        </w:rPr>
        <w:t>to</w:t>
      </w:r>
      <w:r>
        <w:rPr>
          <w:rFonts w:ascii="Arial" w:hAnsi="Arial" w:cs="Arial"/>
          <w:sz w:val="22"/>
          <w:szCs w:val="22"/>
        </w:rPr>
        <w:t xml:space="preserve"> l</w:t>
      </w:r>
      <w:r w:rsidRPr="00E70C78">
        <w:rPr>
          <w:rFonts w:ascii="Arial" w:hAnsi="Arial" w:cs="Arial"/>
          <w:sz w:val="22"/>
          <w:szCs w:val="22"/>
        </w:rPr>
        <w:t xml:space="preserve">’incidenza del settore sull’intera economia </w:t>
      </w:r>
      <w:r w:rsidRPr="00E70C78">
        <w:rPr>
          <w:rFonts w:ascii="Arial" w:hAnsi="Arial" w:cs="Arial"/>
          <w:color w:val="000000"/>
          <w:sz w:val="22"/>
          <w:szCs w:val="22"/>
        </w:rPr>
        <w:t>dal 3,1% nel 2021 al 4</w:t>
      </w:r>
      <w:r w:rsidR="00611E23">
        <w:rPr>
          <w:rFonts w:ascii="Arial" w:hAnsi="Arial" w:cs="Arial"/>
          <w:color w:val="000000"/>
          <w:sz w:val="22"/>
          <w:szCs w:val="22"/>
        </w:rPr>
        <w:t>,0</w:t>
      </w:r>
      <w:r w:rsidRPr="00E70C78">
        <w:rPr>
          <w:rFonts w:ascii="Arial" w:hAnsi="Arial" w:cs="Arial"/>
          <w:color w:val="000000"/>
          <w:sz w:val="22"/>
          <w:szCs w:val="22"/>
        </w:rPr>
        <w:t>% nel 2022</w:t>
      </w:r>
      <w:r>
        <w:rPr>
          <w:rFonts w:ascii="Arial" w:hAnsi="Arial" w:cs="Arial"/>
          <w:color w:val="000000"/>
          <w:sz w:val="22"/>
          <w:szCs w:val="22"/>
        </w:rPr>
        <w:t>. Tale dinamica è</w:t>
      </w:r>
      <w:r w:rsidRPr="00E70C78">
        <w:rPr>
          <w:rFonts w:ascii="Arial" w:hAnsi="Arial" w:cs="Arial"/>
          <w:sz w:val="22"/>
          <w:szCs w:val="22"/>
        </w:rPr>
        <w:t xml:space="preserve"> </w:t>
      </w:r>
      <w:r w:rsidR="00F6020B" w:rsidRPr="00E70C78">
        <w:rPr>
          <w:rFonts w:ascii="Arial" w:hAnsi="Arial" w:cs="Arial"/>
          <w:sz w:val="22"/>
          <w:szCs w:val="22"/>
        </w:rPr>
        <w:t>riconducibile alle misure per</w:t>
      </w:r>
      <w:r w:rsidR="006139FC" w:rsidRPr="00E70C78">
        <w:rPr>
          <w:rFonts w:ascii="Arial" w:hAnsi="Arial" w:cs="Arial"/>
          <w:sz w:val="22"/>
          <w:szCs w:val="22"/>
        </w:rPr>
        <w:t xml:space="preserve"> l’aumento dell’effic</w:t>
      </w:r>
      <w:r w:rsidR="00F6020B" w:rsidRPr="00E70C78">
        <w:rPr>
          <w:rFonts w:ascii="Arial" w:hAnsi="Arial" w:cs="Arial"/>
          <w:sz w:val="22"/>
          <w:szCs w:val="22"/>
        </w:rPr>
        <w:t>ienza energetica negli edifici (</w:t>
      </w:r>
      <w:r w:rsidR="00646C32">
        <w:rPr>
          <w:rFonts w:ascii="Arial" w:hAnsi="Arial" w:cs="Arial"/>
          <w:sz w:val="22"/>
          <w:szCs w:val="22"/>
        </w:rPr>
        <w:t xml:space="preserve">gli </w:t>
      </w:r>
      <w:r w:rsidR="006139FC" w:rsidRPr="00E70C78">
        <w:rPr>
          <w:rFonts w:ascii="Arial" w:hAnsi="Arial" w:cs="Arial"/>
          <w:sz w:val="22"/>
          <w:szCs w:val="22"/>
        </w:rPr>
        <w:t>incentivi fiscali noti come Superbonus</w:t>
      </w:r>
      <w:r w:rsidR="00B51F83" w:rsidRPr="00E70C78">
        <w:rPr>
          <w:rFonts w:ascii="Arial" w:hAnsi="Arial" w:cs="Arial"/>
          <w:sz w:val="22"/>
          <w:szCs w:val="22"/>
        </w:rPr>
        <w:t xml:space="preserve"> </w:t>
      </w:r>
      <w:r w:rsidR="006139FC" w:rsidRPr="00E70C78">
        <w:rPr>
          <w:rFonts w:ascii="Arial" w:hAnsi="Arial" w:cs="Arial"/>
          <w:sz w:val="22"/>
          <w:szCs w:val="22"/>
        </w:rPr>
        <w:t xml:space="preserve">110% e </w:t>
      </w:r>
      <w:r w:rsidRPr="00E70C78">
        <w:rPr>
          <w:rFonts w:ascii="Arial" w:hAnsi="Arial" w:cs="Arial"/>
          <w:sz w:val="22"/>
          <w:szCs w:val="22"/>
        </w:rPr>
        <w:t xml:space="preserve">lo standard europeo </w:t>
      </w:r>
      <w:r w:rsidR="002A333E">
        <w:rPr>
          <w:rFonts w:ascii="Arial" w:hAnsi="Arial" w:cs="Arial"/>
          <w:sz w:val="22"/>
          <w:szCs w:val="22"/>
        </w:rPr>
        <w:br/>
      </w:r>
      <w:r w:rsidRPr="00E70C78">
        <w:rPr>
          <w:rFonts w:ascii="Arial" w:hAnsi="Arial" w:cs="Arial"/>
          <w:sz w:val="22"/>
          <w:szCs w:val="22"/>
        </w:rPr>
        <w:t xml:space="preserve">Nzeb - </w:t>
      </w:r>
      <w:r w:rsidRPr="00E70C78">
        <w:rPr>
          <w:rFonts w:ascii="Arial" w:hAnsi="Arial" w:cs="Arial"/>
          <w:i/>
          <w:sz w:val="22"/>
          <w:szCs w:val="22"/>
        </w:rPr>
        <w:t>Nearly Zero Energy Building</w:t>
      </w:r>
      <w:r w:rsidR="00611E23" w:rsidRPr="002625C5">
        <w:rPr>
          <w:rFonts w:ascii="Arial" w:hAnsi="Arial" w:cs="Arial"/>
          <w:sz w:val="22"/>
          <w:szCs w:val="22"/>
        </w:rPr>
        <w:t>,</w:t>
      </w:r>
      <w:r w:rsidRPr="00E70C78">
        <w:rPr>
          <w:rFonts w:ascii="Arial" w:hAnsi="Arial" w:cs="Arial"/>
          <w:sz w:val="22"/>
          <w:szCs w:val="22"/>
        </w:rPr>
        <w:t xml:space="preserve"> “Edifici a Energia Quasi Zero” per i </w:t>
      </w:r>
      <w:r w:rsidR="005D456D" w:rsidRPr="00E70C78">
        <w:rPr>
          <w:rFonts w:ascii="Arial" w:hAnsi="Arial" w:cs="Arial"/>
          <w:sz w:val="22"/>
          <w:szCs w:val="22"/>
        </w:rPr>
        <w:t xml:space="preserve">nuovi </w:t>
      </w:r>
      <w:r w:rsidRPr="00E70C78">
        <w:rPr>
          <w:rFonts w:ascii="Arial" w:hAnsi="Arial" w:cs="Arial"/>
          <w:sz w:val="22"/>
          <w:szCs w:val="22"/>
        </w:rPr>
        <w:t>edifici)</w:t>
      </w:r>
      <w:r w:rsidRPr="00E70C78">
        <w:rPr>
          <w:rFonts w:ascii="Arial" w:hAnsi="Arial" w:cs="Arial"/>
          <w:color w:val="000000"/>
          <w:sz w:val="22"/>
          <w:szCs w:val="22"/>
        </w:rPr>
        <w:t xml:space="preserve">. </w:t>
      </w:r>
    </w:p>
    <w:p w14:paraId="01D60132" w14:textId="3B8FBE66" w:rsidR="00C3109E" w:rsidRDefault="00746AF5" w:rsidP="00E108F4">
      <w:pPr>
        <w:spacing w:after="120"/>
        <w:jc w:val="both"/>
        <w:rPr>
          <w:rFonts w:ascii="Arial" w:hAnsi="Arial" w:cs="Arial"/>
          <w:bCs/>
          <w:color w:val="000000"/>
          <w:sz w:val="22"/>
          <w:szCs w:val="22"/>
        </w:rPr>
      </w:pPr>
      <w:r w:rsidRPr="00DE4824">
        <w:rPr>
          <w:rFonts w:ascii="Arial" w:hAnsi="Arial" w:cs="Arial"/>
          <w:color w:val="000000"/>
          <w:sz w:val="22"/>
          <w:szCs w:val="22"/>
        </w:rPr>
        <w:t>L’inc</w:t>
      </w:r>
      <w:r w:rsidR="00DE4824" w:rsidRPr="00DE4824">
        <w:rPr>
          <w:rFonts w:ascii="Arial" w:hAnsi="Arial" w:cs="Arial"/>
          <w:color w:val="000000"/>
          <w:sz w:val="22"/>
          <w:szCs w:val="22"/>
        </w:rPr>
        <w:t xml:space="preserve">remento </w:t>
      </w:r>
      <w:r w:rsidRPr="00DE4824">
        <w:rPr>
          <w:rFonts w:ascii="Arial" w:hAnsi="Arial" w:cs="Arial"/>
          <w:color w:val="000000"/>
          <w:sz w:val="22"/>
          <w:szCs w:val="22"/>
        </w:rPr>
        <w:t>della Spesa nazionale per la protezione dell’ambiente</w:t>
      </w:r>
      <w:r w:rsidR="00B51F83" w:rsidRPr="00DE4824">
        <w:rPr>
          <w:rFonts w:ascii="Arial" w:hAnsi="Arial" w:cs="Arial"/>
          <w:color w:val="000000"/>
          <w:sz w:val="22"/>
          <w:szCs w:val="22"/>
        </w:rPr>
        <w:t>,</w:t>
      </w:r>
      <w:r w:rsidRPr="00DE4824">
        <w:rPr>
          <w:rFonts w:ascii="Arial" w:hAnsi="Arial" w:cs="Arial"/>
          <w:color w:val="000000"/>
          <w:sz w:val="22"/>
          <w:szCs w:val="22"/>
        </w:rPr>
        <w:t xml:space="preserve"> </w:t>
      </w:r>
      <w:r w:rsidR="00DE4824" w:rsidRPr="00DE4824">
        <w:rPr>
          <w:rFonts w:ascii="Arial" w:hAnsi="Arial" w:cs="Arial"/>
          <w:color w:val="000000"/>
          <w:sz w:val="22"/>
          <w:szCs w:val="22"/>
        </w:rPr>
        <w:t xml:space="preserve">pari </w:t>
      </w:r>
      <w:r w:rsidR="00AB7B19">
        <w:rPr>
          <w:rFonts w:ascii="Arial" w:hAnsi="Arial" w:cs="Arial"/>
          <w:color w:val="000000"/>
          <w:sz w:val="22"/>
          <w:szCs w:val="22"/>
        </w:rPr>
        <w:t xml:space="preserve">nel 2022 </w:t>
      </w:r>
      <w:r w:rsidR="00DE4824" w:rsidRPr="00DE4824">
        <w:rPr>
          <w:rFonts w:ascii="Arial" w:hAnsi="Arial" w:cs="Arial"/>
          <w:color w:val="000000"/>
          <w:sz w:val="22"/>
          <w:szCs w:val="22"/>
        </w:rPr>
        <w:t>a 9,4</w:t>
      </w:r>
      <w:r w:rsidRPr="00DE4824">
        <w:rPr>
          <w:rFonts w:ascii="Arial" w:hAnsi="Arial" w:cs="Arial"/>
          <w:color w:val="000000"/>
          <w:sz w:val="22"/>
          <w:szCs w:val="22"/>
        </w:rPr>
        <w:t xml:space="preserve">% </w:t>
      </w:r>
      <w:r w:rsidR="00DE4824" w:rsidRPr="00DE4824">
        <w:rPr>
          <w:rFonts w:ascii="Arial" w:hAnsi="Arial" w:cs="Arial"/>
          <w:color w:val="000000"/>
          <w:sz w:val="22"/>
          <w:szCs w:val="22"/>
        </w:rPr>
        <w:t>in termini nominali</w:t>
      </w:r>
      <w:r w:rsidRPr="00DE4824">
        <w:rPr>
          <w:rFonts w:ascii="Arial" w:hAnsi="Arial" w:cs="Arial"/>
          <w:color w:val="000000"/>
          <w:sz w:val="22"/>
          <w:szCs w:val="22"/>
        </w:rPr>
        <w:t xml:space="preserve">, </w:t>
      </w:r>
      <w:r w:rsidR="00DE4824" w:rsidRPr="00DE4824">
        <w:rPr>
          <w:rFonts w:ascii="Arial" w:hAnsi="Arial" w:cs="Arial"/>
          <w:color w:val="000000"/>
          <w:sz w:val="22"/>
          <w:szCs w:val="22"/>
        </w:rPr>
        <w:t xml:space="preserve">si </w:t>
      </w:r>
      <w:r w:rsidR="00611E23">
        <w:rPr>
          <w:rFonts w:ascii="Arial" w:hAnsi="Arial" w:cs="Arial"/>
          <w:color w:val="000000"/>
          <w:sz w:val="22"/>
          <w:szCs w:val="22"/>
        </w:rPr>
        <w:t xml:space="preserve">è </w:t>
      </w:r>
      <w:r w:rsidR="00DE4824" w:rsidRPr="00DE4824">
        <w:rPr>
          <w:rFonts w:ascii="Arial" w:hAnsi="Arial" w:cs="Arial"/>
          <w:color w:val="000000"/>
          <w:sz w:val="22"/>
          <w:szCs w:val="22"/>
        </w:rPr>
        <w:t>accompagna</w:t>
      </w:r>
      <w:r w:rsidR="00611E23">
        <w:rPr>
          <w:rFonts w:ascii="Arial" w:hAnsi="Arial" w:cs="Arial"/>
          <w:color w:val="000000"/>
          <w:sz w:val="22"/>
          <w:szCs w:val="22"/>
        </w:rPr>
        <w:t>ta</w:t>
      </w:r>
      <w:r w:rsidR="00DE4824" w:rsidRPr="00DE4824">
        <w:rPr>
          <w:rFonts w:ascii="Arial" w:hAnsi="Arial" w:cs="Arial"/>
          <w:color w:val="000000"/>
          <w:sz w:val="22"/>
          <w:szCs w:val="22"/>
        </w:rPr>
        <w:t xml:space="preserve"> all</w:t>
      </w:r>
      <w:r w:rsidR="00646C32">
        <w:rPr>
          <w:rFonts w:ascii="Arial" w:hAnsi="Arial" w:cs="Arial"/>
          <w:color w:val="000000"/>
          <w:sz w:val="22"/>
          <w:szCs w:val="22"/>
        </w:rPr>
        <w:t xml:space="preserve">a crescita </w:t>
      </w:r>
      <w:r w:rsidR="00DE4824" w:rsidRPr="00DE4824">
        <w:rPr>
          <w:rFonts w:ascii="Arial" w:hAnsi="Arial" w:cs="Arial"/>
          <w:color w:val="000000"/>
          <w:sz w:val="22"/>
          <w:szCs w:val="22"/>
        </w:rPr>
        <w:t xml:space="preserve">della quota delle attività di gestione delle acque reflue (dal 24,4% al 25,5%). Pressoché stabile </w:t>
      </w:r>
      <w:r w:rsidR="00611E23">
        <w:rPr>
          <w:rFonts w:ascii="Arial" w:hAnsi="Arial" w:cs="Arial"/>
          <w:color w:val="000000"/>
          <w:sz w:val="22"/>
          <w:szCs w:val="22"/>
        </w:rPr>
        <w:t xml:space="preserve">è stata </w:t>
      </w:r>
      <w:r w:rsidR="00DE4824" w:rsidRPr="00DE4824">
        <w:rPr>
          <w:rFonts w:ascii="Arial" w:hAnsi="Arial" w:cs="Arial"/>
          <w:color w:val="000000"/>
          <w:sz w:val="22"/>
          <w:szCs w:val="22"/>
        </w:rPr>
        <w:t xml:space="preserve">la ripartizione della spesa complessiva tra società (53,1%), </w:t>
      </w:r>
      <w:r w:rsidRPr="00DE4824">
        <w:rPr>
          <w:rFonts w:ascii="Arial" w:hAnsi="Arial" w:cs="Arial"/>
          <w:color w:val="000000"/>
          <w:sz w:val="22"/>
          <w:szCs w:val="22"/>
        </w:rPr>
        <w:t xml:space="preserve">Amministrazioni pubbliche </w:t>
      </w:r>
      <w:r w:rsidR="00DE4824" w:rsidRPr="00DE4824">
        <w:rPr>
          <w:rFonts w:ascii="Arial" w:hAnsi="Arial" w:cs="Arial"/>
          <w:color w:val="000000"/>
          <w:sz w:val="22"/>
          <w:szCs w:val="22"/>
        </w:rPr>
        <w:t>(27,5%) e famiglie (19,4%)</w:t>
      </w:r>
      <w:r w:rsidRPr="00DE4824">
        <w:rPr>
          <w:rFonts w:ascii="Arial" w:hAnsi="Arial" w:cs="Arial"/>
          <w:color w:val="000000"/>
          <w:sz w:val="22"/>
          <w:szCs w:val="22"/>
        </w:rPr>
        <w:t>.</w:t>
      </w:r>
      <w:r w:rsidR="00585579">
        <w:rPr>
          <w:rFonts w:ascii="Arial" w:hAnsi="Arial" w:cs="Arial"/>
          <w:bCs/>
          <w:i/>
          <w:color w:val="000000"/>
          <w:sz w:val="22"/>
          <w:szCs w:val="22"/>
        </w:rPr>
        <w:t xml:space="preserve"> </w:t>
      </w:r>
    </w:p>
    <w:p w14:paraId="63691D91" w14:textId="15E246B2" w:rsidR="001369E5" w:rsidRPr="00F95B47" w:rsidRDefault="001369E5" w:rsidP="00790F2D">
      <w:pPr>
        <w:spacing w:after="120"/>
        <w:jc w:val="both"/>
        <w:rPr>
          <w:rFonts w:ascii="Arial" w:hAnsi="Arial" w:cs="Arial"/>
          <w:bCs/>
          <w:color w:val="000000"/>
          <w:sz w:val="40"/>
          <w:szCs w:val="22"/>
        </w:rPr>
      </w:pPr>
    </w:p>
    <w:p w14:paraId="625F0BAD" w14:textId="72E69B47" w:rsidR="009C6FB7" w:rsidRPr="00790F2D" w:rsidRDefault="00D665F9" w:rsidP="003A7D23">
      <w:pPr>
        <w:spacing w:before="60"/>
        <w:rPr>
          <w:rFonts w:ascii="Arial Narrow" w:hAnsi="Arial Narrow"/>
          <w:color w:val="1F497D" w:themeColor="text2"/>
          <w:sz w:val="22"/>
        </w:rPr>
      </w:pPr>
      <w:bookmarkStart w:id="4" w:name="OLE_LINK2"/>
      <w:r w:rsidRPr="00790F2D">
        <w:rPr>
          <w:rFonts w:ascii="Arial Black" w:hAnsi="Arial Black"/>
          <w:b/>
          <w:iCs/>
          <w:noProof/>
          <w:color w:val="1F497D" w:themeColor="text2"/>
          <w:sz w:val="22"/>
        </w:rPr>
        <w:t>ECONOMIA E AMBIENTE: PRINCIPALI INDICATORI</w:t>
      </w:r>
      <w:r w:rsidR="009C6FB7">
        <w:rPr>
          <w:rFonts w:ascii="Arial Narrow" w:hAnsi="Arial Narrow"/>
          <w:b/>
          <w:iCs/>
          <w:noProof/>
          <w:color w:val="1F497D" w:themeColor="text2"/>
        </w:rPr>
        <w:t xml:space="preserve">. </w:t>
      </w:r>
      <w:r w:rsidRPr="00790F2D">
        <w:rPr>
          <w:rFonts w:ascii="Arial Narrow" w:hAnsi="Arial Narrow"/>
          <w:color w:val="1F497D" w:themeColor="text2"/>
          <w:sz w:val="22"/>
        </w:rPr>
        <w:t>Anni 20</w:t>
      </w:r>
      <w:r w:rsidR="00A664EC" w:rsidRPr="00790F2D">
        <w:rPr>
          <w:rFonts w:ascii="Arial Narrow" w:hAnsi="Arial Narrow"/>
          <w:color w:val="1F497D" w:themeColor="text2"/>
          <w:sz w:val="22"/>
        </w:rPr>
        <w:t>2</w:t>
      </w:r>
      <w:r w:rsidR="008B53CA" w:rsidRPr="00790F2D">
        <w:rPr>
          <w:rFonts w:ascii="Arial Narrow" w:hAnsi="Arial Narrow"/>
          <w:color w:val="1F497D" w:themeColor="text2"/>
          <w:sz w:val="22"/>
        </w:rPr>
        <w:t>1</w:t>
      </w:r>
      <w:r w:rsidRPr="00790F2D">
        <w:rPr>
          <w:rFonts w:ascii="Arial Narrow" w:hAnsi="Arial Narrow"/>
          <w:color w:val="1F497D" w:themeColor="text2"/>
          <w:sz w:val="22"/>
        </w:rPr>
        <w:t>-202</w:t>
      </w:r>
      <w:r w:rsidR="008B53CA" w:rsidRPr="00790F2D">
        <w:rPr>
          <w:rFonts w:ascii="Arial Narrow" w:hAnsi="Arial Narrow"/>
          <w:color w:val="1F497D" w:themeColor="text2"/>
          <w:sz w:val="22"/>
        </w:rPr>
        <w:t>3</w:t>
      </w:r>
      <w:r w:rsidRPr="00790F2D">
        <w:rPr>
          <w:rFonts w:ascii="Arial Narrow" w:hAnsi="Arial Narrow"/>
          <w:color w:val="1F497D" w:themeColor="text2"/>
          <w:sz w:val="22"/>
        </w:rPr>
        <w:t xml:space="preserve">, valori assoluti, valori per unità di Pil </w:t>
      </w:r>
      <w:r w:rsidRPr="00790F2D">
        <w:rPr>
          <w:rFonts w:ascii="Arial Narrow" w:hAnsi="Arial Narrow"/>
          <w:color w:val="1F497D" w:themeColor="text2"/>
          <w:sz w:val="22"/>
          <w:vertAlign w:val="superscript"/>
        </w:rPr>
        <w:t>(a)</w:t>
      </w:r>
      <w:r w:rsidRPr="00790F2D">
        <w:rPr>
          <w:rFonts w:ascii="Arial Narrow" w:hAnsi="Arial Narrow"/>
          <w:color w:val="1F497D" w:themeColor="text2"/>
          <w:sz w:val="22"/>
        </w:rPr>
        <w:t xml:space="preserve"> e variazioni percentuali</w:t>
      </w:r>
    </w:p>
    <w:p w14:paraId="4CC5E917" w14:textId="77777777" w:rsidR="007578FC" w:rsidRPr="008E2BF1" w:rsidRDefault="007578FC" w:rsidP="00E54E64">
      <w:pPr>
        <w:rPr>
          <w:rFonts w:ascii="Arial Narrow" w:hAnsi="Arial Narrow"/>
          <w:color w:val="1F497D" w:themeColor="text2"/>
          <w:sz w:val="10"/>
        </w:rPr>
      </w:pPr>
    </w:p>
    <w:tbl>
      <w:tblPr>
        <w:tblW w:w="10207" w:type="dxa"/>
        <w:tblInd w:w="-142" w:type="dxa"/>
        <w:tblBorders>
          <w:top w:val="single" w:sz="4" w:space="0" w:color="FFFFFF" w:themeColor="background1"/>
          <w:bottom w:val="single" w:sz="4" w:space="0" w:color="FFFFFF" w:themeColor="background1"/>
          <w:insideH w:val="single" w:sz="4" w:space="0" w:color="FFFFFF" w:themeColor="background1"/>
        </w:tblBorders>
        <w:tblLayout w:type="fixed"/>
        <w:tblCellMar>
          <w:left w:w="70" w:type="dxa"/>
          <w:right w:w="70" w:type="dxa"/>
        </w:tblCellMar>
        <w:tblLook w:val="04A0" w:firstRow="1" w:lastRow="0" w:firstColumn="1" w:lastColumn="0" w:noHBand="0" w:noVBand="1"/>
      </w:tblPr>
      <w:tblGrid>
        <w:gridCol w:w="3261"/>
        <w:gridCol w:w="778"/>
        <w:gridCol w:w="704"/>
        <w:gridCol w:w="784"/>
        <w:gridCol w:w="704"/>
        <w:gridCol w:w="782"/>
        <w:gridCol w:w="861"/>
        <w:gridCol w:w="706"/>
        <w:gridCol w:w="819"/>
        <w:gridCol w:w="808"/>
      </w:tblGrid>
      <w:tr w:rsidR="007578FC" w:rsidRPr="007578FC" w14:paraId="53A1ACC8" w14:textId="77777777" w:rsidTr="00734482">
        <w:trPr>
          <w:trHeight w:val="20"/>
        </w:trPr>
        <w:tc>
          <w:tcPr>
            <w:tcW w:w="1597" w:type="pct"/>
            <w:vMerge w:val="restart"/>
            <w:shd w:val="clear" w:color="auto" w:fill="auto"/>
            <w:vAlign w:val="center"/>
            <w:hideMark/>
          </w:tcPr>
          <w:p w14:paraId="5F824420" w14:textId="77777777" w:rsidR="0022317D" w:rsidRPr="008E2BF1" w:rsidRDefault="0022317D" w:rsidP="009578BC">
            <w:pPr>
              <w:spacing w:before="40" w:after="20"/>
              <w:rPr>
                <w:rFonts w:ascii="Arial Narrow" w:hAnsi="Arial Narrow"/>
                <w:sz w:val="16"/>
                <w:szCs w:val="16"/>
              </w:rPr>
            </w:pPr>
            <w:r w:rsidRPr="008E2BF1">
              <w:rPr>
                <w:rFonts w:ascii="Arial Narrow" w:hAnsi="Arial Narrow" w:cs="Calibri"/>
                <w:b/>
                <w:bCs/>
                <w:color w:val="1F497D"/>
                <w:sz w:val="16"/>
                <w:szCs w:val="16"/>
              </w:rPr>
              <w:t>INDICATORI</w:t>
            </w:r>
          </w:p>
        </w:tc>
        <w:tc>
          <w:tcPr>
            <w:tcW w:w="381" w:type="pct"/>
            <w:vMerge w:val="restart"/>
            <w:shd w:val="clear" w:color="auto" w:fill="auto"/>
            <w:vAlign w:val="center"/>
          </w:tcPr>
          <w:p w14:paraId="1433363A" w14:textId="77777777" w:rsidR="0022317D" w:rsidRPr="008E2BF1" w:rsidRDefault="0022317D" w:rsidP="0022317D">
            <w:pPr>
              <w:spacing w:before="40" w:after="20"/>
              <w:jc w:val="center"/>
              <w:rPr>
                <w:rFonts w:ascii="Arial Narrow" w:hAnsi="Arial Narrow" w:cs="Calibri"/>
                <w:b/>
                <w:bCs/>
                <w:color w:val="1F497D"/>
                <w:sz w:val="16"/>
                <w:szCs w:val="16"/>
              </w:rPr>
            </w:pPr>
          </w:p>
          <w:p w14:paraId="237C684D" w14:textId="6A0C7801" w:rsidR="0022317D" w:rsidRPr="008E2BF1" w:rsidRDefault="0022317D" w:rsidP="0022317D">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Unità di misura</w:t>
            </w:r>
          </w:p>
        </w:tc>
        <w:tc>
          <w:tcPr>
            <w:tcW w:w="729" w:type="pct"/>
            <w:gridSpan w:val="2"/>
            <w:shd w:val="clear" w:color="auto" w:fill="1F497D"/>
            <w:vAlign w:val="center"/>
            <w:hideMark/>
          </w:tcPr>
          <w:p w14:paraId="76BA224B" w14:textId="030CEC05" w:rsidR="0022317D" w:rsidRPr="008E2BF1" w:rsidRDefault="0022317D" w:rsidP="00973023">
            <w:pPr>
              <w:spacing w:before="40" w:after="20"/>
              <w:jc w:val="center"/>
              <w:rPr>
                <w:rFonts w:ascii="Arial Narrow" w:hAnsi="Arial Narrow" w:cs="Calibri"/>
                <w:b/>
                <w:bCs/>
                <w:color w:val="FFFFFF"/>
                <w:sz w:val="16"/>
                <w:szCs w:val="16"/>
              </w:rPr>
            </w:pPr>
            <w:r w:rsidRPr="008E2BF1">
              <w:rPr>
                <w:rFonts w:ascii="Arial Narrow" w:hAnsi="Arial Narrow" w:cs="Calibri"/>
                <w:b/>
                <w:bCs/>
                <w:color w:val="FFFFFF"/>
                <w:sz w:val="16"/>
                <w:szCs w:val="16"/>
              </w:rPr>
              <w:t>202</w:t>
            </w:r>
            <w:r w:rsidR="00973023">
              <w:rPr>
                <w:rFonts w:ascii="Arial Narrow" w:hAnsi="Arial Narrow" w:cs="Calibri"/>
                <w:b/>
                <w:bCs/>
                <w:color w:val="FFFFFF"/>
                <w:sz w:val="16"/>
                <w:szCs w:val="16"/>
              </w:rPr>
              <w:t>1</w:t>
            </w:r>
          </w:p>
        </w:tc>
        <w:tc>
          <w:tcPr>
            <w:tcW w:w="1150" w:type="pct"/>
            <w:gridSpan w:val="3"/>
            <w:shd w:val="clear" w:color="auto" w:fill="808080" w:themeFill="background1" w:themeFillShade="80"/>
            <w:vAlign w:val="center"/>
            <w:hideMark/>
          </w:tcPr>
          <w:p w14:paraId="6F338EE6" w14:textId="70C0501C" w:rsidR="0022317D" w:rsidRPr="008E2BF1" w:rsidRDefault="0022317D" w:rsidP="00973023">
            <w:pPr>
              <w:spacing w:before="40" w:after="20"/>
              <w:jc w:val="center"/>
              <w:rPr>
                <w:rFonts w:ascii="Arial Narrow" w:hAnsi="Arial Narrow" w:cs="Calibri"/>
                <w:b/>
                <w:bCs/>
                <w:color w:val="FFFFFF"/>
                <w:sz w:val="16"/>
                <w:szCs w:val="16"/>
              </w:rPr>
            </w:pPr>
            <w:r w:rsidRPr="008E2BF1">
              <w:rPr>
                <w:rFonts w:ascii="Arial Narrow" w:hAnsi="Arial Narrow" w:cs="Calibri"/>
                <w:b/>
                <w:bCs/>
                <w:color w:val="FFFFFF"/>
                <w:sz w:val="16"/>
                <w:szCs w:val="16"/>
              </w:rPr>
              <w:t>202</w:t>
            </w:r>
            <w:r w:rsidR="00973023">
              <w:rPr>
                <w:rFonts w:ascii="Arial Narrow" w:hAnsi="Arial Narrow" w:cs="Calibri"/>
                <w:b/>
                <w:bCs/>
                <w:color w:val="FFFFFF"/>
                <w:sz w:val="16"/>
                <w:szCs w:val="16"/>
              </w:rPr>
              <w:t>2</w:t>
            </w:r>
          </w:p>
        </w:tc>
        <w:tc>
          <w:tcPr>
            <w:tcW w:w="1143" w:type="pct"/>
            <w:gridSpan w:val="3"/>
            <w:shd w:val="clear" w:color="auto" w:fill="1F497D"/>
            <w:vAlign w:val="center"/>
            <w:hideMark/>
          </w:tcPr>
          <w:p w14:paraId="0B9AFB27" w14:textId="509399D9" w:rsidR="0022317D" w:rsidRPr="008E2BF1" w:rsidRDefault="0022317D" w:rsidP="00973023">
            <w:pPr>
              <w:spacing w:before="40" w:after="20"/>
              <w:jc w:val="center"/>
              <w:rPr>
                <w:rFonts w:ascii="Arial Narrow" w:hAnsi="Arial Narrow" w:cs="Calibri"/>
                <w:b/>
                <w:bCs/>
                <w:color w:val="FFFFFF"/>
                <w:sz w:val="16"/>
                <w:szCs w:val="16"/>
              </w:rPr>
            </w:pPr>
            <w:r w:rsidRPr="008E2BF1">
              <w:rPr>
                <w:rFonts w:ascii="Arial Narrow" w:hAnsi="Arial Narrow" w:cs="Calibri"/>
                <w:b/>
                <w:bCs/>
                <w:color w:val="FFFFFF"/>
                <w:sz w:val="16"/>
                <w:szCs w:val="16"/>
              </w:rPr>
              <w:t>202</w:t>
            </w:r>
            <w:r w:rsidR="00973023">
              <w:rPr>
                <w:rFonts w:ascii="Arial Narrow" w:hAnsi="Arial Narrow" w:cs="Calibri"/>
                <w:b/>
                <w:bCs/>
                <w:color w:val="FFFFFF"/>
                <w:sz w:val="16"/>
                <w:szCs w:val="16"/>
              </w:rPr>
              <w:t>3</w:t>
            </w:r>
          </w:p>
        </w:tc>
      </w:tr>
      <w:tr w:rsidR="007578FC" w:rsidRPr="007578FC" w14:paraId="152EBBF0" w14:textId="77777777" w:rsidTr="00734482">
        <w:trPr>
          <w:trHeight w:val="20"/>
        </w:trPr>
        <w:tc>
          <w:tcPr>
            <w:tcW w:w="1597" w:type="pct"/>
            <w:vMerge/>
            <w:shd w:val="clear" w:color="auto" w:fill="auto"/>
            <w:vAlign w:val="center"/>
            <w:hideMark/>
          </w:tcPr>
          <w:p w14:paraId="7C6E5589" w14:textId="77777777" w:rsidR="001B27F7" w:rsidRPr="008E2BF1" w:rsidRDefault="001B27F7" w:rsidP="009578BC">
            <w:pPr>
              <w:spacing w:before="40" w:after="20"/>
              <w:rPr>
                <w:rFonts w:ascii="Arial Narrow" w:hAnsi="Arial Narrow"/>
                <w:sz w:val="16"/>
                <w:szCs w:val="16"/>
              </w:rPr>
            </w:pPr>
          </w:p>
        </w:tc>
        <w:tc>
          <w:tcPr>
            <w:tcW w:w="381" w:type="pct"/>
            <w:vMerge/>
            <w:shd w:val="clear" w:color="auto" w:fill="auto"/>
          </w:tcPr>
          <w:p w14:paraId="2FD463A7" w14:textId="77777777" w:rsidR="001B27F7" w:rsidRPr="008E2BF1" w:rsidRDefault="001B27F7" w:rsidP="009578BC">
            <w:pPr>
              <w:spacing w:before="40" w:after="20"/>
              <w:rPr>
                <w:rFonts w:ascii="Arial Narrow" w:hAnsi="Arial Narrow"/>
                <w:b/>
                <w:sz w:val="16"/>
                <w:szCs w:val="16"/>
              </w:rPr>
            </w:pPr>
          </w:p>
        </w:tc>
        <w:tc>
          <w:tcPr>
            <w:tcW w:w="345" w:type="pct"/>
            <w:tcBorders>
              <w:bottom w:val="nil"/>
            </w:tcBorders>
            <w:shd w:val="clear" w:color="auto" w:fill="D9D9D9" w:themeFill="background1" w:themeFillShade="D9"/>
            <w:vAlign w:val="center"/>
          </w:tcPr>
          <w:p w14:paraId="01FFD351" w14:textId="77777777" w:rsidR="001B27F7" w:rsidRPr="008E2BF1" w:rsidRDefault="001B27F7" w:rsidP="009578BC">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Valori assoluti</w:t>
            </w:r>
          </w:p>
        </w:tc>
        <w:tc>
          <w:tcPr>
            <w:tcW w:w="384" w:type="pct"/>
            <w:shd w:val="clear" w:color="auto" w:fill="D9D9D9" w:themeFill="background1" w:themeFillShade="D9"/>
            <w:vAlign w:val="center"/>
            <w:hideMark/>
          </w:tcPr>
          <w:p w14:paraId="48A1CAB2" w14:textId="77777777" w:rsidR="001B27F7" w:rsidRPr="008E2BF1" w:rsidRDefault="001B27F7" w:rsidP="009578BC">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Valori/Pil</w:t>
            </w:r>
          </w:p>
          <w:p w14:paraId="4E5A6F24" w14:textId="5C4470A1" w:rsidR="001B27F7" w:rsidRPr="008E2BF1" w:rsidRDefault="001B27F7" w:rsidP="009578BC">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(a)</w:t>
            </w:r>
          </w:p>
        </w:tc>
        <w:tc>
          <w:tcPr>
            <w:tcW w:w="345" w:type="pct"/>
            <w:shd w:val="clear" w:color="auto" w:fill="auto"/>
            <w:vAlign w:val="center"/>
            <w:hideMark/>
          </w:tcPr>
          <w:p w14:paraId="7E669211" w14:textId="77777777" w:rsidR="001B27F7" w:rsidRPr="008E2BF1" w:rsidRDefault="001B27F7" w:rsidP="009578BC">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Valori assoluti</w:t>
            </w:r>
          </w:p>
        </w:tc>
        <w:tc>
          <w:tcPr>
            <w:tcW w:w="383" w:type="pct"/>
            <w:shd w:val="clear" w:color="auto" w:fill="auto"/>
            <w:vAlign w:val="center"/>
          </w:tcPr>
          <w:p w14:paraId="67626C0E" w14:textId="77777777" w:rsidR="001B27F7" w:rsidRPr="008E2BF1" w:rsidRDefault="001B27F7" w:rsidP="009578BC">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Valori/Pil</w:t>
            </w:r>
          </w:p>
          <w:p w14:paraId="3FFE8CCA" w14:textId="688592ED" w:rsidR="001B27F7" w:rsidRPr="008E2BF1" w:rsidRDefault="001B27F7" w:rsidP="009578BC">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(a)</w:t>
            </w:r>
          </w:p>
        </w:tc>
        <w:tc>
          <w:tcPr>
            <w:tcW w:w="422" w:type="pct"/>
          </w:tcPr>
          <w:p w14:paraId="545D8B85" w14:textId="2B304E02" w:rsidR="001B27F7" w:rsidRPr="008E2BF1" w:rsidRDefault="001B27F7" w:rsidP="008B53CA">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Variazione sul 202</w:t>
            </w:r>
            <w:r w:rsidR="008B53CA">
              <w:rPr>
                <w:rFonts w:ascii="Arial Narrow" w:hAnsi="Arial Narrow" w:cs="Calibri"/>
                <w:b/>
                <w:bCs/>
                <w:color w:val="1F497D"/>
                <w:sz w:val="16"/>
                <w:szCs w:val="16"/>
              </w:rPr>
              <w:t>1</w:t>
            </w:r>
          </w:p>
        </w:tc>
        <w:tc>
          <w:tcPr>
            <w:tcW w:w="346" w:type="pct"/>
            <w:shd w:val="clear" w:color="auto" w:fill="D9D9D9" w:themeFill="background1" w:themeFillShade="D9"/>
            <w:vAlign w:val="center"/>
          </w:tcPr>
          <w:p w14:paraId="236BE98A" w14:textId="27FDF2EF" w:rsidR="001B27F7" w:rsidRPr="008E2BF1" w:rsidRDefault="001B27F7" w:rsidP="009578BC">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Valori assoluti</w:t>
            </w:r>
          </w:p>
        </w:tc>
        <w:tc>
          <w:tcPr>
            <w:tcW w:w="401" w:type="pct"/>
            <w:shd w:val="clear" w:color="auto" w:fill="D9D9D9" w:themeFill="background1" w:themeFillShade="D9"/>
            <w:vAlign w:val="center"/>
          </w:tcPr>
          <w:p w14:paraId="7A47B008" w14:textId="77777777" w:rsidR="001B27F7" w:rsidRPr="008E2BF1" w:rsidRDefault="001B27F7" w:rsidP="009578BC">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Valori/Pil</w:t>
            </w:r>
          </w:p>
          <w:p w14:paraId="7DEB29E5" w14:textId="21028F7F" w:rsidR="001B27F7" w:rsidRPr="008E2BF1" w:rsidRDefault="001B27F7" w:rsidP="009578BC">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(a)</w:t>
            </w:r>
          </w:p>
        </w:tc>
        <w:tc>
          <w:tcPr>
            <w:tcW w:w="396" w:type="pct"/>
            <w:shd w:val="clear" w:color="auto" w:fill="D9D9D9" w:themeFill="background1" w:themeFillShade="D9"/>
          </w:tcPr>
          <w:p w14:paraId="41B3436E" w14:textId="2827063C" w:rsidR="001B27F7" w:rsidRPr="008E2BF1" w:rsidRDefault="001B27F7" w:rsidP="008B53CA">
            <w:pPr>
              <w:spacing w:before="40" w:after="20"/>
              <w:jc w:val="center"/>
              <w:rPr>
                <w:rFonts w:ascii="Arial Narrow" w:hAnsi="Arial Narrow" w:cs="Calibri"/>
                <w:b/>
                <w:bCs/>
                <w:color w:val="1F497D"/>
                <w:sz w:val="16"/>
                <w:szCs w:val="16"/>
              </w:rPr>
            </w:pPr>
            <w:r w:rsidRPr="008E2BF1">
              <w:rPr>
                <w:rFonts w:ascii="Arial Narrow" w:hAnsi="Arial Narrow" w:cs="Calibri"/>
                <w:b/>
                <w:bCs/>
                <w:color w:val="1F497D"/>
                <w:sz w:val="16"/>
                <w:szCs w:val="16"/>
              </w:rPr>
              <w:t>Variazione sul 202</w:t>
            </w:r>
            <w:r w:rsidR="008B53CA">
              <w:rPr>
                <w:rFonts w:ascii="Arial Narrow" w:hAnsi="Arial Narrow" w:cs="Calibri"/>
                <w:b/>
                <w:bCs/>
                <w:color w:val="1F497D"/>
                <w:sz w:val="16"/>
                <w:szCs w:val="16"/>
              </w:rPr>
              <w:t>2</w:t>
            </w:r>
          </w:p>
        </w:tc>
      </w:tr>
      <w:tr w:rsidR="00973023" w:rsidRPr="007578FC" w14:paraId="6E0DDD07" w14:textId="77777777" w:rsidTr="00734482">
        <w:trPr>
          <w:trHeight w:val="20"/>
        </w:trPr>
        <w:tc>
          <w:tcPr>
            <w:tcW w:w="1597" w:type="pct"/>
            <w:shd w:val="clear" w:color="auto" w:fill="auto"/>
            <w:vAlign w:val="center"/>
            <w:hideMark/>
          </w:tcPr>
          <w:p w14:paraId="3CECAC05" w14:textId="0F5AD9E2" w:rsidR="00973023" w:rsidRPr="008E2BF1" w:rsidRDefault="00973023" w:rsidP="00973023">
            <w:pPr>
              <w:spacing w:before="40" w:after="20"/>
              <w:rPr>
                <w:rFonts w:ascii="Arial Narrow" w:hAnsi="Arial Narrow" w:cs="Calibri"/>
                <w:b/>
                <w:bCs/>
                <w:sz w:val="16"/>
                <w:szCs w:val="16"/>
              </w:rPr>
            </w:pPr>
            <w:r w:rsidRPr="008E2BF1">
              <w:rPr>
                <w:rFonts w:ascii="Arial Narrow" w:hAnsi="Arial Narrow" w:cs="Calibri"/>
                <w:b/>
                <w:bCs/>
                <w:color w:val="1F497D"/>
                <w:sz w:val="16"/>
                <w:szCs w:val="16"/>
              </w:rPr>
              <w:t xml:space="preserve">Consumo di energia delle unità residenti (Net domestic energy use – </w:t>
            </w:r>
            <w:r w:rsidRPr="00790F2D">
              <w:rPr>
                <w:rFonts w:ascii="Arial Narrow" w:hAnsi="Arial Narrow" w:cs="Calibri"/>
                <w:b/>
                <w:bCs/>
                <w:i/>
                <w:color w:val="1F497D"/>
                <w:sz w:val="16"/>
                <w:szCs w:val="16"/>
              </w:rPr>
              <w:t>Ndeu</w:t>
            </w:r>
            <w:r w:rsidRPr="008E2BF1">
              <w:rPr>
                <w:rFonts w:ascii="Arial Narrow" w:hAnsi="Arial Narrow" w:cs="Calibri"/>
                <w:b/>
                <w:bCs/>
                <w:color w:val="1F497D"/>
                <w:sz w:val="16"/>
                <w:szCs w:val="16"/>
              </w:rPr>
              <w:t>)</w:t>
            </w:r>
          </w:p>
        </w:tc>
        <w:tc>
          <w:tcPr>
            <w:tcW w:w="381" w:type="pct"/>
            <w:shd w:val="clear" w:color="auto" w:fill="D9D9D9" w:themeFill="background1" w:themeFillShade="D9"/>
          </w:tcPr>
          <w:p w14:paraId="5E9020BE" w14:textId="5E6A0B6A" w:rsidR="00973023" w:rsidRPr="007578FC" w:rsidRDefault="00973023" w:rsidP="00973023">
            <w:pPr>
              <w:spacing w:before="40" w:after="20"/>
              <w:rPr>
                <w:rFonts w:ascii="Arial Narrow" w:hAnsi="Arial Narrow"/>
                <w:sz w:val="16"/>
                <w:szCs w:val="16"/>
              </w:rPr>
            </w:pPr>
            <w:r w:rsidRPr="007578FC">
              <w:rPr>
                <w:rFonts w:ascii="Arial Narrow" w:hAnsi="Arial Narrow"/>
                <w:sz w:val="16"/>
                <w:szCs w:val="16"/>
              </w:rPr>
              <w:t>Migliaia di terajoule</w:t>
            </w:r>
          </w:p>
        </w:tc>
        <w:tc>
          <w:tcPr>
            <w:tcW w:w="345" w:type="pct"/>
            <w:tcBorders>
              <w:top w:val="nil"/>
              <w:bottom w:val="single" w:sz="4" w:space="0" w:color="FFFFFF" w:themeColor="background1"/>
            </w:tcBorders>
            <w:shd w:val="clear" w:color="auto" w:fill="F2F2F2" w:themeFill="background1" w:themeFillShade="F2"/>
            <w:vAlign w:val="center"/>
          </w:tcPr>
          <w:p w14:paraId="5A450C90" w14:textId="10C82772" w:rsidR="00973023" w:rsidRPr="001E7DB6" w:rsidRDefault="001E7DB6" w:rsidP="001E7DB6">
            <w:pPr>
              <w:spacing w:before="40" w:after="20"/>
              <w:jc w:val="right"/>
              <w:rPr>
                <w:rFonts w:ascii="Arial Narrow" w:hAnsi="Arial Narrow"/>
                <w:sz w:val="16"/>
                <w:szCs w:val="16"/>
              </w:rPr>
            </w:pPr>
            <w:r w:rsidRPr="001E7DB6">
              <w:rPr>
                <w:rFonts w:ascii="Arial Narrow" w:hAnsi="Arial Narrow"/>
                <w:sz w:val="16"/>
                <w:szCs w:val="16"/>
              </w:rPr>
              <w:t>6.757</w:t>
            </w:r>
          </w:p>
        </w:tc>
        <w:tc>
          <w:tcPr>
            <w:tcW w:w="384" w:type="pct"/>
            <w:shd w:val="clear" w:color="auto" w:fill="D9D9D9" w:themeFill="background1" w:themeFillShade="D9"/>
            <w:vAlign w:val="center"/>
          </w:tcPr>
          <w:p w14:paraId="25FFCD9A" w14:textId="020795D7" w:rsidR="00973023" w:rsidRPr="00E67238" w:rsidRDefault="001E7DB6" w:rsidP="00973023">
            <w:pPr>
              <w:spacing w:before="40" w:after="20"/>
              <w:jc w:val="right"/>
              <w:rPr>
                <w:rFonts w:ascii="Arial Narrow" w:hAnsi="Arial Narrow"/>
                <w:sz w:val="16"/>
                <w:szCs w:val="16"/>
                <w:highlight w:val="yellow"/>
              </w:rPr>
            </w:pPr>
            <w:r w:rsidRPr="001E7DB6">
              <w:rPr>
                <w:rFonts w:ascii="Arial Narrow" w:hAnsi="Arial Narrow"/>
                <w:sz w:val="16"/>
                <w:szCs w:val="16"/>
              </w:rPr>
              <w:t>3,7</w:t>
            </w:r>
          </w:p>
        </w:tc>
        <w:tc>
          <w:tcPr>
            <w:tcW w:w="345" w:type="pct"/>
            <w:shd w:val="clear" w:color="auto" w:fill="F2F2F2" w:themeFill="background1" w:themeFillShade="F2"/>
            <w:vAlign w:val="center"/>
          </w:tcPr>
          <w:p w14:paraId="617F45E4" w14:textId="4F103FA4" w:rsidR="00973023" w:rsidRPr="00E67238" w:rsidRDefault="001E7DB6" w:rsidP="001E7DB6">
            <w:pPr>
              <w:spacing w:before="40" w:after="20"/>
              <w:jc w:val="right"/>
              <w:rPr>
                <w:rFonts w:ascii="Arial Narrow" w:hAnsi="Arial Narrow"/>
                <w:sz w:val="16"/>
                <w:szCs w:val="16"/>
                <w:highlight w:val="yellow"/>
              </w:rPr>
            </w:pPr>
            <w:r w:rsidRPr="001E7DB6">
              <w:rPr>
                <w:rFonts w:ascii="Arial Narrow" w:hAnsi="Arial Narrow"/>
                <w:sz w:val="16"/>
                <w:szCs w:val="16"/>
              </w:rPr>
              <w:t>6.547</w:t>
            </w:r>
          </w:p>
        </w:tc>
        <w:tc>
          <w:tcPr>
            <w:tcW w:w="383" w:type="pct"/>
            <w:shd w:val="clear" w:color="auto" w:fill="D9D9D9" w:themeFill="background1" w:themeFillShade="D9"/>
            <w:vAlign w:val="center"/>
          </w:tcPr>
          <w:p w14:paraId="6AA91777" w14:textId="6CBD43C4" w:rsidR="00973023" w:rsidRPr="00E67238" w:rsidRDefault="00973023" w:rsidP="00973023">
            <w:pPr>
              <w:spacing w:before="40" w:after="20"/>
              <w:jc w:val="right"/>
              <w:rPr>
                <w:rFonts w:ascii="Arial Narrow" w:hAnsi="Arial Narrow"/>
                <w:sz w:val="16"/>
                <w:szCs w:val="16"/>
                <w:highlight w:val="yellow"/>
              </w:rPr>
            </w:pPr>
            <w:r w:rsidRPr="001E7DB6">
              <w:rPr>
                <w:rFonts w:ascii="Arial Narrow" w:hAnsi="Arial Narrow"/>
                <w:sz w:val="16"/>
                <w:szCs w:val="16"/>
              </w:rPr>
              <w:t>3,</w:t>
            </w:r>
            <w:r w:rsidR="001E7DB6" w:rsidRPr="001E7DB6">
              <w:rPr>
                <w:rFonts w:ascii="Arial Narrow" w:hAnsi="Arial Narrow"/>
                <w:sz w:val="16"/>
                <w:szCs w:val="16"/>
              </w:rPr>
              <w:t>4</w:t>
            </w:r>
          </w:p>
        </w:tc>
        <w:tc>
          <w:tcPr>
            <w:tcW w:w="422" w:type="pct"/>
            <w:shd w:val="clear" w:color="auto" w:fill="BFBFBF" w:themeFill="background1" w:themeFillShade="BF"/>
            <w:vAlign w:val="center"/>
          </w:tcPr>
          <w:p w14:paraId="595751B0" w14:textId="7F642CE1" w:rsidR="00973023" w:rsidRPr="00E67238" w:rsidRDefault="00973023" w:rsidP="00672FA7">
            <w:pPr>
              <w:spacing w:before="40" w:after="20"/>
              <w:jc w:val="right"/>
              <w:rPr>
                <w:rFonts w:ascii="Arial Narrow" w:hAnsi="Arial Narrow"/>
                <w:sz w:val="16"/>
                <w:szCs w:val="16"/>
                <w:highlight w:val="yellow"/>
              </w:rPr>
            </w:pPr>
            <w:r w:rsidRPr="00672FA7">
              <w:rPr>
                <w:rFonts w:ascii="Arial Narrow" w:hAnsi="Arial Narrow"/>
                <w:sz w:val="16"/>
                <w:szCs w:val="16"/>
              </w:rPr>
              <w:t>-</w:t>
            </w:r>
            <w:r w:rsidR="00672FA7" w:rsidRPr="00672FA7">
              <w:rPr>
                <w:rFonts w:ascii="Arial Narrow" w:hAnsi="Arial Narrow"/>
                <w:sz w:val="16"/>
                <w:szCs w:val="16"/>
              </w:rPr>
              <w:t>3</w:t>
            </w:r>
            <w:r w:rsidRPr="00672FA7">
              <w:rPr>
                <w:rFonts w:ascii="Arial Narrow" w:hAnsi="Arial Narrow"/>
                <w:sz w:val="16"/>
                <w:szCs w:val="16"/>
              </w:rPr>
              <w:t>,</w:t>
            </w:r>
            <w:r w:rsidR="00672FA7" w:rsidRPr="00672FA7">
              <w:rPr>
                <w:rFonts w:ascii="Arial Narrow" w:hAnsi="Arial Narrow"/>
                <w:sz w:val="16"/>
                <w:szCs w:val="16"/>
              </w:rPr>
              <w:t>1</w:t>
            </w:r>
            <w:r w:rsidRPr="00672FA7">
              <w:rPr>
                <w:rFonts w:ascii="Arial Narrow" w:hAnsi="Arial Narrow"/>
                <w:sz w:val="16"/>
                <w:szCs w:val="16"/>
              </w:rPr>
              <w:t>%</w:t>
            </w:r>
          </w:p>
        </w:tc>
        <w:tc>
          <w:tcPr>
            <w:tcW w:w="346" w:type="pct"/>
            <w:shd w:val="clear" w:color="auto" w:fill="F2F2F2" w:themeFill="background1" w:themeFillShade="F2"/>
            <w:vAlign w:val="center"/>
          </w:tcPr>
          <w:p w14:paraId="73F60FB0" w14:textId="27733B16" w:rsidR="00973023" w:rsidRPr="008E2BF1" w:rsidRDefault="001E7DB6" w:rsidP="00973023">
            <w:pPr>
              <w:spacing w:before="40" w:after="20"/>
              <w:jc w:val="right"/>
              <w:rPr>
                <w:rFonts w:ascii="Arial Narrow" w:hAnsi="Arial Narrow"/>
                <w:sz w:val="16"/>
                <w:szCs w:val="16"/>
              </w:rPr>
            </w:pPr>
            <w:r>
              <w:rPr>
                <w:rFonts w:ascii="Arial Narrow" w:hAnsi="Arial Narrow"/>
                <w:sz w:val="16"/>
                <w:szCs w:val="16"/>
              </w:rPr>
              <w:t>6.277</w:t>
            </w:r>
          </w:p>
        </w:tc>
        <w:tc>
          <w:tcPr>
            <w:tcW w:w="401" w:type="pct"/>
            <w:shd w:val="clear" w:color="auto" w:fill="D9D9D9" w:themeFill="background1" w:themeFillShade="D9"/>
            <w:vAlign w:val="center"/>
          </w:tcPr>
          <w:p w14:paraId="41C4BC83" w14:textId="1E38BE4F" w:rsidR="00973023" w:rsidRPr="008E2BF1" w:rsidRDefault="001E7DB6" w:rsidP="00973023">
            <w:pPr>
              <w:spacing w:before="40" w:after="20"/>
              <w:jc w:val="right"/>
              <w:rPr>
                <w:rFonts w:ascii="Arial Narrow" w:hAnsi="Arial Narrow"/>
                <w:sz w:val="16"/>
                <w:szCs w:val="16"/>
              </w:rPr>
            </w:pPr>
            <w:r>
              <w:rPr>
                <w:rFonts w:ascii="Arial Narrow" w:hAnsi="Arial Narrow"/>
                <w:sz w:val="16"/>
                <w:szCs w:val="16"/>
              </w:rPr>
              <w:t>3,3</w:t>
            </w:r>
          </w:p>
        </w:tc>
        <w:tc>
          <w:tcPr>
            <w:tcW w:w="396" w:type="pct"/>
            <w:shd w:val="clear" w:color="auto" w:fill="BFBFBF" w:themeFill="background1" w:themeFillShade="BF"/>
            <w:vAlign w:val="center"/>
          </w:tcPr>
          <w:p w14:paraId="3380C4E2" w14:textId="3E8B6E49" w:rsidR="00973023" w:rsidRPr="008E2BF1" w:rsidRDefault="00672FA7" w:rsidP="00973023">
            <w:pPr>
              <w:spacing w:before="40" w:after="20"/>
              <w:jc w:val="right"/>
              <w:rPr>
                <w:rFonts w:ascii="Arial Narrow" w:hAnsi="Arial Narrow"/>
                <w:sz w:val="16"/>
                <w:szCs w:val="16"/>
              </w:rPr>
            </w:pPr>
            <w:r>
              <w:rPr>
                <w:rFonts w:ascii="Arial Narrow" w:hAnsi="Arial Narrow"/>
                <w:sz w:val="16"/>
                <w:szCs w:val="16"/>
              </w:rPr>
              <w:t>-4,1%</w:t>
            </w:r>
          </w:p>
        </w:tc>
      </w:tr>
      <w:tr w:rsidR="00973023" w:rsidRPr="007578FC" w14:paraId="34D98943" w14:textId="77777777" w:rsidTr="00734482">
        <w:trPr>
          <w:trHeight w:val="20"/>
        </w:trPr>
        <w:tc>
          <w:tcPr>
            <w:tcW w:w="1597" w:type="pct"/>
            <w:shd w:val="clear" w:color="auto" w:fill="auto"/>
            <w:vAlign w:val="center"/>
            <w:hideMark/>
          </w:tcPr>
          <w:p w14:paraId="24E547F6" w14:textId="2EE15818" w:rsidR="00973023" w:rsidRPr="008E2BF1" w:rsidRDefault="00973023" w:rsidP="00973023">
            <w:pPr>
              <w:spacing w:before="40" w:after="20"/>
              <w:rPr>
                <w:rFonts w:ascii="Arial Narrow" w:hAnsi="Arial Narrow" w:cs="Calibri"/>
                <w:b/>
                <w:bCs/>
                <w:color w:val="1F497D"/>
                <w:sz w:val="16"/>
                <w:szCs w:val="16"/>
              </w:rPr>
            </w:pPr>
            <w:r w:rsidRPr="008E2BF1">
              <w:rPr>
                <w:rFonts w:ascii="Arial Narrow" w:hAnsi="Arial Narrow" w:cs="Calibri"/>
                <w:b/>
                <w:bCs/>
                <w:color w:val="1F497D"/>
                <w:sz w:val="16"/>
                <w:szCs w:val="16"/>
              </w:rPr>
              <w:t>Gas serra in CO</w:t>
            </w:r>
            <w:r w:rsidRPr="008E2BF1">
              <w:rPr>
                <w:rFonts w:ascii="Arial Narrow" w:hAnsi="Arial Narrow" w:cs="Calibri"/>
                <w:b/>
                <w:bCs/>
                <w:color w:val="1F497D"/>
                <w:sz w:val="16"/>
                <w:szCs w:val="16"/>
                <w:vertAlign w:val="subscript"/>
              </w:rPr>
              <w:t xml:space="preserve">2 </w:t>
            </w:r>
            <w:r w:rsidRPr="008E2BF1">
              <w:rPr>
                <w:rFonts w:ascii="Arial Narrow" w:hAnsi="Arial Narrow" w:cs="Calibri"/>
                <w:b/>
                <w:bCs/>
                <w:color w:val="1F497D"/>
                <w:sz w:val="16"/>
                <w:szCs w:val="16"/>
              </w:rPr>
              <w:t>equivalente</w:t>
            </w:r>
          </w:p>
        </w:tc>
        <w:tc>
          <w:tcPr>
            <w:tcW w:w="381" w:type="pct"/>
            <w:shd w:val="clear" w:color="auto" w:fill="D9D9D9" w:themeFill="background1" w:themeFillShade="D9"/>
          </w:tcPr>
          <w:p w14:paraId="0B0669EF" w14:textId="6B836000" w:rsidR="00973023" w:rsidRPr="007578FC" w:rsidRDefault="00973023" w:rsidP="00973023">
            <w:pPr>
              <w:spacing w:before="40" w:after="20"/>
              <w:rPr>
                <w:rFonts w:ascii="Arial Narrow" w:hAnsi="Arial Narrow"/>
                <w:sz w:val="16"/>
                <w:szCs w:val="16"/>
              </w:rPr>
            </w:pPr>
            <w:r w:rsidRPr="007578FC">
              <w:rPr>
                <w:rFonts w:ascii="Arial Narrow" w:hAnsi="Arial Narrow"/>
                <w:sz w:val="16"/>
                <w:szCs w:val="16"/>
              </w:rPr>
              <w:t>Milioni di tonnellate</w:t>
            </w:r>
          </w:p>
        </w:tc>
        <w:tc>
          <w:tcPr>
            <w:tcW w:w="345" w:type="pct"/>
            <w:tcBorders>
              <w:top w:val="single" w:sz="4" w:space="0" w:color="FFFFFF" w:themeColor="background1"/>
            </w:tcBorders>
            <w:shd w:val="clear" w:color="auto" w:fill="F2F2F2" w:themeFill="background1" w:themeFillShade="F2"/>
            <w:vAlign w:val="center"/>
          </w:tcPr>
          <w:p w14:paraId="101AA6D5" w14:textId="35D5DF6D" w:rsidR="00973023" w:rsidRPr="00E67238" w:rsidRDefault="00973023" w:rsidP="00B748C8">
            <w:pPr>
              <w:spacing w:before="40" w:after="20"/>
              <w:jc w:val="right"/>
              <w:rPr>
                <w:rFonts w:ascii="Arial Narrow" w:hAnsi="Arial Narrow"/>
                <w:sz w:val="16"/>
                <w:szCs w:val="16"/>
                <w:highlight w:val="yellow"/>
              </w:rPr>
            </w:pPr>
            <w:r w:rsidRPr="00B748C8">
              <w:rPr>
                <w:rFonts w:ascii="Arial Narrow" w:hAnsi="Arial Narrow"/>
                <w:sz w:val="16"/>
                <w:szCs w:val="16"/>
              </w:rPr>
              <w:t>42</w:t>
            </w:r>
            <w:r w:rsidR="00B748C8" w:rsidRPr="00B748C8">
              <w:rPr>
                <w:rFonts w:ascii="Arial Narrow" w:hAnsi="Arial Narrow"/>
                <w:sz w:val="16"/>
                <w:szCs w:val="16"/>
              </w:rPr>
              <w:t>2</w:t>
            </w:r>
          </w:p>
        </w:tc>
        <w:tc>
          <w:tcPr>
            <w:tcW w:w="384" w:type="pct"/>
            <w:shd w:val="clear" w:color="auto" w:fill="D9D9D9" w:themeFill="background1" w:themeFillShade="D9"/>
            <w:vAlign w:val="center"/>
          </w:tcPr>
          <w:p w14:paraId="697EE4E9" w14:textId="3FEDC47C" w:rsidR="00973023" w:rsidRPr="00B748C8" w:rsidRDefault="00B748C8" w:rsidP="00973023">
            <w:pPr>
              <w:spacing w:before="40" w:after="20"/>
              <w:jc w:val="right"/>
              <w:rPr>
                <w:rFonts w:ascii="Arial Narrow" w:hAnsi="Arial Narrow"/>
                <w:sz w:val="16"/>
                <w:szCs w:val="16"/>
              </w:rPr>
            </w:pPr>
            <w:r w:rsidRPr="00B748C8">
              <w:rPr>
                <w:rFonts w:ascii="Arial Narrow" w:hAnsi="Arial Narrow"/>
                <w:sz w:val="16"/>
                <w:szCs w:val="16"/>
              </w:rPr>
              <w:t>232</w:t>
            </w:r>
          </w:p>
        </w:tc>
        <w:tc>
          <w:tcPr>
            <w:tcW w:w="345" w:type="pct"/>
            <w:shd w:val="clear" w:color="auto" w:fill="F2F2F2" w:themeFill="background1" w:themeFillShade="F2"/>
            <w:vAlign w:val="center"/>
          </w:tcPr>
          <w:p w14:paraId="4420ACF0" w14:textId="4578EADB" w:rsidR="00973023" w:rsidRPr="00E67238" w:rsidRDefault="00973023" w:rsidP="00B748C8">
            <w:pPr>
              <w:spacing w:before="40" w:after="20"/>
              <w:jc w:val="right"/>
              <w:rPr>
                <w:rFonts w:ascii="Arial Narrow" w:hAnsi="Arial Narrow"/>
                <w:sz w:val="16"/>
                <w:szCs w:val="16"/>
                <w:highlight w:val="yellow"/>
              </w:rPr>
            </w:pPr>
            <w:r w:rsidRPr="00B748C8">
              <w:rPr>
                <w:rFonts w:ascii="Arial Narrow" w:hAnsi="Arial Narrow"/>
                <w:sz w:val="16"/>
                <w:szCs w:val="16"/>
              </w:rPr>
              <w:t>42</w:t>
            </w:r>
            <w:r w:rsidR="00B748C8" w:rsidRPr="00B748C8">
              <w:rPr>
                <w:rFonts w:ascii="Arial Narrow" w:hAnsi="Arial Narrow"/>
                <w:sz w:val="16"/>
                <w:szCs w:val="16"/>
              </w:rPr>
              <w:t>2</w:t>
            </w:r>
          </w:p>
        </w:tc>
        <w:tc>
          <w:tcPr>
            <w:tcW w:w="383" w:type="pct"/>
            <w:shd w:val="clear" w:color="auto" w:fill="D9D9D9" w:themeFill="background1" w:themeFillShade="D9"/>
            <w:vAlign w:val="center"/>
          </w:tcPr>
          <w:p w14:paraId="34975B6A" w14:textId="2B28D8D4" w:rsidR="00973023" w:rsidRPr="00E67238" w:rsidRDefault="00B748C8" w:rsidP="00973023">
            <w:pPr>
              <w:spacing w:before="40" w:after="20"/>
              <w:jc w:val="right"/>
              <w:rPr>
                <w:rFonts w:ascii="Arial Narrow" w:hAnsi="Arial Narrow"/>
                <w:sz w:val="16"/>
                <w:szCs w:val="16"/>
                <w:highlight w:val="yellow"/>
              </w:rPr>
            </w:pPr>
            <w:r w:rsidRPr="00B748C8">
              <w:rPr>
                <w:rFonts w:ascii="Arial Narrow" w:hAnsi="Arial Narrow"/>
                <w:sz w:val="16"/>
                <w:szCs w:val="16"/>
              </w:rPr>
              <w:t>222</w:t>
            </w:r>
          </w:p>
        </w:tc>
        <w:tc>
          <w:tcPr>
            <w:tcW w:w="422" w:type="pct"/>
            <w:shd w:val="clear" w:color="auto" w:fill="BFBFBF" w:themeFill="background1" w:themeFillShade="BF"/>
            <w:vAlign w:val="center"/>
          </w:tcPr>
          <w:p w14:paraId="59247078" w14:textId="660624DC" w:rsidR="00973023" w:rsidRPr="00E67238" w:rsidRDefault="00767EBF" w:rsidP="00973023">
            <w:pPr>
              <w:spacing w:before="40" w:after="20"/>
              <w:jc w:val="right"/>
              <w:rPr>
                <w:rFonts w:ascii="Arial Narrow" w:hAnsi="Arial Narrow"/>
                <w:sz w:val="16"/>
                <w:szCs w:val="16"/>
                <w:highlight w:val="yellow"/>
              </w:rPr>
            </w:pPr>
            <w:r w:rsidRPr="00767EBF">
              <w:rPr>
                <w:rFonts w:ascii="Arial Narrow" w:hAnsi="Arial Narrow"/>
                <w:sz w:val="16"/>
                <w:szCs w:val="16"/>
              </w:rPr>
              <w:t>+0,0</w:t>
            </w:r>
            <w:r w:rsidR="00973023" w:rsidRPr="00767EBF">
              <w:rPr>
                <w:rFonts w:ascii="Arial Narrow" w:hAnsi="Arial Narrow"/>
                <w:sz w:val="16"/>
                <w:szCs w:val="16"/>
              </w:rPr>
              <w:t>%</w:t>
            </w:r>
          </w:p>
        </w:tc>
        <w:tc>
          <w:tcPr>
            <w:tcW w:w="346" w:type="pct"/>
            <w:shd w:val="clear" w:color="auto" w:fill="F2F2F2" w:themeFill="background1" w:themeFillShade="F2"/>
            <w:vAlign w:val="center"/>
          </w:tcPr>
          <w:p w14:paraId="2D9ABE63" w14:textId="2449C709" w:rsidR="00973023" w:rsidRPr="008E2BF1" w:rsidRDefault="00B748C8" w:rsidP="00973023">
            <w:pPr>
              <w:spacing w:before="40" w:after="20"/>
              <w:jc w:val="right"/>
              <w:rPr>
                <w:rFonts w:ascii="Arial Narrow" w:hAnsi="Arial Narrow"/>
                <w:sz w:val="16"/>
                <w:szCs w:val="16"/>
              </w:rPr>
            </w:pPr>
            <w:r>
              <w:rPr>
                <w:rFonts w:ascii="Arial Narrow" w:hAnsi="Arial Narrow"/>
                <w:sz w:val="16"/>
                <w:szCs w:val="16"/>
              </w:rPr>
              <w:t>399</w:t>
            </w:r>
          </w:p>
        </w:tc>
        <w:tc>
          <w:tcPr>
            <w:tcW w:w="401" w:type="pct"/>
            <w:shd w:val="clear" w:color="auto" w:fill="D9D9D9" w:themeFill="background1" w:themeFillShade="D9"/>
            <w:vAlign w:val="center"/>
          </w:tcPr>
          <w:p w14:paraId="24869D61" w14:textId="74F8A7BC" w:rsidR="00973023" w:rsidRPr="008E2BF1" w:rsidRDefault="00B748C8" w:rsidP="00973023">
            <w:pPr>
              <w:spacing w:before="40" w:after="20"/>
              <w:jc w:val="right"/>
              <w:rPr>
                <w:rFonts w:ascii="Arial Narrow" w:hAnsi="Arial Narrow"/>
                <w:sz w:val="16"/>
                <w:szCs w:val="16"/>
              </w:rPr>
            </w:pPr>
            <w:r>
              <w:rPr>
                <w:rFonts w:ascii="Arial Narrow" w:hAnsi="Arial Narrow"/>
                <w:sz w:val="16"/>
                <w:szCs w:val="16"/>
              </w:rPr>
              <w:t>208</w:t>
            </w:r>
          </w:p>
        </w:tc>
        <w:tc>
          <w:tcPr>
            <w:tcW w:w="396" w:type="pct"/>
            <w:shd w:val="clear" w:color="auto" w:fill="BFBFBF" w:themeFill="background1" w:themeFillShade="BF"/>
            <w:vAlign w:val="center"/>
          </w:tcPr>
          <w:p w14:paraId="5B505BAB" w14:textId="10543870" w:rsidR="00973023" w:rsidRPr="008E2BF1" w:rsidRDefault="00B748C8" w:rsidP="00973023">
            <w:pPr>
              <w:spacing w:before="40" w:after="20"/>
              <w:jc w:val="right"/>
              <w:rPr>
                <w:rFonts w:ascii="Arial Narrow" w:hAnsi="Arial Narrow"/>
                <w:sz w:val="16"/>
                <w:szCs w:val="16"/>
              </w:rPr>
            </w:pPr>
            <w:r>
              <w:rPr>
                <w:rFonts w:ascii="Arial Narrow" w:hAnsi="Arial Narrow"/>
                <w:sz w:val="16"/>
                <w:szCs w:val="16"/>
              </w:rPr>
              <w:t>-5,3%</w:t>
            </w:r>
          </w:p>
        </w:tc>
      </w:tr>
      <w:tr w:rsidR="00973023" w:rsidRPr="007578FC" w14:paraId="4FBB5DE9" w14:textId="77777777" w:rsidTr="00734482">
        <w:trPr>
          <w:trHeight w:val="20"/>
        </w:trPr>
        <w:tc>
          <w:tcPr>
            <w:tcW w:w="1597" w:type="pct"/>
            <w:shd w:val="clear" w:color="auto" w:fill="auto"/>
            <w:vAlign w:val="center"/>
            <w:hideMark/>
          </w:tcPr>
          <w:p w14:paraId="18739686" w14:textId="325D56AB" w:rsidR="00973023" w:rsidRPr="008E2BF1" w:rsidRDefault="00973023" w:rsidP="00973023">
            <w:pPr>
              <w:spacing w:before="40" w:after="20"/>
              <w:rPr>
                <w:rFonts w:ascii="Arial Narrow" w:hAnsi="Arial Narrow" w:cs="Calibri"/>
                <w:b/>
                <w:bCs/>
                <w:color w:val="1F497D"/>
                <w:sz w:val="16"/>
                <w:szCs w:val="16"/>
              </w:rPr>
            </w:pPr>
            <w:r w:rsidRPr="008E2BF1">
              <w:rPr>
                <w:rFonts w:ascii="Arial Narrow" w:hAnsi="Arial Narrow" w:cs="Calibri"/>
                <w:b/>
                <w:bCs/>
                <w:color w:val="1F497D"/>
                <w:sz w:val="16"/>
                <w:szCs w:val="16"/>
              </w:rPr>
              <w:t>Consumo materiale interno (</w:t>
            </w:r>
            <w:r w:rsidRPr="008E2BF1">
              <w:rPr>
                <w:rFonts w:ascii="Arial Narrow" w:hAnsi="Arial Narrow" w:cs="Calibri"/>
                <w:b/>
                <w:bCs/>
                <w:i/>
                <w:color w:val="1F497D"/>
                <w:sz w:val="16"/>
                <w:szCs w:val="16"/>
              </w:rPr>
              <w:t>Domestic material consumption</w:t>
            </w:r>
            <w:r w:rsidRPr="008E2BF1">
              <w:rPr>
                <w:rFonts w:ascii="Arial Narrow" w:hAnsi="Arial Narrow" w:cs="Calibri"/>
                <w:b/>
                <w:bCs/>
                <w:color w:val="1F497D"/>
                <w:sz w:val="16"/>
                <w:szCs w:val="16"/>
              </w:rPr>
              <w:t xml:space="preserve"> - </w:t>
            </w:r>
            <w:r w:rsidRPr="00790F2D">
              <w:rPr>
                <w:rFonts w:ascii="Arial Narrow" w:hAnsi="Arial Narrow" w:cs="Calibri"/>
                <w:b/>
                <w:bCs/>
                <w:i/>
                <w:color w:val="1F497D"/>
                <w:sz w:val="16"/>
                <w:szCs w:val="16"/>
              </w:rPr>
              <w:t>Dmc</w:t>
            </w:r>
            <w:r w:rsidRPr="008E2BF1">
              <w:rPr>
                <w:rFonts w:ascii="Arial Narrow" w:hAnsi="Arial Narrow" w:cs="Calibri"/>
                <w:b/>
                <w:bCs/>
                <w:color w:val="1F497D"/>
                <w:sz w:val="16"/>
                <w:szCs w:val="16"/>
              </w:rPr>
              <w:t>)</w:t>
            </w:r>
          </w:p>
        </w:tc>
        <w:tc>
          <w:tcPr>
            <w:tcW w:w="381" w:type="pct"/>
            <w:shd w:val="clear" w:color="auto" w:fill="D9D9D9" w:themeFill="background1" w:themeFillShade="D9"/>
          </w:tcPr>
          <w:p w14:paraId="25625B96" w14:textId="1B1F8574" w:rsidR="00973023" w:rsidRPr="007578FC" w:rsidRDefault="00973023" w:rsidP="00973023">
            <w:pPr>
              <w:spacing w:before="40" w:after="20"/>
              <w:rPr>
                <w:rFonts w:ascii="Arial Narrow" w:hAnsi="Arial Narrow"/>
                <w:sz w:val="16"/>
                <w:szCs w:val="16"/>
              </w:rPr>
            </w:pPr>
            <w:r w:rsidRPr="007578FC">
              <w:rPr>
                <w:rFonts w:ascii="Arial Narrow" w:hAnsi="Arial Narrow"/>
                <w:sz w:val="16"/>
                <w:szCs w:val="16"/>
              </w:rPr>
              <w:t>Milioni di tonnellate</w:t>
            </w:r>
          </w:p>
        </w:tc>
        <w:tc>
          <w:tcPr>
            <w:tcW w:w="345" w:type="pct"/>
            <w:shd w:val="clear" w:color="auto" w:fill="F2F2F2" w:themeFill="background1" w:themeFillShade="F2"/>
            <w:vAlign w:val="center"/>
          </w:tcPr>
          <w:p w14:paraId="49605937" w14:textId="634E5078" w:rsidR="00973023" w:rsidRPr="008E2BF1" w:rsidRDefault="00973023" w:rsidP="00973023">
            <w:pPr>
              <w:spacing w:before="40" w:after="20"/>
              <w:jc w:val="right"/>
              <w:rPr>
                <w:rFonts w:ascii="Arial Narrow" w:hAnsi="Arial Narrow"/>
                <w:sz w:val="16"/>
                <w:szCs w:val="16"/>
              </w:rPr>
            </w:pPr>
            <w:r w:rsidRPr="008E2BF1">
              <w:rPr>
                <w:rFonts w:ascii="Arial Narrow" w:hAnsi="Arial Narrow"/>
                <w:sz w:val="16"/>
                <w:szCs w:val="16"/>
              </w:rPr>
              <w:t>50</w:t>
            </w:r>
            <w:r>
              <w:rPr>
                <w:rFonts w:ascii="Arial Narrow" w:hAnsi="Arial Narrow"/>
                <w:sz w:val="16"/>
                <w:szCs w:val="16"/>
              </w:rPr>
              <w:t>5,5</w:t>
            </w:r>
          </w:p>
        </w:tc>
        <w:tc>
          <w:tcPr>
            <w:tcW w:w="384" w:type="pct"/>
            <w:shd w:val="clear" w:color="auto" w:fill="D9D9D9" w:themeFill="background1" w:themeFillShade="D9"/>
            <w:vAlign w:val="center"/>
          </w:tcPr>
          <w:p w14:paraId="104B7703" w14:textId="18492BE2" w:rsidR="00973023" w:rsidRPr="008E2BF1" w:rsidRDefault="004A7292" w:rsidP="00973023">
            <w:pPr>
              <w:spacing w:before="40" w:after="20"/>
              <w:jc w:val="right"/>
              <w:rPr>
                <w:rFonts w:ascii="Arial Narrow" w:hAnsi="Arial Narrow"/>
                <w:sz w:val="16"/>
                <w:szCs w:val="16"/>
              </w:rPr>
            </w:pPr>
            <w:r>
              <w:rPr>
                <w:rFonts w:ascii="Arial Narrow" w:hAnsi="Arial Narrow"/>
                <w:sz w:val="16"/>
                <w:szCs w:val="16"/>
              </w:rPr>
              <w:t>278</w:t>
            </w:r>
          </w:p>
        </w:tc>
        <w:tc>
          <w:tcPr>
            <w:tcW w:w="345" w:type="pct"/>
            <w:shd w:val="clear" w:color="auto" w:fill="F2F2F2" w:themeFill="background1" w:themeFillShade="F2"/>
            <w:vAlign w:val="center"/>
          </w:tcPr>
          <w:p w14:paraId="3A217460" w14:textId="71877453" w:rsidR="00973023" w:rsidRPr="004A7292" w:rsidRDefault="00973023" w:rsidP="00973023">
            <w:pPr>
              <w:spacing w:before="40" w:after="20"/>
              <w:jc w:val="right"/>
              <w:rPr>
                <w:rFonts w:ascii="Arial Narrow" w:hAnsi="Arial Narrow"/>
                <w:sz w:val="16"/>
                <w:szCs w:val="16"/>
              </w:rPr>
            </w:pPr>
            <w:r w:rsidRPr="004A7292">
              <w:rPr>
                <w:rFonts w:ascii="Arial Narrow" w:hAnsi="Arial Narrow"/>
                <w:sz w:val="16"/>
                <w:szCs w:val="16"/>
              </w:rPr>
              <w:t>512,</w:t>
            </w:r>
            <w:r w:rsidR="004A7292" w:rsidRPr="004A7292">
              <w:rPr>
                <w:rFonts w:ascii="Arial Narrow" w:hAnsi="Arial Narrow"/>
                <w:sz w:val="16"/>
                <w:szCs w:val="16"/>
              </w:rPr>
              <w:t>3</w:t>
            </w:r>
          </w:p>
        </w:tc>
        <w:tc>
          <w:tcPr>
            <w:tcW w:w="383" w:type="pct"/>
            <w:shd w:val="clear" w:color="auto" w:fill="D9D9D9" w:themeFill="background1" w:themeFillShade="D9"/>
            <w:vAlign w:val="center"/>
          </w:tcPr>
          <w:p w14:paraId="307A48E3" w14:textId="1287F254" w:rsidR="00973023" w:rsidRPr="00E67238" w:rsidRDefault="004A7292" w:rsidP="00973023">
            <w:pPr>
              <w:spacing w:before="40" w:after="20"/>
              <w:jc w:val="right"/>
              <w:rPr>
                <w:rFonts w:ascii="Arial Narrow" w:hAnsi="Arial Narrow"/>
                <w:sz w:val="16"/>
                <w:szCs w:val="16"/>
                <w:highlight w:val="yellow"/>
              </w:rPr>
            </w:pPr>
            <w:r w:rsidRPr="004A7292">
              <w:rPr>
                <w:rFonts w:ascii="Arial Narrow" w:hAnsi="Arial Narrow"/>
                <w:sz w:val="16"/>
                <w:szCs w:val="16"/>
              </w:rPr>
              <w:t>269</w:t>
            </w:r>
          </w:p>
        </w:tc>
        <w:tc>
          <w:tcPr>
            <w:tcW w:w="422" w:type="pct"/>
            <w:shd w:val="clear" w:color="auto" w:fill="BFBFBF" w:themeFill="background1" w:themeFillShade="BF"/>
            <w:vAlign w:val="center"/>
          </w:tcPr>
          <w:p w14:paraId="7E2F1A00" w14:textId="33C3F110" w:rsidR="00973023" w:rsidRPr="004A7292" w:rsidRDefault="00973023" w:rsidP="004A7292">
            <w:pPr>
              <w:spacing w:before="40" w:after="20"/>
              <w:jc w:val="right"/>
              <w:rPr>
                <w:rFonts w:ascii="Arial Narrow" w:hAnsi="Arial Narrow"/>
                <w:sz w:val="16"/>
                <w:szCs w:val="16"/>
              </w:rPr>
            </w:pPr>
            <w:r w:rsidRPr="004A7292">
              <w:rPr>
                <w:rFonts w:ascii="Arial Narrow" w:hAnsi="Arial Narrow"/>
                <w:sz w:val="16"/>
                <w:szCs w:val="16"/>
              </w:rPr>
              <w:t>+</w:t>
            </w:r>
            <w:r w:rsidR="004A7292" w:rsidRPr="004A7292">
              <w:rPr>
                <w:rFonts w:ascii="Arial Narrow" w:hAnsi="Arial Narrow"/>
                <w:sz w:val="16"/>
                <w:szCs w:val="16"/>
              </w:rPr>
              <w:t>1,3</w:t>
            </w:r>
            <w:r w:rsidRPr="004A7292">
              <w:rPr>
                <w:rFonts w:ascii="Arial Narrow" w:hAnsi="Arial Narrow"/>
                <w:sz w:val="16"/>
                <w:szCs w:val="16"/>
              </w:rPr>
              <w:t>%</w:t>
            </w:r>
          </w:p>
        </w:tc>
        <w:tc>
          <w:tcPr>
            <w:tcW w:w="346" w:type="pct"/>
            <w:shd w:val="clear" w:color="auto" w:fill="F2F2F2" w:themeFill="background1" w:themeFillShade="F2"/>
            <w:vAlign w:val="center"/>
          </w:tcPr>
          <w:p w14:paraId="5E4B0747" w14:textId="6B84DAB7" w:rsidR="00973023" w:rsidRPr="008E2BF1" w:rsidRDefault="004A7292" w:rsidP="00973023">
            <w:pPr>
              <w:spacing w:before="40" w:after="20"/>
              <w:jc w:val="right"/>
              <w:rPr>
                <w:rFonts w:ascii="Arial Narrow" w:hAnsi="Arial Narrow"/>
                <w:sz w:val="16"/>
                <w:szCs w:val="16"/>
              </w:rPr>
            </w:pPr>
            <w:r>
              <w:rPr>
                <w:rFonts w:ascii="Arial Narrow" w:hAnsi="Arial Narrow"/>
                <w:sz w:val="16"/>
                <w:szCs w:val="16"/>
              </w:rPr>
              <w:t>479,4</w:t>
            </w:r>
          </w:p>
        </w:tc>
        <w:tc>
          <w:tcPr>
            <w:tcW w:w="401" w:type="pct"/>
            <w:shd w:val="clear" w:color="auto" w:fill="D9D9D9" w:themeFill="background1" w:themeFillShade="D9"/>
            <w:vAlign w:val="center"/>
          </w:tcPr>
          <w:p w14:paraId="7F630E53" w14:textId="55743872" w:rsidR="00973023" w:rsidRPr="008E2BF1" w:rsidRDefault="004A7292" w:rsidP="00973023">
            <w:pPr>
              <w:spacing w:before="40" w:after="20"/>
              <w:jc w:val="right"/>
              <w:rPr>
                <w:rFonts w:ascii="Arial Narrow" w:hAnsi="Arial Narrow"/>
                <w:sz w:val="16"/>
                <w:szCs w:val="16"/>
              </w:rPr>
            </w:pPr>
            <w:r>
              <w:rPr>
                <w:rFonts w:ascii="Arial Narrow" w:hAnsi="Arial Narrow"/>
                <w:sz w:val="16"/>
                <w:szCs w:val="16"/>
              </w:rPr>
              <w:t>250</w:t>
            </w:r>
          </w:p>
        </w:tc>
        <w:tc>
          <w:tcPr>
            <w:tcW w:w="396" w:type="pct"/>
            <w:shd w:val="clear" w:color="auto" w:fill="BFBFBF" w:themeFill="background1" w:themeFillShade="BF"/>
            <w:vAlign w:val="center"/>
          </w:tcPr>
          <w:p w14:paraId="162976B3" w14:textId="100A7BF9" w:rsidR="00973023" w:rsidRPr="004A7292" w:rsidRDefault="004A7292" w:rsidP="00973023">
            <w:pPr>
              <w:spacing w:before="40" w:after="20"/>
              <w:jc w:val="right"/>
              <w:rPr>
                <w:rFonts w:ascii="Arial Narrow" w:hAnsi="Arial Narrow"/>
                <w:sz w:val="16"/>
                <w:szCs w:val="16"/>
              </w:rPr>
            </w:pPr>
            <w:r w:rsidRPr="004A7292">
              <w:rPr>
                <w:rFonts w:ascii="Arial Narrow" w:hAnsi="Arial Narrow"/>
                <w:sz w:val="16"/>
                <w:szCs w:val="16"/>
              </w:rPr>
              <w:t>-6,4%</w:t>
            </w:r>
          </w:p>
        </w:tc>
      </w:tr>
      <w:tr w:rsidR="00E67238" w:rsidRPr="007578FC" w14:paraId="5E23AE68" w14:textId="77777777" w:rsidTr="00734482">
        <w:trPr>
          <w:trHeight w:val="20"/>
        </w:trPr>
        <w:tc>
          <w:tcPr>
            <w:tcW w:w="1597" w:type="pct"/>
            <w:shd w:val="clear" w:color="auto" w:fill="auto"/>
            <w:vAlign w:val="center"/>
            <w:hideMark/>
          </w:tcPr>
          <w:p w14:paraId="620E85EA" w14:textId="77777777" w:rsidR="00E67238" w:rsidRPr="008E2BF1" w:rsidRDefault="00E67238" w:rsidP="00E67238">
            <w:pPr>
              <w:spacing w:before="40" w:after="20"/>
              <w:rPr>
                <w:rFonts w:ascii="Arial Narrow" w:hAnsi="Arial Narrow" w:cs="Calibri"/>
                <w:b/>
                <w:bCs/>
                <w:color w:val="1F497D"/>
                <w:sz w:val="16"/>
                <w:szCs w:val="16"/>
              </w:rPr>
            </w:pPr>
            <w:r w:rsidRPr="008E2BF1">
              <w:rPr>
                <w:rFonts w:ascii="Arial Narrow" w:hAnsi="Arial Narrow" w:cs="Calibri"/>
                <w:b/>
                <w:bCs/>
                <w:color w:val="1F497D"/>
                <w:sz w:val="16"/>
                <w:szCs w:val="16"/>
              </w:rPr>
              <w:t>Valore aggiunto dei beni e servizi ambientali</w:t>
            </w:r>
          </w:p>
        </w:tc>
        <w:tc>
          <w:tcPr>
            <w:tcW w:w="381" w:type="pct"/>
            <w:shd w:val="clear" w:color="auto" w:fill="D9D9D9" w:themeFill="background1" w:themeFillShade="D9"/>
          </w:tcPr>
          <w:p w14:paraId="62344CC7" w14:textId="77777777" w:rsidR="00E67238" w:rsidRPr="007578FC" w:rsidRDefault="00E67238" w:rsidP="00E67238">
            <w:pPr>
              <w:spacing w:before="40" w:after="20"/>
              <w:rPr>
                <w:rFonts w:ascii="Arial Narrow" w:hAnsi="Arial Narrow"/>
                <w:sz w:val="16"/>
                <w:szCs w:val="16"/>
              </w:rPr>
            </w:pPr>
            <w:r w:rsidRPr="007578FC">
              <w:rPr>
                <w:rFonts w:ascii="Arial Narrow" w:hAnsi="Arial Narrow"/>
                <w:sz w:val="16"/>
                <w:szCs w:val="16"/>
              </w:rPr>
              <w:t>Miliardi di euro</w:t>
            </w:r>
          </w:p>
        </w:tc>
        <w:tc>
          <w:tcPr>
            <w:tcW w:w="345" w:type="pct"/>
            <w:shd w:val="clear" w:color="auto" w:fill="F2F2F2" w:themeFill="background1" w:themeFillShade="F2"/>
            <w:vAlign w:val="center"/>
          </w:tcPr>
          <w:p w14:paraId="0B726848" w14:textId="0B5B215A" w:rsidR="00E67238" w:rsidRPr="00652E2D" w:rsidRDefault="00A5513C" w:rsidP="00A5513C">
            <w:pPr>
              <w:spacing w:before="40" w:after="20"/>
              <w:jc w:val="right"/>
              <w:rPr>
                <w:rFonts w:ascii="Arial Narrow" w:hAnsi="Arial Narrow"/>
                <w:sz w:val="16"/>
                <w:szCs w:val="16"/>
              </w:rPr>
            </w:pPr>
            <w:r w:rsidRPr="00652E2D">
              <w:rPr>
                <w:rFonts w:ascii="Arial Narrow" w:hAnsi="Arial Narrow"/>
                <w:sz w:val="16"/>
                <w:szCs w:val="16"/>
              </w:rPr>
              <w:t>56</w:t>
            </w:r>
            <w:r w:rsidR="00E67238" w:rsidRPr="00652E2D">
              <w:rPr>
                <w:rFonts w:ascii="Arial Narrow" w:hAnsi="Arial Narrow"/>
                <w:sz w:val="16"/>
                <w:szCs w:val="16"/>
              </w:rPr>
              <w:t>,</w:t>
            </w:r>
            <w:r w:rsidRPr="00652E2D">
              <w:rPr>
                <w:rFonts w:ascii="Arial Narrow" w:hAnsi="Arial Narrow"/>
                <w:sz w:val="16"/>
                <w:szCs w:val="16"/>
              </w:rPr>
              <w:t>8</w:t>
            </w:r>
          </w:p>
        </w:tc>
        <w:tc>
          <w:tcPr>
            <w:tcW w:w="384" w:type="pct"/>
            <w:shd w:val="clear" w:color="auto" w:fill="D9D9D9" w:themeFill="background1" w:themeFillShade="D9"/>
            <w:vAlign w:val="center"/>
          </w:tcPr>
          <w:p w14:paraId="3F173A8B" w14:textId="1EC932CD" w:rsidR="00E67238" w:rsidRPr="00652E2D" w:rsidRDefault="00E67238" w:rsidP="00A467EE">
            <w:pPr>
              <w:spacing w:before="40" w:after="20"/>
              <w:jc w:val="right"/>
              <w:rPr>
                <w:rFonts w:ascii="Arial Narrow" w:hAnsi="Arial Narrow"/>
                <w:sz w:val="16"/>
                <w:szCs w:val="16"/>
              </w:rPr>
            </w:pPr>
            <w:r w:rsidRPr="00652E2D">
              <w:rPr>
                <w:rFonts w:ascii="Arial Narrow" w:hAnsi="Arial Narrow"/>
                <w:sz w:val="16"/>
                <w:szCs w:val="16"/>
              </w:rPr>
              <w:t>3,</w:t>
            </w:r>
            <w:r w:rsidR="00A467EE">
              <w:rPr>
                <w:rFonts w:ascii="Arial Narrow" w:hAnsi="Arial Narrow"/>
                <w:sz w:val="16"/>
                <w:szCs w:val="16"/>
              </w:rPr>
              <w:t>1</w:t>
            </w:r>
            <w:r w:rsidRPr="00652E2D">
              <w:rPr>
                <w:rFonts w:ascii="Arial Narrow" w:hAnsi="Arial Narrow"/>
                <w:sz w:val="16"/>
                <w:szCs w:val="16"/>
              </w:rPr>
              <w:t>%</w:t>
            </w:r>
          </w:p>
        </w:tc>
        <w:tc>
          <w:tcPr>
            <w:tcW w:w="345" w:type="pct"/>
            <w:shd w:val="clear" w:color="auto" w:fill="F2F2F2" w:themeFill="background1" w:themeFillShade="F2"/>
            <w:vAlign w:val="center"/>
          </w:tcPr>
          <w:p w14:paraId="792DBCA9" w14:textId="275C010A" w:rsidR="00E67238" w:rsidRPr="00652E2D" w:rsidRDefault="00A5513C" w:rsidP="00E67238">
            <w:pPr>
              <w:spacing w:before="40" w:after="20"/>
              <w:jc w:val="right"/>
              <w:rPr>
                <w:rFonts w:ascii="Arial Narrow" w:hAnsi="Arial Narrow"/>
                <w:sz w:val="16"/>
                <w:szCs w:val="16"/>
              </w:rPr>
            </w:pPr>
            <w:r w:rsidRPr="00652E2D">
              <w:rPr>
                <w:rFonts w:ascii="Arial Narrow" w:hAnsi="Arial Narrow"/>
                <w:sz w:val="16"/>
                <w:szCs w:val="16"/>
              </w:rPr>
              <w:t>79,9</w:t>
            </w:r>
          </w:p>
        </w:tc>
        <w:tc>
          <w:tcPr>
            <w:tcW w:w="383" w:type="pct"/>
            <w:shd w:val="clear" w:color="auto" w:fill="D9D9D9" w:themeFill="background1" w:themeFillShade="D9"/>
            <w:vAlign w:val="center"/>
          </w:tcPr>
          <w:p w14:paraId="6AAB9B40" w14:textId="30B00241" w:rsidR="00E67238" w:rsidRPr="00652E2D" w:rsidRDefault="00A5513C" w:rsidP="00A467EE">
            <w:pPr>
              <w:spacing w:before="40" w:after="20"/>
              <w:jc w:val="right"/>
              <w:rPr>
                <w:rFonts w:ascii="Arial Narrow" w:hAnsi="Arial Narrow"/>
                <w:sz w:val="16"/>
                <w:szCs w:val="16"/>
              </w:rPr>
            </w:pPr>
            <w:r w:rsidRPr="00652E2D">
              <w:rPr>
                <w:rFonts w:ascii="Arial Narrow" w:hAnsi="Arial Narrow"/>
                <w:sz w:val="16"/>
                <w:szCs w:val="16"/>
              </w:rPr>
              <w:t>4,</w:t>
            </w:r>
            <w:r w:rsidR="00A467EE">
              <w:rPr>
                <w:rFonts w:ascii="Arial Narrow" w:hAnsi="Arial Narrow"/>
                <w:sz w:val="16"/>
                <w:szCs w:val="16"/>
              </w:rPr>
              <w:t>0</w:t>
            </w:r>
            <w:r w:rsidRPr="00652E2D">
              <w:rPr>
                <w:rFonts w:ascii="Arial Narrow" w:hAnsi="Arial Narrow"/>
                <w:sz w:val="16"/>
                <w:szCs w:val="16"/>
              </w:rPr>
              <w:t>%</w:t>
            </w:r>
          </w:p>
        </w:tc>
        <w:tc>
          <w:tcPr>
            <w:tcW w:w="422" w:type="pct"/>
            <w:shd w:val="clear" w:color="auto" w:fill="BFBFBF" w:themeFill="background1" w:themeFillShade="BF"/>
            <w:vAlign w:val="center"/>
          </w:tcPr>
          <w:p w14:paraId="1B293028" w14:textId="272D8184" w:rsidR="00E67238" w:rsidRPr="00652E2D" w:rsidRDefault="00652E2D" w:rsidP="00E67238">
            <w:pPr>
              <w:spacing w:before="40" w:after="20"/>
              <w:jc w:val="right"/>
              <w:rPr>
                <w:rFonts w:ascii="Arial Narrow" w:hAnsi="Arial Narrow"/>
                <w:sz w:val="16"/>
                <w:szCs w:val="16"/>
              </w:rPr>
            </w:pPr>
            <w:r w:rsidRPr="00652E2D">
              <w:rPr>
                <w:rFonts w:ascii="Arial Narrow" w:hAnsi="Arial Narrow"/>
                <w:sz w:val="16"/>
                <w:szCs w:val="16"/>
              </w:rPr>
              <w:t>40,6%</w:t>
            </w:r>
          </w:p>
        </w:tc>
        <w:tc>
          <w:tcPr>
            <w:tcW w:w="346" w:type="pct"/>
            <w:shd w:val="clear" w:color="auto" w:fill="F2F2F2" w:themeFill="background1" w:themeFillShade="F2"/>
            <w:vAlign w:val="center"/>
          </w:tcPr>
          <w:p w14:paraId="546FC9D4" w14:textId="249939BF" w:rsidR="00E67238" w:rsidRPr="00652E2D" w:rsidRDefault="00E67238" w:rsidP="00E67238">
            <w:pPr>
              <w:spacing w:before="40" w:after="20"/>
              <w:jc w:val="right"/>
              <w:rPr>
                <w:rFonts w:ascii="Arial Narrow" w:hAnsi="Arial Narrow"/>
                <w:sz w:val="16"/>
                <w:szCs w:val="16"/>
              </w:rPr>
            </w:pPr>
            <w:r w:rsidRPr="00652E2D">
              <w:rPr>
                <w:rFonts w:ascii="Arial Narrow" w:hAnsi="Arial Narrow"/>
                <w:sz w:val="16"/>
                <w:szCs w:val="16"/>
              </w:rPr>
              <w:t>n.d.</w:t>
            </w:r>
          </w:p>
        </w:tc>
        <w:tc>
          <w:tcPr>
            <w:tcW w:w="401" w:type="pct"/>
            <w:shd w:val="clear" w:color="auto" w:fill="D9D9D9" w:themeFill="background1" w:themeFillShade="D9"/>
            <w:vAlign w:val="center"/>
          </w:tcPr>
          <w:p w14:paraId="5F9EB337" w14:textId="25492D67" w:rsidR="00E67238" w:rsidRPr="00652E2D" w:rsidRDefault="00E67238" w:rsidP="00E67238">
            <w:pPr>
              <w:spacing w:before="40" w:after="20"/>
              <w:jc w:val="right"/>
              <w:rPr>
                <w:rFonts w:ascii="Arial Narrow" w:hAnsi="Arial Narrow"/>
                <w:sz w:val="16"/>
                <w:szCs w:val="16"/>
              </w:rPr>
            </w:pPr>
            <w:r w:rsidRPr="00652E2D">
              <w:rPr>
                <w:rFonts w:ascii="Arial Narrow" w:hAnsi="Arial Narrow"/>
                <w:sz w:val="16"/>
                <w:szCs w:val="16"/>
              </w:rPr>
              <w:t>n.d.</w:t>
            </w:r>
          </w:p>
        </w:tc>
        <w:tc>
          <w:tcPr>
            <w:tcW w:w="396" w:type="pct"/>
            <w:shd w:val="clear" w:color="auto" w:fill="BFBFBF" w:themeFill="background1" w:themeFillShade="BF"/>
            <w:vAlign w:val="center"/>
          </w:tcPr>
          <w:p w14:paraId="664E1FB7" w14:textId="035F9A2B" w:rsidR="00E67238" w:rsidRPr="00652E2D" w:rsidRDefault="00E67238" w:rsidP="00E67238">
            <w:pPr>
              <w:spacing w:before="40" w:after="20"/>
              <w:jc w:val="right"/>
              <w:rPr>
                <w:rFonts w:ascii="Arial Narrow" w:hAnsi="Arial Narrow"/>
                <w:sz w:val="16"/>
                <w:szCs w:val="16"/>
              </w:rPr>
            </w:pPr>
            <w:r w:rsidRPr="00652E2D">
              <w:rPr>
                <w:rFonts w:ascii="Arial Narrow" w:hAnsi="Arial Narrow"/>
                <w:sz w:val="16"/>
                <w:szCs w:val="16"/>
              </w:rPr>
              <w:t>n.d.</w:t>
            </w:r>
          </w:p>
        </w:tc>
      </w:tr>
      <w:tr w:rsidR="00E67238" w:rsidRPr="007578FC" w14:paraId="278E4D41" w14:textId="77777777" w:rsidTr="00734482">
        <w:trPr>
          <w:trHeight w:val="20"/>
        </w:trPr>
        <w:tc>
          <w:tcPr>
            <w:tcW w:w="1597" w:type="pct"/>
            <w:shd w:val="clear" w:color="auto" w:fill="auto"/>
            <w:vAlign w:val="center"/>
            <w:hideMark/>
          </w:tcPr>
          <w:p w14:paraId="19E6C072" w14:textId="77777777" w:rsidR="00E67238" w:rsidRPr="008E2BF1" w:rsidRDefault="00E67238" w:rsidP="00E67238">
            <w:pPr>
              <w:spacing w:before="40" w:after="20"/>
              <w:rPr>
                <w:rFonts w:ascii="Arial Narrow" w:hAnsi="Arial Narrow" w:cs="Calibri"/>
                <w:b/>
                <w:bCs/>
                <w:color w:val="1F497D"/>
                <w:sz w:val="16"/>
                <w:szCs w:val="16"/>
              </w:rPr>
            </w:pPr>
            <w:r w:rsidRPr="008E2BF1">
              <w:rPr>
                <w:rFonts w:ascii="Arial Narrow" w:hAnsi="Arial Narrow" w:cs="Calibri"/>
                <w:b/>
                <w:bCs/>
                <w:color w:val="1F497D"/>
                <w:sz w:val="16"/>
                <w:szCs w:val="16"/>
              </w:rPr>
              <w:t>Gettito delle imposte ambientali</w:t>
            </w:r>
          </w:p>
        </w:tc>
        <w:tc>
          <w:tcPr>
            <w:tcW w:w="381" w:type="pct"/>
            <w:shd w:val="clear" w:color="auto" w:fill="D9D9D9" w:themeFill="background1" w:themeFillShade="D9"/>
          </w:tcPr>
          <w:p w14:paraId="4471A823" w14:textId="77777777" w:rsidR="00E67238" w:rsidRPr="007578FC" w:rsidRDefault="00E67238" w:rsidP="00E67238">
            <w:pPr>
              <w:spacing w:before="40" w:after="20"/>
              <w:rPr>
                <w:rFonts w:ascii="Arial Narrow" w:hAnsi="Arial Narrow"/>
                <w:sz w:val="16"/>
                <w:szCs w:val="16"/>
              </w:rPr>
            </w:pPr>
            <w:r w:rsidRPr="007578FC">
              <w:rPr>
                <w:rFonts w:ascii="Arial Narrow" w:hAnsi="Arial Narrow"/>
                <w:sz w:val="16"/>
                <w:szCs w:val="16"/>
              </w:rPr>
              <w:t>Miliardi di euro</w:t>
            </w:r>
          </w:p>
        </w:tc>
        <w:tc>
          <w:tcPr>
            <w:tcW w:w="345" w:type="pct"/>
            <w:shd w:val="clear" w:color="auto" w:fill="F2F2F2" w:themeFill="background1" w:themeFillShade="F2"/>
            <w:vAlign w:val="center"/>
          </w:tcPr>
          <w:p w14:paraId="574C0E92" w14:textId="74750882" w:rsidR="00E67238" w:rsidRPr="00E67238" w:rsidRDefault="00E67238" w:rsidP="0009103F">
            <w:pPr>
              <w:spacing w:before="40" w:after="20"/>
              <w:jc w:val="right"/>
              <w:rPr>
                <w:rFonts w:ascii="Arial Narrow" w:hAnsi="Arial Narrow"/>
                <w:sz w:val="16"/>
                <w:szCs w:val="16"/>
                <w:highlight w:val="yellow"/>
              </w:rPr>
            </w:pPr>
            <w:r w:rsidRPr="0009103F">
              <w:rPr>
                <w:rFonts w:ascii="Arial Narrow" w:hAnsi="Arial Narrow"/>
                <w:sz w:val="16"/>
                <w:szCs w:val="16"/>
              </w:rPr>
              <w:t>5</w:t>
            </w:r>
            <w:r w:rsidR="0009103F" w:rsidRPr="0009103F">
              <w:rPr>
                <w:rFonts w:ascii="Arial Narrow" w:hAnsi="Arial Narrow"/>
                <w:sz w:val="16"/>
                <w:szCs w:val="16"/>
              </w:rPr>
              <w:t>6</w:t>
            </w:r>
            <w:r w:rsidRPr="0009103F">
              <w:rPr>
                <w:rFonts w:ascii="Arial Narrow" w:hAnsi="Arial Narrow"/>
                <w:sz w:val="16"/>
                <w:szCs w:val="16"/>
              </w:rPr>
              <w:t>,</w:t>
            </w:r>
            <w:r w:rsidR="0009103F" w:rsidRPr="0009103F">
              <w:rPr>
                <w:rFonts w:ascii="Arial Narrow" w:hAnsi="Arial Narrow"/>
                <w:sz w:val="16"/>
                <w:szCs w:val="16"/>
              </w:rPr>
              <w:t>0</w:t>
            </w:r>
          </w:p>
        </w:tc>
        <w:tc>
          <w:tcPr>
            <w:tcW w:w="384" w:type="pct"/>
            <w:shd w:val="clear" w:color="auto" w:fill="D9D9D9" w:themeFill="background1" w:themeFillShade="D9"/>
            <w:vAlign w:val="center"/>
          </w:tcPr>
          <w:p w14:paraId="1BD7D84C" w14:textId="632E5F0C" w:rsidR="00E67238" w:rsidRPr="0009103F" w:rsidRDefault="00E67238" w:rsidP="00E67238">
            <w:pPr>
              <w:spacing w:before="40" w:after="20"/>
              <w:jc w:val="right"/>
              <w:rPr>
                <w:rFonts w:ascii="Arial Narrow" w:hAnsi="Arial Narrow"/>
                <w:sz w:val="16"/>
                <w:szCs w:val="16"/>
              </w:rPr>
            </w:pPr>
            <w:r w:rsidRPr="0009103F">
              <w:rPr>
                <w:rFonts w:ascii="Arial Narrow" w:hAnsi="Arial Narrow"/>
                <w:sz w:val="16"/>
                <w:szCs w:val="16"/>
              </w:rPr>
              <w:t>3,0%</w:t>
            </w:r>
          </w:p>
        </w:tc>
        <w:tc>
          <w:tcPr>
            <w:tcW w:w="345" w:type="pct"/>
            <w:shd w:val="clear" w:color="auto" w:fill="F2F2F2" w:themeFill="background1" w:themeFillShade="F2"/>
            <w:vAlign w:val="center"/>
          </w:tcPr>
          <w:p w14:paraId="4291AC9B" w14:textId="7880841C" w:rsidR="00E67238" w:rsidRPr="00273915" w:rsidRDefault="00E67238" w:rsidP="00273915">
            <w:pPr>
              <w:spacing w:before="40" w:after="20"/>
              <w:jc w:val="right"/>
              <w:rPr>
                <w:rFonts w:ascii="Arial Narrow" w:hAnsi="Arial Narrow"/>
                <w:sz w:val="16"/>
                <w:szCs w:val="16"/>
              </w:rPr>
            </w:pPr>
            <w:r w:rsidRPr="00273915">
              <w:rPr>
                <w:rFonts w:ascii="Arial Narrow" w:hAnsi="Arial Narrow"/>
                <w:sz w:val="16"/>
                <w:szCs w:val="16"/>
              </w:rPr>
              <w:t>4</w:t>
            </w:r>
            <w:r w:rsidR="00273915" w:rsidRPr="00273915">
              <w:rPr>
                <w:rFonts w:ascii="Arial Narrow" w:hAnsi="Arial Narrow"/>
                <w:sz w:val="16"/>
                <w:szCs w:val="16"/>
              </w:rPr>
              <w:t>5</w:t>
            </w:r>
            <w:r w:rsidRPr="00273915">
              <w:rPr>
                <w:rFonts w:ascii="Arial Narrow" w:hAnsi="Arial Narrow"/>
                <w:sz w:val="16"/>
                <w:szCs w:val="16"/>
              </w:rPr>
              <w:t>,</w:t>
            </w:r>
            <w:r w:rsidR="00273915" w:rsidRPr="00273915">
              <w:rPr>
                <w:rFonts w:ascii="Arial Narrow" w:hAnsi="Arial Narrow"/>
                <w:sz w:val="16"/>
                <w:szCs w:val="16"/>
              </w:rPr>
              <w:t>4</w:t>
            </w:r>
          </w:p>
        </w:tc>
        <w:tc>
          <w:tcPr>
            <w:tcW w:w="383" w:type="pct"/>
            <w:shd w:val="clear" w:color="auto" w:fill="D9D9D9" w:themeFill="background1" w:themeFillShade="D9"/>
            <w:vAlign w:val="center"/>
          </w:tcPr>
          <w:p w14:paraId="69979DB5" w14:textId="03587590" w:rsidR="00E67238" w:rsidRPr="00543FBE" w:rsidRDefault="00E67238" w:rsidP="00543FBE">
            <w:pPr>
              <w:spacing w:before="40" w:after="20"/>
              <w:jc w:val="right"/>
              <w:rPr>
                <w:rFonts w:ascii="Arial Narrow" w:hAnsi="Arial Narrow"/>
                <w:sz w:val="16"/>
                <w:szCs w:val="16"/>
              </w:rPr>
            </w:pPr>
            <w:r w:rsidRPr="00543FBE">
              <w:rPr>
                <w:rFonts w:ascii="Arial Narrow" w:hAnsi="Arial Narrow"/>
                <w:sz w:val="16"/>
                <w:szCs w:val="16"/>
              </w:rPr>
              <w:t>2,</w:t>
            </w:r>
            <w:r w:rsidR="00543FBE" w:rsidRPr="00543FBE">
              <w:rPr>
                <w:rFonts w:ascii="Arial Narrow" w:hAnsi="Arial Narrow"/>
                <w:sz w:val="16"/>
                <w:szCs w:val="16"/>
              </w:rPr>
              <w:t>3</w:t>
            </w:r>
            <w:r w:rsidRPr="00543FBE">
              <w:rPr>
                <w:rFonts w:ascii="Arial Narrow" w:hAnsi="Arial Narrow"/>
                <w:sz w:val="16"/>
                <w:szCs w:val="16"/>
              </w:rPr>
              <w:t>%</w:t>
            </w:r>
          </w:p>
        </w:tc>
        <w:tc>
          <w:tcPr>
            <w:tcW w:w="422" w:type="pct"/>
            <w:shd w:val="clear" w:color="auto" w:fill="BFBFBF" w:themeFill="background1" w:themeFillShade="BF"/>
            <w:vAlign w:val="center"/>
          </w:tcPr>
          <w:p w14:paraId="4429EB77" w14:textId="07629CF6" w:rsidR="00E67238" w:rsidRPr="00543FBE" w:rsidRDefault="006A13ED" w:rsidP="00366A64">
            <w:pPr>
              <w:spacing w:before="40" w:after="20"/>
              <w:jc w:val="right"/>
              <w:rPr>
                <w:rFonts w:ascii="Arial Narrow" w:hAnsi="Arial Narrow"/>
                <w:sz w:val="16"/>
                <w:szCs w:val="16"/>
              </w:rPr>
            </w:pPr>
            <w:r>
              <w:rPr>
                <w:rFonts w:ascii="Arial Narrow" w:hAnsi="Arial Narrow"/>
                <w:sz w:val="16"/>
                <w:szCs w:val="16"/>
              </w:rPr>
              <w:t>-</w:t>
            </w:r>
            <w:r w:rsidR="0009103F" w:rsidRPr="0009103F">
              <w:rPr>
                <w:rFonts w:ascii="Arial Narrow" w:hAnsi="Arial Narrow"/>
                <w:sz w:val="16"/>
                <w:szCs w:val="16"/>
              </w:rPr>
              <w:t>1</w:t>
            </w:r>
            <w:r w:rsidR="00366A64">
              <w:rPr>
                <w:rFonts w:ascii="Arial Narrow" w:hAnsi="Arial Narrow"/>
                <w:sz w:val="16"/>
                <w:szCs w:val="16"/>
              </w:rPr>
              <w:t>9</w:t>
            </w:r>
            <w:r w:rsidR="0009103F" w:rsidRPr="0009103F">
              <w:rPr>
                <w:rFonts w:ascii="Arial Narrow" w:hAnsi="Arial Narrow"/>
                <w:sz w:val="16"/>
                <w:szCs w:val="16"/>
              </w:rPr>
              <w:t>,</w:t>
            </w:r>
            <w:r w:rsidR="00366A64">
              <w:rPr>
                <w:rFonts w:ascii="Arial Narrow" w:hAnsi="Arial Narrow"/>
                <w:sz w:val="16"/>
                <w:szCs w:val="16"/>
              </w:rPr>
              <w:t>0</w:t>
            </w:r>
            <w:r>
              <w:rPr>
                <w:rFonts w:ascii="Arial Narrow" w:hAnsi="Arial Narrow"/>
                <w:sz w:val="16"/>
                <w:szCs w:val="16"/>
              </w:rPr>
              <w:t>%</w:t>
            </w:r>
          </w:p>
        </w:tc>
        <w:tc>
          <w:tcPr>
            <w:tcW w:w="346" w:type="pct"/>
            <w:shd w:val="clear" w:color="auto" w:fill="F2F2F2" w:themeFill="background1" w:themeFillShade="F2"/>
            <w:vAlign w:val="center"/>
          </w:tcPr>
          <w:p w14:paraId="788A1C11" w14:textId="0A2E551A" w:rsidR="00E67238" w:rsidRPr="008E2BF1" w:rsidRDefault="008B53CA" w:rsidP="00E67238">
            <w:pPr>
              <w:spacing w:before="40" w:after="20"/>
              <w:jc w:val="right"/>
              <w:rPr>
                <w:rFonts w:ascii="Arial Narrow" w:hAnsi="Arial Narrow"/>
                <w:sz w:val="16"/>
                <w:szCs w:val="16"/>
              </w:rPr>
            </w:pPr>
            <w:r w:rsidRPr="008B53CA">
              <w:rPr>
                <w:rFonts w:ascii="Arial Narrow" w:hAnsi="Arial Narrow"/>
                <w:sz w:val="16"/>
                <w:szCs w:val="16"/>
              </w:rPr>
              <w:t>54,2</w:t>
            </w:r>
          </w:p>
        </w:tc>
        <w:tc>
          <w:tcPr>
            <w:tcW w:w="401" w:type="pct"/>
            <w:shd w:val="clear" w:color="auto" w:fill="D9D9D9" w:themeFill="background1" w:themeFillShade="D9"/>
            <w:vAlign w:val="center"/>
          </w:tcPr>
          <w:p w14:paraId="6563A6EB" w14:textId="385EE98F" w:rsidR="00E67238" w:rsidRPr="008E2BF1" w:rsidRDefault="00543FBE" w:rsidP="00E67238">
            <w:pPr>
              <w:spacing w:before="40" w:after="20"/>
              <w:jc w:val="right"/>
              <w:rPr>
                <w:rFonts w:ascii="Arial Narrow" w:hAnsi="Arial Narrow"/>
                <w:sz w:val="16"/>
                <w:szCs w:val="16"/>
              </w:rPr>
            </w:pPr>
            <w:r w:rsidRPr="00543FBE">
              <w:rPr>
                <w:rFonts w:ascii="Arial Narrow" w:hAnsi="Arial Narrow"/>
                <w:sz w:val="16"/>
                <w:szCs w:val="16"/>
              </w:rPr>
              <w:t>2,5%</w:t>
            </w:r>
          </w:p>
        </w:tc>
        <w:tc>
          <w:tcPr>
            <w:tcW w:w="396" w:type="pct"/>
            <w:shd w:val="clear" w:color="auto" w:fill="BFBFBF" w:themeFill="background1" w:themeFillShade="BF"/>
            <w:vAlign w:val="center"/>
          </w:tcPr>
          <w:p w14:paraId="3B077132" w14:textId="7ACAE70A" w:rsidR="00E67238" w:rsidRPr="008E2BF1" w:rsidRDefault="00543FBE" w:rsidP="00E67238">
            <w:pPr>
              <w:spacing w:before="40" w:after="20"/>
              <w:jc w:val="right"/>
              <w:rPr>
                <w:rFonts w:ascii="Arial Narrow" w:hAnsi="Arial Narrow"/>
                <w:sz w:val="16"/>
                <w:szCs w:val="16"/>
              </w:rPr>
            </w:pPr>
            <w:r>
              <w:rPr>
                <w:rFonts w:ascii="Arial Narrow" w:hAnsi="Arial Narrow"/>
                <w:sz w:val="16"/>
                <w:szCs w:val="16"/>
              </w:rPr>
              <w:t>+</w:t>
            </w:r>
            <w:r w:rsidR="008B53CA" w:rsidRPr="008B53CA">
              <w:rPr>
                <w:rFonts w:ascii="Arial Narrow" w:hAnsi="Arial Narrow"/>
                <w:sz w:val="16"/>
                <w:szCs w:val="16"/>
              </w:rPr>
              <w:t>19,4</w:t>
            </w:r>
            <w:r w:rsidR="008B53CA">
              <w:rPr>
                <w:rFonts w:ascii="Arial Narrow" w:hAnsi="Arial Narrow"/>
                <w:sz w:val="16"/>
                <w:szCs w:val="16"/>
              </w:rPr>
              <w:t>%</w:t>
            </w:r>
          </w:p>
        </w:tc>
      </w:tr>
      <w:tr w:rsidR="00E67238" w:rsidRPr="007578FC" w14:paraId="64ED744C" w14:textId="77777777" w:rsidTr="00734482">
        <w:trPr>
          <w:trHeight w:val="20"/>
        </w:trPr>
        <w:tc>
          <w:tcPr>
            <w:tcW w:w="1597" w:type="pct"/>
            <w:shd w:val="clear" w:color="auto" w:fill="auto"/>
            <w:vAlign w:val="center"/>
          </w:tcPr>
          <w:p w14:paraId="19367209" w14:textId="77777777" w:rsidR="00E67238" w:rsidRPr="008E2BF1" w:rsidRDefault="00E67238" w:rsidP="00E67238">
            <w:pPr>
              <w:spacing w:before="40" w:after="20"/>
              <w:rPr>
                <w:rFonts w:ascii="Arial Narrow" w:hAnsi="Arial Narrow" w:cs="Calibri"/>
                <w:b/>
                <w:bCs/>
                <w:color w:val="1F497D"/>
                <w:sz w:val="16"/>
                <w:szCs w:val="16"/>
              </w:rPr>
            </w:pPr>
            <w:r w:rsidRPr="008E2BF1">
              <w:rPr>
                <w:rFonts w:ascii="Arial Narrow" w:hAnsi="Arial Narrow" w:cs="Calibri"/>
                <w:b/>
                <w:bCs/>
                <w:color w:val="1F497D"/>
                <w:sz w:val="16"/>
                <w:szCs w:val="16"/>
              </w:rPr>
              <w:t xml:space="preserve">Spesa per la protezione dell’ambiente </w:t>
            </w:r>
          </w:p>
        </w:tc>
        <w:tc>
          <w:tcPr>
            <w:tcW w:w="381" w:type="pct"/>
            <w:shd w:val="clear" w:color="auto" w:fill="D9D9D9" w:themeFill="background1" w:themeFillShade="D9"/>
          </w:tcPr>
          <w:p w14:paraId="58C17851" w14:textId="77777777" w:rsidR="00E67238" w:rsidRPr="007578FC" w:rsidRDefault="00E67238" w:rsidP="00E67238">
            <w:pPr>
              <w:spacing w:before="40" w:after="20"/>
              <w:rPr>
                <w:rFonts w:ascii="Arial Narrow" w:hAnsi="Arial Narrow"/>
                <w:sz w:val="16"/>
                <w:szCs w:val="16"/>
              </w:rPr>
            </w:pPr>
            <w:r w:rsidRPr="007578FC">
              <w:rPr>
                <w:rFonts w:ascii="Arial Narrow" w:hAnsi="Arial Narrow"/>
                <w:sz w:val="16"/>
                <w:szCs w:val="16"/>
              </w:rPr>
              <w:t>Miliardi di euro</w:t>
            </w:r>
          </w:p>
        </w:tc>
        <w:tc>
          <w:tcPr>
            <w:tcW w:w="345" w:type="pct"/>
            <w:shd w:val="clear" w:color="auto" w:fill="F2F2F2" w:themeFill="background1" w:themeFillShade="F2"/>
            <w:vAlign w:val="center"/>
          </w:tcPr>
          <w:p w14:paraId="1131AC59" w14:textId="1C2B6C85" w:rsidR="00E67238" w:rsidRPr="00652E2D" w:rsidRDefault="00E67238" w:rsidP="00652E2D">
            <w:pPr>
              <w:spacing w:before="40" w:after="20"/>
              <w:jc w:val="right"/>
              <w:rPr>
                <w:rFonts w:ascii="Arial Narrow" w:hAnsi="Arial Narrow"/>
                <w:sz w:val="16"/>
                <w:szCs w:val="16"/>
              </w:rPr>
            </w:pPr>
            <w:r w:rsidRPr="00652E2D">
              <w:rPr>
                <w:rFonts w:ascii="Arial Narrow" w:hAnsi="Arial Narrow"/>
                <w:sz w:val="16"/>
                <w:szCs w:val="16"/>
              </w:rPr>
              <w:t>4</w:t>
            </w:r>
            <w:r w:rsidR="00652E2D" w:rsidRPr="00652E2D">
              <w:rPr>
                <w:rFonts w:ascii="Arial Narrow" w:hAnsi="Arial Narrow"/>
                <w:sz w:val="16"/>
                <w:szCs w:val="16"/>
              </w:rPr>
              <w:t>7</w:t>
            </w:r>
            <w:r w:rsidRPr="00652E2D">
              <w:rPr>
                <w:rFonts w:ascii="Arial Narrow" w:hAnsi="Arial Narrow"/>
                <w:sz w:val="16"/>
                <w:szCs w:val="16"/>
              </w:rPr>
              <w:t>,</w:t>
            </w:r>
            <w:r w:rsidR="00652E2D" w:rsidRPr="00652E2D">
              <w:rPr>
                <w:rFonts w:ascii="Arial Narrow" w:hAnsi="Arial Narrow"/>
                <w:sz w:val="16"/>
                <w:szCs w:val="16"/>
              </w:rPr>
              <w:t>0</w:t>
            </w:r>
          </w:p>
        </w:tc>
        <w:tc>
          <w:tcPr>
            <w:tcW w:w="384" w:type="pct"/>
            <w:shd w:val="clear" w:color="auto" w:fill="D9D9D9" w:themeFill="background1" w:themeFillShade="D9"/>
            <w:vAlign w:val="center"/>
          </w:tcPr>
          <w:p w14:paraId="39AD7B8B" w14:textId="51B0CA34" w:rsidR="00E67238" w:rsidRPr="00652E2D" w:rsidRDefault="00E67238" w:rsidP="00E67238">
            <w:pPr>
              <w:spacing w:before="40" w:after="20"/>
              <w:jc w:val="right"/>
              <w:rPr>
                <w:rFonts w:ascii="Arial Narrow" w:hAnsi="Arial Narrow"/>
                <w:sz w:val="16"/>
                <w:szCs w:val="16"/>
              </w:rPr>
            </w:pPr>
            <w:r w:rsidRPr="00652E2D">
              <w:rPr>
                <w:rFonts w:ascii="Arial Narrow" w:hAnsi="Arial Narrow"/>
                <w:sz w:val="16"/>
                <w:szCs w:val="16"/>
              </w:rPr>
              <w:t>2,6%</w:t>
            </w:r>
          </w:p>
        </w:tc>
        <w:tc>
          <w:tcPr>
            <w:tcW w:w="345" w:type="pct"/>
            <w:shd w:val="clear" w:color="auto" w:fill="F2F2F2" w:themeFill="background1" w:themeFillShade="F2"/>
            <w:vAlign w:val="center"/>
          </w:tcPr>
          <w:p w14:paraId="4F695997" w14:textId="59E135F7" w:rsidR="00E67238" w:rsidRPr="00652E2D" w:rsidRDefault="00652E2D" w:rsidP="00E67238">
            <w:pPr>
              <w:spacing w:before="40" w:after="20"/>
              <w:jc w:val="right"/>
              <w:rPr>
                <w:rFonts w:ascii="Arial Narrow" w:hAnsi="Arial Narrow"/>
                <w:sz w:val="16"/>
                <w:szCs w:val="16"/>
              </w:rPr>
            </w:pPr>
            <w:r w:rsidRPr="00652E2D">
              <w:rPr>
                <w:rFonts w:ascii="Arial Narrow" w:hAnsi="Arial Narrow"/>
                <w:sz w:val="16"/>
                <w:szCs w:val="16"/>
              </w:rPr>
              <w:t>51,4</w:t>
            </w:r>
          </w:p>
        </w:tc>
        <w:tc>
          <w:tcPr>
            <w:tcW w:w="383" w:type="pct"/>
            <w:shd w:val="clear" w:color="auto" w:fill="D9D9D9" w:themeFill="background1" w:themeFillShade="D9"/>
            <w:vAlign w:val="center"/>
          </w:tcPr>
          <w:p w14:paraId="179EC462" w14:textId="293C3438" w:rsidR="00E67238" w:rsidRPr="00652E2D" w:rsidRDefault="00652E2D" w:rsidP="00E67238">
            <w:pPr>
              <w:spacing w:before="40" w:after="20"/>
              <w:jc w:val="right"/>
              <w:rPr>
                <w:rFonts w:ascii="Arial Narrow" w:hAnsi="Arial Narrow"/>
                <w:sz w:val="16"/>
                <w:szCs w:val="16"/>
              </w:rPr>
            </w:pPr>
            <w:r w:rsidRPr="00652E2D">
              <w:rPr>
                <w:rFonts w:ascii="Arial Narrow" w:hAnsi="Arial Narrow"/>
                <w:sz w:val="16"/>
                <w:szCs w:val="16"/>
              </w:rPr>
              <w:t>2,6%</w:t>
            </w:r>
          </w:p>
        </w:tc>
        <w:tc>
          <w:tcPr>
            <w:tcW w:w="422" w:type="pct"/>
            <w:shd w:val="clear" w:color="auto" w:fill="BFBFBF" w:themeFill="background1" w:themeFillShade="BF"/>
            <w:vAlign w:val="center"/>
          </w:tcPr>
          <w:p w14:paraId="5101C9EA" w14:textId="1A933179" w:rsidR="00E67238" w:rsidRPr="00652E2D" w:rsidRDefault="00652E2D" w:rsidP="00E67238">
            <w:pPr>
              <w:spacing w:before="40" w:after="20"/>
              <w:jc w:val="right"/>
              <w:rPr>
                <w:rFonts w:ascii="Arial Narrow" w:hAnsi="Arial Narrow"/>
                <w:sz w:val="16"/>
                <w:szCs w:val="16"/>
              </w:rPr>
            </w:pPr>
            <w:r w:rsidRPr="00652E2D">
              <w:rPr>
                <w:rFonts w:ascii="Arial Narrow" w:hAnsi="Arial Narrow"/>
                <w:sz w:val="16"/>
                <w:szCs w:val="16"/>
              </w:rPr>
              <w:t>9,4%</w:t>
            </w:r>
          </w:p>
        </w:tc>
        <w:tc>
          <w:tcPr>
            <w:tcW w:w="346" w:type="pct"/>
            <w:shd w:val="clear" w:color="auto" w:fill="F2F2F2" w:themeFill="background1" w:themeFillShade="F2"/>
            <w:vAlign w:val="center"/>
          </w:tcPr>
          <w:p w14:paraId="40E0A4DD" w14:textId="6FD20E2B" w:rsidR="00E67238" w:rsidRPr="00652E2D" w:rsidRDefault="00E67238" w:rsidP="00E67238">
            <w:pPr>
              <w:spacing w:before="40" w:after="20"/>
              <w:jc w:val="right"/>
              <w:rPr>
                <w:rFonts w:ascii="Arial Narrow" w:hAnsi="Arial Narrow"/>
                <w:color w:val="FF0000"/>
                <w:sz w:val="16"/>
                <w:szCs w:val="16"/>
              </w:rPr>
            </w:pPr>
            <w:r w:rsidRPr="00652E2D">
              <w:rPr>
                <w:rFonts w:ascii="Arial Narrow" w:hAnsi="Arial Narrow"/>
                <w:sz w:val="16"/>
                <w:szCs w:val="16"/>
              </w:rPr>
              <w:t>n.d.</w:t>
            </w:r>
          </w:p>
        </w:tc>
        <w:tc>
          <w:tcPr>
            <w:tcW w:w="401" w:type="pct"/>
            <w:shd w:val="clear" w:color="auto" w:fill="D9D9D9" w:themeFill="background1" w:themeFillShade="D9"/>
            <w:vAlign w:val="center"/>
          </w:tcPr>
          <w:p w14:paraId="05219425" w14:textId="68768859" w:rsidR="00E67238" w:rsidRPr="00652E2D" w:rsidRDefault="00E67238" w:rsidP="00E67238">
            <w:pPr>
              <w:spacing w:before="40" w:after="20"/>
              <w:jc w:val="right"/>
              <w:rPr>
                <w:rFonts w:ascii="Arial Narrow" w:hAnsi="Arial Narrow"/>
                <w:sz w:val="16"/>
                <w:szCs w:val="16"/>
              </w:rPr>
            </w:pPr>
            <w:r w:rsidRPr="00652E2D">
              <w:rPr>
                <w:rFonts w:ascii="Arial Narrow" w:hAnsi="Arial Narrow"/>
                <w:sz w:val="16"/>
                <w:szCs w:val="16"/>
              </w:rPr>
              <w:t>n.d.</w:t>
            </w:r>
          </w:p>
        </w:tc>
        <w:tc>
          <w:tcPr>
            <w:tcW w:w="396" w:type="pct"/>
            <w:shd w:val="clear" w:color="auto" w:fill="BFBFBF" w:themeFill="background1" w:themeFillShade="BF"/>
            <w:vAlign w:val="center"/>
          </w:tcPr>
          <w:p w14:paraId="743D0B75" w14:textId="26599A92" w:rsidR="00E67238" w:rsidRPr="00652E2D" w:rsidRDefault="00E67238" w:rsidP="00E67238">
            <w:pPr>
              <w:spacing w:before="40" w:after="20"/>
              <w:jc w:val="right"/>
              <w:rPr>
                <w:rFonts w:ascii="Arial Narrow" w:hAnsi="Arial Narrow"/>
                <w:sz w:val="16"/>
                <w:szCs w:val="16"/>
              </w:rPr>
            </w:pPr>
            <w:r w:rsidRPr="00652E2D">
              <w:rPr>
                <w:rFonts w:ascii="Arial Narrow" w:hAnsi="Arial Narrow"/>
                <w:sz w:val="16"/>
                <w:szCs w:val="16"/>
              </w:rPr>
              <w:t>n.d.</w:t>
            </w:r>
          </w:p>
        </w:tc>
      </w:tr>
    </w:tbl>
    <w:bookmarkEnd w:id="4"/>
    <w:p w14:paraId="6B3B7297" w14:textId="243625D3" w:rsidR="004575EC" w:rsidRDefault="00996AAD" w:rsidP="008E2BF1">
      <w:pPr>
        <w:spacing w:before="60"/>
        <w:jc w:val="both"/>
        <w:rPr>
          <w:rFonts w:ascii="Arial Narrow" w:hAnsi="Arial Narrow"/>
          <w:sz w:val="15"/>
          <w:szCs w:val="15"/>
        </w:rPr>
      </w:pPr>
      <w:r>
        <w:rPr>
          <w:rFonts w:ascii="Arial Narrow" w:hAnsi="Arial Narrow" w:cs="Arial"/>
          <w:sz w:val="15"/>
          <w:szCs w:val="15"/>
        </w:rPr>
        <w:t>(a</w:t>
      </w:r>
      <w:r w:rsidR="00D665F9" w:rsidRPr="00D665F9">
        <w:rPr>
          <w:rFonts w:ascii="Arial Narrow" w:hAnsi="Arial Narrow" w:cs="Arial"/>
          <w:sz w:val="15"/>
          <w:szCs w:val="15"/>
        </w:rPr>
        <w:t xml:space="preserve">) </w:t>
      </w:r>
      <w:r w:rsidR="007A682F">
        <w:rPr>
          <w:rFonts w:ascii="Arial Narrow" w:hAnsi="Arial Narrow" w:cs="Arial"/>
          <w:sz w:val="15"/>
          <w:szCs w:val="15"/>
        </w:rPr>
        <w:t>R</w:t>
      </w:r>
      <w:r w:rsidR="00D665F9" w:rsidRPr="00D665F9">
        <w:rPr>
          <w:rFonts w:ascii="Arial Narrow" w:hAnsi="Arial Narrow" w:cs="Arial"/>
          <w:sz w:val="15"/>
          <w:szCs w:val="15"/>
        </w:rPr>
        <w:t xml:space="preserve">apporti degli indicatori fisici con </w:t>
      </w:r>
      <w:r w:rsidR="007A682F">
        <w:rPr>
          <w:rFonts w:ascii="Arial Narrow" w:hAnsi="Arial Narrow" w:cs="Arial"/>
          <w:sz w:val="15"/>
          <w:szCs w:val="15"/>
        </w:rPr>
        <w:t xml:space="preserve">il </w:t>
      </w:r>
      <w:r w:rsidR="00D665F9" w:rsidRPr="00D665F9">
        <w:rPr>
          <w:rFonts w:ascii="Arial Narrow" w:hAnsi="Arial Narrow" w:cs="Arial"/>
          <w:sz w:val="15"/>
          <w:szCs w:val="15"/>
        </w:rPr>
        <w:t xml:space="preserve">Pil in </w:t>
      </w:r>
      <w:r w:rsidR="00D665F9" w:rsidRPr="007A200B">
        <w:rPr>
          <w:rFonts w:ascii="Arial Narrow" w:hAnsi="Arial Narrow" w:cs="Arial"/>
          <w:sz w:val="15"/>
          <w:szCs w:val="15"/>
        </w:rPr>
        <w:t>milioni di euro a valori concatenati con anno di riferimento 20</w:t>
      </w:r>
      <w:r w:rsidR="00DC4F9B">
        <w:rPr>
          <w:rFonts w:ascii="Arial Narrow" w:hAnsi="Arial Narrow" w:cs="Arial"/>
          <w:sz w:val="15"/>
          <w:szCs w:val="15"/>
        </w:rPr>
        <w:t>20</w:t>
      </w:r>
      <w:r w:rsidR="001D738B" w:rsidRPr="007A200B">
        <w:rPr>
          <w:rFonts w:ascii="Arial Narrow" w:hAnsi="Arial Narrow" w:cs="Arial"/>
          <w:sz w:val="15"/>
          <w:szCs w:val="15"/>
        </w:rPr>
        <w:t xml:space="preserve"> (</w:t>
      </w:r>
      <w:r w:rsidR="007A200B" w:rsidRPr="00790F2D">
        <w:rPr>
          <w:rFonts w:ascii="Arial Narrow" w:hAnsi="Arial Narrow" w:cs="Arial"/>
          <w:i/>
          <w:sz w:val="15"/>
          <w:szCs w:val="15"/>
        </w:rPr>
        <w:t>Ndeu</w:t>
      </w:r>
      <w:r w:rsidR="007A200B" w:rsidRPr="007A200B">
        <w:rPr>
          <w:rFonts w:ascii="Arial Narrow" w:hAnsi="Arial Narrow" w:cs="Arial"/>
          <w:sz w:val="15"/>
          <w:szCs w:val="15"/>
        </w:rPr>
        <w:t xml:space="preserve">: </w:t>
      </w:r>
      <w:r w:rsidR="001D738B" w:rsidRPr="007A200B">
        <w:rPr>
          <w:rFonts w:ascii="Arial Narrow" w:hAnsi="Arial Narrow" w:cs="Arial"/>
          <w:sz w:val="15"/>
          <w:szCs w:val="15"/>
        </w:rPr>
        <w:t>Tj/</w:t>
      </w:r>
      <w:r w:rsidR="007A200B" w:rsidRPr="007A200B">
        <w:rPr>
          <w:rFonts w:ascii="Arial Narrow" w:hAnsi="Arial Narrow" w:cs="Arial"/>
          <w:sz w:val="15"/>
          <w:szCs w:val="15"/>
        </w:rPr>
        <w:t>mln di eu</w:t>
      </w:r>
      <w:r w:rsidR="001D738B" w:rsidRPr="007A200B">
        <w:rPr>
          <w:rFonts w:ascii="Arial Narrow" w:hAnsi="Arial Narrow" w:cs="Arial"/>
          <w:sz w:val="15"/>
          <w:szCs w:val="15"/>
        </w:rPr>
        <w:t xml:space="preserve">ro, </w:t>
      </w:r>
      <w:r w:rsidR="007A200B" w:rsidRPr="007A200B">
        <w:rPr>
          <w:rFonts w:ascii="Arial Narrow" w:hAnsi="Arial Narrow" w:cs="Arial"/>
          <w:sz w:val="15"/>
          <w:szCs w:val="15"/>
        </w:rPr>
        <w:t xml:space="preserve">Gas serra: </w:t>
      </w:r>
      <w:r w:rsidR="001D738B" w:rsidRPr="007A200B">
        <w:rPr>
          <w:rFonts w:ascii="Arial Narrow" w:hAnsi="Arial Narrow" w:cs="Arial"/>
          <w:sz w:val="15"/>
          <w:szCs w:val="15"/>
        </w:rPr>
        <w:t>Tonn</w:t>
      </w:r>
      <w:r w:rsidR="007A200B" w:rsidRPr="007A200B">
        <w:rPr>
          <w:rFonts w:ascii="Arial Narrow" w:hAnsi="Arial Narrow" w:cs="Arial"/>
          <w:sz w:val="15"/>
          <w:szCs w:val="15"/>
        </w:rPr>
        <w:t>/mln di euro</w:t>
      </w:r>
      <w:r w:rsidR="001D738B" w:rsidRPr="007A200B">
        <w:rPr>
          <w:rFonts w:ascii="Arial Narrow" w:hAnsi="Arial Narrow" w:cs="Arial"/>
          <w:sz w:val="15"/>
          <w:szCs w:val="15"/>
        </w:rPr>
        <w:t xml:space="preserve">, </w:t>
      </w:r>
      <w:r w:rsidR="007A200B" w:rsidRPr="00790F2D">
        <w:rPr>
          <w:rFonts w:ascii="Arial Narrow" w:hAnsi="Arial Narrow" w:cs="Arial"/>
          <w:i/>
          <w:sz w:val="15"/>
          <w:szCs w:val="15"/>
        </w:rPr>
        <w:t>Dmc</w:t>
      </w:r>
      <w:r w:rsidR="007A200B" w:rsidRPr="007A200B">
        <w:rPr>
          <w:rFonts w:ascii="Arial Narrow" w:hAnsi="Arial Narrow" w:cs="Arial"/>
          <w:sz w:val="15"/>
          <w:szCs w:val="15"/>
        </w:rPr>
        <w:t>: Tonn/mln di</w:t>
      </w:r>
      <w:r w:rsidR="007A200B">
        <w:rPr>
          <w:rFonts w:ascii="Arial Narrow" w:hAnsi="Arial Narrow" w:cs="Arial"/>
          <w:sz w:val="15"/>
          <w:szCs w:val="15"/>
        </w:rPr>
        <w:t xml:space="preserve"> euro</w:t>
      </w:r>
      <w:r w:rsidR="001D738B">
        <w:rPr>
          <w:rFonts w:ascii="Arial Narrow" w:hAnsi="Arial Narrow" w:cs="Arial"/>
          <w:sz w:val="15"/>
          <w:szCs w:val="15"/>
        </w:rPr>
        <w:t>)</w:t>
      </w:r>
      <w:r w:rsidR="00D665F9" w:rsidRPr="00D665F9">
        <w:rPr>
          <w:rFonts w:ascii="Arial Narrow" w:hAnsi="Arial Narrow" w:cs="Arial"/>
          <w:sz w:val="15"/>
          <w:szCs w:val="15"/>
        </w:rPr>
        <w:t xml:space="preserve">; rapporti degli indicatori monetari con </w:t>
      </w:r>
      <w:r w:rsidR="007A682F">
        <w:rPr>
          <w:rFonts w:ascii="Arial Narrow" w:hAnsi="Arial Narrow" w:cs="Arial"/>
          <w:sz w:val="15"/>
          <w:szCs w:val="15"/>
        </w:rPr>
        <w:t xml:space="preserve">il </w:t>
      </w:r>
      <w:r w:rsidR="00D665F9" w:rsidRPr="00D665F9">
        <w:rPr>
          <w:rFonts w:ascii="Arial Narrow" w:hAnsi="Arial Narrow" w:cs="Arial"/>
          <w:sz w:val="15"/>
          <w:szCs w:val="15"/>
        </w:rPr>
        <w:t xml:space="preserve">Pil </w:t>
      </w:r>
      <w:r w:rsidR="00D665F9" w:rsidRPr="005802D9">
        <w:rPr>
          <w:rFonts w:ascii="Arial Narrow" w:hAnsi="Arial Narrow" w:cs="Arial"/>
          <w:sz w:val="15"/>
          <w:szCs w:val="15"/>
        </w:rPr>
        <w:t xml:space="preserve">in </w:t>
      </w:r>
      <w:r w:rsidR="001D738B" w:rsidRPr="005802D9">
        <w:rPr>
          <w:rFonts w:ascii="Arial Narrow" w:hAnsi="Arial Narrow" w:cs="Arial"/>
          <w:sz w:val="15"/>
          <w:szCs w:val="15"/>
        </w:rPr>
        <w:t xml:space="preserve">miliardi </w:t>
      </w:r>
      <w:r w:rsidR="00D665F9" w:rsidRPr="005802D9">
        <w:rPr>
          <w:rFonts w:ascii="Arial Narrow" w:hAnsi="Arial Narrow" w:cs="Arial"/>
          <w:sz w:val="15"/>
          <w:szCs w:val="15"/>
        </w:rPr>
        <w:t>di euro</w:t>
      </w:r>
      <w:r w:rsidR="00D665F9" w:rsidRPr="00D665F9">
        <w:rPr>
          <w:rFonts w:ascii="Arial Narrow" w:hAnsi="Arial Narrow" w:cs="Arial"/>
          <w:sz w:val="15"/>
          <w:szCs w:val="15"/>
        </w:rPr>
        <w:t xml:space="preserve"> a valori correnti</w:t>
      </w:r>
      <w:r w:rsidR="001D738B">
        <w:rPr>
          <w:rFonts w:ascii="Arial Narrow" w:hAnsi="Arial Narrow" w:cs="Arial"/>
          <w:sz w:val="15"/>
          <w:szCs w:val="15"/>
        </w:rPr>
        <w:t>.</w:t>
      </w:r>
      <w:r w:rsidR="00543FBE">
        <w:rPr>
          <w:rFonts w:ascii="Arial Narrow" w:hAnsi="Arial Narrow" w:cs="Arial"/>
          <w:sz w:val="15"/>
          <w:szCs w:val="15"/>
        </w:rPr>
        <w:t xml:space="preserve"> </w:t>
      </w:r>
      <w:r w:rsidRPr="00444816">
        <w:rPr>
          <w:rFonts w:ascii="Arial Narrow" w:hAnsi="Arial Narrow" w:cs="Arial"/>
          <w:sz w:val="15"/>
          <w:szCs w:val="15"/>
        </w:rPr>
        <w:t xml:space="preserve">Fonte: Istat, </w:t>
      </w:r>
      <w:r w:rsidR="00D665F9">
        <w:rPr>
          <w:rFonts w:ascii="Arial Narrow" w:hAnsi="Arial Narrow" w:cs="Arial"/>
          <w:sz w:val="15"/>
          <w:szCs w:val="15"/>
        </w:rPr>
        <w:t>Conti ambientali</w:t>
      </w:r>
      <w:r w:rsidR="00734482">
        <w:rPr>
          <w:rFonts w:ascii="Arial Narrow" w:hAnsi="Arial Narrow" w:cs="Arial"/>
          <w:sz w:val="15"/>
          <w:szCs w:val="15"/>
        </w:rPr>
        <w:t>.</w:t>
      </w:r>
      <w:r w:rsidR="004575EC">
        <w:rPr>
          <w:rFonts w:ascii="Arial Narrow" w:hAnsi="Arial Narrow"/>
          <w:b/>
          <w:sz w:val="15"/>
          <w:szCs w:val="15"/>
        </w:rPr>
        <w:br w:type="page"/>
      </w:r>
    </w:p>
    <w:p w14:paraId="44AD77DE" w14:textId="14882DFE" w:rsidR="0036324C" w:rsidRPr="002E3BBE" w:rsidRDefault="0036324C" w:rsidP="0036324C">
      <w:pPr>
        <w:pStyle w:val="Titolo2"/>
        <w:rPr>
          <w:rFonts w:ascii="Arial" w:hAnsi="Arial" w:cs="Arial"/>
          <w:b/>
          <w:bCs w:val="0"/>
          <w:i w:val="0"/>
          <w:color w:val="1F497D" w:themeColor="text2"/>
          <w:sz w:val="26"/>
          <w:szCs w:val="26"/>
        </w:rPr>
      </w:pPr>
      <w:r w:rsidRPr="002E3BBE">
        <w:rPr>
          <w:rFonts w:ascii="Arial" w:hAnsi="Arial" w:cs="Arial"/>
          <w:b/>
          <w:bCs w:val="0"/>
          <w:i w:val="0"/>
          <w:color w:val="1F497D" w:themeColor="text2"/>
          <w:sz w:val="26"/>
          <w:szCs w:val="26"/>
        </w:rPr>
        <w:lastRenderedPageBreak/>
        <w:t>Consumi energetici in</w:t>
      </w:r>
      <w:r w:rsidR="00F40C83">
        <w:rPr>
          <w:rFonts w:ascii="Arial" w:hAnsi="Arial" w:cs="Arial"/>
          <w:b/>
          <w:bCs w:val="0"/>
          <w:i w:val="0"/>
          <w:color w:val="1F497D" w:themeColor="text2"/>
          <w:sz w:val="26"/>
          <w:szCs w:val="26"/>
        </w:rPr>
        <w:t xml:space="preserve"> riduzione</w:t>
      </w:r>
      <w:r w:rsidRPr="002E3BBE">
        <w:rPr>
          <w:rFonts w:ascii="Arial" w:hAnsi="Arial" w:cs="Arial"/>
          <w:b/>
          <w:bCs w:val="0"/>
          <w:i w:val="0"/>
          <w:color w:val="1F497D" w:themeColor="text2"/>
          <w:sz w:val="26"/>
          <w:szCs w:val="26"/>
        </w:rPr>
        <w:t xml:space="preserve"> nel 2022 e nel 2023</w:t>
      </w:r>
    </w:p>
    <w:p w14:paraId="4DDC4841" w14:textId="17F70691" w:rsidR="0036324C" w:rsidRPr="002E3BBE" w:rsidRDefault="0036324C" w:rsidP="0036324C">
      <w:pPr>
        <w:autoSpaceDE w:val="0"/>
        <w:autoSpaceDN w:val="0"/>
        <w:adjustRightInd w:val="0"/>
        <w:spacing w:after="120"/>
        <w:jc w:val="both"/>
        <w:rPr>
          <w:rFonts w:ascii="Arial" w:hAnsi="Arial" w:cs="Arial"/>
          <w:sz w:val="22"/>
          <w:szCs w:val="22"/>
        </w:rPr>
      </w:pPr>
      <w:r w:rsidRPr="002E3BBE">
        <w:rPr>
          <w:rFonts w:ascii="Arial" w:hAnsi="Arial" w:cs="Arial"/>
          <w:sz w:val="22"/>
          <w:szCs w:val="22"/>
        </w:rPr>
        <w:t>Il fabbisogno energetico complessivo</w:t>
      </w:r>
      <w:r>
        <w:rPr>
          <w:rFonts w:ascii="Arial" w:hAnsi="Arial" w:cs="Arial"/>
          <w:sz w:val="22"/>
          <w:szCs w:val="22"/>
        </w:rPr>
        <w:t xml:space="preserve"> dell’Italia</w:t>
      </w:r>
      <w:r w:rsidRPr="002E3BBE">
        <w:rPr>
          <w:rFonts w:ascii="Arial" w:hAnsi="Arial" w:cs="Arial"/>
          <w:sz w:val="22"/>
          <w:szCs w:val="22"/>
        </w:rPr>
        <w:t>, misurato dal Consumo di energia delle unità residenti (</w:t>
      </w:r>
      <w:r w:rsidRPr="002E3BBE">
        <w:rPr>
          <w:rFonts w:ascii="Arial" w:hAnsi="Arial" w:cs="Arial"/>
          <w:i/>
          <w:iCs/>
          <w:sz w:val="22"/>
          <w:szCs w:val="22"/>
        </w:rPr>
        <w:t>Net domestic energy use</w:t>
      </w:r>
      <w:r w:rsidRPr="002E3BBE">
        <w:rPr>
          <w:rFonts w:ascii="Arial" w:hAnsi="Arial" w:cs="Arial"/>
          <w:sz w:val="22"/>
          <w:szCs w:val="22"/>
        </w:rPr>
        <w:t xml:space="preserve">, </w:t>
      </w:r>
      <w:r w:rsidRPr="00790F2D">
        <w:rPr>
          <w:rFonts w:ascii="Arial" w:hAnsi="Arial" w:cs="Arial"/>
          <w:i/>
          <w:sz w:val="22"/>
          <w:szCs w:val="22"/>
        </w:rPr>
        <w:t>Ndeu</w:t>
      </w:r>
      <w:r w:rsidRPr="002E3BBE">
        <w:rPr>
          <w:rFonts w:ascii="Arial" w:hAnsi="Arial" w:cs="Arial"/>
          <w:sz w:val="22"/>
          <w:szCs w:val="22"/>
        </w:rPr>
        <w:t>), scende nel 2023 a 6</w:t>
      </w:r>
      <w:r w:rsidR="007D23DB">
        <w:rPr>
          <w:rFonts w:ascii="Arial" w:hAnsi="Arial" w:cs="Arial"/>
          <w:sz w:val="22"/>
          <w:szCs w:val="22"/>
        </w:rPr>
        <w:t>,</w:t>
      </w:r>
      <w:r w:rsidR="009218B2">
        <w:rPr>
          <w:rFonts w:ascii="Arial" w:hAnsi="Arial" w:cs="Arial"/>
          <w:sz w:val="22"/>
          <w:szCs w:val="22"/>
        </w:rPr>
        <w:t>3</w:t>
      </w:r>
      <w:r w:rsidR="007D23DB">
        <w:rPr>
          <w:rFonts w:ascii="Arial" w:hAnsi="Arial" w:cs="Arial"/>
          <w:sz w:val="22"/>
          <w:szCs w:val="22"/>
        </w:rPr>
        <w:t xml:space="preserve"> milioni di</w:t>
      </w:r>
      <w:r w:rsidRPr="002E3BBE">
        <w:rPr>
          <w:rFonts w:ascii="Arial" w:hAnsi="Arial" w:cs="Arial"/>
          <w:sz w:val="22"/>
          <w:szCs w:val="22"/>
        </w:rPr>
        <w:t xml:space="preserve"> terajoule </w:t>
      </w:r>
      <w:r w:rsidR="00B82468">
        <w:rPr>
          <w:rFonts w:ascii="Arial" w:hAnsi="Arial" w:cs="Arial"/>
          <w:sz w:val="22"/>
          <w:szCs w:val="22"/>
        </w:rPr>
        <w:t xml:space="preserve">(Tj) </w:t>
      </w:r>
      <w:r w:rsidRPr="002E3BBE">
        <w:rPr>
          <w:rFonts w:ascii="Arial" w:hAnsi="Arial" w:cs="Arial"/>
          <w:sz w:val="22"/>
          <w:szCs w:val="22"/>
        </w:rPr>
        <w:t xml:space="preserve">(-3,1% nel 2022 e </w:t>
      </w:r>
      <w:r w:rsidR="00D36732" w:rsidRPr="002E3BBE">
        <w:rPr>
          <w:rFonts w:ascii="Arial" w:hAnsi="Arial" w:cs="Arial"/>
          <w:sz w:val="22"/>
          <w:szCs w:val="22"/>
        </w:rPr>
        <w:noBreakHyphen/>
      </w:r>
      <w:r w:rsidRPr="002E3BBE">
        <w:rPr>
          <w:rFonts w:ascii="Arial" w:hAnsi="Arial" w:cs="Arial"/>
          <w:sz w:val="22"/>
          <w:szCs w:val="22"/>
        </w:rPr>
        <w:t xml:space="preserve">4,1% nel 2023), confermando il </w:t>
      </w:r>
      <w:r w:rsidRPr="00790F2D">
        <w:rPr>
          <w:rFonts w:ascii="Arial" w:hAnsi="Arial" w:cs="Arial"/>
          <w:i/>
          <w:sz w:val="22"/>
          <w:szCs w:val="22"/>
        </w:rPr>
        <w:t>trend</w:t>
      </w:r>
      <w:r w:rsidRPr="002E3BBE">
        <w:rPr>
          <w:rFonts w:ascii="Arial" w:hAnsi="Arial" w:cs="Arial"/>
          <w:sz w:val="22"/>
          <w:szCs w:val="22"/>
        </w:rPr>
        <w:t xml:space="preserve"> in </w:t>
      </w:r>
      <w:r w:rsidR="007D23DB">
        <w:rPr>
          <w:rFonts w:ascii="Arial" w:hAnsi="Arial" w:cs="Arial"/>
          <w:sz w:val="22"/>
          <w:szCs w:val="22"/>
        </w:rPr>
        <w:t>diminuzione</w:t>
      </w:r>
      <w:r w:rsidRPr="002E3BBE">
        <w:rPr>
          <w:rFonts w:ascii="Arial" w:hAnsi="Arial" w:cs="Arial"/>
          <w:sz w:val="22"/>
          <w:szCs w:val="22"/>
        </w:rPr>
        <w:t xml:space="preserve"> osservato a partire dal 2018.</w:t>
      </w:r>
    </w:p>
    <w:p w14:paraId="16CCBFD4" w14:textId="16BFC3E1" w:rsidR="0036324C" w:rsidRPr="002E3BBE" w:rsidRDefault="0036324C" w:rsidP="0036324C">
      <w:pPr>
        <w:autoSpaceDE w:val="0"/>
        <w:autoSpaceDN w:val="0"/>
        <w:adjustRightInd w:val="0"/>
        <w:spacing w:after="120"/>
        <w:jc w:val="both"/>
        <w:rPr>
          <w:rFonts w:ascii="Arial" w:hAnsi="Arial" w:cs="Arial"/>
          <w:sz w:val="22"/>
          <w:szCs w:val="22"/>
        </w:rPr>
      </w:pPr>
      <w:r w:rsidRPr="002E3BBE">
        <w:rPr>
          <w:rFonts w:ascii="Arial" w:hAnsi="Arial" w:cs="Arial"/>
          <w:sz w:val="22"/>
          <w:szCs w:val="22"/>
        </w:rPr>
        <w:t xml:space="preserve">L’intensità dei consumi energetici rispetto al Pil, pressoché stabile negli anni 2018-2021, registra un forte calo sia nel 2022 (-7,4%) sia nel 2023 (-4,8%), attestandosi a 3,3 Tj per milione di euro (il valore più basso degli ultimi </w:t>
      </w:r>
      <w:r w:rsidR="004F233A">
        <w:rPr>
          <w:rFonts w:ascii="Arial" w:hAnsi="Arial" w:cs="Arial"/>
          <w:sz w:val="22"/>
          <w:szCs w:val="22"/>
        </w:rPr>
        <w:t>16</w:t>
      </w:r>
      <w:r w:rsidR="004F233A" w:rsidRPr="002E3BBE">
        <w:rPr>
          <w:rFonts w:ascii="Arial" w:hAnsi="Arial" w:cs="Arial"/>
          <w:sz w:val="22"/>
          <w:szCs w:val="22"/>
        </w:rPr>
        <w:t xml:space="preserve"> </w:t>
      </w:r>
      <w:r w:rsidRPr="002E3BBE">
        <w:rPr>
          <w:rFonts w:ascii="Arial" w:hAnsi="Arial" w:cs="Arial"/>
          <w:sz w:val="22"/>
          <w:szCs w:val="22"/>
        </w:rPr>
        <w:t xml:space="preserve">anni) per effetto del diverso andamento tra i dati energetici, in </w:t>
      </w:r>
      <w:r w:rsidR="00567AB5">
        <w:rPr>
          <w:rFonts w:ascii="Arial" w:hAnsi="Arial" w:cs="Arial"/>
          <w:sz w:val="22"/>
          <w:szCs w:val="22"/>
        </w:rPr>
        <w:t>calo</w:t>
      </w:r>
      <w:r w:rsidRPr="002E3BBE">
        <w:rPr>
          <w:rFonts w:ascii="Arial" w:hAnsi="Arial" w:cs="Arial"/>
          <w:sz w:val="22"/>
          <w:szCs w:val="22"/>
        </w:rPr>
        <w:t>, e i dati economici, in aumento (</w:t>
      </w:r>
      <w:r w:rsidR="00F54F15">
        <w:rPr>
          <w:rFonts w:ascii="Arial" w:hAnsi="Arial" w:cs="Arial"/>
          <w:sz w:val="22"/>
          <w:szCs w:val="22"/>
        </w:rPr>
        <w:t xml:space="preserve">con il Pil che </w:t>
      </w:r>
      <w:r w:rsidR="000442BC">
        <w:rPr>
          <w:rFonts w:ascii="Arial" w:hAnsi="Arial" w:cs="Arial"/>
          <w:sz w:val="22"/>
          <w:szCs w:val="22"/>
        </w:rPr>
        <w:t xml:space="preserve">segna </w:t>
      </w:r>
      <w:r w:rsidRPr="002E3BBE">
        <w:rPr>
          <w:rFonts w:ascii="Arial" w:hAnsi="Arial" w:cs="Arial"/>
          <w:sz w:val="22"/>
          <w:szCs w:val="22"/>
        </w:rPr>
        <w:t>+4,7% nel 2022 e +0,7% nel 2023).</w:t>
      </w:r>
    </w:p>
    <w:p w14:paraId="42F67780" w14:textId="41580727" w:rsidR="000F7DE6" w:rsidRDefault="0036324C" w:rsidP="0036324C">
      <w:pPr>
        <w:autoSpaceDE w:val="0"/>
        <w:autoSpaceDN w:val="0"/>
        <w:adjustRightInd w:val="0"/>
        <w:spacing w:after="120"/>
        <w:jc w:val="both"/>
        <w:rPr>
          <w:rFonts w:ascii="Arial" w:hAnsi="Arial" w:cs="Arial"/>
          <w:sz w:val="22"/>
          <w:szCs w:val="22"/>
        </w:rPr>
      </w:pPr>
      <w:r w:rsidRPr="002E3BBE">
        <w:rPr>
          <w:rFonts w:ascii="Arial" w:hAnsi="Arial" w:cs="Arial"/>
          <w:sz w:val="22"/>
          <w:szCs w:val="22"/>
        </w:rPr>
        <w:t xml:space="preserve">La contrazione dei consumi energetici </w:t>
      </w:r>
      <w:r w:rsidR="00900963">
        <w:rPr>
          <w:rFonts w:ascii="Arial" w:hAnsi="Arial" w:cs="Arial"/>
          <w:sz w:val="22"/>
          <w:szCs w:val="22"/>
        </w:rPr>
        <w:t>n</w:t>
      </w:r>
      <w:r w:rsidRPr="002E3BBE">
        <w:rPr>
          <w:rFonts w:ascii="Arial" w:hAnsi="Arial" w:cs="Arial"/>
          <w:sz w:val="22"/>
          <w:szCs w:val="22"/>
        </w:rPr>
        <w:t>el 2022 (</w:t>
      </w:r>
      <w:r w:rsidRPr="002E3BBE">
        <w:rPr>
          <w:rFonts w:ascii="Arial" w:hAnsi="Arial" w:cs="Arial"/>
          <w:sz w:val="22"/>
          <w:szCs w:val="22"/>
        </w:rPr>
        <w:noBreakHyphen/>
        <w:t xml:space="preserve">210mila Tj) è </w:t>
      </w:r>
      <w:r w:rsidR="000442BC">
        <w:rPr>
          <w:rFonts w:ascii="Arial" w:hAnsi="Arial" w:cs="Arial"/>
          <w:sz w:val="22"/>
          <w:szCs w:val="22"/>
        </w:rPr>
        <w:t xml:space="preserve">stata </w:t>
      </w:r>
      <w:r w:rsidRPr="002E3BBE">
        <w:rPr>
          <w:rFonts w:ascii="Arial" w:hAnsi="Arial" w:cs="Arial"/>
          <w:sz w:val="22"/>
          <w:szCs w:val="22"/>
        </w:rPr>
        <w:t>trainata dalla riduzione della domanda di gas naturale, a sua volta imputabile al</w:t>
      </w:r>
      <w:r w:rsidR="0031282D">
        <w:rPr>
          <w:rFonts w:ascii="Arial" w:hAnsi="Arial" w:cs="Arial"/>
          <w:sz w:val="22"/>
          <w:szCs w:val="22"/>
        </w:rPr>
        <w:t>l’</w:t>
      </w:r>
      <w:r w:rsidRPr="002E3BBE">
        <w:rPr>
          <w:rFonts w:ascii="Arial" w:hAnsi="Arial" w:cs="Arial"/>
          <w:sz w:val="22"/>
          <w:szCs w:val="22"/>
        </w:rPr>
        <w:t>innalzamento dei prezzi connesso al conflitto russo</w:t>
      </w:r>
      <w:r w:rsidR="00D36732" w:rsidRPr="002E3BBE">
        <w:rPr>
          <w:rFonts w:ascii="Arial" w:hAnsi="Arial" w:cs="Arial"/>
          <w:sz w:val="22"/>
          <w:szCs w:val="22"/>
        </w:rPr>
        <w:noBreakHyphen/>
      </w:r>
      <w:r w:rsidRPr="002E3BBE">
        <w:rPr>
          <w:rFonts w:ascii="Arial" w:hAnsi="Arial" w:cs="Arial"/>
          <w:sz w:val="22"/>
          <w:szCs w:val="22"/>
        </w:rPr>
        <w:t xml:space="preserve">ucraino, alle misure di contenimento dei consumi energetici </w:t>
      </w:r>
      <w:r w:rsidR="0031282D">
        <w:rPr>
          <w:rFonts w:ascii="Arial" w:hAnsi="Arial" w:cs="Arial"/>
          <w:sz w:val="22"/>
          <w:szCs w:val="22"/>
        </w:rPr>
        <w:t>e al</w:t>
      </w:r>
      <w:r w:rsidRPr="002E3BBE">
        <w:rPr>
          <w:rFonts w:ascii="Arial" w:hAnsi="Arial" w:cs="Arial"/>
          <w:sz w:val="22"/>
          <w:szCs w:val="22"/>
        </w:rPr>
        <w:t xml:space="preserve"> clima mite nella seconda metà del 2022. </w:t>
      </w:r>
      <w:r w:rsidR="006F0A1D">
        <w:rPr>
          <w:rFonts w:ascii="Arial" w:hAnsi="Arial" w:cs="Arial"/>
          <w:sz w:val="22"/>
          <w:szCs w:val="22"/>
        </w:rPr>
        <w:t>In t</w:t>
      </w:r>
      <w:r w:rsidRPr="002E3BBE">
        <w:rPr>
          <w:rFonts w:ascii="Arial" w:hAnsi="Arial" w:cs="Arial"/>
          <w:sz w:val="22"/>
          <w:szCs w:val="22"/>
        </w:rPr>
        <w:t xml:space="preserve">utti i settori produttivi </w:t>
      </w:r>
      <w:r w:rsidR="000442BC">
        <w:rPr>
          <w:rFonts w:ascii="Arial" w:hAnsi="Arial" w:cs="Arial"/>
          <w:sz w:val="22"/>
          <w:szCs w:val="22"/>
        </w:rPr>
        <w:t xml:space="preserve">è diminuito </w:t>
      </w:r>
      <w:r w:rsidR="006F0A1D">
        <w:rPr>
          <w:rFonts w:ascii="Arial" w:hAnsi="Arial" w:cs="Arial"/>
          <w:sz w:val="22"/>
          <w:szCs w:val="22"/>
        </w:rPr>
        <w:t>l’uso d</w:t>
      </w:r>
      <w:r w:rsidRPr="002E3BBE">
        <w:rPr>
          <w:rFonts w:ascii="Arial" w:hAnsi="Arial" w:cs="Arial"/>
          <w:sz w:val="22"/>
          <w:szCs w:val="22"/>
        </w:rPr>
        <w:t>i energ</w:t>
      </w:r>
      <w:r w:rsidR="006F0A1D">
        <w:rPr>
          <w:rFonts w:ascii="Arial" w:hAnsi="Arial" w:cs="Arial"/>
          <w:sz w:val="22"/>
          <w:szCs w:val="22"/>
        </w:rPr>
        <w:t>ia</w:t>
      </w:r>
      <w:r w:rsidRPr="002E3BBE">
        <w:rPr>
          <w:rFonts w:ascii="Arial" w:hAnsi="Arial" w:cs="Arial"/>
          <w:sz w:val="22"/>
          <w:szCs w:val="22"/>
        </w:rPr>
        <w:t xml:space="preserve"> (-3,0% </w:t>
      </w:r>
      <w:r w:rsidR="000442BC">
        <w:rPr>
          <w:rFonts w:ascii="Arial" w:hAnsi="Arial" w:cs="Arial"/>
          <w:sz w:val="22"/>
          <w:szCs w:val="22"/>
        </w:rPr>
        <w:t xml:space="preserve">in </w:t>
      </w:r>
      <w:r w:rsidRPr="002E3BBE">
        <w:rPr>
          <w:rFonts w:ascii="Arial" w:hAnsi="Arial" w:cs="Arial"/>
          <w:sz w:val="22"/>
          <w:szCs w:val="22"/>
        </w:rPr>
        <w:t xml:space="preserve">Agricoltura, -4,2% </w:t>
      </w:r>
      <w:r w:rsidR="000442BC">
        <w:rPr>
          <w:rFonts w:ascii="Arial" w:hAnsi="Arial" w:cs="Arial"/>
          <w:sz w:val="22"/>
          <w:szCs w:val="22"/>
        </w:rPr>
        <w:t>nell’</w:t>
      </w:r>
      <w:r w:rsidRPr="002E3BBE">
        <w:rPr>
          <w:rFonts w:ascii="Arial" w:hAnsi="Arial" w:cs="Arial"/>
          <w:sz w:val="22"/>
          <w:szCs w:val="22"/>
        </w:rPr>
        <w:t xml:space="preserve">Industria e </w:t>
      </w:r>
      <w:r w:rsidR="00D36732" w:rsidRPr="002E3BBE">
        <w:rPr>
          <w:rFonts w:ascii="Arial" w:hAnsi="Arial" w:cs="Arial"/>
          <w:sz w:val="22"/>
          <w:szCs w:val="22"/>
        </w:rPr>
        <w:noBreakHyphen/>
      </w:r>
      <w:r w:rsidRPr="002E3BBE">
        <w:rPr>
          <w:rFonts w:ascii="Arial" w:hAnsi="Arial" w:cs="Arial"/>
          <w:sz w:val="22"/>
          <w:szCs w:val="22"/>
        </w:rPr>
        <w:t xml:space="preserve">0,7% </w:t>
      </w:r>
      <w:r w:rsidR="000442BC">
        <w:rPr>
          <w:rFonts w:ascii="Arial" w:hAnsi="Arial" w:cs="Arial"/>
          <w:sz w:val="22"/>
          <w:szCs w:val="22"/>
        </w:rPr>
        <w:t xml:space="preserve">nei </w:t>
      </w:r>
      <w:r w:rsidRPr="002E3BBE">
        <w:rPr>
          <w:rFonts w:ascii="Arial" w:hAnsi="Arial" w:cs="Arial"/>
          <w:sz w:val="22"/>
          <w:szCs w:val="22"/>
        </w:rPr>
        <w:t>Servizi), con una riduzione complessiva del 3,1%</w:t>
      </w:r>
      <w:r>
        <w:rPr>
          <w:rFonts w:ascii="Arial" w:hAnsi="Arial" w:cs="Arial"/>
          <w:sz w:val="22"/>
          <w:szCs w:val="22"/>
        </w:rPr>
        <w:t>,</w:t>
      </w:r>
      <w:r w:rsidRPr="002E3BBE">
        <w:rPr>
          <w:rFonts w:ascii="Arial" w:hAnsi="Arial" w:cs="Arial"/>
          <w:sz w:val="22"/>
          <w:szCs w:val="22"/>
        </w:rPr>
        <w:t xml:space="preserve"> corrispondente a 139mila Tj. Anche le famiglie nel 2022 </w:t>
      </w:r>
      <w:r w:rsidR="000442BC">
        <w:rPr>
          <w:rFonts w:ascii="Arial" w:hAnsi="Arial" w:cs="Arial"/>
          <w:sz w:val="22"/>
          <w:szCs w:val="22"/>
        </w:rPr>
        <w:t>hanno ridotto</w:t>
      </w:r>
      <w:r w:rsidR="000442BC" w:rsidRPr="002E3BBE">
        <w:rPr>
          <w:rFonts w:ascii="Arial" w:hAnsi="Arial" w:cs="Arial"/>
          <w:sz w:val="22"/>
          <w:szCs w:val="22"/>
        </w:rPr>
        <w:t xml:space="preserve"> </w:t>
      </w:r>
      <w:r w:rsidRPr="002E3BBE">
        <w:rPr>
          <w:rFonts w:ascii="Arial" w:hAnsi="Arial" w:cs="Arial"/>
          <w:sz w:val="22"/>
          <w:szCs w:val="22"/>
        </w:rPr>
        <w:t>del 3,2% i consumi energetici (</w:t>
      </w:r>
      <w:r w:rsidRPr="002E3BBE">
        <w:rPr>
          <w:rFonts w:ascii="Arial" w:hAnsi="Arial" w:cs="Arial"/>
          <w:sz w:val="22"/>
          <w:szCs w:val="22"/>
        </w:rPr>
        <w:noBreakHyphen/>
        <w:t xml:space="preserve">71mila Tj), sebbene con andamenti opposti tra uso domestico, che </w:t>
      </w:r>
      <w:r w:rsidR="003256C0">
        <w:rPr>
          <w:rFonts w:ascii="Arial" w:hAnsi="Arial" w:cs="Arial"/>
          <w:sz w:val="22"/>
          <w:szCs w:val="22"/>
        </w:rPr>
        <w:t xml:space="preserve">è </w:t>
      </w:r>
      <w:r w:rsidR="003256C0" w:rsidRPr="002E3BBE">
        <w:rPr>
          <w:rFonts w:ascii="Arial" w:hAnsi="Arial" w:cs="Arial"/>
          <w:sz w:val="22"/>
          <w:szCs w:val="22"/>
        </w:rPr>
        <w:t>diminui</w:t>
      </w:r>
      <w:r w:rsidR="003256C0">
        <w:rPr>
          <w:rFonts w:ascii="Arial" w:hAnsi="Arial" w:cs="Arial"/>
          <w:sz w:val="22"/>
          <w:szCs w:val="22"/>
        </w:rPr>
        <w:t xml:space="preserve">to </w:t>
      </w:r>
      <w:r w:rsidR="006F0A1D">
        <w:rPr>
          <w:rFonts w:ascii="Arial" w:hAnsi="Arial" w:cs="Arial"/>
          <w:sz w:val="22"/>
          <w:szCs w:val="22"/>
        </w:rPr>
        <w:t>(-</w:t>
      </w:r>
      <w:r w:rsidRPr="002E3BBE">
        <w:rPr>
          <w:rFonts w:ascii="Arial" w:hAnsi="Arial" w:cs="Arial"/>
          <w:sz w:val="22"/>
          <w:szCs w:val="22"/>
        </w:rPr>
        <w:t>10,1%</w:t>
      </w:r>
      <w:r w:rsidR="006F0A1D">
        <w:rPr>
          <w:rFonts w:ascii="Arial" w:hAnsi="Arial" w:cs="Arial"/>
          <w:sz w:val="22"/>
          <w:szCs w:val="22"/>
        </w:rPr>
        <w:t xml:space="preserve">, </w:t>
      </w:r>
      <w:r w:rsidRPr="002E3BBE">
        <w:rPr>
          <w:rFonts w:ascii="Arial" w:hAnsi="Arial" w:cs="Arial"/>
          <w:sz w:val="22"/>
          <w:szCs w:val="22"/>
        </w:rPr>
        <w:t xml:space="preserve">attestandosi a 1.257mila Tj), e </w:t>
      </w:r>
      <w:r w:rsidR="0031282D">
        <w:rPr>
          <w:rFonts w:ascii="Arial" w:hAnsi="Arial" w:cs="Arial"/>
          <w:sz w:val="22"/>
          <w:szCs w:val="22"/>
        </w:rPr>
        <w:t>uso</w:t>
      </w:r>
      <w:r w:rsidR="0031282D" w:rsidRPr="002E3BBE">
        <w:rPr>
          <w:rFonts w:ascii="Arial" w:hAnsi="Arial" w:cs="Arial"/>
          <w:sz w:val="22"/>
          <w:szCs w:val="22"/>
        </w:rPr>
        <w:t xml:space="preserve"> </w:t>
      </w:r>
      <w:r w:rsidRPr="002E3BBE">
        <w:rPr>
          <w:rFonts w:ascii="Arial" w:hAnsi="Arial" w:cs="Arial"/>
          <w:sz w:val="22"/>
          <w:szCs w:val="22"/>
        </w:rPr>
        <w:t xml:space="preserve">per trasporto, che </w:t>
      </w:r>
      <w:r w:rsidR="003256C0">
        <w:rPr>
          <w:rFonts w:ascii="Arial" w:hAnsi="Arial" w:cs="Arial"/>
          <w:sz w:val="22"/>
          <w:szCs w:val="22"/>
        </w:rPr>
        <w:t xml:space="preserve">è </w:t>
      </w:r>
      <w:r w:rsidRPr="002E3BBE">
        <w:rPr>
          <w:rFonts w:ascii="Arial" w:hAnsi="Arial" w:cs="Arial"/>
          <w:sz w:val="22"/>
          <w:szCs w:val="22"/>
        </w:rPr>
        <w:t>aumenta</w:t>
      </w:r>
      <w:r w:rsidR="003256C0">
        <w:rPr>
          <w:rFonts w:ascii="Arial" w:hAnsi="Arial" w:cs="Arial"/>
          <w:sz w:val="22"/>
          <w:szCs w:val="22"/>
        </w:rPr>
        <w:t>to</w:t>
      </w:r>
      <w:r w:rsidRPr="002E3BBE">
        <w:rPr>
          <w:rFonts w:ascii="Arial" w:hAnsi="Arial" w:cs="Arial"/>
          <w:sz w:val="22"/>
          <w:szCs w:val="22"/>
        </w:rPr>
        <w:t xml:space="preserve"> </w:t>
      </w:r>
      <w:r w:rsidR="006F0A1D">
        <w:rPr>
          <w:rFonts w:ascii="Arial" w:hAnsi="Arial" w:cs="Arial"/>
          <w:sz w:val="22"/>
          <w:szCs w:val="22"/>
        </w:rPr>
        <w:t>(+</w:t>
      </w:r>
      <w:r w:rsidRPr="002E3BBE">
        <w:rPr>
          <w:rFonts w:ascii="Arial" w:hAnsi="Arial" w:cs="Arial"/>
          <w:sz w:val="22"/>
          <w:szCs w:val="22"/>
        </w:rPr>
        <w:t>8,3%</w:t>
      </w:r>
      <w:r w:rsidR="006F0A1D">
        <w:rPr>
          <w:rFonts w:ascii="Arial" w:hAnsi="Arial" w:cs="Arial"/>
          <w:sz w:val="22"/>
          <w:szCs w:val="22"/>
        </w:rPr>
        <w:t>,</w:t>
      </w:r>
      <w:r w:rsidRPr="002E3BBE">
        <w:rPr>
          <w:rFonts w:ascii="Arial" w:hAnsi="Arial" w:cs="Arial"/>
          <w:sz w:val="22"/>
          <w:szCs w:val="22"/>
        </w:rPr>
        <w:t xml:space="preserve"> arrivando a 908mila Tj, </w:t>
      </w:r>
      <w:r w:rsidRPr="00825867">
        <w:rPr>
          <w:rFonts w:ascii="Arial" w:hAnsi="Arial" w:cs="Arial"/>
          <w:sz w:val="22"/>
          <w:szCs w:val="22"/>
        </w:rPr>
        <w:t xml:space="preserve">valore superiore a quello </w:t>
      </w:r>
      <w:r w:rsidR="00825867">
        <w:rPr>
          <w:rFonts w:ascii="Arial" w:hAnsi="Arial" w:cs="Arial"/>
          <w:sz w:val="22"/>
          <w:szCs w:val="22"/>
        </w:rPr>
        <w:t>pre</w:t>
      </w:r>
      <w:r w:rsidR="007522B7">
        <w:rPr>
          <w:rFonts w:ascii="Arial" w:hAnsi="Arial" w:cs="Arial"/>
          <w:sz w:val="22"/>
          <w:szCs w:val="22"/>
        </w:rPr>
        <w:t>-</w:t>
      </w:r>
      <w:r w:rsidR="00825867">
        <w:rPr>
          <w:rFonts w:ascii="Arial" w:hAnsi="Arial" w:cs="Arial"/>
          <w:sz w:val="22"/>
          <w:szCs w:val="22"/>
        </w:rPr>
        <w:t>pandemia</w:t>
      </w:r>
      <w:r w:rsidRPr="002E3BBE">
        <w:rPr>
          <w:rFonts w:ascii="Arial" w:hAnsi="Arial" w:cs="Arial"/>
          <w:sz w:val="22"/>
          <w:szCs w:val="22"/>
        </w:rPr>
        <w:t xml:space="preserve">). Il settore dell’Industria è </w:t>
      </w:r>
      <w:r w:rsidR="003256C0">
        <w:rPr>
          <w:rFonts w:ascii="Arial" w:hAnsi="Arial" w:cs="Arial"/>
          <w:sz w:val="22"/>
          <w:szCs w:val="22"/>
        </w:rPr>
        <w:t xml:space="preserve">stato </w:t>
      </w:r>
      <w:r w:rsidRPr="002E3BBE">
        <w:rPr>
          <w:rFonts w:ascii="Arial" w:hAnsi="Arial" w:cs="Arial"/>
          <w:sz w:val="22"/>
          <w:szCs w:val="22"/>
        </w:rPr>
        <w:t xml:space="preserve">quello che </w:t>
      </w:r>
      <w:r w:rsidR="003256C0">
        <w:rPr>
          <w:rFonts w:ascii="Arial" w:hAnsi="Arial" w:cs="Arial"/>
          <w:sz w:val="22"/>
          <w:szCs w:val="22"/>
        </w:rPr>
        <w:t xml:space="preserve">ha </w:t>
      </w:r>
      <w:r w:rsidR="006F0A1D">
        <w:rPr>
          <w:rFonts w:ascii="Arial" w:hAnsi="Arial" w:cs="Arial"/>
          <w:sz w:val="22"/>
          <w:szCs w:val="22"/>
        </w:rPr>
        <w:t>più</w:t>
      </w:r>
      <w:r w:rsidR="006F0A1D" w:rsidRPr="002E3BBE">
        <w:rPr>
          <w:rFonts w:ascii="Arial" w:hAnsi="Arial" w:cs="Arial"/>
          <w:sz w:val="22"/>
          <w:szCs w:val="22"/>
        </w:rPr>
        <w:t xml:space="preserve"> </w:t>
      </w:r>
      <w:r w:rsidR="003256C0" w:rsidRPr="002E3BBE">
        <w:rPr>
          <w:rFonts w:ascii="Arial" w:hAnsi="Arial" w:cs="Arial"/>
          <w:sz w:val="22"/>
          <w:szCs w:val="22"/>
        </w:rPr>
        <w:t>contribui</w:t>
      </w:r>
      <w:r w:rsidR="003256C0">
        <w:rPr>
          <w:rFonts w:ascii="Arial" w:hAnsi="Arial" w:cs="Arial"/>
          <w:sz w:val="22"/>
          <w:szCs w:val="22"/>
        </w:rPr>
        <w:t>to</w:t>
      </w:r>
      <w:r w:rsidR="003256C0" w:rsidRPr="002E3BBE">
        <w:rPr>
          <w:rFonts w:ascii="Arial" w:hAnsi="Arial" w:cs="Arial"/>
          <w:sz w:val="22"/>
          <w:szCs w:val="22"/>
        </w:rPr>
        <w:t xml:space="preserve"> </w:t>
      </w:r>
      <w:r w:rsidRPr="002E3BBE">
        <w:rPr>
          <w:rFonts w:ascii="Arial" w:hAnsi="Arial" w:cs="Arial"/>
          <w:sz w:val="22"/>
          <w:szCs w:val="22"/>
        </w:rPr>
        <w:t xml:space="preserve">alla riduzione (-125mila Tj), pur con dinamiche molto differenti tra le diverse attività. </w:t>
      </w:r>
    </w:p>
    <w:p w14:paraId="47E7F62A" w14:textId="1CAB6450" w:rsidR="0036324C" w:rsidRDefault="0036324C" w:rsidP="0036324C">
      <w:pPr>
        <w:autoSpaceDE w:val="0"/>
        <w:autoSpaceDN w:val="0"/>
        <w:adjustRightInd w:val="0"/>
        <w:spacing w:after="120"/>
        <w:jc w:val="both"/>
        <w:rPr>
          <w:rFonts w:ascii="Arial" w:hAnsi="Arial" w:cs="Arial"/>
          <w:sz w:val="22"/>
          <w:szCs w:val="22"/>
        </w:rPr>
      </w:pPr>
      <w:r w:rsidRPr="002E3BBE">
        <w:rPr>
          <w:rFonts w:ascii="Arial" w:hAnsi="Arial" w:cs="Arial"/>
          <w:sz w:val="22"/>
          <w:szCs w:val="22"/>
        </w:rPr>
        <w:t xml:space="preserve">In termini assoluti </w:t>
      </w:r>
      <w:r w:rsidR="0086796B">
        <w:rPr>
          <w:rFonts w:ascii="Arial" w:hAnsi="Arial" w:cs="Arial"/>
          <w:sz w:val="22"/>
          <w:szCs w:val="22"/>
        </w:rPr>
        <w:t xml:space="preserve">l’industria </w:t>
      </w:r>
      <w:r w:rsidR="0031282D">
        <w:rPr>
          <w:rFonts w:ascii="Arial" w:hAnsi="Arial" w:cs="Arial"/>
          <w:sz w:val="22"/>
          <w:szCs w:val="22"/>
        </w:rPr>
        <w:t>c</w:t>
      </w:r>
      <w:r w:rsidRPr="002E3BBE">
        <w:rPr>
          <w:rFonts w:ascii="Arial" w:hAnsi="Arial" w:cs="Arial"/>
          <w:sz w:val="22"/>
          <w:szCs w:val="22"/>
        </w:rPr>
        <w:t xml:space="preserve">himica </w:t>
      </w:r>
      <w:r w:rsidR="003256C0">
        <w:rPr>
          <w:rFonts w:ascii="Arial" w:hAnsi="Arial" w:cs="Arial"/>
          <w:sz w:val="22"/>
          <w:szCs w:val="22"/>
        </w:rPr>
        <w:t xml:space="preserve">ha </w:t>
      </w:r>
      <w:r w:rsidRPr="002E3BBE">
        <w:rPr>
          <w:rFonts w:ascii="Arial" w:hAnsi="Arial" w:cs="Arial"/>
          <w:sz w:val="22"/>
          <w:szCs w:val="22"/>
        </w:rPr>
        <w:t>registra</w:t>
      </w:r>
      <w:r w:rsidR="003256C0">
        <w:rPr>
          <w:rFonts w:ascii="Arial" w:hAnsi="Arial" w:cs="Arial"/>
          <w:sz w:val="22"/>
          <w:szCs w:val="22"/>
        </w:rPr>
        <w:t>to</w:t>
      </w:r>
      <w:r w:rsidRPr="002E3BBE">
        <w:rPr>
          <w:rFonts w:ascii="Arial" w:hAnsi="Arial" w:cs="Arial"/>
          <w:sz w:val="22"/>
          <w:szCs w:val="22"/>
        </w:rPr>
        <w:t xml:space="preserve"> la </w:t>
      </w:r>
      <w:r w:rsidR="004F233A" w:rsidRPr="002E3BBE">
        <w:rPr>
          <w:rFonts w:ascii="Arial" w:hAnsi="Arial" w:cs="Arial"/>
          <w:sz w:val="22"/>
          <w:szCs w:val="22"/>
        </w:rPr>
        <w:t xml:space="preserve">diminuzione </w:t>
      </w:r>
      <w:r w:rsidRPr="002E3BBE">
        <w:rPr>
          <w:rFonts w:ascii="Arial" w:hAnsi="Arial" w:cs="Arial"/>
          <w:sz w:val="22"/>
          <w:szCs w:val="22"/>
        </w:rPr>
        <w:t>più significativa (-88mila</w:t>
      </w:r>
      <w:r w:rsidR="00F279D1">
        <w:rPr>
          <w:rFonts w:ascii="Arial" w:hAnsi="Arial" w:cs="Arial"/>
          <w:sz w:val="22"/>
          <w:szCs w:val="22"/>
        </w:rPr>
        <w:t> </w:t>
      </w:r>
      <w:r w:rsidRPr="002E3BBE">
        <w:rPr>
          <w:rFonts w:ascii="Arial" w:hAnsi="Arial" w:cs="Arial"/>
          <w:sz w:val="22"/>
          <w:szCs w:val="22"/>
        </w:rPr>
        <w:t xml:space="preserve">Tj; -24,1%), seguita da </w:t>
      </w:r>
      <w:r w:rsidR="0086796B">
        <w:rPr>
          <w:rFonts w:ascii="Arial" w:hAnsi="Arial" w:cs="Arial"/>
          <w:sz w:val="22"/>
          <w:szCs w:val="22"/>
        </w:rPr>
        <w:t>M</w:t>
      </w:r>
      <w:r w:rsidRPr="002E3BBE">
        <w:rPr>
          <w:rFonts w:ascii="Arial" w:hAnsi="Arial" w:cs="Arial"/>
          <w:sz w:val="22"/>
          <w:szCs w:val="22"/>
        </w:rPr>
        <w:t xml:space="preserve">etallurgia (-47mila Tj; -16,1%) e da </w:t>
      </w:r>
      <w:r w:rsidR="0086796B">
        <w:rPr>
          <w:rFonts w:ascii="Arial" w:hAnsi="Arial" w:cs="Arial"/>
          <w:sz w:val="22"/>
          <w:szCs w:val="22"/>
        </w:rPr>
        <w:t>C</w:t>
      </w:r>
      <w:r w:rsidRPr="002E3BBE">
        <w:rPr>
          <w:rFonts w:ascii="Arial" w:hAnsi="Arial" w:cs="Arial"/>
          <w:sz w:val="22"/>
          <w:szCs w:val="22"/>
        </w:rPr>
        <w:t xml:space="preserve">ostruzioni (-18mila Tj; -10,7%); in controtendenza, </w:t>
      </w:r>
      <w:r w:rsidR="00C1344A" w:rsidRPr="002E3BBE">
        <w:rPr>
          <w:rFonts w:ascii="Arial" w:hAnsi="Arial" w:cs="Arial"/>
          <w:sz w:val="22"/>
          <w:szCs w:val="22"/>
        </w:rPr>
        <w:t>i consumi energetici</w:t>
      </w:r>
      <w:r w:rsidR="00C1344A">
        <w:rPr>
          <w:rFonts w:ascii="Arial" w:hAnsi="Arial" w:cs="Arial"/>
          <w:sz w:val="22"/>
          <w:szCs w:val="22"/>
        </w:rPr>
        <w:t xml:space="preserve"> </w:t>
      </w:r>
      <w:r w:rsidR="00BD5763">
        <w:rPr>
          <w:rFonts w:ascii="Arial" w:hAnsi="Arial" w:cs="Arial"/>
          <w:sz w:val="22"/>
          <w:szCs w:val="22"/>
        </w:rPr>
        <w:t xml:space="preserve">sono </w:t>
      </w:r>
      <w:r w:rsidR="00BD5763" w:rsidRPr="002E3BBE">
        <w:rPr>
          <w:rFonts w:ascii="Arial" w:hAnsi="Arial" w:cs="Arial"/>
          <w:sz w:val="22"/>
          <w:szCs w:val="22"/>
        </w:rPr>
        <w:t>aumenta</w:t>
      </w:r>
      <w:r w:rsidR="00BD5763">
        <w:rPr>
          <w:rFonts w:ascii="Arial" w:hAnsi="Arial" w:cs="Arial"/>
          <w:sz w:val="22"/>
          <w:szCs w:val="22"/>
        </w:rPr>
        <w:t>ti,</w:t>
      </w:r>
      <w:r w:rsidRPr="002E3BBE">
        <w:rPr>
          <w:rFonts w:ascii="Arial" w:hAnsi="Arial" w:cs="Arial"/>
          <w:sz w:val="22"/>
          <w:szCs w:val="22"/>
        </w:rPr>
        <w:t xml:space="preserve"> </w:t>
      </w:r>
      <w:r w:rsidR="00BD5763">
        <w:rPr>
          <w:rFonts w:ascii="Arial" w:hAnsi="Arial" w:cs="Arial"/>
          <w:sz w:val="22"/>
          <w:szCs w:val="22"/>
        </w:rPr>
        <w:t>in special modo</w:t>
      </w:r>
      <w:r w:rsidR="00BD5763" w:rsidRPr="002E3BBE">
        <w:rPr>
          <w:rFonts w:ascii="Arial" w:hAnsi="Arial" w:cs="Arial"/>
          <w:sz w:val="22"/>
          <w:szCs w:val="22"/>
        </w:rPr>
        <w:t xml:space="preserve"> </w:t>
      </w:r>
      <w:r w:rsidR="00C1344A">
        <w:rPr>
          <w:rFonts w:ascii="Arial" w:hAnsi="Arial" w:cs="Arial"/>
          <w:sz w:val="22"/>
          <w:szCs w:val="22"/>
        </w:rPr>
        <w:t>nel</w:t>
      </w:r>
      <w:r w:rsidRPr="002E3BBE">
        <w:rPr>
          <w:rFonts w:ascii="Arial" w:hAnsi="Arial" w:cs="Arial"/>
          <w:sz w:val="22"/>
          <w:szCs w:val="22"/>
        </w:rPr>
        <w:t>l</w:t>
      </w:r>
      <w:r w:rsidR="0086796B">
        <w:rPr>
          <w:rFonts w:ascii="Arial" w:hAnsi="Arial" w:cs="Arial"/>
          <w:sz w:val="22"/>
          <w:szCs w:val="22"/>
        </w:rPr>
        <w:t xml:space="preserve">e </w:t>
      </w:r>
      <w:r w:rsidRPr="002E3BBE">
        <w:rPr>
          <w:rFonts w:ascii="Arial" w:hAnsi="Arial" w:cs="Arial"/>
          <w:sz w:val="22"/>
          <w:szCs w:val="22"/>
        </w:rPr>
        <w:t xml:space="preserve">attività di </w:t>
      </w:r>
      <w:r w:rsidR="0086796B">
        <w:rPr>
          <w:rFonts w:ascii="Arial" w:hAnsi="Arial" w:cs="Arial"/>
          <w:sz w:val="22"/>
          <w:szCs w:val="22"/>
        </w:rPr>
        <w:t>F</w:t>
      </w:r>
      <w:r w:rsidRPr="002E3BBE">
        <w:rPr>
          <w:rFonts w:ascii="Arial" w:hAnsi="Arial" w:cs="Arial"/>
          <w:sz w:val="22"/>
          <w:szCs w:val="22"/>
        </w:rPr>
        <w:t xml:space="preserve">ornitura di energia elettrica, gas, vapore e aria condizionata (+27mila Tj; +3,0%), </w:t>
      </w:r>
      <w:r w:rsidR="0086796B">
        <w:rPr>
          <w:rFonts w:ascii="Arial" w:hAnsi="Arial" w:cs="Arial"/>
          <w:sz w:val="22"/>
          <w:szCs w:val="22"/>
        </w:rPr>
        <w:t xml:space="preserve">raffinazione </w:t>
      </w:r>
      <w:r w:rsidRPr="002E3BBE">
        <w:rPr>
          <w:rFonts w:ascii="Arial" w:hAnsi="Arial" w:cs="Arial"/>
          <w:sz w:val="22"/>
          <w:szCs w:val="22"/>
        </w:rPr>
        <w:t>d</w:t>
      </w:r>
      <w:r w:rsidR="0086796B">
        <w:rPr>
          <w:rFonts w:ascii="Arial" w:hAnsi="Arial" w:cs="Arial"/>
          <w:sz w:val="22"/>
          <w:szCs w:val="22"/>
        </w:rPr>
        <w:t>el</w:t>
      </w:r>
      <w:r w:rsidRPr="002E3BBE">
        <w:rPr>
          <w:rFonts w:ascii="Arial" w:hAnsi="Arial" w:cs="Arial"/>
          <w:sz w:val="22"/>
          <w:szCs w:val="22"/>
        </w:rPr>
        <w:t xml:space="preserve"> petrolio (+26mila</w:t>
      </w:r>
      <w:r w:rsidR="004F233A">
        <w:rPr>
          <w:rFonts w:ascii="Arial" w:hAnsi="Arial" w:cs="Arial"/>
          <w:sz w:val="22"/>
          <w:szCs w:val="22"/>
        </w:rPr>
        <w:t xml:space="preserve"> </w:t>
      </w:r>
      <w:r w:rsidRPr="002E3BBE">
        <w:rPr>
          <w:rFonts w:ascii="Arial" w:hAnsi="Arial" w:cs="Arial"/>
          <w:sz w:val="22"/>
          <w:szCs w:val="22"/>
        </w:rPr>
        <w:t xml:space="preserve">Tj; +9,3%) e industria del legno (+19mila Tj; +81,2%). In quasi tutte le attività dei Servizi </w:t>
      </w:r>
      <w:r w:rsidR="00BD5763">
        <w:rPr>
          <w:rFonts w:ascii="Arial" w:hAnsi="Arial" w:cs="Arial"/>
          <w:sz w:val="22"/>
          <w:szCs w:val="22"/>
        </w:rPr>
        <w:t>sono calati</w:t>
      </w:r>
      <w:r w:rsidR="00BD5763" w:rsidRPr="002E3BBE">
        <w:rPr>
          <w:rFonts w:ascii="Arial" w:hAnsi="Arial" w:cs="Arial"/>
          <w:sz w:val="22"/>
          <w:szCs w:val="22"/>
        </w:rPr>
        <w:t xml:space="preserve"> </w:t>
      </w:r>
      <w:r w:rsidRPr="002E3BBE">
        <w:rPr>
          <w:rFonts w:ascii="Arial" w:hAnsi="Arial" w:cs="Arial"/>
          <w:sz w:val="22"/>
          <w:szCs w:val="22"/>
        </w:rPr>
        <w:t>i consumi di energia (</w:t>
      </w:r>
      <w:r w:rsidR="0031282D">
        <w:rPr>
          <w:rFonts w:ascii="Arial" w:hAnsi="Arial" w:cs="Arial"/>
          <w:sz w:val="22"/>
          <w:szCs w:val="22"/>
        </w:rPr>
        <w:noBreakHyphen/>
      </w:r>
      <w:r w:rsidRPr="002E3BBE">
        <w:rPr>
          <w:rFonts w:ascii="Arial" w:hAnsi="Arial" w:cs="Arial"/>
          <w:sz w:val="22"/>
          <w:szCs w:val="22"/>
        </w:rPr>
        <w:t xml:space="preserve">9mila Tj); rilevante è </w:t>
      </w:r>
      <w:r w:rsidR="00BD5763">
        <w:rPr>
          <w:rFonts w:ascii="Arial" w:hAnsi="Arial" w:cs="Arial"/>
          <w:sz w:val="22"/>
          <w:szCs w:val="22"/>
        </w:rPr>
        <w:t xml:space="preserve">stata </w:t>
      </w:r>
      <w:r w:rsidRPr="002E3BBE">
        <w:rPr>
          <w:rFonts w:ascii="Arial" w:hAnsi="Arial" w:cs="Arial"/>
          <w:sz w:val="22"/>
          <w:szCs w:val="22"/>
        </w:rPr>
        <w:t xml:space="preserve">la riduzione nelle imprese di trasporto marittimo (-14mila Tj; -6,5%) e terrestre (-12mila Tj; </w:t>
      </w:r>
      <w:r w:rsidRPr="002E3BBE">
        <w:rPr>
          <w:rFonts w:ascii="Arial" w:hAnsi="Arial" w:cs="Arial"/>
          <w:sz w:val="22"/>
          <w:szCs w:val="22"/>
        </w:rPr>
        <w:noBreakHyphen/>
        <w:t xml:space="preserve">4,0%) e nella Pubblica Amministrazione (-10mila Tj; -16,8%) mentre, con segno opposto, è </w:t>
      </w:r>
      <w:r w:rsidR="00BD5763">
        <w:rPr>
          <w:rFonts w:ascii="Arial" w:hAnsi="Arial" w:cs="Arial"/>
          <w:sz w:val="22"/>
          <w:szCs w:val="22"/>
        </w:rPr>
        <w:t xml:space="preserve">stato </w:t>
      </w:r>
      <w:r w:rsidRPr="002E3BBE">
        <w:rPr>
          <w:rFonts w:ascii="Arial" w:hAnsi="Arial" w:cs="Arial"/>
          <w:sz w:val="22"/>
          <w:szCs w:val="22"/>
        </w:rPr>
        <w:t xml:space="preserve">significativo l’aumento nelle attività di trasporto aereo (+41mila </w:t>
      </w:r>
      <w:r w:rsidR="001366D3">
        <w:rPr>
          <w:rFonts w:ascii="Arial" w:hAnsi="Arial" w:cs="Arial"/>
          <w:sz w:val="22"/>
          <w:szCs w:val="22"/>
        </w:rPr>
        <w:t>Tj</w:t>
      </w:r>
      <w:r w:rsidRPr="002E3BBE">
        <w:rPr>
          <w:rFonts w:ascii="Arial" w:hAnsi="Arial" w:cs="Arial"/>
          <w:sz w:val="22"/>
          <w:szCs w:val="22"/>
        </w:rPr>
        <w:t>; +101,1%).</w:t>
      </w:r>
    </w:p>
    <w:p w14:paraId="0AD929E2" w14:textId="1C00B423" w:rsidR="0036324C" w:rsidRDefault="00CB456E" w:rsidP="0036324C">
      <w:pPr>
        <w:autoSpaceDE w:val="0"/>
        <w:autoSpaceDN w:val="0"/>
        <w:adjustRightInd w:val="0"/>
        <w:spacing w:after="120"/>
        <w:jc w:val="both"/>
        <w:rPr>
          <w:rFonts w:ascii="Arial" w:hAnsi="Arial" w:cs="Arial"/>
          <w:sz w:val="22"/>
          <w:szCs w:val="22"/>
        </w:rPr>
      </w:pPr>
      <w:r>
        <w:rPr>
          <w:rFonts w:ascii="Arial" w:hAnsi="Arial" w:cs="Arial"/>
          <w:sz w:val="22"/>
          <w:szCs w:val="22"/>
        </w:rPr>
        <w:t xml:space="preserve">Nel </w:t>
      </w:r>
      <w:r w:rsidR="0036324C" w:rsidRPr="002E3BBE">
        <w:rPr>
          <w:rFonts w:ascii="Arial" w:hAnsi="Arial" w:cs="Arial"/>
          <w:sz w:val="22"/>
          <w:szCs w:val="22"/>
        </w:rPr>
        <w:t xml:space="preserve">2023 </w:t>
      </w:r>
      <w:r>
        <w:rPr>
          <w:rFonts w:ascii="Arial" w:hAnsi="Arial" w:cs="Arial"/>
          <w:sz w:val="22"/>
          <w:szCs w:val="22"/>
        </w:rPr>
        <w:t xml:space="preserve">è proseguita </w:t>
      </w:r>
      <w:r w:rsidR="0036324C" w:rsidRPr="002E3BBE">
        <w:rPr>
          <w:rFonts w:ascii="Arial" w:hAnsi="Arial" w:cs="Arial"/>
          <w:sz w:val="22"/>
          <w:szCs w:val="22"/>
        </w:rPr>
        <w:t xml:space="preserve">la contrazione del </w:t>
      </w:r>
      <w:r w:rsidR="0036324C" w:rsidRPr="00790F2D">
        <w:rPr>
          <w:rFonts w:ascii="Arial" w:hAnsi="Arial" w:cs="Arial"/>
          <w:i/>
          <w:sz w:val="22"/>
          <w:szCs w:val="22"/>
        </w:rPr>
        <w:t>Ndeu</w:t>
      </w:r>
      <w:r w:rsidR="0036324C" w:rsidRPr="002E3BBE">
        <w:rPr>
          <w:rFonts w:ascii="Arial" w:hAnsi="Arial" w:cs="Arial"/>
          <w:sz w:val="22"/>
          <w:szCs w:val="22"/>
        </w:rPr>
        <w:t xml:space="preserve"> (</w:t>
      </w:r>
      <w:r w:rsidR="0036324C" w:rsidRPr="002E3BBE">
        <w:rPr>
          <w:rFonts w:ascii="Arial" w:hAnsi="Arial" w:cs="Arial"/>
          <w:sz w:val="22"/>
          <w:szCs w:val="22"/>
        </w:rPr>
        <w:noBreakHyphen/>
        <w:t>269mila Tj), soprattutto grazie alla riduzione di gas naturale e carbone nella produzione di elettricità</w:t>
      </w:r>
      <w:r w:rsidR="009256EA">
        <w:rPr>
          <w:rFonts w:ascii="Arial" w:hAnsi="Arial" w:cs="Arial"/>
          <w:sz w:val="22"/>
          <w:szCs w:val="22"/>
        </w:rPr>
        <w:t>,</w:t>
      </w:r>
      <w:r w:rsidR="0036324C" w:rsidRPr="002E3BBE">
        <w:rPr>
          <w:rFonts w:ascii="Arial" w:hAnsi="Arial" w:cs="Arial"/>
          <w:sz w:val="22"/>
          <w:szCs w:val="22"/>
        </w:rPr>
        <w:t xml:space="preserve"> ma anche al clima particolarmente mite, specialmente nei primi mesi dell’anno, e all’incremento dell’efficienza energetica del settore civile (per effetto degli interventi di riqualificazione energetica sostenuti dal </w:t>
      </w:r>
      <w:r w:rsidR="0036324C" w:rsidRPr="002E3BBE">
        <w:rPr>
          <w:rFonts w:ascii="Arial" w:hAnsi="Arial" w:cs="Arial"/>
          <w:i/>
          <w:sz w:val="22"/>
          <w:szCs w:val="22"/>
        </w:rPr>
        <w:t>superbonus</w:t>
      </w:r>
      <w:r w:rsidR="0036324C" w:rsidRPr="002E3BBE">
        <w:rPr>
          <w:rFonts w:ascii="Arial" w:hAnsi="Arial" w:cs="Arial"/>
          <w:sz w:val="22"/>
          <w:szCs w:val="22"/>
        </w:rPr>
        <w:t xml:space="preserve"> e da altre forme di incentivazione) che hanno consentito un minor ricorso al gas per fini di riscaldamento. Nel complesso, </w:t>
      </w:r>
      <w:r w:rsidR="009256EA">
        <w:rPr>
          <w:rFonts w:ascii="Arial" w:hAnsi="Arial" w:cs="Arial"/>
          <w:sz w:val="22"/>
          <w:szCs w:val="22"/>
        </w:rPr>
        <w:t xml:space="preserve">sono </w:t>
      </w:r>
      <w:r w:rsidR="009256EA" w:rsidRPr="002E3BBE">
        <w:rPr>
          <w:rFonts w:ascii="Arial" w:hAnsi="Arial" w:cs="Arial"/>
          <w:sz w:val="22"/>
          <w:szCs w:val="22"/>
        </w:rPr>
        <w:t>diminui</w:t>
      </w:r>
      <w:r w:rsidR="009256EA">
        <w:rPr>
          <w:rFonts w:ascii="Arial" w:hAnsi="Arial" w:cs="Arial"/>
          <w:sz w:val="22"/>
          <w:szCs w:val="22"/>
        </w:rPr>
        <w:t>ti</w:t>
      </w:r>
      <w:r w:rsidR="009256EA" w:rsidRPr="002E3BBE">
        <w:rPr>
          <w:rFonts w:ascii="Arial" w:hAnsi="Arial" w:cs="Arial"/>
          <w:sz w:val="22"/>
          <w:szCs w:val="22"/>
        </w:rPr>
        <w:t xml:space="preserve"> </w:t>
      </w:r>
      <w:r w:rsidR="0036324C" w:rsidRPr="002E3BBE">
        <w:rPr>
          <w:rFonts w:ascii="Arial" w:hAnsi="Arial" w:cs="Arial"/>
          <w:sz w:val="22"/>
          <w:szCs w:val="22"/>
        </w:rPr>
        <w:t>i consumi energetici nell’industria (</w:t>
      </w:r>
      <w:r w:rsidR="0036324C" w:rsidRPr="002E3BBE">
        <w:rPr>
          <w:rFonts w:ascii="Arial" w:hAnsi="Arial" w:cs="Arial"/>
          <w:sz w:val="22"/>
          <w:szCs w:val="22"/>
        </w:rPr>
        <w:noBreakHyphen/>
        <w:t xml:space="preserve">185mila Tj; </w:t>
      </w:r>
      <w:r w:rsidR="0036324C" w:rsidRPr="002E3BBE">
        <w:rPr>
          <w:rFonts w:ascii="Arial" w:hAnsi="Arial" w:cs="Arial"/>
          <w:sz w:val="22"/>
          <w:szCs w:val="22"/>
        </w:rPr>
        <w:noBreakHyphen/>
        <w:t>6,4%), in ambito domestico (</w:t>
      </w:r>
      <w:r w:rsidR="0036324C" w:rsidRPr="002E3BBE">
        <w:rPr>
          <w:rFonts w:ascii="Arial" w:hAnsi="Arial" w:cs="Arial"/>
          <w:sz w:val="22"/>
          <w:szCs w:val="22"/>
        </w:rPr>
        <w:noBreakHyphen/>
        <w:t xml:space="preserve">100mila Tj; -8,0%) e in </w:t>
      </w:r>
      <w:r w:rsidR="00E82BB2">
        <w:rPr>
          <w:rFonts w:ascii="Arial" w:hAnsi="Arial" w:cs="Arial"/>
          <w:sz w:val="22"/>
          <w:szCs w:val="22"/>
        </w:rPr>
        <w:t>A</w:t>
      </w:r>
      <w:r w:rsidR="0036324C" w:rsidRPr="002E3BBE">
        <w:rPr>
          <w:rFonts w:ascii="Arial" w:hAnsi="Arial" w:cs="Arial"/>
          <w:sz w:val="22"/>
          <w:szCs w:val="22"/>
        </w:rPr>
        <w:t>gricoltura (</w:t>
      </w:r>
      <w:r w:rsidR="0036324C" w:rsidRPr="002E3BBE">
        <w:rPr>
          <w:rFonts w:ascii="Arial" w:hAnsi="Arial" w:cs="Arial"/>
          <w:sz w:val="22"/>
          <w:szCs w:val="22"/>
        </w:rPr>
        <w:noBreakHyphen/>
        <w:t xml:space="preserve">7mila Tj; -4,4%), mentre </w:t>
      </w:r>
      <w:r w:rsidR="009256EA">
        <w:rPr>
          <w:rFonts w:ascii="Arial" w:hAnsi="Arial" w:cs="Arial"/>
          <w:sz w:val="22"/>
          <w:szCs w:val="22"/>
        </w:rPr>
        <w:t xml:space="preserve">sono </w:t>
      </w:r>
      <w:r w:rsidR="009256EA" w:rsidRPr="002E3BBE">
        <w:rPr>
          <w:rFonts w:ascii="Arial" w:hAnsi="Arial" w:cs="Arial"/>
          <w:sz w:val="22"/>
          <w:szCs w:val="22"/>
        </w:rPr>
        <w:t>aumenta</w:t>
      </w:r>
      <w:r w:rsidR="009256EA">
        <w:rPr>
          <w:rFonts w:ascii="Arial" w:hAnsi="Arial" w:cs="Arial"/>
          <w:sz w:val="22"/>
          <w:szCs w:val="22"/>
        </w:rPr>
        <w:t>ti</w:t>
      </w:r>
      <w:r w:rsidR="009256EA" w:rsidRPr="002E3BBE">
        <w:rPr>
          <w:rFonts w:ascii="Arial" w:hAnsi="Arial" w:cs="Arial"/>
          <w:sz w:val="22"/>
          <w:szCs w:val="22"/>
        </w:rPr>
        <w:t xml:space="preserve"> </w:t>
      </w:r>
      <w:r w:rsidR="0036324C" w:rsidRPr="002E3BBE">
        <w:rPr>
          <w:rFonts w:ascii="Arial" w:hAnsi="Arial" w:cs="Arial"/>
          <w:sz w:val="22"/>
          <w:szCs w:val="22"/>
        </w:rPr>
        <w:t>nel settore dei Servizi (+18mila Tj; +1,4%) e, leggermente, per gli spostamenti in conto proprio delle famiglie (+6mila Tj; +0,6%).</w:t>
      </w:r>
    </w:p>
    <w:p w14:paraId="56B28782" w14:textId="5A2AD131" w:rsidR="00767EBF" w:rsidRPr="004C604A" w:rsidRDefault="00AF0476" w:rsidP="00790F2D">
      <w:pPr>
        <w:autoSpaceDE w:val="0"/>
        <w:autoSpaceDN w:val="0"/>
        <w:adjustRightInd w:val="0"/>
        <w:jc w:val="both"/>
        <w:rPr>
          <w:rFonts w:ascii="Arial" w:hAnsi="Arial" w:cs="Arial"/>
          <w:sz w:val="22"/>
          <w:szCs w:val="22"/>
        </w:rPr>
      </w:pPr>
      <w:r>
        <w:rPr>
          <w:rFonts w:ascii="Arial" w:hAnsi="Arial" w:cs="Arial"/>
          <w:sz w:val="22"/>
          <w:szCs w:val="22"/>
        </w:rPr>
        <w:t>L</w:t>
      </w:r>
      <w:r w:rsidR="003F4934" w:rsidRPr="00A504B1">
        <w:rPr>
          <w:rFonts w:ascii="Arial" w:hAnsi="Arial" w:cs="Arial"/>
          <w:sz w:val="22"/>
          <w:szCs w:val="22"/>
        </w:rPr>
        <w:t xml:space="preserve">’Italia è responsabile dell’11% del </w:t>
      </w:r>
      <w:r w:rsidR="003F4934" w:rsidRPr="00790F2D">
        <w:rPr>
          <w:rFonts w:ascii="Arial" w:hAnsi="Arial" w:cs="Arial"/>
          <w:i/>
          <w:sz w:val="22"/>
          <w:szCs w:val="22"/>
        </w:rPr>
        <w:t>Ndeu</w:t>
      </w:r>
      <w:r w:rsidR="003F4934" w:rsidRPr="00A504B1">
        <w:rPr>
          <w:rFonts w:ascii="Arial" w:hAnsi="Arial" w:cs="Arial"/>
          <w:sz w:val="22"/>
          <w:szCs w:val="22"/>
        </w:rPr>
        <w:t xml:space="preserve"> dell’Ue27, dopo Germania (21%) e Francia (17%); seguono Spagna (8</w:t>
      </w:r>
      <w:r w:rsidR="003F4934" w:rsidRPr="002F5A80">
        <w:rPr>
          <w:rFonts w:ascii="Arial" w:hAnsi="Arial" w:cs="Arial"/>
          <w:sz w:val="22"/>
          <w:szCs w:val="22"/>
        </w:rPr>
        <w:t>%)</w:t>
      </w:r>
      <w:r>
        <w:rPr>
          <w:rFonts w:ascii="Arial" w:hAnsi="Arial" w:cs="Arial"/>
          <w:sz w:val="22"/>
          <w:szCs w:val="22"/>
        </w:rPr>
        <w:t xml:space="preserve">, </w:t>
      </w:r>
      <w:r w:rsidR="003F4934" w:rsidRPr="002F5A80">
        <w:rPr>
          <w:rFonts w:ascii="Arial" w:hAnsi="Arial" w:cs="Arial"/>
          <w:sz w:val="22"/>
          <w:szCs w:val="22"/>
        </w:rPr>
        <w:t>Polonia (7%)</w:t>
      </w:r>
      <w:r>
        <w:rPr>
          <w:rFonts w:ascii="Arial" w:hAnsi="Arial" w:cs="Arial"/>
          <w:sz w:val="22"/>
          <w:szCs w:val="22"/>
        </w:rPr>
        <w:t xml:space="preserve"> e Olanda (5%)</w:t>
      </w:r>
      <w:r w:rsidR="003F4934" w:rsidRPr="002F5A80">
        <w:rPr>
          <w:rFonts w:ascii="Arial" w:hAnsi="Arial" w:cs="Arial"/>
          <w:sz w:val="22"/>
          <w:szCs w:val="22"/>
        </w:rPr>
        <w:t xml:space="preserve">. </w:t>
      </w:r>
      <w:r w:rsidR="002F0B03" w:rsidRPr="002F5A80">
        <w:rPr>
          <w:rFonts w:ascii="Arial" w:hAnsi="Arial" w:cs="Arial"/>
          <w:sz w:val="22"/>
          <w:szCs w:val="22"/>
        </w:rPr>
        <w:t>Solo l</w:t>
      </w:r>
      <w:r w:rsidR="003F4934" w:rsidRPr="002F5A80">
        <w:rPr>
          <w:rFonts w:ascii="Arial" w:hAnsi="Arial" w:cs="Arial"/>
          <w:sz w:val="22"/>
          <w:szCs w:val="22"/>
        </w:rPr>
        <w:t xml:space="preserve">a Polonia </w:t>
      </w:r>
      <w:r w:rsidR="009256EA">
        <w:rPr>
          <w:rFonts w:ascii="Arial" w:hAnsi="Arial" w:cs="Arial"/>
          <w:sz w:val="22"/>
          <w:szCs w:val="22"/>
        </w:rPr>
        <w:t xml:space="preserve">ha </w:t>
      </w:r>
      <w:r w:rsidR="003F4934" w:rsidRPr="002F5A80">
        <w:rPr>
          <w:rFonts w:ascii="Arial" w:hAnsi="Arial" w:cs="Arial"/>
          <w:sz w:val="22"/>
          <w:szCs w:val="22"/>
        </w:rPr>
        <w:t>registra</w:t>
      </w:r>
      <w:r w:rsidR="009256EA">
        <w:rPr>
          <w:rFonts w:ascii="Arial" w:hAnsi="Arial" w:cs="Arial"/>
          <w:sz w:val="22"/>
          <w:szCs w:val="22"/>
        </w:rPr>
        <w:t>to</w:t>
      </w:r>
      <w:r w:rsidR="003F4934" w:rsidRPr="002F5A80">
        <w:rPr>
          <w:rFonts w:ascii="Arial" w:hAnsi="Arial" w:cs="Arial"/>
          <w:sz w:val="22"/>
          <w:szCs w:val="22"/>
        </w:rPr>
        <w:t xml:space="preserve"> un’intensità energetica del </w:t>
      </w:r>
      <w:r w:rsidR="009256EA" w:rsidRPr="002F5A80">
        <w:rPr>
          <w:rFonts w:ascii="Arial" w:hAnsi="Arial" w:cs="Arial"/>
          <w:sz w:val="22"/>
          <w:szCs w:val="22"/>
        </w:rPr>
        <w:t>P</w:t>
      </w:r>
      <w:r w:rsidR="009256EA">
        <w:rPr>
          <w:rFonts w:ascii="Arial" w:hAnsi="Arial" w:cs="Arial"/>
          <w:sz w:val="22"/>
          <w:szCs w:val="22"/>
        </w:rPr>
        <w:t>il</w:t>
      </w:r>
      <w:r w:rsidR="009256EA" w:rsidRPr="002F5A80">
        <w:rPr>
          <w:rFonts w:ascii="Arial" w:hAnsi="Arial" w:cs="Arial"/>
          <w:sz w:val="22"/>
          <w:szCs w:val="22"/>
        </w:rPr>
        <w:t xml:space="preserve"> </w:t>
      </w:r>
      <w:r w:rsidR="003F4934" w:rsidRPr="002F5A80">
        <w:rPr>
          <w:rFonts w:ascii="Arial" w:hAnsi="Arial" w:cs="Arial"/>
          <w:sz w:val="22"/>
          <w:szCs w:val="22"/>
        </w:rPr>
        <w:t>superiore a</w:t>
      </w:r>
      <w:r w:rsidR="002F0B03" w:rsidRPr="002F5A80">
        <w:rPr>
          <w:rFonts w:ascii="Arial" w:hAnsi="Arial" w:cs="Arial"/>
          <w:sz w:val="22"/>
          <w:szCs w:val="22"/>
        </w:rPr>
        <w:t xml:space="preserve">lla media Ue27, mentre </w:t>
      </w:r>
      <w:r w:rsidR="003F4934" w:rsidRPr="002F5A80">
        <w:rPr>
          <w:rFonts w:ascii="Arial" w:hAnsi="Arial" w:cs="Arial"/>
          <w:sz w:val="22"/>
          <w:szCs w:val="22"/>
        </w:rPr>
        <w:t>Italia e Ge</w:t>
      </w:r>
      <w:r w:rsidR="002F0B03" w:rsidRPr="002F5A80">
        <w:rPr>
          <w:rFonts w:ascii="Arial" w:hAnsi="Arial" w:cs="Arial"/>
          <w:sz w:val="22"/>
          <w:szCs w:val="22"/>
        </w:rPr>
        <w:t xml:space="preserve">rmania hanno </w:t>
      </w:r>
      <w:r w:rsidR="009256EA">
        <w:rPr>
          <w:rFonts w:ascii="Arial" w:hAnsi="Arial" w:cs="Arial"/>
          <w:sz w:val="22"/>
          <w:szCs w:val="22"/>
        </w:rPr>
        <w:t xml:space="preserve">rilevato </w:t>
      </w:r>
      <w:r w:rsidR="002F0B03" w:rsidRPr="002F5A80">
        <w:rPr>
          <w:rFonts w:ascii="Arial" w:hAnsi="Arial" w:cs="Arial"/>
          <w:sz w:val="22"/>
          <w:szCs w:val="22"/>
        </w:rPr>
        <w:t>i valori più bassi</w:t>
      </w:r>
      <w:r w:rsidR="003F4934" w:rsidRPr="002F5A80">
        <w:rPr>
          <w:rFonts w:ascii="Arial" w:hAnsi="Arial" w:cs="Arial"/>
          <w:sz w:val="22"/>
          <w:szCs w:val="22"/>
        </w:rPr>
        <w:t>.</w:t>
      </w:r>
    </w:p>
    <w:p w14:paraId="0D0B8A0D" w14:textId="77777777" w:rsidR="00825867" w:rsidRPr="00696F4E" w:rsidRDefault="00825867" w:rsidP="00790F2D">
      <w:pPr>
        <w:autoSpaceDE w:val="0"/>
        <w:autoSpaceDN w:val="0"/>
        <w:adjustRightInd w:val="0"/>
        <w:jc w:val="both"/>
        <w:rPr>
          <w:rFonts w:ascii="Arial" w:hAnsi="Arial" w:cs="Arial"/>
          <w:sz w:val="36"/>
          <w:szCs w:val="22"/>
        </w:rPr>
      </w:pPr>
    </w:p>
    <w:p w14:paraId="48287D3F" w14:textId="75834C51" w:rsidR="0036324C" w:rsidRPr="00790F2D" w:rsidRDefault="0036324C" w:rsidP="0036324C">
      <w:pPr>
        <w:keepNext/>
        <w:spacing w:before="120"/>
        <w:rPr>
          <w:rFonts w:ascii="Arial Narrow" w:hAnsi="Arial Narrow"/>
          <w:iCs/>
          <w:noProof/>
          <w:color w:val="1F497D"/>
          <w:sz w:val="22"/>
          <w:szCs w:val="22"/>
        </w:rPr>
      </w:pPr>
      <w:r w:rsidRPr="006B6841">
        <w:rPr>
          <w:rFonts w:ascii="Arial Black" w:hAnsi="Arial Black" w:cs="Arial"/>
          <w:iCs/>
          <w:noProof/>
          <w:color w:val="1F497D" w:themeColor="text2"/>
          <w:sz w:val="22"/>
          <w:szCs w:val="22"/>
        </w:rPr>
        <w:t>FIGURA 1.</w:t>
      </w:r>
      <w:r w:rsidRPr="006B6841">
        <w:rPr>
          <w:rFonts w:ascii="Arial Narrow" w:hAnsi="Arial Narrow" w:cs="Arial"/>
          <w:b/>
          <w:iCs/>
          <w:noProof/>
          <w:color w:val="1F497D" w:themeColor="text2"/>
          <w:sz w:val="22"/>
          <w:szCs w:val="22"/>
        </w:rPr>
        <w:t xml:space="preserve"> </w:t>
      </w:r>
      <w:r w:rsidRPr="00790F2D">
        <w:rPr>
          <w:rFonts w:ascii="Arial Narrow" w:hAnsi="Arial Narrow"/>
          <w:iCs/>
          <w:noProof/>
          <w:color w:val="1F497D"/>
          <w:sz w:val="22"/>
          <w:szCs w:val="22"/>
        </w:rPr>
        <w:t>“</w:t>
      </w:r>
      <w:r w:rsidRPr="00790F2D">
        <w:rPr>
          <w:rFonts w:ascii="Arial Narrow" w:hAnsi="Arial Narrow"/>
          <w:b/>
          <w:iCs/>
          <w:noProof/>
          <w:color w:val="1F497D" w:themeColor="text2"/>
          <w:sz w:val="22"/>
          <w:szCs w:val="22"/>
        </w:rPr>
        <w:t>NET DOMESTIC ENERGY USE” PER SETTORE ECONOMICO E FAMIGLIE.</w:t>
      </w:r>
    </w:p>
    <w:p w14:paraId="5459B1ED" w14:textId="0C3BE5FC" w:rsidR="0036324C" w:rsidRDefault="0036324C" w:rsidP="00790F2D">
      <w:pPr>
        <w:keepNext/>
        <w:tabs>
          <w:tab w:val="left" w:pos="900"/>
        </w:tabs>
        <w:rPr>
          <w:rFonts w:ascii="Arial Narrow" w:hAnsi="Arial Narrow"/>
          <w:iCs/>
          <w:noProof/>
          <w:color w:val="1F497D"/>
          <w:sz w:val="20"/>
        </w:rPr>
      </w:pPr>
      <w:r w:rsidRPr="00790F2D">
        <w:rPr>
          <w:rFonts w:ascii="Arial Narrow" w:hAnsi="Arial Narrow"/>
          <w:iCs/>
          <w:noProof/>
          <w:color w:val="1F497D"/>
          <w:sz w:val="20"/>
        </w:rPr>
        <w:t>Anni 2020-2023, migliaia di terajoule e variazioni percentuali</w:t>
      </w:r>
    </w:p>
    <w:p w14:paraId="70F2A88B" w14:textId="77777777" w:rsidR="004F233A" w:rsidRPr="00696F4E" w:rsidRDefault="004F233A" w:rsidP="00790F2D">
      <w:pPr>
        <w:keepNext/>
        <w:tabs>
          <w:tab w:val="left" w:pos="900"/>
        </w:tabs>
        <w:rPr>
          <w:rFonts w:ascii="Arial Narrow" w:hAnsi="Arial Narrow"/>
          <w:iCs/>
          <w:noProof/>
          <w:color w:val="1F497D"/>
          <w:sz w:val="1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91"/>
        <w:gridCol w:w="146"/>
        <w:gridCol w:w="4885"/>
      </w:tblGrid>
      <w:tr w:rsidR="0036324C" w14:paraId="3A0BAEB2" w14:textId="77777777" w:rsidTr="00790F2D">
        <w:trPr>
          <w:trHeight w:val="3288"/>
        </w:trPr>
        <w:tc>
          <w:tcPr>
            <w:tcW w:w="4853" w:type="dxa"/>
          </w:tcPr>
          <w:p w14:paraId="100BBB59" w14:textId="77777777" w:rsidR="0036324C" w:rsidRDefault="0036324C" w:rsidP="00A40727">
            <w:pPr>
              <w:keepNext/>
              <w:tabs>
                <w:tab w:val="left" w:pos="900"/>
              </w:tabs>
              <w:ind w:left="-72" w:right="-267"/>
              <w:rPr>
                <w:rFonts w:ascii="Arial Narrow" w:hAnsi="Arial Narrow"/>
                <w:iCs/>
                <w:noProof/>
                <w:color w:val="1F497D"/>
              </w:rPr>
            </w:pPr>
            <w:r>
              <w:rPr>
                <w:noProof/>
              </w:rPr>
              <w:drawing>
                <wp:inline distT="0" distB="0" distL="0" distR="0" wp14:anchorId="114A1B96" wp14:editId="04EC325B">
                  <wp:extent cx="3132000" cy="2052000"/>
                  <wp:effectExtent l="0" t="0" r="0" b="0"/>
                  <wp:docPr id="30" name="Grafico 3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146" w:type="dxa"/>
          </w:tcPr>
          <w:p w14:paraId="2D1F0E8A" w14:textId="77777777" w:rsidR="0036324C" w:rsidRDefault="0036324C" w:rsidP="00292C87">
            <w:pPr>
              <w:keepNext/>
              <w:tabs>
                <w:tab w:val="left" w:pos="900"/>
              </w:tabs>
              <w:rPr>
                <w:noProof/>
              </w:rPr>
            </w:pPr>
          </w:p>
        </w:tc>
        <w:tc>
          <w:tcPr>
            <w:tcW w:w="4923" w:type="dxa"/>
          </w:tcPr>
          <w:p w14:paraId="1B7D895E" w14:textId="77777777" w:rsidR="0036324C" w:rsidRPr="008E2BF1" w:rsidRDefault="0036324C" w:rsidP="00292C87">
            <w:pPr>
              <w:keepNext/>
              <w:tabs>
                <w:tab w:val="left" w:pos="900"/>
              </w:tabs>
              <w:ind w:left="-108"/>
              <w:rPr>
                <w:rFonts w:ascii="Arial Narrow" w:hAnsi="Arial Narrow"/>
                <w:iCs/>
                <w:noProof/>
                <w:color w:val="404040" w:themeColor="text1" w:themeTint="BF"/>
              </w:rPr>
            </w:pPr>
            <w:r>
              <w:rPr>
                <w:noProof/>
              </w:rPr>
              <w:drawing>
                <wp:inline distT="0" distB="0" distL="0" distR="0" wp14:anchorId="20CAC4FB" wp14:editId="4A065779">
                  <wp:extent cx="3149647" cy="2051685"/>
                  <wp:effectExtent l="0" t="0" r="0" b="5715"/>
                  <wp:docPr id="32" name="Grafico 3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733995E2" w14:textId="5000F30C" w:rsidR="0036324C" w:rsidRDefault="0036324C" w:rsidP="00940BB0">
      <w:pPr>
        <w:spacing w:after="60"/>
        <w:jc w:val="both"/>
      </w:pPr>
      <w:r w:rsidRPr="008E2BF1">
        <w:rPr>
          <w:rFonts w:ascii="Arial" w:hAnsi="Arial" w:cs="Arial"/>
          <w:sz w:val="14"/>
          <w:szCs w:val="14"/>
        </w:rPr>
        <w:t>Legenda:</w:t>
      </w:r>
      <w:r w:rsidRPr="008E2BF1">
        <w:rPr>
          <w:rFonts w:ascii="Arial" w:hAnsi="Arial" w:cs="Arial"/>
          <w:sz w:val="14"/>
          <w:szCs w:val="14"/>
        </w:rPr>
        <w:tab/>
        <w:t xml:space="preserve">B –Industria estrattiva; C - Attività manifatturiere; D - Fornitura di energia elettrica, gas, vapore e aria condizionata; E - Fornitura di acqua; reti fognarie, trattamento dei rifiuti e risanamento; </w:t>
      </w:r>
      <w:r>
        <w:rPr>
          <w:rFonts w:ascii="Arial" w:hAnsi="Arial" w:cs="Arial"/>
          <w:sz w:val="14"/>
          <w:szCs w:val="14"/>
        </w:rPr>
        <w:t xml:space="preserve">F – Costruzioni; </w:t>
      </w:r>
      <w:r w:rsidRPr="008E2BF1">
        <w:rPr>
          <w:rFonts w:ascii="Arial" w:hAnsi="Arial" w:cs="Arial"/>
          <w:sz w:val="15"/>
          <w:szCs w:val="15"/>
        </w:rPr>
        <w:t>H – Trasporti e magazzinaggio</w:t>
      </w:r>
      <w:r w:rsidRPr="008E2BF1">
        <w:rPr>
          <w:rFonts w:ascii="Arial" w:hAnsi="Arial" w:cs="Arial"/>
          <w:sz w:val="14"/>
          <w:szCs w:val="14"/>
        </w:rPr>
        <w:t>; O - Amministrazione pubblica, difesa; ass</w:t>
      </w:r>
      <w:r>
        <w:rPr>
          <w:rFonts w:ascii="Arial" w:hAnsi="Arial" w:cs="Arial"/>
          <w:sz w:val="14"/>
          <w:szCs w:val="14"/>
        </w:rPr>
        <w:t>icurazione sociale obbligatoria.</w:t>
      </w:r>
      <w:r w:rsidR="00940BB0">
        <w:rPr>
          <w:rFonts w:ascii="Arial" w:hAnsi="Arial" w:cs="Arial"/>
          <w:sz w:val="14"/>
          <w:szCs w:val="14"/>
        </w:rPr>
        <w:t xml:space="preserve"> </w:t>
      </w:r>
      <w:r w:rsidRPr="008E2BF1">
        <w:rPr>
          <w:rFonts w:ascii="Arial" w:hAnsi="Arial" w:cs="Arial"/>
          <w:sz w:val="14"/>
          <w:szCs w:val="14"/>
        </w:rPr>
        <w:t>Fonte: Istat, Conti ambientali - Conti dei flussi fisici di energia</w:t>
      </w:r>
      <w:r>
        <w:br w:type="page"/>
      </w:r>
    </w:p>
    <w:p w14:paraId="40E49EFD" w14:textId="77777777" w:rsidR="00960F94" w:rsidRPr="003B7089" w:rsidRDefault="00960F94" w:rsidP="0036324C">
      <w:pPr>
        <w:jc w:val="both"/>
        <w:rPr>
          <w:rFonts w:ascii="Arial" w:hAnsi="Arial" w:cs="Arial"/>
          <w:sz w:val="22"/>
          <w:szCs w:val="22"/>
        </w:rPr>
      </w:pPr>
    </w:p>
    <w:p w14:paraId="0D8E4A98" w14:textId="77777777" w:rsidR="00960F94" w:rsidRPr="00960F94" w:rsidRDefault="00960F94" w:rsidP="00960F94">
      <w:pPr>
        <w:autoSpaceDE w:val="0"/>
        <w:autoSpaceDN w:val="0"/>
        <w:adjustRightInd w:val="0"/>
        <w:spacing w:after="120"/>
        <w:jc w:val="both"/>
        <w:outlineLvl w:val="1"/>
        <w:rPr>
          <w:rFonts w:ascii="Arial" w:hAnsi="Arial" w:cs="Arial"/>
          <w:bCs/>
          <w:i/>
          <w:color w:val="1F497D"/>
          <w:sz w:val="26"/>
          <w:szCs w:val="26"/>
        </w:rPr>
      </w:pPr>
      <w:r w:rsidRPr="00960F94">
        <w:rPr>
          <w:rFonts w:ascii="Arial" w:hAnsi="Arial" w:cs="Arial"/>
          <w:b/>
          <w:color w:val="1F497D"/>
          <w:sz w:val="26"/>
          <w:szCs w:val="26"/>
        </w:rPr>
        <w:t>Emissioni in atmosfera in calo nel 2023</w:t>
      </w:r>
    </w:p>
    <w:p w14:paraId="40DA8317" w14:textId="7D38455C" w:rsidR="003A1A68" w:rsidRPr="003A1A68" w:rsidRDefault="003A1A68" w:rsidP="003A1A68">
      <w:pPr>
        <w:autoSpaceDE w:val="0"/>
        <w:autoSpaceDN w:val="0"/>
        <w:adjustRightInd w:val="0"/>
        <w:spacing w:after="120"/>
        <w:jc w:val="both"/>
        <w:rPr>
          <w:rFonts w:ascii="Arial" w:hAnsi="Arial" w:cs="Arial"/>
          <w:sz w:val="22"/>
          <w:szCs w:val="22"/>
          <w:highlight w:val="green"/>
          <w:lang w:eastAsia="en-US"/>
        </w:rPr>
      </w:pPr>
      <w:r w:rsidRPr="00C45C01">
        <w:rPr>
          <w:rFonts w:ascii="Arial" w:hAnsi="Arial" w:cs="Arial"/>
          <w:sz w:val="22"/>
          <w:szCs w:val="22"/>
          <w:shd w:val="clear" w:color="auto" w:fill="FFFFFF" w:themeFill="background1"/>
        </w:rPr>
        <w:t>A tre anni</w:t>
      </w:r>
      <w:r w:rsidRPr="003A1A68">
        <w:rPr>
          <w:rFonts w:ascii="Arial" w:hAnsi="Arial" w:cs="Arial"/>
          <w:sz w:val="22"/>
          <w:szCs w:val="22"/>
        </w:rPr>
        <w:t xml:space="preserve"> di distanza dalla crisi pandemica le emissioni di gas climalteranti dell’economia italiana </w:t>
      </w:r>
      <w:r w:rsidR="00CA2999">
        <w:rPr>
          <w:rFonts w:ascii="Arial" w:hAnsi="Arial" w:cs="Arial"/>
          <w:sz w:val="22"/>
          <w:szCs w:val="22"/>
        </w:rPr>
        <w:t>hanno ripreso</w:t>
      </w:r>
      <w:r w:rsidR="00CA2999" w:rsidRPr="003A1A68">
        <w:rPr>
          <w:rFonts w:ascii="Arial" w:hAnsi="Arial" w:cs="Arial"/>
          <w:sz w:val="22"/>
          <w:szCs w:val="22"/>
        </w:rPr>
        <w:t xml:space="preserve"> </w:t>
      </w:r>
      <w:r w:rsidRPr="003A1A68">
        <w:rPr>
          <w:rFonts w:ascii="Arial" w:hAnsi="Arial" w:cs="Arial"/>
          <w:sz w:val="22"/>
          <w:szCs w:val="22"/>
        </w:rPr>
        <w:t xml:space="preserve">a </w:t>
      </w:r>
      <w:r w:rsidR="00E03F37">
        <w:rPr>
          <w:rFonts w:ascii="Arial" w:hAnsi="Arial" w:cs="Arial"/>
          <w:sz w:val="22"/>
          <w:szCs w:val="22"/>
        </w:rPr>
        <w:t>diminuire</w:t>
      </w:r>
      <w:r w:rsidRPr="003A1A68">
        <w:rPr>
          <w:rFonts w:ascii="Arial" w:hAnsi="Arial" w:cs="Arial"/>
          <w:sz w:val="22"/>
          <w:szCs w:val="22"/>
        </w:rPr>
        <w:t>, attestandosi poco sotto i 400 milioni di tonnellate di CO</w:t>
      </w:r>
      <w:r w:rsidRPr="003A1A68">
        <w:rPr>
          <w:rFonts w:ascii="Arial" w:hAnsi="Arial" w:cs="Arial"/>
          <w:sz w:val="14"/>
          <w:szCs w:val="14"/>
        </w:rPr>
        <w:t>2</w:t>
      </w:r>
      <w:r w:rsidRPr="003A1A68">
        <w:rPr>
          <w:rFonts w:ascii="Arial" w:hAnsi="Arial" w:cs="Arial"/>
          <w:sz w:val="22"/>
          <w:szCs w:val="22"/>
        </w:rPr>
        <w:t xml:space="preserve"> equivalente</w:t>
      </w:r>
      <w:r w:rsidR="00E03F37">
        <w:rPr>
          <w:rFonts w:ascii="Arial" w:hAnsi="Arial" w:cs="Arial"/>
          <w:sz w:val="22"/>
          <w:szCs w:val="22"/>
        </w:rPr>
        <w:t xml:space="preserve"> (</w:t>
      </w:r>
      <w:r w:rsidR="00E03F37" w:rsidRPr="003A1A68">
        <w:rPr>
          <w:rFonts w:ascii="Arial" w:hAnsi="Arial" w:cs="Arial"/>
          <w:sz w:val="22"/>
          <w:szCs w:val="22"/>
        </w:rPr>
        <w:t>t.CO</w:t>
      </w:r>
      <w:r w:rsidR="00E03F37" w:rsidRPr="003A1A68">
        <w:rPr>
          <w:rFonts w:ascii="Arial" w:hAnsi="Arial" w:cs="Arial"/>
          <w:sz w:val="22"/>
          <w:szCs w:val="22"/>
          <w:vertAlign w:val="subscript"/>
        </w:rPr>
        <w:t>2</w:t>
      </w:r>
      <w:r w:rsidR="00E03F37" w:rsidRPr="003A1A68">
        <w:rPr>
          <w:rFonts w:ascii="Arial" w:hAnsi="Arial" w:cs="Arial"/>
          <w:sz w:val="22"/>
          <w:szCs w:val="22"/>
        </w:rPr>
        <w:t>eq</w:t>
      </w:r>
      <w:r w:rsidR="00E03F37">
        <w:rPr>
          <w:rFonts w:ascii="Arial" w:hAnsi="Arial" w:cs="Arial"/>
          <w:sz w:val="22"/>
          <w:szCs w:val="22"/>
        </w:rPr>
        <w:t>.)</w:t>
      </w:r>
      <w:r w:rsidRPr="003A1A68">
        <w:rPr>
          <w:rFonts w:ascii="Arial" w:hAnsi="Arial" w:cs="Arial"/>
          <w:sz w:val="22"/>
          <w:szCs w:val="22"/>
        </w:rPr>
        <w:t>.</w:t>
      </w:r>
    </w:p>
    <w:p w14:paraId="19E3E778" w14:textId="467B8EF9" w:rsidR="003A1A68" w:rsidRPr="003A1A68" w:rsidRDefault="003A1A68" w:rsidP="003A1A68">
      <w:pPr>
        <w:autoSpaceDE w:val="0"/>
        <w:autoSpaceDN w:val="0"/>
        <w:adjustRightInd w:val="0"/>
        <w:spacing w:after="120"/>
        <w:jc w:val="both"/>
        <w:rPr>
          <w:rFonts w:ascii="Arial" w:hAnsi="Arial" w:cs="Arial"/>
          <w:sz w:val="22"/>
          <w:szCs w:val="22"/>
        </w:rPr>
      </w:pPr>
      <w:r w:rsidRPr="003A1A68">
        <w:rPr>
          <w:rFonts w:ascii="Arial" w:hAnsi="Arial" w:cs="Arial"/>
          <w:sz w:val="22"/>
          <w:szCs w:val="22"/>
        </w:rPr>
        <w:t xml:space="preserve">La riduzione, stimata per il 2023 pari al 5,3% rispetto all’anno precedente, è </w:t>
      </w:r>
      <w:r w:rsidR="00483043">
        <w:rPr>
          <w:rFonts w:ascii="Arial" w:hAnsi="Arial" w:cs="Arial"/>
          <w:sz w:val="22"/>
          <w:szCs w:val="22"/>
        </w:rPr>
        <w:t>riconducibile</w:t>
      </w:r>
      <w:r w:rsidRPr="003A1A68">
        <w:rPr>
          <w:rFonts w:ascii="Arial" w:hAnsi="Arial" w:cs="Arial"/>
          <w:sz w:val="22"/>
          <w:szCs w:val="22"/>
        </w:rPr>
        <w:t xml:space="preserve"> principalmente all’industria della</w:t>
      </w:r>
      <w:r w:rsidRPr="003A1A68">
        <w:rPr>
          <w:rFonts w:ascii="Arial" w:hAnsi="Arial" w:cs="Arial"/>
          <w:i/>
          <w:sz w:val="22"/>
          <w:szCs w:val="22"/>
        </w:rPr>
        <w:t xml:space="preserve"> </w:t>
      </w:r>
      <w:r w:rsidR="00B62B27" w:rsidRPr="00B62B27">
        <w:rPr>
          <w:rFonts w:ascii="Arial" w:hAnsi="Arial" w:cs="Arial"/>
          <w:sz w:val="22"/>
          <w:szCs w:val="22"/>
        </w:rPr>
        <w:t>F</w:t>
      </w:r>
      <w:r w:rsidRPr="00B62B27">
        <w:rPr>
          <w:rFonts w:ascii="Arial" w:hAnsi="Arial" w:cs="Arial"/>
          <w:sz w:val="22"/>
          <w:szCs w:val="22"/>
        </w:rPr>
        <w:t>ornitura di energia elettrica, gas vapore e aria condizionata</w:t>
      </w:r>
      <w:r w:rsidRPr="003A1A68">
        <w:rPr>
          <w:rFonts w:ascii="Arial" w:hAnsi="Arial" w:cs="Arial"/>
          <w:sz w:val="22"/>
          <w:szCs w:val="22"/>
        </w:rPr>
        <w:t xml:space="preserve">, che </w:t>
      </w:r>
      <w:r w:rsidR="00CA2999">
        <w:rPr>
          <w:rFonts w:ascii="Arial" w:hAnsi="Arial" w:cs="Arial"/>
          <w:sz w:val="22"/>
          <w:szCs w:val="22"/>
        </w:rPr>
        <w:t>ha immesso</w:t>
      </w:r>
      <w:r w:rsidR="00CA2999" w:rsidRPr="003A1A68">
        <w:rPr>
          <w:rFonts w:ascii="Arial" w:hAnsi="Arial" w:cs="Arial"/>
          <w:sz w:val="22"/>
          <w:szCs w:val="22"/>
        </w:rPr>
        <w:t xml:space="preserve"> </w:t>
      </w:r>
      <w:r w:rsidRPr="003A1A68">
        <w:rPr>
          <w:rFonts w:ascii="Arial" w:hAnsi="Arial" w:cs="Arial"/>
          <w:sz w:val="22"/>
          <w:szCs w:val="22"/>
        </w:rPr>
        <w:t xml:space="preserve">in aria il 22,2% in meno di gas climalteranti rispetto al 2022. Tale risultato </w:t>
      </w:r>
      <w:r w:rsidR="00CA2999">
        <w:rPr>
          <w:rFonts w:ascii="Arial" w:hAnsi="Arial" w:cs="Arial"/>
          <w:sz w:val="22"/>
          <w:szCs w:val="22"/>
        </w:rPr>
        <w:t>è stato generato</w:t>
      </w:r>
      <w:r w:rsidRPr="003A1A68">
        <w:rPr>
          <w:rFonts w:ascii="Arial" w:hAnsi="Arial" w:cs="Arial"/>
          <w:sz w:val="22"/>
          <w:szCs w:val="22"/>
        </w:rPr>
        <w:t xml:space="preserve"> </w:t>
      </w:r>
      <w:r w:rsidR="00CA2999">
        <w:rPr>
          <w:rFonts w:ascii="Arial" w:hAnsi="Arial" w:cs="Arial"/>
          <w:sz w:val="22"/>
          <w:szCs w:val="22"/>
        </w:rPr>
        <w:t>d</w:t>
      </w:r>
      <w:r w:rsidRPr="003A1A68">
        <w:rPr>
          <w:rFonts w:ascii="Arial" w:hAnsi="Arial" w:cs="Arial"/>
          <w:sz w:val="22"/>
          <w:szCs w:val="22"/>
        </w:rPr>
        <w:t xml:space="preserve">alla contrazione </w:t>
      </w:r>
      <w:r w:rsidR="00B62B27" w:rsidRPr="003A1A68">
        <w:rPr>
          <w:rFonts w:ascii="Arial" w:hAnsi="Arial" w:cs="Arial"/>
          <w:sz w:val="22"/>
          <w:szCs w:val="22"/>
        </w:rPr>
        <w:t xml:space="preserve">sia </w:t>
      </w:r>
      <w:r w:rsidRPr="003A1A68">
        <w:rPr>
          <w:rFonts w:ascii="Arial" w:hAnsi="Arial" w:cs="Arial"/>
          <w:sz w:val="22"/>
          <w:szCs w:val="22"/>
        </w:rPr>
        <w:t xml:space="preserve">della produzione complessiva di elettricità (-6,9%), </w:t>
      </w:r>
      <w:r w:rsidR="00B62B27">
        <w:rPr>
          <w:rFonts w:ascii="Arial" w:hAnsi="Arial" w:cs="Arial"/>
          <w:sz w:val="22"/>
          <w:szCs w:val="22"/>
        </w:rPr>
        <w:t>sia</w:t>
      </w:r>
      <w:r w:rsidRPr="003A1A68">
        <w:rPr>
          <w:rFonts w:ascii="Arial" w:hAnsi="Arial" w:cs="Arial"/>
          <w:sz w:val="22"/>
          <w:szCs w:val="22"/>
        </w:rPr>
        <w:t xml:space="preserve"> </w:t>
      </w:r>
      <w:r w:rsidR="00B62B27">
        <w:rPr>
          <w:rFonts w:ascii="Arial" w:hAnsi="Arial" w:cs="Arial"/>
          <w:sz w:val="22"/>
          <w:szCs w:val="22"/>
        </w:rPr>
        <w:t>de</w:t>
      </w:r>
      <w:r w:rsidRPr="003A1A68">
        <w:rPr>
          <w:rFonts w:ascii="Arial" w:hAnsi="Arial" w:cs="Arial"/>
          <w:sz w:val="22"/>
          <w:szCs w:val="22"/>
        </w:rPr>
        <w:t>ll’uso, in tale produzione, di combustibili fossili (in particolare gas naturale e carbone), grazie al maggiore ricorso a fonti rinnovabili</w:t>
      </w:r>
      <w:r w:rsidRPr="00B62B27">
        <w:rPr>
          <w:rFonts w:ascii="Arial" w:hAnsi="Arial" w:cs="Arial"/>
          <w:sz w:val="22"/>
          <w:szCs w:val="22"/>
        </w:rPr>
        <w:t xml:space="preserve">. Di particolare rilievo anche la riduzione delle emissioni delle </w:t>
      </w:r>
      <w:r w:rsidR="00B62B27" w:rsidRPr="00B62B27">
        <w:rPr>
          <w:rFonts w:ascii="Arial" w:hAnsi="Arial" w:cs="Arial"/>
          <w:sz w:val="22"/>
          <w:szCs w:val="22"/>
        </w:rPr>
        <w:t>I</w:t>
      </w:r>
      <w:r w:rsidRPr="00B62B27">
        <w:rPr>
          <w:rFonts w:ascii="Arial" w:hAnsi="Arial" w:cs="Arial"/>
          <w:sz w:val="22"/>
          <w:szCs w:val="22"/>
        </w:rPr>
        <w:t xml:space="preserve">ndustrie manifatturiere (-3,8%) e del riscaldamento domestico (-9,3%), attività che, date le quote rilevanti di emissioni che determinano (rispettivamente 21,9% e 10,3% del totale per l’Italia), </w:t>
      </w:r>
      <w:r w:rsidR="00FC7207">
        <w:rPr>
          <w:rFonts w:ascii="Arial" w:hAnsi="Arial" w:cs="Arial"/>
          <w:sz w:val="22"/>
          <w:szCs w:val="22"/>
        </w:rPr>
        <w:t>hanno contribuito</w:t>
      </w:r>
      <w:r w:rsidR="00FC7207" w:rsidRPr="00B62B27">
        <w:rPr>
          <w:rFonts w:ascii="Arial" w:hAnsi="Arial" w:cs="Arial"/>
          <w:sz w:val="22"/>
          <w:szCs w:val="22"/>
        </w:rPr>
        <w:t xml:space="preserve"> </w:t>
      </w:r>
      <w:r w:rsidRPr="00B62B27">
        <w:rPr>
          <w:rFonts w:ascii="Arial" w:hAnsi="Arial" w:cs="Arial"/>
          <w:sz w:val="22"/>
          <w:szCs w:val="22"/>
        </w:rPr>
        <w:t xml:space="preserve">in maniera significativa alla riduzione totale misurata nel 2023. Contrastano questa tendenza favorevole </w:t>
      </w:r>
      <w:r w:rsidR="005B5791">
        <w:rPr>
          <w:rFonts w:ascii="Arial" w:hAnsi="Arial" w:cs="Arial"/>
          <w:sz w:val="22"/>
          <w:szCs w:val="22"/>
        </w:rPr>
        <w:t>le imprese de</w:t>
      </w:r>
      <w:r w:rsidRPr="00B62B27">
        <w:rPr>
          <w:rFonts w:ascii="Arial" w:hAnsi="Arial" w:cs="Arial"/>
          <w:sz w:val="22"/>
          <w:szCs w:val="22"/>
        </w:rPr>
        <w:t>i Trasporti</w:t>
      </w:r>
      <w:r w:rsidR="005B5791">
        <w:rPr>
          <w:rFonts w:ascii="Arial" w:hAnsi="Arial" w:cs="Arial"/>
          <w:sz w:val="22"/>
          <w:szCs w:val="22"/>
        </w:rPr>
        <w:t xml:space="preserve"> (+</w:t>
      </w:r>
      <w:r w:rsidRPr="00B62B27">
        <w:rPr>
          <w:rFonts w:ascii="Arial" w:hAnsi="Arial" w:cs="Arial"/>
          <w:sz w:val="22"/>
          <w:szCs w:val="22"/>
        </w:rPr>
        <w:t>9,1%</w:t>
      </w:r>
      <w:r w:rsidR="005B5791">
        <w:rPr>
          <w:rFonts w:ascii="Arial" w:hAnsi="Arial" w:cs="Arial"/>
          <w:sz w:val="22"/>
          <w:szCs w:val="22"/>
        </w:rPr>
        <w:t>)</w:t>
      </w:r>
      <w:r w:rsidRPr="00B62B27">
        <w:rPr>
          <w:rFonts w:ascii="Arial" w:hAnsi="Arial" w:cs="Arial"/>
          <w:sz w:val="22"/>
          <w:szCs w:val="22"/>
        </w:rPr>
        <w:t>.</w:t>
      </w:r>
    </w:p>
    <w:p w14:paraId="57339F77" w14:textId="6B08C637" w:rsidR="003A1A68" w:rsidRPr="003A1A68" w:rsidRDefault="003A1A68" w:rsidP="003A1A68">
      <w:pPr>
        <w:autoSpaceDE w:val="0"/>
        <w:autoSpaceDN w:val="0"/>
        <w:adjustRightInd w:val="0"/>
        <w:spacing w:after="120"/>
        <w:jc w:val="both"/>
        <w:rPr>
          <w:rFonts w:ascii="Arial" w:hAnsi="Arial" w:cs="Arial"/>
          <w:sz w:val="22"/>
          <w:szCs w:val="22"/>
        </w:rPr>
      </w:pPr>
      <w:r w:rsidRPr="003A1A68">
        <w:rPr>
          <w:rFonts w:ascii="Arial" w:hAnsi="Arial" w:cs="Arial"/>
          <w:sz w:val="22"/>
          <w:szCs w:val="22"/>
        </w:rPr>
        <w:t xml:space="preserve">L’intensità di emissione </w:t>
      </w:r>
      <w:r w:rsidR="001E5AED">
        <w:rPr>
          <w:rFonts w:ascii="Arial" w:hAnsi="Arial" w:cs="Arial"/>
          <w:sz w:val="22"/>
          <w:szCs w:val="22"/>
        </w:rPr>
        <w:t xml:space="preserve">rispetto al </w:t>
      </w:r>
      <w:r w:rsidR="00FC7207" w:rsidRPr="003A1A68">
        <w:rPr>
          <w:rFonts w:ascii="Arial" w:hAnsi="Arial" w:cs="Arial"/>
          <w:sz w:val="22"/>
          <w:szCs w:val="22"/>
        </w:rPr>
        <w:t>P</w:t>
      </w:r>
      <w:r w:rsidR="00FC7207">
        <w:rPr>
          <w:rFonts w:ascii="Arial" w:hAnsi="Arial" w:cs="Arial"/>
          <w:sz w:val="22"/>
          <w:szCs w:val="22"/>
        </w:rPr>
        <w:t>il</w:t>
      </w:r>
      <w:r w:rsidR="00FC7207" w:rsidRPr="003A1A68">
        <w:rPr>
          <w:rFonts w:ascii="Arial" w:hAnsi="Arial" w:cs="Arial"/>
          <w:sz w:val="22"/>
          <w:szCs w:val="22"/>
        </w:rPr>
        <w:t xml:space="preserve"> </w:t>
      </w:r>
      <w:r w:rsidR="00FC7207">
        <w:rPr>
          <w:rFonts w:ascii="Arial" w:hAnsi="Arial" w:cs="Arial"/>
          <w:sz w:val="22"/>
          <w:szCs w:val="22"/>
        </w:rPr>
        <w:t xml:space="preserve">ha </w:t>
      </w:r>
      <w:r w:rsidRPr="003A1A68">
        <w:rPr>
          <w:rFonts w:ascii="Arial" w:hAnsi="Arial" w:cs="Arial"/>
          <w:sz w:val="22"/>
          <w:szCs w:val="22"/>
        </w:rPr>
        <w:t>continua</w:t>
      </w:r>
      <w:r w:rsidR="00FC7207">
        <w:rPr>
          <w:rFonts w:ascii="Arial" w:hAnsi="Arial" w:cs="Arial"/>
          <w:sz w:val="22"/>
          <w:szCs w:val="22"/>
        </w:rPr>
        <w:t>to</w:t>
      </w:r>
      <w:r w:rsidRPr="003A1A68">
        <w:rPr>
          <w:rFonts w:ascii="Arial" w:hAnsi="Arial" w:cs="Arial"/>
          <w:sz w:val="22"/>
          <w:szCs w:val="22"/>
        </w:rPr>
        <w:t xml:space="preserve"> a d</w:t>
      </w:r>
      <w:r w:rsidR="0036324C">
        <w:rPr>
          <w:rFonts w:ascii="Arial" w:hAnsi="Arial" w:cs="Arial"/>
          <w:sz w:val="22"/>
          <w:szCs w:val="22"/>
        </w:rPr>
        <w:t>iminuire, raggiungendo le 208,3</w:t>
      </w:r>
      <w:r w:rsidRPr="003A1A68">
        <w:rPr>
          <w:rFonts w:ascii="Arial" w:hAnsi="Arial" w:cs="Arial"/>
          <w:sz w:val="22"/>
          <w:szCs w:val="22"/>
        </w:rPr>
        <w:t xml:space="preserve"> </w:t>
      </w:r>
      <w:r w:rsidR="00E03F37">
        <w:rPr>
          <w:rFonts w:ascii="Arial" w:hAnsi="Arial" w:cs="Arial"/>
          <w:sz w:val="22"/>
          <w:szCs w:val="22"/>
        </w:rPr>
        <w:t>t.CO</w:t>
      </w:r>
      <w:r w:rsidR="00E03F37" w:rsidRPr="00711EAA">
        <w:rPr>
          <w:rFonts w:ascii="Arial" w:hAnsi="Arial" w:cs="Arial"/>
          <w:sz w:val="22"/>
          <w:szCs w:val="22"/>
          <w:vertAlign w:val="subscript"/>
        </w:rPr>
        <w:t>2</w:t>
      </w:r>
      <w:r w:rsidR="00E03F37">
        <w:rPr>
          <w:rFonts w:ascii="Arial" w:hAnsi="Arial" w:cs="Arial"/>
          <w:sz w:val="22"/>
          <w:szCs w:val="22"/>
        </w:rPr>
        <w:t>eq</w:t>
      </w:r>
      <w:r w:rsidR="00B62B27">
        <w:rPr>
          <w:rFonts w:ascii="Arial" w:hAnsi="Arial" w:cs="Arial"/>
          <w:sz w:val="22"/>
          <w:szCs w:val="22"/>
        </w:rPr>
        <w:t xml:space="preserve">. </w:t>
      </w:r>
      <w:r w:rsidR="00B62B27" w:rsidRPr="003A1A68">
        <w:rPr>
          <w:rFonts w:ascii="Arial" w:hAnsi="Arial" w:cs="Arial"/>
          <w:sz w:val="22"/>
          <w:szCs w:val="22"/>
        </w:rPr>
        <w:t xml:space="preserve">per </w:t>
      </w:r>
      <w:r w:rsidR="00B62B27">
        <w:rPr>
          <w:rFonts w:ascii="Arial" w:hAnsi="Arial" w:cs="Arial"/>
          <w:sz w:val="22"/>
          <w:szCs w:val="22"/>
        </w:rPr>
        <w:t>milione di euro (</w:t>
      </w:r>
      <w:r w:rsidR="00B62B27" w:rsidRPr="003A1A68">
        <w:rPr>
          <w:rFonts w:ascii="Arial" w:hAnsi="Arial" w:cs="Arial"/>
          <w:sz w:val="22"/>
          <w:szCs w:val="22"/>
        </w:rPr>
        <w:t>M€</w:t>
      </w:r>
      <w:r w:rsidR="00B62B27">
        <w:rPr>
          <w:rFonts w:ascii="Arial" w:hAnsi="Arial" w:cs="Arial"/>
          <w:sz w:val="22"/>
          <w:szCs w:val="22"/>
        </w:rPr>
        <w:t>)</w:t>
      </w:r>
      <w:r w:rsidRPr="003A1A68">
        <w:rPr>
          <w:rFonts w:ascii="Arial" w:hAnsi="Arial" w:cs="Arial"/>
          <w:sz w:val="22"/>
          <w:szCs w:val="22"/>
        </w:rPr>
        <w:t xml:space="preserve">, contro le 221,6 </w:t>
      </w:r>
      <w:r w:rsidR="0023098C">
        <w:rPr>
          <w:rFonts w:ascii="Arial" w:hAnsi="Arial" w:cs="Arial"/>
          <w:sz w:val="22"/>
          <w:szCs w:val="22"/>
        </w:rPr>
        <w:t>t.CO</w:t>
      </w:r>
      <w:r w:rsidR="0023098C" w:rsidRPr="00A504B1">
        <w:rPr>
          <w:rFonts w:ascii="Arial" w:hAnsi="Arial" w:cs="Arial"/>
          <w:sz w:val="22"/>
          <w:szCs w:val="22"/>
          <w:vertAlign w:val="subscript"/>
        </w:rPr>
        <w:t>2</w:t>
      </w:r>
      <w:r w:rsidR="0023098C">
        <w:rPr>
          <w:rFonts w:ascii="Arial" w:hAnsi="Arial" w:cs="Arial"/>
          <w:sz w:val="22"/>
          <w:szCs w:val="22"/>
        </w:rPr>
        <w:t xml:space="preserve">eq. </w:t>
      </w:r>
      <w:r w:rsidRPr="003A1A68">
        <w:rPr>
          <w:rFonts w:ascii="Arial" w:hAnsi="Arial" w:cs="Arial"/>
          <w:sz w:val="22"/>
          <w:szCs w:val="22"/>
        </w:rPr>
        <w:t xml:space="preserve">del 2022. Anche questo indicatore </w:t>
      </w:r>
      <w:r w:rsidR="00FC7207">
        <w:rPr>
          <w:rFonts w:ascii="Arial" w:hAnsi="Arial" w:cs="Arial"/>
          <w:sz w:val="22"/>
          <w:szCs w:val="22"/>
        </w:rPr>
        <w:t xml:space="preserve">ha </w:t>
      </w:r>
      <w:r w:rsidRPr="003A1A68">
        <w:rPr>
          <w:rFonts w:ascii="Arial" w:hAnsi="Arial" w:cs="Arial"/>
          <w:sz w:val="22"/>
          <w:szCs w:val="22"/>
        </w:rPr>
        <w:t>conferma</w:t>
      </w:r>
      <w:r w:rsidR="00FC7207">
        <w:rPr>
          <w:rFonts w:ascii="Arial" w:hAnsi="Arial" w:cs="Arial"/>
          <w:sz w:val="22"/>
          <w:szCs w:val="22"/>
        </w:rPr>
        <w:t>to</w:t>
      </w:r>
      <w:r w:rsidRPr="003A1A68">
        <w:rPr>
          <w:rFonts w:ascii="Arial" w:hAnsi="Arial" w:cs="Arial"/>
          <w:sz w:val="22"/>
          <w:szCs w:val="22"/>
        </w:rPr>
        <w:t xml:space="preserve"> il contributo negativo </w:t>
      </w:r>
      <w:r w:rsidR="00FC7207">
        <w:rPr>
          <w:rFonts w:ascii="Arial" w:hAnsi="Arial" w:cs="Arial"/>
          <w:sz w:val="22"/>
          <w:szCs w:val="22"/>
        </w:rPr>
        <w:t>del</w:t>
      </w:r>
      <w:r w:rsidR="005B5791">
        <w:rPr>
          <w:rFonts w:ascii="Arial" w:hAnsi="Arial" w:cs="Arial"/>
          <w:sz w:val="22"/>
          <w:szCs w:val="22"/>
        </w:rPr>
        <w:t xml:space="preserve">le imprese </w:t>
      </w:r>
      <w:r w:rsidRPr="003A1A68">
        <w:rPr>
          <w:rFonts w:ascii="Arial" w:hAnsi="Arial" w:cs="Arial"/>
          <w:sz w:val="22"/>
          <w:szCs w:val="22"/>
        </w:rPr>
        <w:t xml:space="preserve">dei </w:t>
      </w:r>
      <w:r w:rsidRPr="00B62B27">
        <w:rPr>
          <w:rFonts w:ascii="Arial" w:hAnsi="Arial" w:cs="Arial"/>
          <w:sz w:val="22"/>
          <w:szCs w:val="22"/>
        </w:rPr>
        <w:t>Trasporti,</w:t>
      </w:r>
      <w:r w:rsidRPr="003A1A68">
        <w:rPr>
          <w:rFonts w:ascii="Arial" w:hAnsi="Arial" w:cs="Arial"/>
          <w:sz w:val="22"/>
          <w:szCs w:val="22"/>
        </w:rPr>
        <w:t xml:space="preserve"> con un incremento dell’11</w:t>
      </w:r>
      <w:r w:rsidR="00711EAA">
        <w:rPr>
          <w:rFonts w:ascii="Arial" w:hAnsi="Arial" w:cs="Arial"/>
          <w:sz w:val="22"/>
          <w:szCs w:val="22"/>
        </w:rPr>
        <w:t>,6</w:t>
      </w:r>
      <w:r w:rsidRPr="003A1A68">
        <w:rPr>
          <w:rFonts w:ascii="Arial" w:hAnsi="Arial" w:cs="Arial"/>
          <w:sz w:val="22"/>
          <w:szCs w:val="22"/>
        </w:rPr>
        <w:t>% delle emissioni per M€ di valore aggiunto.</w:t>
      </w:r>
    </w:p>
    <w:p w14:paraId="72796CE6" w14:textId="05AF4F02" w:rsidR="003A1A68" w:rsidRPr="003A1A68" w:rsidRDefault="003A1A68" w:rsidP="003A1A68">
      <w:pPr>
        <w:autoSpaceDE w:val="0"/>
        <w:autoSpaceDN w:val="0"/>
        <w:adjustRightInd w:val="0"/>
        <w:spacing w:after="120"/>
        <w:jc w:val="both"/>
        <w:rPr>
          <w:rFonts w:ascii="Arial" w:hAnsi="Arial" w:cs="Arial"/>
          <w:sz w:val="22"/>
          <w:szCs w:val="22"/>
        </w:rPr>
      </w:pPr>
      <w:r w:rsidRPr="00B62B27">
        <w:rPr>
          <w:rFonts w:ascii="Arial" w:hAnsi="Arial" w:cs="Arial"/>
          <w:sz w:val="22"/>
          <w:szCs w:val="22"/>
        </w:rPr>
        <w:t>Anche l’</w:t>
      </w:r>
      <w:r w:rsidRPr="00B62B27">
        <w:rPr>
          <w:rFonts w:ascii="Arial" w:hAnsi="Arial" w:cs="Arial"/>
          <w:iCs/>
          <w:sz w:val="22"/>
          <w:szCs w:val="22"/>
        </w:rPr>
        <w:t>intensità di emissione di CO</w:t>
      </w:r>
      <w:r w:rsidRPr="00B62B27">
        <w:rPr>
          <w:rFonts w:ascii="Arial" w:hAnsi="Arial" w:cs="Arial"/>
          <w:iCs/>
          <w:sz w:val="14"/>
          <w:szCs w:val="14"/>
        </w:rPr>
        <w:t xml:space="preserve">2 </w:t>
      </w:r>
      <w:r w:rsidRPr="00B62B27">
        <w:rPr>
          <w:rFonts w:ascii="Arial" w:hAnsi="Arial" w:cs="Arial"/>
          <w:iCs/>
          <w:sz w:val="22"/>
          <w:szCs w:val="22"/>
        </w:rPr>
        <w:t xml:space="preserve">dei consumi energetici </w:t>
      </w:r>
      <w:r w:rsidRPr="00B62B27">
        <w:rPr>
          <w:rFonts w:ascii="Arial" w:hAnsi="Arial" w:cs="Arial"/>
          <w:sz w:val="22"/>
          <w:szCs w:val="22"/>
        </w:rPr>
        <w:t>(calcolata come rapporto tra le emissioni di CO</w:t>
      </w:r>
      <w:r w:rsidRPr="00B62B27">
        <w:rPr>
          <w:rFonts w:ascii="Arial" w:hAnsi="Arial" w:cs="Arial"/>
          <w:sz w:val="14"/>
          <w:szCs w:val="14"/>
        </w:rPr>
        <w:t xml:space="preserve">2 </w:t>
      </w:r>
      <w:r w:rsidRPr="00B62B27">
        <w:rPr>
          <w:rFonts w:ascii="Arial" w:hAnsi="Arial" w:cs="Arial"/>
          <w:sz w:val="22"/>
          <w:szCs w:val="22"/>
        </w:rPr>
        <w:t xml:space="preserve">e </w:t>
      </w:r>
      <w:r w:rsidR="00BB3348">
        <w:rPr>
          <w:rFonts w:ascii="Arial" w:hAnsi="Arial" w:cs="Arial"/>
          <w:sz w:val="22"/>
          <w:szCs w:val="22"/>
        </w:rPr>
        <w:t>il</w:t>
      </w:r>
      <w:r w:rsidR="00BB3348" w:rsidRPr="00B62B27">
        <w:rPr>
          <w:rFonts w:ascii="Arial" w:hAnsi="Arial" w:cs="Arial"/>
          <w:sz w:val="22"/>
          <w:szCs w:val="22"/>
        </w:rPr>
        <w:t xml:space="preserve"> </w:t>
      </w:r>
      <w:r w:rsidR="00292C87" w:rsidRPr="00A027C8">
        <w:rPr>
          <w:rFonts w:ascii="Arial" w:hAnsi="Arial" w:cs="Arial"/>
          <w:i/>
          <w:sz w:val="22"/>
          <w:szCs w:val="22"/>
        </w:rPr>
        <w:t>Ndeu</w:t>
      </w:r>
      <w:r w:rsidR="00292C87" w:rsidRPr="00B62B27">
        <w:rPr>
          <w:rFonts w:ascii="Arial" w:hAnsi="Arial" w:cs="Arial"/>
          <w:sz w:val="22"/>
          <w:szCs w:val="22"/>
        </w:rPr>
        <w:t xml:space="preserve"> – Consumo di </w:t>
      </w:r>
      <w:r w:rsidR="00B62B27">
        <w:rPr>
          <w:rFonts w:ascii="Arial" w:hAnsi="Arial" w:cs="Arial"/>
          <w:sz w:val="22"/>
          <w:szCs w:val="22"/>
        </w:rPr>
        <w:t>e</w:t>
      </w:r>
      <w:r w:rsidR="00292C87" w:rsidRPr="00B62B27">
        <w:rPr>
          <w:rFonts w:ascii="Arial" w:hAnsi="Arial" w:cs="Arial"/>
          <w:sz w:val="22"/>
          <w:szCs w:val="22"/>
        </w:rPr>
        <w:t xml:space="preserve">nergia delle unità residenti – </w:t>
      </w:r>
      <w:r w:rsidRPr="00B62B27">
        <w:rPr>
          <w:rFonts w:ascii="Arial" w:hAnsi="Arial" w:cs="Arial"/>
          <w:sz w:val="22"/>
          <w:szCs w:val="22"/>
        </w:rPr>
        <w:t>a fini e</w:t>
      </w:r>
      <w:r w:rsidR="00B62B27">
        <w:rPr>
          <w:rFonts w:ascii="Arial" w:hAnsi="Arial" w:cs="Arial"/>
          <w:sz w:val="22"/>
          <w:szCs w:val="22"/>
        </w:rPr>
        <w:t xml:space="preserve">nergetici) nel 2023 si </w:t>
      </w:r>
      <w:r w:rsidR="00FC7207">
        <w:rPr>
          <w:rFonts w:ascii="Arial" w:hAnsi="Arial" w:cs="Arial"/>
          <w:sz w:val="22"/>
          <w:szCs w:val="22"/>
        </w:rPr>
        <w:t xml:space="preserve">è ridotta </w:t>
      </w:r>
      <w:r w:rsidR="00B62B27">
        <w:rPr>
          <w:rFonts w:ascii="Arial" w:hAnsi="Arial" w:cs="Arial"/>
          <w:sz w:val="22"/>
          <w:szCs w:val="22"/>
        </w:rPr>
        <w:t>(</w:t>
      </w:r>
      <w:r w:rsidR="00B62B27">
        <w:rPr>
          <w:rFonts w:ascii="Arial" w:hAnsi="Arial" w:cs="Arial"/>
          <w:sz w:val="22"/>
          <w:szCs w:val="22"/>
        </w:rPr>
        <w:noBreakHyphen/>
      </w:r>
      <w:r w:rsidRPr="00B62B27">
        <w:rPr>
          <w:rFonts w:ascii="Arial" w:hAnsi="Arial" w:cs="Arial"/>
          <w:sz w:val="22"/>
          <w:szCs w:val="22"/>
        </w:rPr>
        <w:t>2,4%)</w:t>
      </w:r>
      <w:r w:rsidR="00FC7207">
        <w:rPr>
          <w:rFonts w:ascii="Arial" w:hAnsi="Arial" w:cs="Arial"/>
          <w:sz w:val="22"/>
          <w:szCs w:val="22"/>
        </w:rPr>
        <w:t>,</w:t>
      </w:r>
      <w:r w:rsidRPr="00B62B27">
        <w:rPr>
          <w:rFonts w:ascii="Arial" w:hAnsi="Arial" w:cs="Arial"/>
          <w:sz w:val="22"/>
          <w:szCs w:val="22"/>
        </w:rPr>
        <w:t xml:space="preserve"> dopo l’inversione di tendenza del 2021 (+2,0%) e </w:t>
      </w:r>
      <w:r w:rsidR="00FC7207">
        <w:rPr>
          <w:rFonts w:ascii="Arial" w:hAnsi="Arial" w:cs="Arial"/>
          <w:sz w:val="22"/>
          <w:szCs w:val="22"/>
        </w:rPr>
        <w:t xml:space="preserve">del </w:t>
      </w:r>
      <w:r w:rsidRPr="00B62B27">
        <w:rPr>
          <w:rFonts w:ascii="Arial" w:hAnsi="Arial" w:cs="Arial"/>
          <w:sz w:val="22"/>
          <w:szCs w:val="22"/>
        </w:rPr>
        <w:t>2022 (+2,7%). L’incremento del 2022, effetto del lieve aumento delle emissioni di CO</w:t>
      </w:r>
      <w:r w:rsidRPr="00B62B27">
        <w:rPr>
          <w:rFonts w:ascii="Arial" w:hAnsi="Arial" w:cs="Arial"/>
          <w:iCs/>
          <w:sz w:val="14"/>
          <w:szCs w:val="14"/>
        </w:rPr>
        <w:t>2</w:t>
      </w:r>
      <w:r w:rsidRPr="00B62B27">
        <w:rPr>
          <w:rFonts w:ascii="Arial" w:hAnsi="Arial" w:cs="Arial"/>
          <w:sz w:val="22"/>
          <w:szCs w:val="22"/>
        </w:rPr>
        <w:t xml:space="preserve"> a fronte di una riduzione dei consumi energetici, è riconducibile soprattutto al cambiamento del mix energetico utilizzato nella produzione di energia elettrica in risposta alla crisi energetica e alla siccità</w:t>
      </w:r>
      <w:r w:rsidRPr="0036324C">
        <w:rPr>
          <w:rFonts w:ascii="Arial" w:hAnsi="Arial" w:cs="Arial"/>
          <w:sz w:val="22"/>
          <w:szCs w:val="22"/>
        </w:rPr>
        <w:t xml:space="preserve"> record nel corso dell’anno. Si </w:t>
      </w:r>
      <w:r w:rsidR="00FC7207">
        <w:rPr>
          <w:rFonts w:ascii="Arial" w:hAnsi="Arial" w:cs="Arial"/>
          <w:sz w:val="22"/>
          <w:szCs w:val="22"/>
        </w:rPr>
        <w:t xml:space="preserve">è </w:t>
      </w:r>
      <w:r w:rsidRPr="0036324C">
        <w:rPr>
          <w:rFonts w:ascii="Arial" w:hAnsi="Arial" w:cs="Arial"/>
          <w:sz w:val="22"/>
          <w:szCs w:val="22"/>
        </w:rPr>
        <w:t>registra</w:t>
      </w:r>
      <w:r w:rsidR="00FC7207">
        <w:rPr>
          <w:rFonts w:ascii="Arial" w:hAnsi="Arial" w:cs="Arial"/>
          <w:sz w:val="22"/>
          <w:szCs w:val="22"/>
        </w:rPr>
        <w:t>to</w:t>
      </w:r>
      <w:r w:rsidRPr="0036324C">
        <w:rPr>
          <w:rFonts w:ascii="Arial" w:hAnsi="Arial" w:cs="Arial"/>
          <w:sz w:val="22"/>
          <w:szCs w:val="22"/>
        </w:rPr>
        <w:t xml:space="preserve"> infatti un forte calo della produzione di energia idroelettrica (-37,4%) in favore di quella termoelettrica tradizionale (+6,5%) e, per quest’ultima, un minor ricorso al gas naturale (-1,8%) in favore di combustibili fossili a più alto contenuto di carbonio, quali carbone, prodotti petroliferi e altri. Nel 2023, invece, la riduzione dell’indicatore è </w:t>
      </w:r>
      <w:r w:rsidR="00FC7207">
        <w:rPr>
          <w:rFonts w:ascii="Arial" w:hAnsi="Arial" w:cs="Arial"/>
          <w:sz w:val="22"/>
          <w:szCs w:val="22"/>
        </w:rPr>
        <w:t xml:space="preserve">stata </w:t>
      </w:r>
      <w:r w:rsidRPr="0036324C">
        <w:rPr>
          <w:rFonts w:ascii="Arial" w:hAnsi="Arial" w:cs="Arial"/>
          <w:sz w:val="22"/>
          <w:szCs w:val="22"/>
        </w:rPr>
        <w:t>determinata da un calo delle emissioni di CO</w:t>
      </w:r>
      <w:r w:rsidRPr="0036324C">
        <w:rPr>
          <w:rFonts w:ascii="Arial" w:hAnsi="Arial" w:cs="Arial"/>
          <w:i/>
          <w:iCs/>
          <w:sz w:val="14"/>
          <w:szCs w:val="14"/>
        </w:rPr>
        <w:t>2</w:t>
      </w:r>
      <w:r w:rsidRPr="0036324C">
        <w:rPr>
          <w:rFonts w:ascii="Arial" w:hAnsi="Arial" w:cs="Arial"/>
          <w:sz w:val="22"/>
          <w:szCs w:val="22"/>
        </w:rPr>
        <w:t xml:space="preserve"> più marcato rispetto a quello dei consumi energetici. Questa dinamica è</w:t>
      </w:r>
      <w:r w:rsidRPr="003A1A68">
        <w:rPr>
          <w:rFonts w:ascii="Arial" w:hAnsi="Arial" w:cs="Arial"/>
          <w:sz w:val="22"/>
          <w:szCs w:val="22"/>
        </w:rPr>
        <w:t xml:space="preserve"> frutto, oltre che della riduzione della produzione di elettricità (</w:t>
      </w:r>
      <w:r w:rsidR="00842C3B">
        <w:rPr>
          <w:rFonts w:ascii="Arial" w:hAnsi="Arial" w:cs="Arial"/>
          <w:sz w:val="22"/>
          <w:szCs w:val="22"/>
        </w:rPr>
        <w:noBreakHyphen/>
      </w:r>
      <w:r w:rsidRPr="003A1A68">
        <w:rPr>
          <w:rFonts w:ascii="Arial" w:hAnsi="Arial" w:cs="Arial"/>
          <w:sz w:val="22"/>
          <w:szCs w:val="22"/>
        </w:rPr>
        <w:t xml:space="preserve">6,9%), </w:t>
      </w:r>
      <w:r w:rsidR="00F64236" w:rsidRPr="00F64236">
        <w:rPr>
          <w:rFonts w:ascii="Arial" w:hAnsi="Arial" w:cs="Arial"/>
          <w:sz w:val="22"/>
          <w:szCs w:val="22"/>
        </w:rPr>
        <w:t>parzialmente compensata da un aumento delle importazioni nette (+19,2%)</w:t>
      </w:r>
      <w:r w:rsidR="00F64236">
        <w:rPr>
          <w:rFonts w:ascii="Arial" w:hAnsi="Arial" w:cs="Arial"/>
          <w:sz w:val="22"/>
          <w:szCs w:val="22"/>
        </w:rPr>
        <w:t xml:space="preserve">, </w:t>
      </w:r>
      <w:r w:rsidRPr="003A1A68">
        <w:rPr>
          <w:rFonts w:ascii="Arial" w:hAnsi="Arial" w:cs="Arial"/>
          <w:sz w:val="22"/>
          <w:szCs w:val="22"/>
        </w:rPr>
        <w:t>del minore ricorso a combustibili fossili per la sua produzione (-19,3% in c</w:t>
      </w:r>
      <w:r w:rsidR="0036324C">
        <w:rPr>
          <w:rFonts w:ascii="Arial" w:hAnsi="Arial" w:cs="Arial"/>
          <w:sz w:val="22"/>
          <w:szCs w:val="22"/>
        </w:rPr>
        <w:t>omplesso; gas naturale: -15,8%;</w:t>
      </w:r>
      <w:r w:rsidRPr="003A1A68">
        <w:rPr>
          <w:rFonts w:ascii="Arial" w:hAnsi="Arial" w:cs="Arial"/>
          <w:sz w:val="22"/>
          <w:szCs w:val="22"/>
        </w:rPr>
        <w:t xml:space="preserve"> carbone </w:t>
      </w:r>
      <w:r w:rsidR="00842C3B">
        <w:rPr>
          <w:rFonts w:ascii="Arial" w:hAnsi="Arial" w:cs="Arial"/>
          <w:sz w:val="22"/>
          <w:szCs w:val="22"/>
        </w:rPr>
        <w:noBreakHyphen/>
      </w:r>
      <w:r w:rsidRPr="003A1A68">
        <w:rPr>
          <w:rFonts w:ascii="Arial" w:hAnsi="Arial" w:cs="Arial"/>
          <w:sz w:val="22"/>
          <w:szCs w:val="22"/>
        </w:rPr>
        <w:t>41,6%) in favore delle fonti rinnovabili (+15,6% in complesso, idroelettrico +42,5%).</w:t>
      </w:r>
    </w:p>
    <w:p w14:paraId="1782B7E9" w14:textId="7284EBAE" w:rsidR="00292C87" w:rsidRDefault="003A1A68" w:rsidP="00940BB0">
      <w:pPr>
        <w:autoSpaceDE w:val="0"/>
        <w:autoSpaceDN w:val="0"/>
        <w:adjustRightInd w:val="0"/>
        <w:jc w:val="both"/>
        <w:rPr>
          <w:rFonts w:ascii="Arial" w:hAnsi="Arial" w:cs="Arial"/>
          <w:sz w:val="22"/>
          <w:szCs w:val="22"/>
        </w:rPr>
      </w:pPr>
      <w:r w:rsidRPr="003A1A68">
        <w:rPr>
          <w:rFonts w:ascii="Arial" w:hAnsi="Arial" w:cs="Arial"/>
          <w:sz w:val="22"/>
          <w:szCs w:val="22"/>
        </w:rPr>
        <w:t>Le emissioni climalteranti dell</w:t>
      </w:r>
      <w:r w:rsidR="009A5D48">
        <w:rPr>
          <w:rFonts w:ascii="Arial" w:hAnsi="Arial" w:cs="Arial"/>
          <w:sz w:val="22"/>
          <w:szCs w:val="22"/>
        </w:rPr>
        <w:t>a Ue27</w:t>
      </w:r>
      <w:r w:rsidRPr="003A1A68">
        <w:rPr>
          <w:rFonts w:ascii="Arial" w:hAnsi="Arial" w:cs="Arial"/>
          <w:sz w:val="22"/>
          <w:szCs w:val="22"/>
        </w:rPr>
        <w:t xml:space="preserve"> si </w:t>
      </w:r>
      <w:r w:rsidR="00FC7207">
        <w:rPr>
          <w:rFonts w:ascii="Arial" w:hAnsi="Arial" w:cs="Arial"/>
          <w:sz w:val="22"/>
          <w:szCs w:val="22"/>
        </w:rPr>
        <w:t>sono ridotte</w:t>
      </w:r>
      <w:r w:rsidR="00FC7207" w:rsidRPr="003A1A68">
        <w:rPr>
          <w:rFonts w:ascii="Arial" w:hAnsi="Arial" w:cs="Arial"/>
          <w:sz w:val="22"/>
          <w:szCs w:val="22"/>
        </w:rPr>
        <w:t xml:space="preserve"> </w:t>
      </w:r>
      <w:r w:rsidRPr="003A1A68">
        <w:rPr>
          <w:rFonts w:ascii="Arial" w:hAnsi="Arial" w:cs="Arial"/>
          <w:sz w:val="22"/>
          <w:szCs w:val="22"/>
        </w:rPr>
        <w:t xml:space="preserve">nel 2023 </w:t>
      </w:r>
      <w:r w:rsidR="00D95B80">
        <w:rPr>
          <w:rFonts w:ascii="Arial" w:hAnsi="Arial" w:cs="Arial"/>
          <w:sz w:val="22"/>
          <w:szCs w:val="22"/>
        </w:rPr>
        <w:t>di 238 Mt.</w:t>
      </w:r>
      <w:r w:rsidR="00CD088C">
        <w:rPr>
          <w:rFonts w:ascii="Arial" w:hAnsi="Arial" w:cs="Arial"/>
          <w:sz w:val="22"/>
          <w:szCs w:val="22"/>
        </w:rPr>
        <w:t>CO</w:t>
      </w:r>
      <w:r w:rsidR="00CD088C" w:rsidRPr="001F7FE8">
        <w:rPr>
          <w:rFonts w:ascii="Arial" w:hAnsi="Arial" w:cs="Arial"/>
          <w:iCs/>
          <w:sz w:val="14"/>
          <w:szCs w:val="14"/>
        </w:rPr>
        <w:t>2</w:t>
      </w:r>
      <w:r w:rsidR="00CD088C">
        <w:rPr>
          <w:rFonts w:ascii="Arial" w:hAnsi="Arial" w:cs="Arial"/>
          <w:sz w:val="22"/>
          <w:szCs w:val="22"/>
        </w:rPr>
        <w:t>eq. (-</w:t>
      </w:r>
      <w:r w:rsidRPr="003A1A68">
        <w:rPr>
          <w:rFonts w:ascii="Arial" w:hAnsi="Arial" w:cs="Arial"/>
          <w:sz w:val="22"/>
          <w:szCs w:val="22"/>
        </w:rPr>
        <w:t>6,6%</w:t>
      </w:r>
      <w:r w:rsidR="00CD088C">
        <w:rPr>
          <w:rFonts w:ascii="Arial" w:hAnsi="Arial" w:cs="Arial"/>
          <w:sz w:val="22"/>
          <w:szCs w:val="22"/>
        </w:rPr>
        <w:t>)</w:t>
      </w:r>
      <w:r w:rsidRPr="003A1A68">
        <w:rPr>
          <w:rFonts w:ascii="Arial" w:hAnsi="Arial" w:cs="Arial"/>
          <w:sz w:val="22"/>
          <w:szCs w:val="22"/>
        </w:rPr>
        <w:t xml:space="preserve"> rispetto </w:t>
      </w:r>
      <w:r w:rsidR="00CD088C">
        <w:rPr>
          <w:rFonts w:ascii="Arial" w:hAnsi="Arial" w:cs="Arial"/>
          <w:sz w:val="22"/>
          <w:szCs w:val="22"/>
        </w:rPr>
        <w:t>al 2022</w:t>
      </w:r>
      <w:r w:rsidRPr="003A1A68">
        <w:rPr>
          <w:rFonts w:ascii="Arial" w:hAnsi="Arial" w:cs="Arial"/>
          <w:sz w:val="22"/>
          <w:szCs w:val="22"/>
        </w:rPr>
        <w:t xml:space="preserve">. </w:t>
      </w:r>
      <w:r w:rsidR="00177DA9">
        <w:rPr>
          <w:rFonts w:ascii="Arial" w:hAnsi="Arial" w:cs="Arial"/>
          <w:sz w:val="22"/>
          <w:szCs w:val="22"/>
        </w:rPr>
        <w:t>Contributi importanti</w:t>
      </w:r>
      <w:r w:rsidRPr="003A1A68">
        <w:rPr>
          <w:rFonts w:ascii="Arial" w:hAnsi="Arial" w:cs="Arial"/>
          <w:sz w:val="22"/>
          <w:szCs w:val="22"/>
        </w:rPr>
        <w:t xml:space="preserve"> a</w:t>
      </w:r>
      <w:r w:rsidR="00177DA9">
        <w:rPr>
          <w:rFonts w:ascii="Arial" w:hAnsi="Arial" w:cs="Arial"/>
          <w:sz w:val="22"/>
          <w:szCs w:val="22"/>
        </w:rPr>
        <w:t xml:space="preserve"> tale</w:t>
      </w:r>
      <w:r w:rsidRPr="003A1A68">
        <w:rPr>
          <w:rFonts w:ascii="Arial" w:hAnsi="Arial" w:cs="Arial"/>
          <w:sz w:val="22"/>
          <w:szCs w:val="22"/>
        </w:rPr>
        <w:t xml:space="preserve"> riduzione </w:t>
      </w:r>
      <w:r w:rsidR="00FC7207">
        <w:rPr>
          <w:rFonts w:ascii="Arial" w:hAnsi="Arial" w:cs="Arial"/>
          <w:sz w:val="22"/>
          <w:szCs w:val="22"/>
        </w:rPr>
        <w:t xml:space="preserve">sono stati registrati in </w:t>
      </w:r>
      <w:r w:rsidR="00177DA9" w:rsidRPr="003A1A68">
        <w:rPr>
          <w:rFonts w:ascii="Arial" w:hAnsi="Arial" w:cs="Arial"/>
          <w:sz w:val="22"/>
          <w:szCs w:val="22"/>
        </w:rPr>
        <w:t>Germania (</w:t>
      </w:r>
      <w:r w:rsidR="00FC7207">
        <w:rPr>
          <w:rFonts w:ascii="Arial" w:hAnsi="Arial" w:cs="Arial"/>
          <w:sz w:val="22"/>
          <w:szCs w:val="22"/>
        </w:rPr>
        <w:t xml:space="preserve">con </w:t>
      </w:r>
      <w:r w:rsidR="00177DA9" w:rsidRPr="003A1A68">
        <w:rPr>
          <w:rFonts w:ascii="Arial" w:hAnsi="Arial" w:cs="Arial"/>
          <w:sz w:val="22"/>
          <w:szCs w:val="22"/>
        </w:rPr>
        <w:t xml:space="preserve">emissioni </w:t>
      </w:r>
      <w:r w:rsidR="00FC7207">
        <w:rPr>
          <w:rFonts w:ascii="Arial" w:hAnsi="Arial" w:cs="Arial"/>
          <w:sz w:val="22"/>
          <w:szCs w:val="22"/>
        </w:rPr>
        <w:t>ridotte</w:t>
      </w:r>
      <w:r w:rsidR="00177DA9" w:rsidRPr="003A1A68">
        <w:rPr>
          <w:rFonts w:ascii="Arial" w:hAnsi="Arial" w:cs="Arial"/>
          <w:sz w:val="22"/>
          <w:szCs w:val="22"/>
        </w:rPr>
        <w:t xml:space="preserve"> d</w:t>
      </w:r>
      <w:r w:rsidR="00D95B80">
        <w:rPr>
          <w:rFonts w:ascii="Arial" w:hAnsi="Arial" w:cs="Arial"/>
          <w:sz w:val="22"/>
          <w:szCs w:val="22"/>
        </w:rPr>
        <w:t xml:space="preserve">i </w:t>
      </w:r>
      <w:r w:rsidR="00AC0BC1">
        <w:rPr>
          <w:rFonts w:ascii="Arial" w:hAnsi="Arial" w:cs="Arial"/>
          <w:sz w:val="22"/>
          <w:szCs w:val="22"/>
        </w:rPr>
        <w:br/>
      </w:r>
      <w:r w:rsidR="00D95B80">
        <w:rPr>
          <w:rFonts w:ascii="Arial" w:hAnsi="Arial" w:cs="Arial"/>
          <w:sz w:val="22"/>
          <w:szCs w:val="22"/>
        </w:rPr>
        <w:t>74</w:t>
      </w:r>
      <w:r w:rsidR="00AC0BC1">
        <w:rPr>
          <w:rFonts w:ascii="Arial" w:hAnsi="Arial" w:cs="Arial"/>
          <w:sz w:val="22"/>
          <w:szCs w:val="22"/>
        </w:rPr>
        <w:t xml:space="preserve"> </w:t>
      </w:r>
      <w:r w:rsidR="00D95B80">
        <w:rPr>
          <w:rFonts w:ascii="Arial" w:hAnsi="Arial" w:cs="Arial"/>
          <w:sz w:val="22"/>
          <w:szCs w:val="22"/>
        </w:rPr>
        <w:t>Mt.</w:t>
      </w:r>
      <w:r w:rsidR="001F7FE8">
        <w:rPr>
          <w:rFonts w:ascii="Arial" w:hAnsi="Arial" w:cs="Arial"/>
          <w:sz w:val="22"/>
          <w:szCs w:val="22"/>
        </w:rPr>
        <w:t>CO</w:t>
      </w:r>
      <w:r w:rsidR="001F7FE8" w:rsidRPr="001F7FE8">
        <w:rPr>
          <w:rFonts w:ascii="Arial" w:hAnsi="Arial" w:cs="Arial"/>
          <w:iCs/>
          <w:sz w:val="14"/>
          <w:szCs w:val="14"/>
        </w:rPr>
        <w:t>2</w:t>
      </w:r>
      <w:r w:rsidR="001F7FE8">
        <w:rPr>
          <w:rFonts w:ascii="Arial" w:hAnsi="Arial" w:cs="Arial"/>
          <w:sz w:val="22"/>
          <w:szCs w:val="22"/>
        </w:rPr>
        <w:t xml:space="preserve">eq., pari </w:t>
      </w:r>
      <w:r w:rsidR="00CD088C">
        <w:rPr>
          <w:rFonts w:ascii="Arial" w:hAnsi="Arial" w:cs="Arial"/>
          <w:sz w:val="22"/>
          <w:szCs w:val="22"/>
        </w:rPr>
        <w:t>a</w:t>
      </w:r>
      <w:r w:rsidR="00D95B80">
        <w:rPr>
          <w:rFonts w:ascii="Arial" w:hAnsi="Arial" w:cs="Arial"/>
          <w:sz w:val="22"/>
          <w:szCs w:val="22"/>
        </w:rPr>
        <w:t>l</w:t>
      </w:r>
      <w:r w:rsidR="00CD088C">
        <w:rPr>
          <w:rFonts w:ascii="Arial" w:hAnsi="Arial" w:cs="Arial"/>
          <w:sz w:val="22"/>
          <w:szCs w:val="22"/>
        </w:rPr>
        <w:t xml:space="preserve"> </w:t>
      </w:r>
      <w:r w:rsidR="00177DA9" w:rsidRPr="003A1A68">
        <w:rPr>
          <w:rFonts w:ascii="Arial" w:hAnsi="Arial" w:cs="Arial"/>
          <w:sz w:val="22"/>
          <w:szCs w:val="22"/>
        </w:rPr>
        <w:t>9,3%</w:t>
      </w:r>
      <w:r w:rsidR="001F7FE8">
        <w:rPr>
          <w:rFonts w:ascii="Arial" w:hAnsi="Arial" w:cs="Arial"/>
          <w:sz w:val="22"/>
          <w:szCs w:val="22"/>
        </w:rPr>
        <w:t xml:space="preserve"> delle emissioni nazionali</w:t>
      </w:r>
      <w:r w:rsidR="00825867">
        <w:rPr>
          <w:rFonts w:ascii="Arial" w:hAnsi="Arial" w:cs="Arial"/>
          <w:sz w:val="22"/>
          <w:szCs w:val="22"/>
        </w:rPr>
        <w:t xml:space="preserve"> del 2022</w:t>
      </w:r>
      <w:r w:rsidR="00177DA9" w:rsidRPr="003A1A68">
        <w:rPr>
          <w:rFonts w:ascii="Arial" w:hAnsi="Arial" w:cs="Arial"/>
          <w:sz w:val="22"/>
          <w:szCs w:val="22"/>
        </w:rPr>
        <w:t>)</w:t>
      </w:r>
      <w:r w:rsidR="001F7FE8">
        <w:rPr>
          <w:rFonts w:ascii="Arial" w:hAnsi="Arial" w:cs="Arial"/>
          <w:sz w:val="22"/>
          <w:szCs w:val="22"/>
        </w:rPr>
        <w:t xml:space="preserve"> e</w:t>
      </w:r>
      <w:r w:rsidR="00177DA9">
        <w:rPr>
          <w:rFonts w:ascii="Arial" w:hAnsi="Arial" w:cs="Arial"/>
          <w:sz w:val="22"/>
          <w:szCs w:val="22"/>
        </w:rPr>
        <w:t xml:space="preserve"> </w:t>
      </w:r>
      <w:r w:rsidRPr="003A1A68">
        <w:rPr>
          <w:rFonts w:ascii="Arial" w:hAnsi="Arial" w:cs="Arial"/>
          <w:sz w:val="22"/>
          <w:szCs w:val="22"/>
        </w:rPr>
        <w:t>Polonia (</w:t>
      </w:r>
      <w:r w:rsidR="001F7FE8">
        <w:rPr>
          <w:rFonts w:ascii="Arial" w:hAnsi="Arial" w:cs="Arial"/>
          <w:sz w:val="22"/>
          <w:szCs w:val="22"/>
        </w:rPr>
        <w:t>-26 Mt</w:t>
      </w:r>
      <w:r w:rsidR="00D95B80">
        <w:rPr>
          <w:rFonts w:ascii="Arial" w:hAnsi="Arial" w:cs="Arial"/>
          <w:sz w:val="22"/>
          <w:szCs w:val="22"/>
        </w:rPr>
        <w:t>.</w:t>
      </w:r>
      <w:r w:rsidR="001F7FE8">
        <w:rPr>
          <w:rFonts w:ascii="Arial" w:hAnsi="Arial" w:cs="Arial"/>
          <w:sz w:val="22"/>
          <w:szCs w:val="22"/>
        </w:rPr>
        <w:t>CO</w:t>
      </w:r>
      <w:r w:rsidR="001F7FE8" w:rsidRPr="001F7FE8">
        <w:rPr>
          <w:rFonts w:ascii="Arial" w:hAnsi="Arial" w:cs="Arial"/>
          <w:iCs/>
          <w:sz w:val="14"/>
          <w:szCs w:val="14"/>
        </w:rPr>
        <w:t>2</w:t>
      </w:r>
      <w:r w:rsidR="001F7FE8">
        <w:rPr>
          <w:rFonts w:ascii="Arial" w:hAnsi="Arial" w:cs="Arial"/>
          <w:sz w:val="22"/>
          <w:szCs w:val="22"/>
        </w:rPr>
        <w:t xml:space="preserve">eq.; </w:t>
      </w:r>
      <w:r w:rsidR="00177DA9">
        <w:rPr>
          <w:rFonts w:ascii="Arial" w:hAnsi="Arial" w:cs="Arial"/>
          <w:sz w:val="22"/>
          <w:szCs w:val="22"/>
        </w:rPr>
        <w:t>-</w:t>
      </w:r>
      <w:r w:rsidRPr="003A1A68">
        <w:rPr>
          <w:rFonts w:ascii="Arial" w:hAnsi="Arial" w:cs="Arial"/>
          <w:sz w:val="22"/>
          <w:szCs w:val="22"/>
        </w:rPr>
        <w:t>6,3%),</w:t>
      </w:r>
      <w:r w:rsidR="00177DA9" w:rsidRPr="003A1A68">
        <w:rPr>
          <w:rFonts w:ascii="Arial" w:hAnsi="Arial" w:cs="Arial"/>
          <w:sz w:val="22"/>
          <w:szCs w:val="22"/>
        </w:rPr>
        <w:t xml:space="preserve"> </w:t>
      </w:r>
      <w:r w:rsidR="00177DA9">
        <w:rPr>
          <w:rFonts w:ascii="Arial" w:hAnsi="Arial" w:cs="Arial"/>
          <w:sz w:val="22"/>
          <w:szCs w:val="22"/>
        </w:rPr>
        <w:t xml:space="preserve">oltre che da </w:t>
      </w:r>
      <w:r w:rsidR="00177DA9" w:rsidRPr="003A1A68">
        <w:rPr>
          <w:rFonts w:ascii="Arial" w:hAnsi="Arial" w:cs="Arial"/>
          <w:sz w:val="22"/>
          <w:szCs w:val="22"/>
        </w:rPr>
        <w:t>Francia</w:t>
      </w:r>
      <w:r w:rsidR="00177DA9">
        <w:rPr>
          <w:rFonts w:ascii="Arial" w:hAnsi="Arial" w:cs="Arial"/>
          <w:sz w:val="22"/>
          <w:szCs w:val="22"/>
        </w:rPr>
        <w:t xml:space="preserve"> </w:t>
      </w:r>
      <w:r w:rsidR="001F7FE8" w:rsidRPr="003A1A68">
        <w:rPr>
          <w:rFonts w:ascii="Arial" w:hAnsi="Arial" w:cs="Arial"/>
          <w:sz w:val="22"/>
          <w:szCs w:val="22"/>
        </w:rPr>
        <w:t>(</w:t>
      </w:r>
      <w:r w:rsidR="00D95B80">
        <w:rPr>
          <w:rFonts w:ascii="Arial" w:hAnsi="Arial" w:cs="Arial"/>
          <w:sz w:val="22"/>
          <w:szCs w:val="22"/>
        </w:rPr>
        <w:t>-24 Mt.</w:t>
      </w:r>
      <w:r w:rsidR="001F7FE8">
        <w:rPr>
          <w:rFonts w:ascii="Arial" w:hAnsi="Arial" w:cs="Arial"/>
          <w:sz w:val="22"/>
          <w:szCs w:val="22"/>
        </w:rPr>
        <w:t>CO</w:t>
      </w:r>
      <w:r w:rsidR="001F7FE8" w:rsidRPr="001F7FE8">
        <w:rPr>
          <w:rFonts w:ascii="Arial" w:hAnsi="Arial" w:cs="Arial"/>
          <w:iCs/>
          <w:sz w:val="14"/>
          <w:szCs w:val="14"/>
        </w:rPr>
        <w:t>2</w:t>
      </w:r>
      <w:r w:rsidR="001F7FE8">
        <w:rPr>
          <w:rFonts w:ascii="Arial" w:hAnsi="Arial" w:cs="Arial"/>
          <w:sz w:val="22"/>
          <w:szCs w:val="22"/>
        </w:rPr>
        <w:t>eq</w:t>
      </w:r>
      <w:r w:rsidR="00083E13">
        <w:rPr>
          <w:rFonts w:ascii="Arial" w:hAnsi="Arial" w:cs="Arial"/>
          <w:sz w:val="22"/>
          <w:szCs w:val="22"/>
        </w:rPr>
        <w:t>.</w:t>
      </w:r>
      <w:r w:rsidR="001F7FE8">
        <w:rPr>
          <w:rFonts w:ascii="Arial" w:hAnsi="Arial" w:cs="Arial"/>
          <w:sz w:val="22"/>
          <w:szCs w:val="22"/>
        </w:rPr>
        <w:t>;</w:t>
      </w:r>
      <w:r w:rsidR="00D95B80">
        <w:rPr>
          <w:rFonts w:ascii="Arial" w:hAnsi="Arial" w:cs="Arial"/>
          <w:sz w:val="22"/>
          <w:szCs w:val="22"/>
        </w:rPr>
        <w:t xml:space="preserve"> </w:t>
      </w:r>
      <w:r w:rsidR="00177DA9">
        <w:rPr>
          <w:rFonts w:ascii="Arial" w:hAnsi="Arial" w:cs="Arial"/>
          <w:sz w:val="22"/>
          <w:szCs w:val="22"/>
        </w:rPr>
        <w:t xml:space="preserve">-5,6%), </w:t>
      </w:r>
      <w:r w:rsidR="00177DA9" w:rsidRPr="003A1A68">
        <w:rPr>
          <w:rFonts w:ascii="Arial" w:hAnsi="Arial" w:cs="Arial"/>
          <w:sz w:val="22"/>
          <w:szCs w:val="22"/>
        </w:rPr>
        <w:t>Italia</w:t>
      </w:r>
      <w:r w:rsidR="00177DA9">
        <w:rPr>
          <w:rFonts w:ascii="Arial" w:hAnsi="Arial" w:cs="Arial"/>
          <w:sz w:val="22"/>
          <w:szCs w:val="22"/>
        </w:rPr>
        <w:t xml:space="preserve"> </w:t>
      </w:r>
      <w:r w:rsidR="001F7FE8" w:rsidRPr="003A1A68">
        <w:rPr>
          <w:rFonts w:ascii="Arial" w:hAnsi="Arial" w:cs="Arial"/>
          <w:sz w:val="22"/>
          <w:szCs w:val="22"/>
        </w:rPr>
        <w:t>(</w:t>
      </w:r>
      <w:r w:rsidR="001F7FE8">
        <w:rPr>
          <w:rFonts w:ascii="Arial" w:hAnsi="Arial" w:cs="Arial"/>
          <w:sz w:val="22"/>
          <w:szCs w:val="22"/>
        </w:rPr>
        <w:t>-23 Mt</w:t>
      </w:r>
      <w:r w:rsidR="00D95B80">
        <w:rPr>
          <w:rFonts w:ascii="Arial" w:hAnsi="Arial" w:cs="Arial"/>
          <w:sz w:val="22"/>
          <w:szCs w:val="22"/>
        </w:rPr>
        <w:t>.</w:t>
      </w:r>
      <w:r w:rsidR="001F7FE8">
        <w:rPr>
          <w:rFonts w:ascii="Arial" w:hAnsi="Arial" w:cs="Arial"/>
          <w:sz w:val="22"/>
          <w:szCs w:val="22"/>
        </w:rPr>
        <w:t>CO</w:t>
      </w:r>
      <w:r w:rsidR="001F7FE8" w:rsidRPr="001F7FE8">
        <w:rPr>
          <w:rFonts w:ascii="Arial" w:hAnsi="Arial" w:cs="Arial"/>
          <w:iCs/>
          <w:sz w:val="14"/>
          <w:szCs w:val="14"/>
        </w:rPr>
        <w:t>2</w:t>
      </w:r>
      <w:r w:rsidR="001F7FE8">
        <w:rPr>
          <w:rFonts w:ascii="Arial" w:hAnsi="Arial" w:cs="Arial"/>
          <w:sz w:val="22"/>
          <w:szCs w:val="22"/>
        </w:rPr>
        <w:t xml:space="preserve">eq.; </w:t>
      </w:r>
      <w:r w:rsidR="00177DA9">
        <w:rPr>
          <w:rFonts w:ascii="Arial" w:hAnsi="Arial" w:cs="Arial"/>
          <w:sz w:val="22"/>
          <w:szCs w:val="22"/>
        </w:rPr>
        <w:t>-5,3%)</w:t>
      </w:r>
      <w:r w:rsidR="001F7FE8">
        <w:rPr>
          <w:rFonts w:ascii="Arial" w:hAnsi="Arial" w:cs="Arial"/>
          <w:sz w:val="22"/>
          <w:szCs w:val="22"/>
        </w:rPr>
        <w:t xml:space="preserve"> e</w:t>
      </w:r>
      <w:r w:rsidRPr="003A1A68">
        <w:rPr>
          <w:rFonts w:ascii="Arial" w:hAnsi="Arial" w:cs="Arial"/>
          <w:sz w:val="22"/>
          <w:szCs w:val="22"/>
        </w:rPr>
        <w:t xml:space="preserve"> </w:t>
      </w:r>
      <w:r w:rsidR="001F7FE8">
        <w:rPr>
          <w:rFonts w:ascii="Arial" w:hAnsi="Arial" w:cs="Arial"/>
          <w:sz w:val="22"/>
          <w:szCs w:val="22"/>
        </w:rPr>
        <w:t xml:space="preserve">Spagna </w:t>
      </w:r>
      <w:r w:rsidR="001F7FE8" w:rsidRPr="003A1A68">
        <w:rPr>
          <w:rFonts w:ascii="Arial" w:hAnsi="Arial" w:cs="Arial"/>
          <w:sz w:val="22"/>
          <w:szCs w:val="22"/>
        </w:rPr>
        <w:t>(</w:t>
      </w:r>
      <w:r w:rsidR="001F7FE8">
        <w:rPr>
          <w:rFonts w:ascii="Arial" w:hAnsi="Arial" w:cs="Arial"/>
          <w:sz w:val="22"/>
          <w:szCs w:val="22"/>
        </w:rPr>
        <w:t>-17 Mt</w:t>
      </w:r>
      <w:r w:rsidR="00D95B80">
        <w:rPr>
          <w:rFonts w:ascii="Arial" w:hAnsi="Arial" w:cs="Arial"/>
          <w:sz w:val="22"/>
          <w:szCs w:val="22"/>
        </w:rPr>
        <w:t>.</w:t>
      </w:r>
      <w:r w:rsidR="001F7FE8">
        <w:rPr>
          <w:rFonts w:ascii="Arial" w:hAnsi="Arial" w:cs="Arial"/>
          <w:sz w:val="22"/>
          <w:szCs w:val="22"/>
        </w:rPr>
        <w:t>CO</w:t>
      </w:r>
      <w:r w:rsidR="001F7FE8" w:rsidRPr="001F7FE8">
        <w:rPr>
          <w:rFonts w:ascii="Arial" w:hAnsi="Arial" w:cs="Arial"/>
          <w:iCs/>
          <w:sz w:val="14"/>
          <w:szCs w:val="14"/>
        </w:rPr>
        <w:t>2</w:t>
      </w:r>
      <w:r w:rsidR="001F7FE8">
        <w:rPr>
          <w:rFonts w:ascii="Arial" w:hAnsi="Arial" w:cs="Arial"/>
          <w:sz w:val="22"/>
          <w:szCs w:val="22"/>
        </w:rPr>
        <w:t>eq.;</w:t>
      </w:r>
      <w:r w:rsidR="00BB3348">
        <w:rPr>
          <w:rFonts w:ascii="Arial" w:hAnsi="Arial" w:cs="Arial"/>
          <w:sz w:val="22"/>
          <w:szCs w:val="22"/>
        </w:rPr>
        <w:t xml:space="preserve"> </w:t>
      </w:r>
      <w:r w:rsidR="001F7FE8">
        <w:rPr>
          <w:rFonts w:ascii="Arial" w:hAnsi="Arial" w:cs="Arial"/>
          <w:sz w:val="22"/>
          <w:szCs w:val="22"/>
        </w:rPr>
        <w:t xml:space="preserve">-5,5%). </w:t>
      </w:r>
      <w:r w:rsidR="001F7FE8" w:rsidRPr="001F7FE8">
        <w:rPr>
          <w:rFonts w:ascii="Arial" w:hAnsi="Arial" w:cs="Arial"/>
          <w:sz w:val="22"/>
          <w:szCs w:val="22"/>
        </w:rPr>
        <w:t>La Francia, con 157</w:t>
      </w:r>
      <w:r w:rsidR="00E5140A">
        <w:rPr>
          <w:rFonts w:ascii="Arial" w:hAnsi="Arial" w:cs="Arial"/>
          <w:sz w:val="22"/>
          <w:szCs w:val="22"/>
        </w:rPr>
        <w:t>,2</w:t>
      </w:r>
      <w:r w:rsidR="001F7FE8" w:rsidRPr="001F7FE8">
        <w:rPr>
          <w:rFonts w:ascii="Arial" w:hAnsi="Arial" w:cs="Arial"/>
          <w:sz w:val="22"/>
          <w:szCs w:val="22"/>
        </w:rPr>
        <w:t xml:space="preserve"> t</w:t>
      </w:r>
      <w:r w:rsidR="00D95B80">
        <w:rPr>
          <w:rFonts w:ascii="Arial" w:hAnsi="Arial" w:cs="Arial"/>
          <w:sz w:val="22"/>
          <w:szCs w:val="22"/>
        </w:rPr>
        <w:t>.</w:t>
      </w:r>
      <w:r w:rsidR="00D95B80" w:rsidRPr="003A1A68">
        <w:rPr>
          <w:rFonts w:ascii="Arial" w:hAnsi="Arial" w:cs="Arial"/>
          <w:sz w:val="22"/>
          <w:szCs w:val="22"/>
        </w:rPr>
        <w:t>CO</w:t>
      </w:r>
      <w:r w:rsidR="00D95B80" w:rsidRPr="003A1A68">
        <w:rPr>
          <w:rFonts w:ascii="Arial" w:hAnsi="Arial" w:cs="Arial"/>
          <w:sz w:val="22"/>
          <w:szCs w:val="22"/>
          <w:vertAlign w:val="subscript"/>
        </w:rPr>
        <w:t>2</w:t>
      </w:r>
      <w:r w:rsidR="00D95B80" w:rsidRPr="003A1A68">
        <w:rPr>
          <w:rFonts w:ascii="Arial" w:hAnsi="Arial" w:cs="Arial"/>
          <w:sz w:val="22"/>
          <w:szCs w:val="22"/>
        </w:rPr>
        <w:t>eq</w:t>
      </w:r>
      <w:r w:rsidR="001F7FE8" w:rsidRPr="001F7FE8">
        <w:rPr>
          <w:rFonts w:ascii="Arial" w:hAnsi="Arial" w:cs="Arial"/>
          <w:sz w:val="22"/>
          <w:szCs w:val="22"/>
        </w:rPr>
        <w:t xml:space="preserve">/M€, è </w:t>
      </w:r>
      <w:r w:rsidR="00FC7207">
        <w:rPr>
          <w:rFonts w:ascii="Arial" w:hAnsi="Arial" w:cs="Arial"/>
          <w:sz w:val="22"/>
          <w:szCs w:val="22"/>
        </w:rPr>
        <w:t xml:space="preserve">stata </w:t>
      </w:r>
      <w:r w:rsidR="001F7FE8" w:rsidRPr="001F7FE8">
        <w:rPr>
          <w:rFonts w:ascii="Arial" w:hAnsi="Arial" w:cs="Arial"/>
          <w:sz w:val="22"/>
          <w:szCs w:val="22"/>
        </w:rPr>
        <w:t xml:space="preserve">tra </w:t>
      </w:r>
      <w:r w:rsidR="009005AD">
        <w:rPr>
          <w:rFonts w:ascii="Arial" w:hAnsi="Arial" w:cs="Arial"/>
          <w:sz w:val="22"/>
          <w:szCs w:val="22"/>
        </w:rPr>
        <w:t xml:space="preserve">i </w:t>
      </w:r>
      <w:r w:rsidR="00ED6E64">
        <w:rPr>
          <w:rFonts w:ascii="Arial" w:hAnsi="Arial" w:cs="Arial"/>
          <w:sz w:val="22"/>
          <w:szCs w:val="22"/>
        </w:rPr>
        <w:t xml:space="preserve">Paesi </w:t>
      </w:r>
      <w:r w:rsidR="009005AD">
        <w:rPr>
          <w:rFonts w:ascii="Arial" w:hAnsi="Arial" w:cs="Arial"/>
          <w:sz w:val="22"/>
          <w:szCs w:val="22"/>
        </w:rPr>
        <w:t>considerati</w:t>
      </w:r>
      <w:r w:rsidR="001F7FE8" w:rsidRPr="001F7FE8">
        <w:rPr>
          <w:rFonts w:ascii="Arial" w:hAnsi="Arial" w:cs="Arial"/>
          <w:sz w:val="22"/>
          <w:szCs w:val="22"/>
        </w:rPr>
        <w:t xml:space="preserve"> quella con l’i</w:t>
      </w:r>
      <w:r w:rsidR="001F7FE8">
        <w:rPr>
          <w:rFonts w:ascii="Arial" w:hAnsi="Arial" w:cs="Arial"/>
          <w:sz w:val="22"/>
          <w:szCs w:val="22"/>
        </w:rPr>
        <w:t xml:space="preserve">ntensità di emissione sul </w:t>
      </w:r>
      <w:r w:rsidR="00C80EDE">
        <w:rPr>
          <w:rFonts w:ascii="Arial" w:hAnsi="Arial" w:cs="Arial"/>
          <w:sz w:val="22"/>
          <w:szCs w:val="22"/>
        </w:rPr>
        <w:t xml:space="preserve">Pil </w:t>
      </w:r>
      <w:r w:rsidR="001F7FE8">
        <w:rPr>
          <w:rFonts w:ascii="Arial" w:hAnsi="Arial" w:cs="Arial"/>
          <w:sz w:val="22"/>
          <w:szCs w:val="22"/>
        </w:rPr>
        <w:t xml:space="preserve">più bassa, </w:t>
      </w:r>
      <w:r w:rsidR="00CD088C">
        <w:rPr>
          <w:rFonts w:ascii="Arial" w:hAnsi="Arial" w:cs="Arial"/>
          <w:sz w:val="22"/>
          <w:szCs w:val="22"/>
        </w:rPr>
        <w:t xml:space="preserve">mentre </w:t>
      </w:r>
      <w:r w:rsidR="001F7FE8">
        <w:rPr>
          <w:rFonts w:ascii="Arial" w:hAnsi="Arial" w:cs="Arial"/>
          <w:sz w:val="22"/>
          <w:szCs w:val="22"/>
        </w:rPr>
        <w:t xml:space="preserve">la Polonia </w:t>
      </w:r>
      <w:r w:rsidR="001F7FE8" w:rsidRPr="003A1A68">
        <w:rPr>
          <w:rFonts w:ascii="Arial" w:hAnsi="Arial" w:cs="Arial"/>
          <w:sz w:val="22"/>
          <w:szCs w:val="22"/>
        </w:rPr>
        <w:t>ha</w:t>
      </w:r>
      <w:r w:rsidR="00C80EDE">
        <w:rPr>
          <w:rFonts w:ascii="Arial" w:hAnsi="Arial" w:cs="Arial"/>
          <w:sz w:val="22"/>
          <w:szCs w:val="22"/>
        </w:rPr>
        <w:t xml:space="preserve"> registrato</w:t>
      </w:r>
      <w:r w:rsidR="001F7FE8" w:rsidRPr="003A1A68">
        <w:rPr>
          <w:rFonts w:ascii="Arial" w:hAnsi="Arial" w:cs="Arial"/>
          <w:sz w:val="22"/>
          <w:szCs w:val="22"/>
        </w:rPr>
        <w:t xml:space="preserve"> un’intensità di emissione </w:t>
      </w:r>
      <w:r w:rsidR="00CD088C">
        <w:rPr>
          <w:rFonts w:ascii="Arial" w:hAnsi="Arial" w:cs="Arial"/>
          <w:sz w:val="22"/>
          <w:szCs w:val="22"/>
        </w:rPr>
        <w:t xml:space="preserve">pari a 629,3 </w:t>
      </w:r>
      <w:r w:rsidR="00D95B80">
        <w:rPr>
          <w:rFonts w:ascii="Arial" w:hAnsi="Arial" w:cs="Arial"/>
          <w:sz w:val="22"/>
          <w:szCs w:val="22"/>
        </w:rPr>
        <w:t>t.</w:t>
      </w:r>
      <w:r w:rsidR="00CD088C" w:rsidRPr="003A1A68">
        <w:rPr>
          <w:rFonts w:ascii="Arial" w:hAnsi="Arial" w:cs="Arial"/>
          <w:sz w:val="22"/>
          <w:szCs w:val="22"/>
        </w:rPr>
        <w:t>CO</w:t>
      </w:r>
      <w:r w:rsidR="00D95B80" w:rsidRPr="003A1A68">
        <w:rPr>
          <w:rFonts w:ascii="Arial" w:hAnsi="Arial" w:cs="Arial"/>
          <w:sz w:val="22"/>
          <w:szCs w:val="22"/>
          <w:vertAlign w:val="subscript"/>
        </w:rPr>
        <w:t>2</w:t>
      </w:r>
      <w:proofErr w:type="gramStart"/>
      <w:r w:rsidR="00CD088C">
        <w:rPr>
          <w:rFonts w:ascii="Arial" w:hAnsi="Arial" w:cs="Arial"/>
          <w:sz w:val="22"/>
          <w:szCs w:val="22"/>
        </w:rPr>
        <w:t>eq./</w:t>
      </w:r>
      <w:proofErr w:type="gramEnd"/>
      <w:r w:rsidR="00CD088C">
        <w:rPr>
          <w:rFonts w:ascii="Arial" w:hAnsi="Arial" w:cs="Arial"/>
          <w:sz w:val="22"/>
          <w:szCs w:val="22"/>
        </w:rPr>
        <w:t xml:space="preserve">M€, </w:t>
      </w:r>
      <w:r w:rsidR="001F7FE8" w:rsidRPr="003A1A68">
        <w:rPr>
          <w:rFonts w:ascii="Arial" w:hAnsi="Arial" w:cs="Arial"/>
          <w:sz w:val="22"/>
          <w:szCs w:val="22"/>
        </w:rPr>
        <w:t>molto superiore</w:t>
      </w:r>
      <w:r w:rsidR="001F7FE8">
        <w:rPr>
          <w:rFonts w:ascii="Arial" w:hAnsi="Arial" w:cs="Arial"/>
          <w:sz w:val="22"/>
          <w:szCs w:val="22"/>
        </w:rPr>
        <w:t xml:space="preserve"> a quella media europea (224,2 </w:t>
      </w:r>
      <w:r w:rsidR="00D95B80">
        <w:rPr>
          <w:rFonts w:ascii="Arial" w:hAnsi="Arial" w:cs="Arial"/>
          <w:sz w:val="22"/>
          <w:szCs w:val="22"/>
        </w:rPr>
        <w:t>t.</w:t>
      </w:r>
      <w:r w:rsidR="001F7FE8" w:rsidRPr="003A1A68">
        <w:rPr>
          <w:rFonts w:ascii="Arial" w:hAnsi="Arial" w:cs="Arial"/>
          <w:sz w:val="22"/>
          <w:szCs w:val="22"/>
        </w:rPr>
        <w:t>CO</w:t>
      </w:r>
      <w:r w:rsidR="001F7FE8" w:rsidRPr="003A1A68">
        <w:rPr>
          <w:rFonts w:ascii="Arial" w:hAnsi="Arial" w:cs="Arial"/>
          <w:sz w:val="22"/>
          <w:szCs w:val="22"/>
          <w:vertAlign w:val="subscript"/>
        </w:rPr>
        <w:t>2</w:t>
      </w:r>
      <w:r w:rsidR="001F7FE8" w:rsidRPr="003A1A68">
        <w:rPr>
          <w:rFonts w:ascii="Arial" w:hAnsi="Arial" w:cs="Arial"/>
          <w:sz w:val="22"/>
          <w:szCs w:val="22"/>
        </w:rPr>
        <w:t>eq</w:t>
      </w:r>
      <w:r w:rsidR="00825867">
        <w:rPr>
          <w:rFonts w:ascii="Arial" w:hAnsi="Arial" w:cs="Arial"/>
          <w:sz w:val="22"/>
          <w:szCs w:val="22"/>
        </w:rPr>
        <w:t>.</w:t>
      </w:r>
      <w:r w:rsidR="001F7FE8" w:rsidRPr="003A1A68">
        <w:rPr>
          <w:rFonts w:ascii="Arial" w:hAnsi="Arial" w:cs="Arial"/>
          <w:sz w:val="22"/>
          <w:szCs w:val="22"/>
        </w:rPr>
        <w:t>/M€)</w:t>
      </w:r>
      <w:r w:rsidR="00CD088C">
        <w:rPr>
          <w:rFonts w:ascii="Arial" w:hAnsi="Arial" w:cs="Arial"/>
          <w:sz w:val="22"/>
          <w:szCs w:val="22"/>
        </w:rPr>
        <w:t>.</w:t>
      </w:r>
    </w:p>
    <w:p w14:paraId="75DF4EFD" w14:textId="140D1B8A" w:rsidR="00CD088C" w:rsidRPr="00A027C8" w:rsidRDefault="00CD088C" w:rsidP="00940BB0">
      <w:pPr>
        <w:autoSpaceDE w:val="0"/>
        <w:autoSpaceDN w:val="0"/>
        <w:adjustRightInd w:val="0"/>
        <w:jc w:val="both"/>
        <w:rPr>
          <w:rFonts w:ascii="Arial" w:hAnsi="Arial" w:cs="Arial"/>
          <w:szCs w:val="22"/>
        </w:rPr>
      </w:pPr>
    </w:p>
    <w:p w14:paraId="3411EC1F" w14:textId="297FDEF7" w:rsidR="00960F94" w:rsidRPr="00A027C8" w:rsidRDefault="00276A9E" w:rsidP="00A027C8">
      <w:pPr>
        <w:keepNext/>
        <w:spacing w:after="40"/>
        <w:jc w:val="both"/>
        <w:rPr>
          <w:rFonts w:ascii="Arial Narrow" w:hAnsi="Arial Narrow" w:cs="Arial"/>
          <w:color w:val="1F497D"/>
          <w:sz w:val="20"/>
        </w:rPr>
      </w:pPr>
      <w:r w:rsidRPr="00276A9E">
        <w:rPr>
          <w:rFonts w:ascii="Arial Black" w:hAnsi="Arial Black" w:cs="Arial"/>
          <w:iCs/>
          <w:noProof/>
          <w:color w:val="1F497D" w:themeColor="text2"/>
          <w:sz w:val="22"/>
          <w:szCs w:val="22"/>
        </w:rPr>
        <w:t>FIGURA</w:t>
      </w:r>
      <w:r w:rsidR="00960F94" w:rsidRPr="00A027C8">
        <w:rPr>
          <w:rFonts w:ascii="Arial Black" w:hAnsi="Arial Black" w:cs="Arial"/>
          <w:b/>
          <w:color w:val="1F497D"/>
          <w:sz w:val="22"/>
        </w:rPr>
        <w:t xml:space="preserve"> 2.</w:t>
      </w:r>
      <w:r w:rsidR="00960F94" w:rsidRPr="00A027C8">
        <w:rPr>
          <w:rFonts w:ascii="Arial" w:hAnsi="Arial" w:cs="Arial"/>
          <w:sz w:val="22"/>
        </w:rPr>
        <w:t xml:space="preserve"> </w:t>
      </w:r>
      <w:r w:rsidR="00960F94" w:rsidRPr="00A027C8">
        <w:rPr>
          <w:rFonts w:ascii="Arial Narrow" w:hAnsi="Arial Narrow"/>
          <w:b/>
          <w:iCs/>
          <w:noProof/>
          <w:color w:val="1F497D"/>
          <w:sz w:val="22"/>
        </w:rPr>
        <w:t xml:space="preserve">EMISSIONI CLIMALTERANTI </w:t>
      </w:r>
      <w:r w:rsidR="003A1A68" w:rsidRPr="00A027C8">
        <w:rPr>
          <w:rFonts w:ascii="Arial Narrow" w:hAnsi="Arial Narrow" w:cs="Arial"/>
          <w:b/>
          <w:color w:val="1F497D"/>
          <w:sz w:val="22"/>
        </w:rPr>
        <w:t xml:space="preserve">E INTENSITA’ DI EMISSIONE DEL PIL </w:t>
      </w:r>
      <w:r w:rsidR="003A1A68" w:rsidRPr="00A027C8">
        <w:rPr>
          <w:rFonts w:ascii="Arial Narrow" w:hAnsi="Arial Narrow"/>
          <w:b/>
          <w:iCs/>
          <w:noProof/>
          <w:color w:val="1F497D"/>
          <w:sz w:val="22"/>
        </w:rPr>
        <w:t xml:space="preserve">DELL’ITALIA PER SETTORE ECONOMICO E FAMIGLIE, DELLA </w:t>
      </w:r>
      <w:r w:rsidR="003A1A68" w:rsidRPr="00A027C8">
        <w:rPr>
          <w:rFonts w:ascii="Arial Narrow" w:hAnsi="Arial Narrow" w:cs="Arial"/>
          <w:b/>
          <w:color w:val="1F497D"/>
          <w:sz w:val="22"/>
        </w:rPr>
        <w:t>UE</w:t>
      </w:r>
      <w:r w:rsidR="009A5D48" w:rsidRPr="00A027C8">
        <w:rPr>
          <w:rFonts w:ascii="Arial Narrow" w:hAnsi="Arial Narrow" w:cs="Arial"/>
          <w:b/>
          <w:color w:val="1F497D"/>
          <w:sz w:val="22"/>
        </w:rPr>
        <w:t>27</w:t>
      </w:r>
      <w:r w:rsidR="003A1A68" w:rsidRPr="00A027C8">
        <w:rPr>
          <w:rFonts w:ascii="Arial Narrow" w:hAnsi="Arial Narrow" w:cs="Arial"/>
          <w:b/>
          <w:color w:val="1F497D"/>
          <w:sz w:val="22"/>
        </w:rPr>
        <w:t xml:space="preserve"> E D</w:t>
      </w:r>
      <w:r w:rsidR="00621DF8" w:rsidRPr="00A027C8">
        <w:rPr>
          <w:rFonts w:ascii="Arial Narrow" w:hAnsi="Arial Narrow" w:cs="Arial"/>
          <w:b/>
          <w:color w:val="1F497D"/>
          <w:sz w:val="22"/>
        </w:rPr>
        <w:t>I ALCUNI PAESI</w:t>
      </w:r>
      <w:r w:rsidR="0008204E" w:rsidRPr="00A027C8">
        <w:rPr>
          <w:rFonts w:ascii="Arial Narrow" w:hAnsi="Arial Narrow" w:cs="Arial"/>
          <w:color w:val="1F497D"/>
          <w:sz w:val="22"/>
        </w:rPr>
        <w:t xml:space="preserve">. </w:t>
      </w:r>
      <w:r w:rsidR="00960F94" w:rsidRPr="00A027C8">
        <w:rPr>
          <w:rFonts w:ascii="Arial Narrow" w:hAnsi="Arial Narrow" w:cs="Arial"/>
          <w:color w:val="1F497D"/>
          <w:sz w:val="20"/>
        </w:rPr>
        <w:t>Anni 2022-2023, Mt</w:t>
      </w:r>
      <w:r w:rsidR="00AD0146" w:rsidRPr="00A027C8">
        <w:rPr>
          <w:rFonts w:ascii="Arial Narrow" w:hAnsi="Arial Narrow" w:cs="Arial"/>
          <w:color w:val="1F497D"/>
          <w:sz w:val="20"/>
        </w:rPr>
        <w:t>.</w:t>
      </w:r>
      <w:r w:rsidR="00960F94" w:rsidRPr="00A027C8">
        <w:rPr>
          <w:rFonts w:ascii="Arial Narrow" w:hAnsi="Arial Narrow" w:cs="Arial"/>
          <w:color w:val="1F497D"/>
          <w:sz w:val="20"/>
        </w:rPr>
        <w:t>CO</w:t>
      </w:r>
      <w:r w:rsidR="00960F94" w:rsidRPr="00A027C8">
        <w:rPr>
          <w:rFonts w:ascii="Arial Narrow" w:hAnsi="Arial Narrow" w:cs="Arial"/>
          <w:color w:val="1F497D"/>
          <w:sz w:val="20"/>
          <w:vertAlign w:val="subscript"/>
        </w:rPr>
        <w:t>2</w:t>
      </w:r>
      <w:r w:rsidR="00960F94" w:rsidRPr="00A027C8">
        <w:rPr>
          <w:rFonts w:ascii="Arial Narrow" w:hAnsi="Arial Narrow" w:cs="Arial"/>
          <w:color w:val="1F497D"/>
          <w:sz w:val="20"/>
        </w:rPr>
        <w:t>eq.</w:t>
      </w:r>
      <w:r w:rsidR="003A1A68" w:rsidRPr="00A027C8">
        <w:rPr>
          <w:rFonts w:ascii="Arial Narrow" w:hAnsi="Arial Narrow" w:cs="Arial"/>
          <w:color w:val="1F497D"/>
          <w:sz w:val="20"/>
        </w:rPr>
        <w:t>,</w:t>
      </w:r>
      <w:r w:rsidR="00960F94" w:rsidRPr="00A027C8">
        <w:rPr>
          <w:rFonts w:ascii="Arial Narrow" w:hAnsi="Arial Narrow" w:cs="Arial"/>
          <w:color w:val="1F497D"/>
          <w:sz w:val="20"/>
        </w:rPr>
        <w:t xml:space="preserve"> variazioni percentuali e t./M€ a valori concatenati con anno di riferimento 2020</w:t>
      </w:r>
    </w:p>
    <w:p w14:paraId="2E9C424C" w14:textId="3FB67B38" w:rsidR="00960F94" w:rsidRPr="00960F94" w:rsidRDefault="00960F94" w:rsidP="00673D88">
      <w:pPr>
        <w:autoSpaceDE w:val="0"/>
        <w:autoSpaceDN w:val="0"/>
        <w:adjustRightInd w:val="0"/>
        <w:jc w:val="center"/>
        <w:rPr>
          <w:rFonts w:ascii="Arial" w:hAnsi="Arial" w:cs="Arial"/>
          <w:sz w:val="22"/>
          <w:szCs w:val="22"/>
          <w:highlight w:val="yellow"/>
        </w:rPr>
      </w:pPr>
      <w:r w:rsidRPr="00960F94">
        <w:rPr>
          <w:rFonts w:ascii="Arial" w:hAnsi="Arial" w:cs="Arial"/>
          <w:noProof/>
          <w:sz w:val="22"/>
          <w:szCs w:val="22"/>
        </w:rPr>
        <w:drawing>
          <wp:inline distT="0" distB="0" distL="0" distR="0" wp14:anchorId="7872C692" wp14:editId="377CAC1A">
            <wp:extent cx="2846070" cy="2052000"/>
            <wp:effectExtent l="0" t="0" r="11430" b="5715"/>
            <wp:docPr id="3" name="Grafico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A3FB3" w:rsidRPr="003E34F2">
        <w:rPr>
          <w:rFonts w:ascii="Arial Narrow" w:hAnsi="Arial Narrow"/>
          <w:noProof/>
          <w:sz w:val="16"/>
          <w:szCs w:val="16"/>
        </w:rPr>
        <w:drawing>
          <wp:inline distT="0" distB="0" distL="0" distR="0" wp14:anchorId="1F8F15F3" wp14:editId="335F3DEE">
            <wp:extent cx="3394710" cy="2052000"/>
            <wp:effectExtent l="0" t="0" r="15240" b="5715"/>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A81F3F" w14:textId="7D3471EA" w:rsidR="00960F94" w:rsidRDefault="00960F94" w:rsidP="00940BB0">
      <w:pPr>
        <w:autoSpaceDE w:val="0"/>
        <w:autoSpaceDN w:val="0"/>
        <w:adjustRightInd w:val="0"/>
        <w:rPr>
          <w:rFonts w:ascii="Arial" w:hAnsi="Arial" w:cs="Arial"/>
          <w:sz w:val="15"/>
          <w:szCs w:val="15"/>
        </w:rPr>
      </w:pPr>
      <w:r w:rsidRPr="00960F94">
        <w:rPr>
          <w:rFonts w:ascii="Arial" w:hAnsi="Arial" w:cs="Arial"/>
          <w:sz w:val="15"/>
          <w:szCs w:val="15"/>
        </w:rPr>
        <w:t>Legenda: A – Agricoltura, silvicoltura e pesca; B - Industria estrattiva; C - Attività manifatturiere; D - Fornitura di energia elettrica, gas, vapore e aria condizionata; E - Fornitura di acqua; reti fognarie, trattamento dei rifiuti e risanamento; F – Costruzioni</w:t>
      </w:r>
      <w:r w:rsidR="00940BB0">
        <w:rPr>
          <w:rFonts w:ascii="Arial" w:hAnsi="Arial" w:cs="Arial"/>
          <w:sz w:val="15"/>
          <w:szCs w:val="15"/>
        </w:rPr>
        <w:t xml:space="preserve">; H – Trasporti e magazzinaggio. </w:t>
      </w:r>
      <w:r w:rsidRPr="00960F94">
        <w:rPr>
          <w:rFonts w:ascii="Arial" w:hAnsi="Arial" w:cs="Arial"/>
          <w:sz w:val="15"/>
          <w:szCs w:val="15"/>
        </w:rPr>
        <w:t>Fonte: Istat, Conti ambientali - Conti delle emissioni atmosferiche</w:t>
      </w:r>
      <w:r w:rsidR="00CD088C">
        <w:rPr>
          <w:rFonts w:ascii="Arial" w:hAnsi="Arial" w:cs="Arial"/>
          <w:sz w:val="15"/>
          <w:szCs w:val="15"/>
        </w:rPr>
        <w:t>; Eurostat (elaborazioni Istat)</w:t>
      </w:r>
      <w:r w:rsidRPr="00960F94">
        <w:rPr>
          <w:rFonts w:ascii="Arial" w:hAnsi="Arial" w:cs="Arial"/>
          <w:sz w:val="15"/>
          <w:szCs w:val="15"/>
        </w:rPr>
        <w:t>.</w:t>
      </w:r>
      <w:r>
        <w:rPr>
          <w:rFonts w:ascii="Arial" w:hAnsi="Arial" w:cs="Arial"/>
          <w:sz w:val="15"/>
          <w:szCs w:val="15"/>
        </w:rPr>
        <w:br w:type="page"/>
      </w:r>
    </w:p>
    <w:p w14:paraId="69DC406E" w14:textId="77777777" w:rsidR="00960F94" w:rsidRPr="00960F94" w:rsidRDefault="00960F94" w:rsidP="00960F94">
      <w:pPr>
        <w:autoSpaceDE w:val="0"/>
        <w:autoSpaceDN w:val="0"/>
        <w:adjustRightInd w:val="0"/>
        <w:spacing w:after="120"/>
        <w:jc w:val="both"/>
        <w:rPr>
          <w:rFonts w:ascii="Arial" w:hAnsi="Arial" w:cs="Arial"/>
          <w:sz w:val="22"/>
          <w:szCs w:val="22"/>
        </w:rPr>
      </w:pPr>
    </w:p>
    <w:p w14:paraId="7BBDE71A" w14:textId="7FDEA309" w:rsidR="00CD438E" w:rsidRPr="009E4997" w:rsidRDefault="009E4997" w:rsidP="003B7089">
      <w:pPr>
        <w:pStyle w:val="Titolo2"/>
        <w:rPr>
          <w:rFonts w:ascii="Arial" w:hAnsi="Arial" w:cs="Arial"/>
          <w:b/>
          <w:bCs w:val="0"/>
          <w:i w:val="0"/>
          <w:color w:val="1F497D" w:themeColor="text2"/>
          <w:sz w:val="26"/>
          <w:szCs w:val="26"/>
        </w:rPr>
      </w:pPr>
      <w:r w:rsidRPr="009E4997">
        <w:rPr>
          <w:rFonts w:ascii="Arial" w:hAnsi="Arial" w:cs="Arial"/>
          <w:b/>
          <w:bCs w:val="0"/>
          <w:i w:val="0"/>
          <w:color w:val="1F497D" w:themeColor="text2"/>
          <w:sz w:val="26"/>
          <w:szCs w:val="26"/>
        </w:rPr>
        <w:t>F</w:t>
      </w:r>
      <w:r w:rsidR="00CD438E" w:rsidRPr="009E4997">
        <w:rPr>
          <w:rFonts w:ascii="Arial" w:hAnsi="Arial" w:cs="Arial"/>
          <w:b/>
          <w:bCs w:val="0"/>
          <w:i w:val="0"/>
          <w:color w:val="1F497D" w:themeColor="text2"/>
          <w:sz w:val="26"/>
          <w:szCs w:val="26"/>
        </w:rPr>
        <w:t xml:space="preserve">lussi di materia </w:t>
      </w:r>
      <w:r w:rsidR="00375254">
        <w:rPr>
          <w:rFonts w:ascii="Arial" w:hAnsi="Arial" w:cs="Arial"/>
          <w:b/>
          <w:bCs w:val="0"/>
          <w:i w:val="0"/>
          <w:color w:val="1F497D" w:themeColor="text2"/>
          <w:sz w:val="26"/>
          <w:szCs w:val="26"/>
        </w:rPr>
        <w:t>in aumento nel 2022, in calo nel 2023</w:t>
      </w:r>
      <w:r w:rsidR="009828C5" w:rsidRPr="009E4997">
        <w:rPr>
          <w:rFonts w:ascii="Arial" w:hAnsi="Arial" w:cs="Arial"/>
          <w:b/>
          <w:bCs w:val="0"/>
          <w:i w:val="0"/>
          <w:color w:val="1F497D" w:themeColor="text2"/>
          <w:sz w:val="26"/>
          <w:szCs w:val="26"/>
        </w:rPr>
        <w:t xml:space="preserve"> </w:t>
      </w:r>
    </w:p>
    <w:p w14:paraId="59C54CB0" w14:textId="4F18D33B" w:rsidR="0065677D" w:rsidRPr="009E4997" w:rsidRDefault="0065677D" w:rsidP="0065677D">
      <w:pPr>
        <w:spacing w:after="120"/>
        <w:jc w:val="both"/>
        <w:rPr>
          <w:rFonts w:ascii="Arial" w:hAnsi="Arial" w:cs="Arial"/>
          <w:sz w:val="22"/>
          <w:szCs w:val="22"/>
        </w:rPr>
      </w:pPr>
      <w:r w:rsidRPr="009E4997">
        <w:rPr>
          <w:rFonts w:ascii="Arial" w:hAnsi="Arial" w:cs="Arial"/>
          <w:sz w:val="22"/>
          <w:szCs w:val="22"/>
        </w:rPr>
        <w:t>Nel 2022, il Consumo materiale interno (</w:t>
      </w:r>
      <w:r w:rsidRPr="009E4997">
        <w:rPr>
          <w:rFonts w:ascii="Arial" w:hAnsi="Arial" w:cs="Arial"/>
          <w:i/>
          <w:iCs/>
          <w:sz w:val="22"/>
          <w:szCs w:val="22"/>
        </w:rPr>
        <w:t>Domestic material consumption</w:t>
      </w:r>
      <w:r w:rsidRPr="009E4997">
        <w:rPr>
          <w:rFonts w:ascii="Arial" w:hAnsi="Arial" w:cs="Arial"/>
          <w:sz w:val="22"/>
          <w:szCs w:val="22"/>
        </w:rPr>
        <w:t xml:space="preserve">, </w:t>
      </w:r>
      <w:r w:rsidRPr="00A027C8">
        <w:rPr>
          <w:rFonts w:ascii="Arial" w:hAnsi="Arial" w:cs="Arial"/>
          <w:i/>
          <w:sz w:val="22"/>
          <w:szCs w:val="22"/>
        </w:rPr>
        <w:t>Dmc</w:t>
      </w:r>
      <w:r w:rsidRPr="009E4997">
        <w:rPr>
          <w:rFonts w:ascii="Arial" w:hAnsi="Arial" w:cs="Arial"/>
          <w:sz w:val="22"/>
          <w:szCs w:val="22"/>
        </w:rPr>
        <w:t>) è aumentato del</w:t>
      </w:r>
      <w:r w:rsidR="00AC0BC1">
        <w:rPr>
          <w:rFonts w:ascii="Arial" w:hAnsi="Arial" w:cs="Arial"/>
          <w:sz w:val="22"/>
          <w:szCs w:val="22"/>
        </w:rPr>
        <w:t>l’</w:t>
      </w:r>
      <w:r>
        <w:rPr>
          <w:rFonts w:ascii="Arial" w:hAnsi="Arial" w:cs="Arial"/>
          <w:sz w:val="22"/>
          <w:szCs w:val="22"/>
        </w:rPr>
        <w:t>1,3</w:t>
      </w:r>
      <w:r w:rsidRPr="009E4997">
        <w:rPr>
          <w:rFonts w:ascii="Arial" w:hAnsi="Arial" w:cs="Arial"/>
          <w:sz w:val="22"/>
          <w:szCs w:val="22"/>
        </w:rPr>
        <w:t>%, con un incremento di circa 6</w:t>
      </w:r>
      <w:r>
        <w:rPr>
          <w:rFonts w:ascii="Arial" w:hAnsi="Arial" w:cs="Arial"/>
          <w:sz w:val="22"/>
          <w:szCs w:val="22"/>
        </w:rPr>
        <w:t>,8</w:t>
      </w:r>
      <w:r w:rsidRPr="009E4997">
        <w:rPr>
          <w:rFonts w:ascii="Arial" w:hAnsi="Arial" w:cs="Arial"/>
          <w:sz w:val="22"/>
          <w:szCs w:val="22"/>
        </w:rPr>
        <w:t xml:space="preserve"> milioni di tonnellate (Mt) rispetto all’anno precedente</w:t>
      </w:r>
      <w:r>
        <w:rPr>
          <w:rFonts w:ascii="Arial" w:hAnsi="Arial" w:cs="Arial"/>
          <w:sz w:val="22"/>
          <w:szCs w:val="22"/>
        </w:rPr>
        <w:t>, attestandosi a 512,3 Mt</w:t>
      </w:r>
      <w:r w:rsidRPr="009E4997">
        <w:rPr>
          <w:rFonts w:ascii="Arial" w:hAnsi="Arial" w:cs="Arial"/>
          <w:sz w:val="22"/>
          <w:szCs w:val="22"/>
        </w:rPr>
        <w:t xml:space="preserve">. </w:t>
      </w:r>
    </w:p>
    <w:p w14:paraId="2BDE02B5" w14:textId="0285F163" w:rsidR="00C43C63" w:rsidRDefault="0065677D" w:rsidP="0065677D">
      <w:pPr>
        <w:spacing w:after="120"/>
        <w:jc w:val="both"/>
        <w:rPr>
          <w:rFonts w:ascii="Arial" w:hAnsi="Arial" w:cs="Arial"/>
          <w:sz w:val="22"/>
          <w:szCs w:val="22"/>
        </w:rPr>
      </w:pPr>
      <w:r>
        <w:rPr>
          <w:rFonts w:ascii="Arial" w:hAnsi="Arial" w:cs="Arial"/>
          <w:sz w:val="22"/>
          <w:szCs w:val="22"/>
        </w:rPr>
        <w:t>L</w:t>
      </w:r>
      <w:r w:rsidRPr="009E4997">
        <w:rPr>
          <w:rFonts w:ascii="Arial" w:hAnsi="Arial" w:cs="Arial"/>
          <w:sz w:val="22"/>
          <w:szCs w:val="22"/>
        </w:rPr>
        <w:t xml:space="preserve">’aumento </w:t>
      </w:r>
      <w:r>
        <w:rPr>
          <w:rFonts w:ascii="Arial" w:hAnsi="Arial" w:cs="Arial"/>
          <w:sz w:val="22"/>
          <w:szCs w:val="22"/>
        </w:rPr>
        <w:t xml:space="preserve">è </w:t>
      </w:r>
      <w:r w:rsidR="003A2A03">
        <w:rPr>
          <w:rFonts w:ascii="Arial" w:hAnsi="Arial" w:cs="Arial"/>
          <w:sz w:val="22"/>
          <w:szCs w:val="22"/>
        </w:rPr>
        <w:t xml:space="preserve">stato </w:t>
      </w:r>
      <w:r>
        <w:rPr>
          <w:rFonts w:ascii="Arial" w:hAnsi="Arial" w:cs="Arial"/>
          <w:sz w:val="22"/>
          <w:szCs w:val="22"/>
        </w:rPr>
        <w:t xml:space="preserve">interamente </w:t>
      </w:r>
      <w:r w:rsidR="00266185">
        <w:rPr>
          <w:rFonts w:ascii="Arial" w:hAnsi="Arial" w:cs="Arial"/>
          <w:sz w:val="22"/>
          <w:szCs w:val="22"/>
        </w:rPr>
        <w:t>causato</w:t>
      </w:r>
      <w:r>
        <w:rPr>
          <w:rFonts w:ascii="Arial" w:hAnsi="Arial" w:cs="Arial"/>
          <w:sz w:val="22"/>
          <w:szCs w:val="22"/>
        </w:rPr>
        <w:t xml:space="preserve"> </w:t>
      </w:r>
      <w:r w:rsidR="00266185">
        <w:rPr>
          <w:rFonts w:ascii="Arial" w:hAnsi="Arial" w:cs="Arial"/>
          <w:sz w:val="22"/>
          <w:szCs w:val="22"/>
        </w:rPr>
        <w:t>d</w:t>
      </w:r>
      <w:r>
        <w:rPr>
          <w:rFonts w:ascii="Arial" w:hAnsi="Arial" w:cs="Arial"/>
          <w:sz w:val="22"/>
          <w:szCs w:val="22"/>
        </w:rPr>
        <w:t xml:space="preserve">ai </w:t>
      </w:r>
      <w:r w:rsidRPr="00CB7A49">
        <w:rPr>
          <w:rFonts w:ascii="Arial" w:hAnsi="Arial" w:cs="Arial"/>
          <w:sz w:val="22"/>
          <w:szCs w:val="22"/>
        </w:rPr>
        <w:t>Flussi netti dall’estero (</w:t>
      </w:r>
      <w:r w:rsidRPr="00CB7A49">
        <w:rPr>
          <w:rFonts w:ascii="Arial" w:hAnsi="Arial" w:cs="Arial"/>
          <w:i/>
          <w:sz w:val="22"/>
          <w:szCs w:val="22"/>
        </w:rPr>
        <w:t>Physical trade balance</w:t>
      </w:r>
      <w:r w:rsidRPr="00CB7A49">
        <w:rPr>
          <w:rFonts w:ascii="Arial" w:hAnsi="Arial" w:cs="Arial"/>
          <w:sz w:val="22"/>
          <w:szCs w:val="22"/>
        </w:rPr>
        <w:t xml:space="preserve">, </w:t>
      </w:r>
      <w:r w:rsidRPr="00A027C8">
        <w:rPr>
          <w:rFonts w:ascii="Arial" w:hAnsi="Arial" w:cs="Arial"/>
          <w:i/>
          <w:sz w:val="22"/>
          <w:szCs w:val="22"/>
        </w:rPr>
        <w:t>Ptb</w:t>
      </w:r>
      <w:r>
        <w:rPr>
          <w:rFonts w:ascii="Arial" w:hAnsi="Arial" w:cs="Arial"/>
          <w:sz w:val="22"/>
          <w:szCs w:val="22"/>
        </w:rPr>
        <w:t xml:space="preserve">), </w:t>
      </w:r>
      <w:r w:rsidR="00AC0BC1">
        <w:rPr>
          <w:rFonts w:ascii="Arial" w:hAnsi="Arial" w:cs="Arial"/>
          <w:sz w:val="22"/>
          <w:szCs w:val="22"/>
        </w:rPr>
        <w:t xml:space="preserve">che si sono </w:t>
      </w:r>
      <w:r>
        <w:rPr>
          <w:rFonts w:ascii="Arial" w:hAnsi="Arial" w:cs="Arial"/>
          <w:sz w:val="22"/>
          <w:szCs w:val="22"/>
        </w:rPr>
        <w:t>attestati a</w:t>
      </w:r>
      <w:r w:rsidRPr="00CB7A49">
        <w:rPr>
          <w:rFonts w:ascii="Arial" w:hAnsi="Arial" w:cs="Arial"/>
          <w:sz w:val="22"/>
          <w:szCs w:val="22"/>
        </w:rPr>
        <w:t xml:space="preserve"> </w:t>
      </w:r>
      <w:r>
        <w:rPr>
          <w:rFonts w:ascii="Arial" w:hAnsi="Arial" w:cs="Arial"/>
          <w:sz w:val="22"/>
          <w:szCs w:val="22"/>
        </w:rPr>
        <w:t>173</w:t>
      </w:r>
      <w:r w:rsidRPr="00CB7A49">
        <w:rPr>
          <w:rFonts w:ascii="Arial" w:hAnsi="Arial" w:cs="Arial"/>
          <w:sz w:val="22"/>
          <w:szCs w:val="22"/>
        </w:rPr>
        <w:t xml:space="preserve"> Mt </w:t>
      </w:r>
      <w:r w:rsidR="003A2A03">
        <w:rPr>
          <w:rFonts w:ascii="Arial" w:hAnsi="Arial" w:cs="Arial"/>
          <w:sz w:val="22"/>
          <w:szCs w:val="22"/>
        </w:rPr>
        <w:t>(</w:t>
      </w:r>
      <w:r w:rsidRPr="00CB7A49">
        <w:rPr>
          <w:rFonts w:ascii="Arial" w:hAnsi="Arial" w:cs="Arial"/>
          <w:sz w:val="22"/>
          <w:szCs w:val="22"/>
        </w:rPr>
        <w:t>+</w:t>
      </w:r>
      <w:r w:rsidR="00FA0AA4">
        <w:rPr>
          <w:rFonts w:ascii="Arial" w:hAnsi="Arial" w:cs="Arial"/>
          <w:sz w:val="22"/>
          <w:szCs w:val="22"/>
        </w:rPr>
        <w:t xml:space="preserve">21,9%), </w:t>
      </w:r>
      <w:r w:rsidR="003A2A03">
        <w:rPr>
          <w:rFonts w:ascii="Arial" w:hAnsi="Arial" w:cs="Arial"/>
          <w:sz w:val="22"/>
          <w:szCs w:val="22"/>
        </w:rPr>
        <w:t xml:space="preserve">cresciuti </w:t>
      </w:r>
      <w:r>
        <w:rPr>
          <w:rFonts w:ascii="Arial" w:hAnsi="Arial" w:cs="Arial"/>
          <w:sz w:val="22"/>
          <w:szCs w:val="22"/>
        </w:rPr>
        <w:t>notevolmente per i minerali energetici (+7,8 Mt) e per le biomasse (+6,1 Mt). Anche le importazioni nette di</w:t>
      </w:r>
      <w:r w:rsidRPr="00CB7A49">
        <w:rPr>
          <w:rFonts w:ascii="Arial" w:hAnsi="Arial" w:cs="Arial"/>
          <w:sz w:val="22"/>
          <w:szCs w:val="22"/>
        </w:rPr>
        <w:t xml:space="preserve"> miner</w:t>
      </w:r>
      <w:r>
        <w:rPr>
          <w:rFonts w:ascii="Arial" w:hAnsi="Arial" w:cs="Arial"/>
          <w:sz w:val="22"/>
          <w:szCs w:val="22"/>
        </w:rPr>
        <w:t xml:space="preserve">ali non metalliferi e derivati </w:t>
      </w:r>
      <w:r w:rsidR="003A2A03">
        <w:rPr>
          <w:rFonts w:ascii="Arial" w:hAnsi="Arial" w:cs="Arial"/>
          <w:sz w:val="22"/>
          <w:szCs w:val="22"/>
        </w:rPr>
        <w:t xml:space="preserve">sono aumentate </w:t>
      </w:r>
      <w:r w:rsidR="00C43C63">
        <w:rPr>
          <w:rFonts w:ascii="Arial" w:hAnsi="Arial" w:cs="Arial"/>
          <w:sz w:val="22"/>
          <w:szCs w:val="22"/>
        </w:rPr>
        <w:t>(</w:t>
      </w:r>
      <w:r>
        <w:rPr>
          <w:rFonts w:ascii="Arial" w:hAnsi="Arial" w:cs="Arial"/>
          <w:sz w:val="22"/>
          <w:szCs w:val="22"/>
        </w:rPr>
        <w:t>da 0,8</w:t>
      </w:r>
      <w:r w:rsidRPr="00CB7A49">
        <w:rPr>
          <w:rFonts w:ascii="Arial" w:hAnsi="Arial" w:cs="Arial"/>
          <w:sz w:val="22"/>
          <w:szCs w:val="22"/>
        </w:rPr>
        <w:t xml:space="preserve"> a 2,5 Mt</w:t>
      </w:r>
      <w:r w:rsidR="00C43C63">
        <w:rPr>
          <w:rFonts w:ascii="Arial" w:hAnsi="Arial" w:cs="Arial"/>
          <w:sz w:val="22"/>
          <w:szCs w:val="22"/>
        </w:rPr>
        <w:t>)</w:t>
      </w:r>
      <w:r>
        <w:rPr>
          <w:rFonts w:ascii="Arial" w:hAnsi="Arial" w:cs="Arial"/>
          <w:sz w:val="22"/>
          <w:szCs w:val="22"/>
        </w:rPr>
        <w:t xml:space="preserve">, mentre quelle di </w:t>
      </w:r>
      <w:r w:rsidRPr="00CB7A49">
        <w:rPr>
          <w:rFonts w:ascii="Arial" w:hAnsi="Arial" w:cs="Arial"/>
          <w:sz w:val="22"/>
          <w:szCs w:val="22"/>
        </w:rPr>
        <w:t>minerali metalliferi e derivati</w:t>
      </w:r>
      <w:r>
        <w:rPr>
          <w:rFonts w:ascii="Arial" w:hAnsi="Arial" w:cs="Arial"/>
          <w:sz w:val="22"/>
          <w:szCs w:val="22"/>
        </w:rPr>
        <w:t xml:space="preserve"> (15,9 Mt) si </w:t>
      </w:r>
      <w:r w:rsidR="003A2A03">
        <w:rPr>
          <w:rFonts w:ascii="Arial" w:hAnsi="Arial" w:cs="Arial"/>
          <w:sz w:val="22"/>
          <w:szCs w:val="22"/>
        </w:rPr>
        <w:t xml:space="preserve">sono ridotte </w:t>
      </w:r>
      <w:r>
        <w:rPr>
          <w:rFonts w:ascii="Arial" w:hAnsi="Arial" w:cs="Arial"/>
          <w:sz w:val="22"/>
          <w:szCs w:val="22"/>
        </w:rPr>
        <w:t>del 5,8%.</w:t>
      </w:r>
      <w:r w:rsidRPr="00CB7A49">
        <w:rPr>
          <w:rFonts w:ascii="Arial" w:hAnsi="Arial" w:cs="Arial"/>
          <w:sz w:val="22"/>
          <w:szCs w:val="22"/>
        </w:rPr>
        <w:t xml:space="preserve"> </w:t>
      </w:r>
    </w:p>
    <w:p w14:paraId="011BEA89" w14:textId="678A20EE" w:rsidR="0065677D" w:rsidRDefault="0065677D" w:rsidP="0065677D">
      <w:pPr>
        <w:spacing w:after="120"/>
        <w:jc w:val="both"/>
        <w:rPr>
          <w:rFonts w:ascii="Arial" w:hAnsi="Arial" w:cs="Arial"/>
          <w:sz w:val="22"/>
          <w:szCs w:val="22"/>
        </w:rPr>
      </w:pPr>
      <w:r>
        <w:rPr>
          <w:rFonts w:ascii="Arial" w:hAnsi="Arial" w:cs="Arial"/>
          <w:sz w:val="22"/>
          <w:szCs w:val="22"/>
        </w:rPr>
        <w:t xml:space="preserve">A fronte di un </w:t>
      </w:r>
      <w:r w:rsidRPr="00A027C8">
        <w:rPr>
          <w:rFonts w:ascii="Arial" w:hAnsi="Arial" w:cs="Arial"/>
          <w:i/>
          <w:sz w:val="22"/>
          <w:szCs w:val="22"/>
        </w:rPr>
        <w:t>P</w:t>
      </w:r>
      <w:r w:rsidR="005959D6" w:rsidRPr="00A027C8">
        <w:rPr>
          <w:rFonts w:ascii="Arial" w:hAnsi="Arial" w:cs="Arial"/>
          <w:i/>
          <w:sz w:val="22"/>
          <w:szCs w:val="22"/>
        </w:rPr>
        <w:t>tb</w:t>
      </w:r>
      <w:r>
        <w:rPr>
          <w:rFonts w:ascii="Arial" w:hAnsi="Arial" w:cs="Arial"/>
          <w:sz w:val="22"/>
          <w:szCs w:val="22"/>
        </w:rPr>
        <w:t xml:space="preserve"> di 14,6 Mt più alto, l’incremento del </w:t>
      </w:r>
      <w:r w:rsidRPr="00A027C8">
        <w:rPr>
          <w:rFonts w:ascii="Arial" w:hAnsi="Arial" w:cs="Arial"/>
          <w:i/>
          <w:sz w:val="22"/>
          <w:szCs w:val="22"/>
        </w:rPr>
        <w:t>D</w:t>
      </w:r>
      <w:r w:rsidR="006944B9" w:rsidRPr="00A027C8">
        <w:rPr>
          <w:rFonts w:ascii="Arial" w:hAnsi="Arial" w:cs="Arial"/>
          <w:i/>
          <w:sz w:val="22"/>
          <w:szCs w:val="22"/>
        </w:rPr>
        <w:t>mc</w:t>
      </w:r>
      <w:r>
        <w:rPr>
          <w:rFonts w:ascii="Arial" w:hAnsi="Arial" w:cs="Arial"/>
          <w:sz w:val="22"/>
          <w:szCs w:val="22"/>
        </w:rPr>
        <w:t xml:space="preserve"> è stato contenuto soprattutto dalla forte </w:t>
      </w:r>
      <w:r w:rsidRPr="00CB7A49">
        <w:rPr>
          <w:rFonts w:ascii="Arial" w:hAnsi="Arial" w:cs="Arial"/>
          <w:sz w:val="22"/>
          <w:szCs w:val="22"/>
        </w:rPr>
        <w:t xml:space="preserve">diminuzione della produzione interna di biomasse </w:t>
      </w:r>
      <w:r>
        <w:rPr>
          <w:rFonts w:ascii="Arial" w:hAnsi="Arial" w:cs="Arial"/>
          <w:sz w:val="22"/>
          <w:szCs w:val="22"/>
        </w:rPr>
        <w:t>(-7,6%, pari a -7,8 Mt</w:t>
      </w:r>
      <w:r w:rsidRPr="00C72361">
        <w:rPr>
          <w:rFonts w:ascii="Arial" w:hAnsi="Arial" w:cs="Arial"/>
          <w:sz w:val="22"/>
          <w:szCs w:val="22"/>
        </w:rPr>
        <w:t xml:space="preserve">), che </w:t>
      </w:r>
      <w:r w:rsidR="004F64AB">
        <w:rPr>
          <w:rFonts w:ascii="Arial" w:hAnsi="Arial" w:cs="Arial"/>
          <w:sz w:val="22"/>
          <w:szCs w:val="22"/>
        </w:rPr>
        <w:t xml:space="preserve">ha </w:t>
      </w:r>
      <w:r w:rsidRPr="00C72361">
        <w:rPr>
          <w:rFonts w:ascii="Arial" w:hAnsi="Arial" w:cs="Arial"/>
          <w:sz w:val="22"/>
          <w:szCs w:val="22"/>
        </w:rPr>
        <w:t>tocca</w:t>
      </w:r>
      <w:r w:rsidR="004F64AB">
        <w:rPr>
          <w:rFonts w:ascii="Arial" w:hAnsi="Arial" w:cs="Arial"/>
          <w:sz w:val="22"/>
          <w:szCs w:val="22"/>
        </w:rPr>
        <w:t>to</w:t>
      </w:r>
      <w:r w:rsidRPr="00C72361">
        <w:rPr>
          <w:rFonts w:ascii="Arial" w:hAnsi="Arial" w:cs="Arial"/>
          <w:sz w:val="22"/>
          <w:szCs w:val="22"/>
        </w:rPr>
        <w:t xml:space="preserve"> il minimo storico </w:t>
      </w:r>
      <w:r>
        <w:rPr>
          <w:rFonts w:ascii="Arial" w:hAnsi="Arial" w:cs="Arial"/>
          <w:sz w:val="22"/>
          <w:szCs w:val="22"/>
        </w:rPr>
        <w:t xml:space="preserve">– almeno dal 1950 in poi </w:t>
      </w:r>
      <w:r w:rsidR="005959D6">
        <w:rPr>
          <w:rFonts w:ascii="Arial" w:hAnsi="Arial" w:cs="Arial"/>
          <w:sz w:val="22"/>
          <w:szCs w:val="22"/>
        </w:rPr>
        <w:t>–</w:t>
      </w:r>
      <w:r>
        <w:rPr>
          <w:rFonts w:ascii="Arial" w:hAnsi="Arial" w:cs="Arial"/>
          <w:sz w:val="22"/>
          <w:szCs w:val="22"/>
        </w:rPr>
        <w:t xml:space="preserve"> </w:t>
      </w:r>
      <w:r w:rsidRPr="00C72361">
        <w:rPr>
          <w:rFonts w:ascii="Arial" w:hAnsi="Arial" w:cs="Arial"/>
          <w:sz w:val="22"/>
          <w:szCs w:val="22"/>
        </w:rPr>
        <w:t>di 9</w:t>
      </w:r>
      <w:r>
        <w:rPr>
          <w:rFonts w:ascii="Arial" w:hAnsi="Arial" w:cs="Arial"/>
          <w:sz w:val="22"/>
          <w:szCs w:val="22"/>
        </w:rPr>
        <w:t>5,</w:t>
      </w:r>
      <w:r w:rsidR="00FA0AA4">
        <w:rPr>
          <w:rFonts w:ascii="Arial" w:hAnsi="Arial" w:cs="Arial"/>
          <w:sz w:val="22"/>
          <w:szCs w:val="22"/>
        </w:rPr>
        <w:t xml:space="preserve">4 Mt (erano 132,5 Mt nel 2004; solo nel 2017 e 2018 erano scesi sotto i 100 milioni di tonnellate). </w:t>
      </w:r>
      <w:r w:rsidR="00FA0AA4" w:rsidRPr="00C72361">
        <w:rPr>
          <w:rFonts w:ascii="Arial" w:hAnsi="Arial" w:cs="Arial"/>
          <w:sz w:val="22"/>
          <w:szCs w:val="22"/>
        </w:rPr>
        <w:t>In particolare,</w:t>
      </w:r>
      <w:r w:rsidR="00FA0AA4">
        <w:rPr>
          <w:rFonts w:ascii="Arial" w:hAnsi="Arial" w:cs="Arial"/>
          <w:sz w:val="22"/>
          <w:szCs w:val="22"/>
        </w:rPr>
        <w:t xml:space="preserve"> rispetto al 2021</w:t>
      </w:r>
      <w:r w:rsidR="00FA0AA4" w:rsidRPr="00C72361">
        <w:rPr>
          <w:rFonts w:ascii="Arial" w:hAnsi="Arial" w:cs="Arial"/>
          <w:sz w:val="22"/>
          <w:szCs w:val="22"/>
        </w:rPr>
        <w:t xml:space="preserve"> </w:t>
      </w:r>
      <w:r w:rsidR="004F64AB">
        <w:rPr>
          <w:rFonts w:ascii="Arial" w:hAnsi="Arial" w:cs="Arial"/>
          <w:sz w:val="22"/>
          <w:szCs w:val="22"/>
        </w:rPr>
        <w:t>sono calati</w:t>
      </w:r>
      <w:r w:rsidR="004F64AB" w:rsidRPr="00C72361">
        <w:rPr>
          <w:rFonts w:ascii="Arial" w:hAnsi="Arial" w:cs="Arial"/>
          <w:sz w:val="22"/>
          <w:szCs w:val="22"/>
        </w:rPr>
        <w:t xml:space="preserve"> </w:t>
      </w:r>
      <w:r w:rsidR="00FA0AA4" w:rsidRPr="00C72361">
        <w:rPr>
          <w:rFonts w:ascii="Arial" w:hAnsi="Arial" w:cs="Arial"/>
          <w:sz w:val="22"/>
          <w:szCs w:val="22"/>
        </w:rPr>
        <w:t>i residui ut</w:t>
      </w:r>
      <w:r w:rsidR="00476992">
        <w:rPr>
          <w:rFonts w:ascii="Arial" w:hAnsi="Arial" w:cs="Arial"/>
          <w:sz w:val="22"/>
          <w:szCs w:val="22"/>
        </w:rPr>
        <w:t>ilizzati delle coltivazioni (</w:t>
      </w:r>
      <w:r w:rsidR="005959D6">
        <w:rPr>
          <w:rFonts w:ascii="Arial" w:hAnsi="Arial" w:cs="Arial"/>
          <w:sz w:val="22"/>
          <w:szCs w:val="22"/>
        </w:rPr>
        <w:noBreakHyphen/>
      </w:r>
      <w:r w:rsidR="00476992">
        <w:rPr>
          <w:rFonts w:ascii="Arial" w:hAnsi="Arial" w:cs="Arial"/>
          <w:sz w:val="22"/>
          <w:szCs w:val="22"/>
        </w:rPr>
        <w:t>5</w:t>
      </w:r>
      <w:r w:rsidR="00C9295F">
        <w:rPr>
          <w:rFonts w:ascii="Arial" w:hAnsi="Arial" w:cs="Arial"/>
          <w:sz w:val="22"/>
          <w:szCs w:val="22"/>
        </w:rPr>
        <w:t>,0</w:t>
      </w:r>
      <w:r w:rsidR="00AB26EB">
        <w:rPr>
          <w:rFonts w:ascii="Arial" w:hAnsi="Arial" w:cs="Arial"/>
          <w:sz w:val="22"/>
          <w:szCs w:val="22"/>
        </w:rPr>
        <w:t xml:space="preserve"> </w:t>
      </w:r>
      <w:r w:rsidR="00FA0AA4" w:rsidRPr="00C72361">
        <w:rPr>
          <w:rFonts w:ascii="Arial" w:hAnsi="Arial" w:cs="Arial"/>
          <w:sz w:val="22"/>
          <w:szCs w:val="22"/>
        </w:rPr>
        <w:t xml:space="preserve">Mt) e </w:t>
      </w:r>
      <w:r w:rsidR="004F64AB">
        <w:rPr>
          <w:rFonts w:ascii="Arial" w:hAnsi="Arial" w:cs="Arial"/>
          <w:sz w:val="22"/>
          <w:szCs w:val="22"/>
        </w:rPr>
        <w:t>de</w:t>
      </w:r>
      <w:r w:rsidR="00FA0AA4">
        <w:rPr>
          <w:rFonts w:ascii="Arial" w:hAnsi="Arial" w:cs="Arial"/>
          <w:sz w:val="22"/>
          <w:szCs w:val="22"/>
        </w:rPr>
        <w:t>i raccolti (-2,4 Mt)</w:t>
      </w:r>
      <w:r w:rsidR="00FA0AA4" w:rsidRPr="00C72361">
        <w:rPr>
          <w:rFonts w:ascii="Arial" w:hAnsi="Arial" w:cs="Arial"/>
          <w:sz w:val="22"/>
          <w:szCs w:val="22"/>
        </w:rPr>
        <w:t>.</w:t>
      </w:r>
    </w:p>
    <w:p w14:paraId="27014125" w14:textId="06EE22D7" w:rsidR="0065677D" w:rsidRPr="00403581" w:rsidRDefault="0065677D" w:rsidP="0065677D">
      <w:pPr>
        <w:spacing w:after="120"/>
        <w:jc w:val="both"/>
        <w:rPr>
          <w:rFonts w:ascii="Arial" w:hAnsi="Arial" w:cs="Arial"/>
          <w:sz w:val="22"/>
          <w:szCs w:val="22"/>
        </w:rPr>
      </w:pPr>
      <w:r w:rsidRPr="00403581">
        <w:rPr>
          <w:rFonts w:ascii="Arial" w:hAnsi="Arial" w:cs="Arial"/>
          <w:sz w:val="22"/>
          <w:szCs w:val="22"/>
        </w:rPr>
        <w:t xml:space="preserve">Il Consumo materiale per unità di Pil è </w:t>
      </w:r>
      <w:r>
        <w:rPr>
          <w:rFonts w:ascii="Arial" w:hAnsi="Arial" w:cs="Arial"/>
          <w:sz w:val="22"/>
          <w:szCs w:val="22"/>
        </w:rPr>
        <w:t>tornato a diminuire</w:t>
      </w:r>
      <w:r w:rsidRPr="00403581">
        <w:rPr>
          <w:rFonts w:ascii="Arial" w:hAnsi="Arial" w:cs="Arial"/>
          <w:sz w:val="22"/>
          <w:szCs w:val="22"/>
        </w:rPr>
        <w:t>, passando da 2</w:t>
      </w:r>
      <w:r>
        <w:rPr>
          <w:rFonts w:ascii="Arial" w:hAnsi="Arial" w:cs="Arial"/>
          <w:sz w:val="22"/>
          <w:szCs w:val="22"/>
        </w:rPr>
        <w:t>78</w:t>
      </w:r>
      <w:r w:rsidRPr="00403581">
        <w:rPr>
          <w:rFonts w:ascii="Arial" w:hAnsi="Arial" w:cs="Arial"/>
          <w:sz w:val="22"/>
          <w:szCs w:val="22"/>
        </w:rPr>
        <w:t xml:space="preserve"> a 2</w:t>
      </w:r>
      <w:r>
        <w:rPr>
          <w:rFonts w:ascii="Arial" w:hAnsi="Arial" w:cs="Arial"/>
          <w:sz w:val="22"/>
          <w:szCs w:val="22"/>
        </w:rPr>
        <w:t>69</w:t>
      </w:r>
      <w:r w:rsidRPr="00403581">
        <w:rPr>
          <w:rFonts w:ascii="Arial" w:hAnsi="Arial" w:cs="Arial"/>
          <w:sz w:val="22"/>
          <w:szCs w:val="22"/>
        </w:rPr>
        <w:t xml:space="preserve"> tonnellate per milione di euro.</w:t>
      </w:r>
    </w:p>
    <w:p w14:paraId="0E547DB6" w14:textId="1605B01F" w:rsidR="00FA0AA4" w:rsidRDefault="0065677D" w:rsidP="0065677D">
      <w:pPr>
        <w:spacing w:after="120"/>
        <w:jc w:val="both"/>
        <w:rPr>
          <w:rFonts w:ascii="Arial" w:hAnsi="Arial" w:cs="Arial"/>
          <w:sz w:val="22"/>
          <w:szCs w:val="22"/>
        </w:rPr>
      </w:pPr>
      <w:r w:rsidRPr="009E4997">
        <w:rPr>
          <w:rFonts w:ascii="Arial" w:hAnsi="Arial" w:cs="Arial"/>
          <w:sz w:val="22"/>
          <w:szCs w:val="22"/>
        </w:rPr>
        <w:t xml:space="preserve">Nel 2023, secondo le prime stime (provvisorie soprattutto per </w:t>
      </w:r>
      <w:r>
        <w:rPr>
          <w:rFonts w:ascii="Arial" w:hAnsi="Arial" w:cs="Arial"/>
          <w:sz w:val="22"/>
          <w:szCs w:val="22"/>
        </w:rPr>
        <w:t xml:space="preserve">quanto riguarda </w:t>
      </w:r>
      <w:r w:rsidRPr="009E4997">
        <w:rPr>
          <w:rFonts w:ascii="Arial" w:hAnsi="Arial" w:cs="Arial"/>
          <w:sz w:val="22"/>
          <w:szCs w:val="22"/>
        </w:rPr>
        <w:t xml:space="preserve">la componente “minerali non energetici” della </w:t>
      </w:r>
      <w:r w:rsidR="00C9295F">
        <w:rPr>
          <w:rFonts w:ascii="Arial" w:hAnsi="Arial" w:cs="Arial"/>
          <w:sz w:val="22"/>
          <w:szCs w:val="22"/>
        </w:rPr>
        <w:t xml:space="preserve">Estrazione interna – </w:t>
      </w:r>
      <w:r w:rsidRPr="009E4997">
        <w:rPr>
          <w:rFonts w:ascii="Arial" w:hAnsi="Arial" w:cs="Arial"/>
          <w:sz w:val="22"/>
          <w:szCs w:val="22"/>
        </w:rPr>
        <w:t xml:space="preserve">Ei), si registra un forte calo del </w:t>
      </w:r>
      <w:r w:rsidRPr="00A027C8">
        <w:rPr>
          <w:rFonts w:ascii="Arial" w:hAnsi="Arial" w:cs="Arial"/>
          <w:i/>
          <w:sz w:val="22"/>
          <w:szCs w:val="22"/>
        </w:rPr>
        <w:t>Dmc</w:t>
      </w:r>
      <w:r>
        <w:rPr>
          <w:rFonts w:ascii="Arial" w:hAnsi="Arial" w:cs="Arial"/>
          <w:sz w:val="22"/>
          <w:szCs w:val="22"/>
        </w:rPr>
        <w:t>,</w:t>
      </w:r>
      <w:r w:rsidRPr="009E4997">
        <w:rPr>
          <w:rFonts w:ascii="Arial" w:hAnsi="Arial" w:cs="Arial"/>
          <w:sz w:val="22"/>
          <w:szCs w:val="22"/>
        </w:rPr>
        <w:t xml:space="preserve"> di circa 33</w:t>
      </w:r>
      <w:r>
        <w:rPr>
          <w:rFonts w:ascii="Arial" w:hAnsi="Arial" w:cs="Arial"/>
          <w:sz w:val="22"/>
          <w:szCs w:val="22"/>
        </w:rPr>
        <w:t xml:space="preserve"> Mt (-6,4%)</w:t>
      </w:r>
      <w:r w:rsidR="005959D6">
        <w:rPr>
          <w:rFonts w:ascii="Arial" w:hAnsi="Arial" w:cs="Arial"/>
          <w:sz w:val="22"/>
          <w:szCs w:val="22"/>
        </w:rPr>
        <w:t xml:space="preserve">, che </w:t>
      </w:r>
      <w:r w:rsidR="00AA7900">
        <w:rPr>
          <w:rFonts w:ascii="Arial" w:hAnsi="Arial" w:cs="Arial"/>
          <w:sz w:val="22"/>
          <w:szCs w:val="22"/>
        </w:rPr>
        <w:t>porta l’intensità materiale del Pil</w:t>
      </w:r>
      <w:r w:rsidR="005959D6">
        <w:rPr>
          <w:rFonts w:ascii="Arial" w:hAnsi="Arial" w:cs="Arial"/>
          <w:sz w:val="22"/>
          <w:szCs w:val="22"/>
        </w:rPr>
        <w:t xml:space="preserve"> a</w:t>
      </w:r>
      <w:r w:rsidR="00FA0AA4">
        <w:rPr>
          <w:rFonts w:ascii="Arial" w:hAnsi="Arial" w:cs="Arial"/>
          <w:sz w:val="22"/>
          <w:szCs w:val="22"/>
        </w:rPr>
        <w:t xml:space="preserve"> 250 tonnellate per milione di euro.</w:t>
      </w:r>
    </w:p>
    <w:p w14:paraId="7A8C9369" w14:textId="391E2C9F" w:rsidR="00AE643F" w:rsidRDefault="00FA0AA4" w:rsidP="0065677D">
      <w:pPr>
        <w:spacing w:after="120"/>
        <w:jc w:val="both"/>
        <w:rPr>
          <w:rFonts w:ascii="Arial" w:hAnsi="Arial" w:cs="Arial"/>
          <w:sz w:val="22"/>
          <w:szCs w:val="22"/>
        </w:rPr>
      </w:pPr>
      <w:r>
        <w:rPr>
          <w:rFonts w:ascii="Arial" w:hAnsi="Arial" w:cs="Arial"/>
          <w:sz w:val="22"/>
          <w:szCs w:val="22"/>
        </w:rPr>
        <w:t xml:space="preserve">Il </w:t>
      </w:r>
      <w:r w:rsidRPr="00A027C8">
        <w:rPr>
          <w:rFonts w:ascii="Arial" w:hAnsi="Arial" w:cs="Arial"/>
          <w:i/>
          <w:sz w:val="22"/>
          <w:szCs w:val="22"/>
        </w:rPr>
        <w:t>D</w:t>
      </w:r>
      <w:r w:rsidR="006944B9" w:rsidRPr="00A027C8">
        <w:rPr>
          <w:rFonts w:ascii="Arial" w:hAnsi="Arial" w:cs="Arial"/>
          <w:i/>
          <w:sz w:val="22"/>
          <w:szCs w:val="22"/>
        </w:rPr>
        <w:t>mc</w:t>
      </w:r>
      <w:r>
        <w:rPr>
          <w:rFonts w:ascii="Arial" w:hAnsi="Arial" w:cs="Arial"/>
          <w:sz w:val="22"/>
          <w:szCs w:val="22"/>
        </w:rPr>
        <w:t xml:space="preserve"> dell’Italia è </w:t>
      </w:r>
      <w:r w:rsidR="004F64AB">
        <w:rPr>
          <w:rFonts w:ascii="Arial" w:hAnsi="Arial" w:cs="Arial"/>
          <w:sz w:val="22"/>
          <w:szCs w:val="22"/>
        </w:rPr>
        <w:t xml:space="preserve">stato </w:t>
      </w:r>
      <w:r w:rsidR="00AE643F">
        <w:rPr>
          <w:rFonts w:ascii="Arial" w:hAnsi="Arial" w:cs="Arial"/>
          <w:sz w:val="22"/>
          <w:szCs w:val="22"/>
        </w:rPr>
        <w:t xml:space="preserve">nel 2022 </w:t>
      </w:r>
      <w:r>
        <w:rPr>
          <w:rFonts w:ascii="Arial" w:hAnsi="Arial" w:cs="Arial"/>
          <w:sz w:val="22"/>
          <w:szCs w:val="22"/>
        </w:rPr>
        <w:t>il quinto nella Ue</w:t>
      </w:r>
      <w:r w:rsidR="009A5D48">
        <w:rPr>
          <w:rFonts w:ascii="Arial" w:hAnsi="Arial" w:cs="Arial"/>
          <w:sz w:val="22"/>
          <w:szCs w:val="22"/>
        </w:rPr>
        <w:t>27</w:t>
      </w:r>
      <w:r w:rsidR="00FC365E">
        <w:rPr>
          <w:rFonts w:ascii="Arial" w:hAnsi="Arial" w:cs="Arial"/>
          <w:sz w:val="22"/>
          <w:szCs w:val="22"/>
        </w:rPr>
        <w:t xml:space="preserve"> (6.670 Mt)</w:t>
      </w:r>
      <w:r>
        <w:rPr>
          <w:rFonts w:ascii="Arial" w:hAnsi="Arial" w:cs="Arial"/>
          <w:sz w:val="22"/>
          <w:szCs w:val="22"/>
        </w:rPr>
        <w:t xml:space="preserve">, </w:t>
      </w:r>
      <w:r w:rsidR="00FC365E">
        <w:rPr>
          <w:rFonts w:ascii="Arial" w:hAnsi="Arial" w:cs="Arial"/>
          <w:sz w:val="22"/>
          <w:szCs w:val="22"/>
        </w:rPr>
        <w:t>dove, dopo la Germania (1</w:t>
      </w:r>
      <w:r w:rsidR="007D51EB">
        <w:rPr>
          <w:rFonts w:ascii="Arial" w:hAnsi="Arial" w:cs="Arial"/>
          <w:sz w:val="22"/>
          <w:szCs w:val="22"/>
        </w:rPr>
        <w:t>.</w:t>
      </w:r>
      <w:r w:rsidR="00FC365E">
        <w:rPr>
          <w:rFonts w:ascii="Arial" w:hAnsi="Arial" w:cs="Arial"/>
          <w:sz w:val="22"/>
          <w:szCs w:val="22"/>
        </w:rPr>
        <w:t>143</w:t>
      </w:r>
      <w:r w:rsidR="009A5D48">
        <w:rPr>
          <w:rFonts w:ascii="Arial" w:hAnsi="Arial" w:cs="Arial"/>
          <w:sz w:val="22"/>
          <w:szCs w:val="22"/>
        </w:rPr>
        <w:t xml:space="preserve"> Mt), è la Romania (986 Mt) il P</w:t>
      </w:r>
      <w:r w:rsidR="00FC365E">
        <w:rPr>
          <w:rFonts w:ascii="Arial" w:hAnsi="Arial" w:cs="Arial"/>
          <w:sz w:val="22"/>
          <w:szCs w:val="22"/>
        </w:rPr>
        <w:t xml:space="preserve">aese in cui si </w:t>
      </w:r>
      <w:r w:rsidR="004F64AB">
        <w:rPr>
          <w:rFonts w:ascii="Arial" w:hAnsi="Arial" w:cs="Arial"/>
          <w:sz w:val="22"/>
          <w:szCs w:val="22"/>
        </w:rPr>
        <w:t xml:space="preserve">sono estratte </w:t>
      </w:r>
      <w:r w:rsidR="00FC365E">
        <w:rPr>
          <w:rFonts w:ascii="Arial" w:hAnsi="Arial" w:cs="Arial"/>
          <w:sz w:val="22"/>
          <w:szCs w:val="22"/>
        </w:rPr>
        <w:t xml:space="preserve">e </w:t>
      </w:r>
      <w:r w:rsidR="004F64AB">
        <w:rPr>
          <w:rFonts w:ascii="Arial" w:hAnsi="Arial" w:cs="Arial"/>
          <w:sz w:val="22"/>
          <w:szCs w:val="22"/>
        </w:rPr>
        <w:t xml:space="preserve">valorizzate </w:t>
      </w:r>
      <w:r w:rsidR="00FC365E">
        <w:rPr>
          <w:rFonts w:ascii="Arial" w:hAnsi="Arial" w:cs="Arial"/>
          <w:sz w:val="22"/>
          <w:szCs w:val="22"/>
        </w:rPr>
        <w:t>economicamente, o “consuma</w:t>
      </w:r>
      <w:r w:rsidR="004F64AB">
        <w:rPr>
          <w:rFonts w:ascii="Arial" w:hAnsi="Arial" w:cs="Arial"/>
          <w:sz w:val="22"/>
          <w:szCs w:val="22"/>
        </w:rPr>
        <w:t>te</w:t>
      </w:r>
      <w:r w:rsidR="00FC365E">
        <w:rPr>
          <w:rFonts w:ascii="Arial" w:hAnsi="Arial" w:cs="Arial"/>
          <w:sz w:val="22"/>
          <w:szCs w:val="22"/>
        </w:rPr>
        <w:t>”, le maggiori quantità di risorse materiali, seguita dalla Francia (760 Mt) e dalla Polonia</w:t>
      </w:r>
      <w:r w:rsidR="00590CA8">
        <w:rPr>
          <w:rFonts w:ascii="Arial" w:hAnsi="Arial" w:cs="Arial"/>
          <w:sz w:val="22"/>
          <w:szCs w:val="22"/>
        </w:rPr>
        <w:t xml:space="preserve"> (</w:t>
      </w:r>
      <w:r w:rsidR="006A48F9">
        <w:rPr>
          <w:rFonts w:ascii="Arial" w:hAnsi="Arial" w:cs="Arial"/>
          <w:sz w:val="22"/>
          <w:szCs w:val="22"/>
        </w:rPr>
        <w:t>674Mt)</w:t>
      </w:r>
      <w:r w:rsidR="00FC365E">
        <w:rPr>
          <w:rFonts w:ascii="Arial" w:hAnsi="Arial" w:cs="Arial"/>
          <w:sz w:val="22"/>
          <w:szCs w:val="22"/>
        </w:rPr>
        <w:t xml:space="preserve">. </w:t>
      </w:r>
      <w:r>
        <w:rPr>
          <w:rFonts w:ascii="Arial" w:hAnsi="Arial" w:cs="Arial"/>
          <w:sz w:val="22"/>
          <w:szCs w:val="22"/>
        </w:rPr>
        <w:t>I</w:t>
      </w:r>
      <w:r w:rsidR="00CE57E3">
        <w:rPr>
          <w:rFonts w:ascii="Arial" w:hAnsi="Arial" w:cs="Arial"/>
          <w:sz w:val="22"/>
          <w:szCs w:val="22"/>
        </w:rPr>
        <w:t xml:space="preserve"> combustibili fossili dominano il </w:t>
      </w:r>
      <w:r w:rsidR="00CE57E3" w:rsidRPr="00A027C8">
        <w:rPr>
          <w:rFonts w:ascii="Arial" w:hAnsi="Arial" w:cs="Arial"/>
          <w:i/>
          <w:sz w:val="22"/>
          <w:szCs w:val="22"/>
        </w:rPr>
        <w:t>P</w:t>
      </w:r>
      <w:r w:rsidR="006944B9" w:rsidRPr="00A027C8">
        <w:rPr>
          <w:rFonts w:ascii="Arial" w:hAnsi="Arial" w:cs="Arial"/>
          <w:i/>
          <w:sz w:val="22"/>
          <w:szCs w:val="22"/>
        </w:rPr>
        <w:t>tb</w:t>
      </w:r>
      <w:r w:rsidR="00CE57E3">
        <w:rPr>
          <w:rFonts w:ascii="Arial" w:hAnsi="Arial" w:cs="Arial"/>
          <w:sz w:val="22"/>
          <w:szCs w:val="22"/>
        </w:rPr>
        <w:t xml:space="preserve"> di tutti i </w:t>
      </w:r>
      <w:r w:rsidR="00AB26EB">
        <w:rPr>
          <w:rFonts w:ascii="Arial" w:hAnsi="Arial" w:cs="Arial"/>
          <w:sz w:val="22"/>
          <w:szCs w:val="22"/>
        </w:rPr>
        <w:t>P</w:t>
      </w:r>
      <w:r w:rsidR="00CE57E3">
        <w:rPr>
          <w:rFonts w:ascii="Arial" w:hAnsi="Arial" w:cs="Arial"/>
          <w:sz w:val="22"/>
          <w:szCs w:val="22"/>
        </w:rPr>
        <w:t xml:space="preserve">aesi, i minerali non metalliferi </w:t>
      </w:r>
      <w:r w:rsidR="00AE643F">
        <w:rPr>
          <w:rFonts w:ascii="Arial" w:hAnsi="Arial" w:cs="Arial"/>
          <w:sz w:val="22"/>
          <w:szCs w:val="22"/>
        </w:rPr>
        <w:t xml:space="preserve">e le biomasse </w:t>
      </w:r>
      <w:r w:rsidR="00CE57E3">
        <w:rPr>
          <w:rFonts w:ascii="Arial" w:hAnsi="Arial" w:cs="Arial"/>
          <w:sz w:val="22"/>
          <w:szCs w:val="22"/>
        </w:rPr>
        <w:t xml:space="preserve">la </w:t>
      </w:r>
      <w:r w:rsidR="00590CA8">
        <w:rPr>
          <w:rFonts w:ascii="Arial" w:hAnsi="Arial" w:cs="Arial"/>
          <w:sz w:val="22"/>
          <w:szCs w:val="22"/>
        </w:rPr>
        <w:t>Ei</w:t>
      </w:r>
      <w:r w:rsidR="00CE57E3">
        <w:rPr>
          <w:rFonts w:ascii="Arial" w:hAnsi="Arial" w:cs="Arial"/>
          <w:sz w:val="22"/>
          <w:szCs w:val="22"/>
        </w:rPr>
        <w:t>.</w:t>
      </w:r>
      <w:r w:rsidR="00FC365E">
        <w:rPr>
          <w:rFonts w:ascii="Arial" w:hAnsi="Arial" w:cs="Arial"/>
          <w:sz w:val="22"/>
          <w:szCs w:val="22"/>
        </w:rPr>
        <w:t xml:space="preserve"> </w:t>
      </w:r>
    </w:p>
    <w:p w14:paraId="523D00CE" w14:textId="55A2984B" w:rsidR="00FA0AA4" w:rsidRDefault="008F254E" w:rsidP="0065677D">
      <w:pPr>
        <w:spacing w:after="120"/>
        <w:jc w:val="both"/>
        <w:rPr>
          <w:rFonts w:ascii="Arial" w:hAnsi="Arial" w:cs="Arial"/>
          <w:sz w:val="22"/>
          <w:szCs w:val="22"/>
        </w:rPr>
      </w:pPr>
      <w:r>
        <w:rPr>
          <w:rFonts w:ascii="Arial" w:hAnsi="Arial" w:cs="Arial"/>
          <w:sz w:val="22"/>
          <w:szCs w:val="22"/>
        </w:rPr>
        <w:t xml:space="preserve">Il </w:t>
      </w:r>
      <w:r w:rsidRPr="00A027C8">
        <w:rPr>
          <w:rFonts w:ascii="Arial" w:hAnsi="Arial" w:cs="Arial"/>
          <w:i/>
          <w:sz w:val="22"/>
          <w:szCs w:val="22"/>
        </w:rPr>
        <w:t>Dmc</w:t>
      </w:r>
      <w:r>
        <w:rPr>
          <w:rFonts w:ascii="Arial" w:hAnsi="Arial" w:cs="Arial"/>
          <w:sz w:val="22"/>
          <w:szCs w:val="22"/>
        </w:rPr>
        <w:t xml:space="preserve"> per abitante di t</w:t>
      </w:r>
      <w:r w:rsidR="00476992">
        <w:rPr>
          <w:rFonts w:ascii="Arial" w:hAnsi="Arial" w:cs="Arial"/>
          <w:sz w:val="22"/>
          <w:szCs w:val="22"/>
        </w:rPr>
        <w:t xml:space="preserve">utte le maggiori economie europee </w:t>
      </w:r>
      <w:r>
        <w:rPr>
          <w:rFonts w:ascii="Arial" w:hAnsi="Arial" w:cs="Arial"/>
          <w:sz w:val="22"/>
          <w:szCs w:val="22"/>
        </w:rPr>
        <w:t xml:space="preserve">è stato </w:t>
      </w:r>
      <w:r w:rsidR="00476992">
        <w:rPr>
          <w:rFonts w:ascii="Arial" w:hAnsi="Arial" w:cs="Arial"/>
          <w:sz w:val="22"/>
          <w:szCs w:val="22"/>
        </w:rPr>
        <w:t>inferiore a quello medio della Ue</w:t>
      </w:r>
      <w:r w:rsidR="009A5D48">
        <w:rPr>
          <w:rFonts w:ascii="Arial" w:hAnsi="Arial" w:cs="Arial"/>
          <w:sz w:val="22"/>
          <w:szCs w:val="22"/>
        </w:rPr>
        <w:t>27</w:t>
      </w:r>
      <w:r w:rsidR="00476992">
        <w:rPr>
          <w:rFonts w:ascii="Arial" w:hAnsi="Arial" w:cs="Arial"/>
          <w:sz w:val="22"/>
          <w:szCs w:val="22"/>
        </w:rPr>
        <w:t xml:space="preserve"> (14,2</w:t>
      </w:r>
      <w:r w:rsidR="00500251">
        <w:rPr>
          <w:rFonts w:ascii="Arial" w:hAnsi="Arial" w:cs="Arial"/>
          <w:sz w:val="22"/>
          <w:szCs w:val="22"/>
        </w:rPr>
        <w:t xml:space="preserve"> </w:t>
      </w:r>
      <w:r w:rsidR="00476992">
        <w:rPr>
          <w:rFonts w:ascii="Arial" w:hAnsi="Arial" w:cs="Arial"/>
          <w:sz w:val="22"/>
          <w:szCs w:val="22"/>
        </w:rPr>
        <w:t xml:space="preserve">t.). </w:t>
      </w:r>
      <w:r>
        <w:rPr>
          <w:rFonts w:ascii="Arial" w:hAnsi="Arial" w:cs="Arial"/>
          <w:sz w:val="22"/>
          <w:szCs w:val="22"/>
        </w:rPr>
        <w:t xml:space="preserve">Il </w:t>
      </w:r>
      <w:r w:rsidRPr="00A027C8">
        <w:rPr>
          <w:rFonts w:ascii="Arial" w:hAnsi="Arial" w:cs="Arial"/>
          <w:i/>
          <w:sz w:val="22"/>
          <w:szCs w:val="22"/>
        </w:rPr>
        <w:t>Dmc</w:t>
      </w:r>
      <w:r>
        <w:rPr>
          <w:rFonts w:ascii="Arial" w:hAnsi="Arial" w:cs="Arial"/>
          <w:sz w:val="22"/>
          <w:szCs w:val="22"/>
        </w:rPr>
        <w:t xml:space="preserve"> pro</w:t>
      </w:r>
      <w:r w:rsidR="0000351A">
        <w:rPr>
          <w:rFonts w:ascii="Arial" w:hAnsi="Arial" w:cs="Arial"/>
          <w:sz w:val="22"/>
          <w:szCs w:val="22"/>
        </w:rPr>
        <w:t xml:space="preserve"> </w:t>
      </w:r>
      <w:r>
        <w:rPr>
          <w:rFonts w:ascii="Arial" w:hAnsi="Arial" w:cs="Arial"/>
          <w:sz w:val="22"/>
          <w:szCs w:val="22"/>
        </w:rPr>
        <w:t>capite dell’Italia</w:t>
      </w:r>
      <w:r w:rsidR="0063513B">
        <w:rPr>
          <w:rFonts w:ascii="Arial" w:hAnsi="Arial" w:cs="Arial"/>
          <w:sz w:val="22"/>
          <w:szCs w:val="22"/>
        </w:rPr>
        <w:t>, pari a</w:t>
      </w:r>
      <w:r w:rsidR="003170BE">
        <w:rPr>
          <w:rFonts w:ascii="Arial" w:hAnsi="Arial" w:cs="Arial"/>
          <w:sz w:val="22"/>
          <w:szCs w:val="22"/>
        </w:rPr>
        <w:t xml:space="preserve"> 8,</w:t>
      </w:r>
      <w:r>
        <w:rPr>
          <w:rFonts w:ascii="Arial" w:hAnsi="Arial" w:cs="Arial"/>
          <w:sz w:val="22"/>
          <w:szCs w:val="22"/>
        </w:rPr>
        <w:t>7</w:t>
      </w:r>
      <w:r w:rsidR="003170BE">
        <w:rPr>
          <w:rFonts w:ascii="Arial" w:hAnsi="Arial" w:cs="Arial"/>
          <w:sz w:val="22"/>
          <w:szCs w:val="22"/>
        </w:rPr>
        <w:t xml:space="preserve"> tonnellate, </w:t>
      </w:r>
      <w:r w:rsidR="00476992">
        <w:rPr>
          <w:rFonts w:ascii="Arial" w:hAnsi="Arial" w:cs="Arial"/>
          <w:sz w:val="22"/>
          <w:szCs w:val="22"/>
        </w:rPr>
        <w:t xml:space="preserve">è </w:t>
      </w:r>
      <w:r>
        <w:rPr>
          <w:rFonts w:ascii="Arial" w:hAnsi="Arial" w:cs="Arial"/>
          <w:sz w:val="22"/>
          <w:szCs w:val="22"/>
        </w:rPr>
        <w:t xml:space="preserve">stato </w:t>
      </w:r>
      <w:r w:rsidR="00476992">
        <w:rPr>
          <w:rFonts w:ascii="Arial" w:hAnsi="Arial" w:cs="Arial"/>
          <w:sz w:val="22"/>
          <w:szCs w:val="22"/>
        </w:rPr>
        <w:t>il più basso</w:t>
      </w:r>
      <w:r>
        <w:rPr>
          <w:rFonts w:ascii="Arial" w:hAnsi="Arial" w:cs="Arial"/>
          <w:sz w:val="22"/>
          <w:szCs w:val="22"/>
        </w:rPr>
        <w:t>, seguito da quello della Spagna (8,8</w:t>
      </w:r>
      <w:r w:rsidR="000E47B1">
        <w:rPr>
          <w:rFonts w:ascii="Arial" w:hAnsi="Arial" w:cs="Arial"/>
          <w:sz w:val="22"/>
          <w:szCs w:val="22"/>
        </w:rPr>
        <w:t xml:space="preserve"> </w:t>
      </w:r>
      <w:r>
        <w:rPr>
          <w:rFonts w:ascii="Arial" w:hAnsi="Arial" w:cs="Arial"/>
          <w:sz w:val="22"/>
          <w:szCs w:val="22"/>
        </w:rPr>
        <w:t>t</w:t>
      </w:r>
      <w:r w:rsidR="000E47B1">
        <w:rPr>
          <w:rFonts w:ascii="Arial" w:hAnsi="Arial" w:cs="Arial"/>
          <w:sz w:val="22"/>
          <w:szCs w:val="22"/>
        </w:rPr>
        <w:t>.</w:t>
      </w:r>
      <w:r>
        <w:rPr>
          <w:rFonts w:ascii="Arial" w:hAnsi="Arial" w:cs="Arial"/>
          <w:sz w:val="22"/>
          <w:szCs w:val="22"/>
        </w:rPr>
        <w:t>), che ha una composizione simile per tipo di materiale</w:t>
      </w:r>
      <w:r w:rsidR="0063513B">
        <w:rPr>
          <w:rFonts w:ascii="Arial" w:hAnsi="Arial" w:cs="Arial"/>
          <w:sz w:val="22"/>
          <w:szCs w:val="22"/>
        </w:rPr>
        <w:t xml:space="preserve">. </w:t>
      </w:r>
      <w:r w:rsidR="00AA3144">
        <w:rPr>
          <w:rFonts w:ascii="Arial" w:hAnsi="Arial" w:cs="Arial"/>
          <w:sz w:val="22"/>
          <w:szCs w:val="22"/>
        </w:rPr>
        <w:t>V</w:t>
      </w:r>
      <w:r w:rsidR="007D51EB">
        <w:rPr>
          <w:rFonts w:ascii="Arial" w:hAnsi="Arial" w:cs="Arial"/>
          <w:sz w:val="22"/>
          <w:szCs w:val="22"/>
        </w:rPr>
        <w:t xml:space="preserve">icino </w:t>
      </w:r>
      <w:r w:rsidR="003170BE">
        <w:rPr>
          <w:rFonts w:ascii="Arial" w:hAnsi="Arial" w:cs="Arial"/>
          <w:sz w:val="22"/>
          <w:szCs w:val="22"/>
        </w:rPr>
        <w:t xml:space="preserve">al </w:t>
      </w:r>
      <w:r w:rsidR="00AA3144">
        <w:rPr>
          <w:rFonts w:ascii="Arial" w:hAnsi="Arial" w:cs="Arial"/>
          <w:sz w:val="22"/>
          <w:szCs w:val="22"/>
        </w:rPr>
        <w:t xml:space="preserve">valore medio della Ue27 </w:t>
      </w:r>
      <w:r w:rsidR="003170BE">
        <w:rPr>
          <w:rFonts w:ascii="Arial" w:hAnsi="Arial" w:cs="Arial"/>
          <w:sz w:val="22"/>
          <w:szCs w:val="22"/>
        </w:rPr>
        <w:t xml:space="preserve">si </w:t>
      </w:r>
      <w:r w:rsidR="00750414">
        <w:rPr>
          <w:rFonts w:ascii="Arial" w:hAnsi="Arial" w:cs="Arial"/>
          <w:sz w:val="22"/>
          <w:szCs w:val="22"/>
        </w:rPr>
        <w:t xml:space="preserve">è </w:t>
      </w:r>
      <w:r w:rsidR="00AA3144">
        <w:rPr>
          <w:rFonts w:ascii="Arial" w:hAnsi="Arial" w:cs="Arial"/>
          <w:sz w:val="22"/>
          <w:szCs w:val="22"/>
        </w:rPr>
        <w:t>colloca</w:t>
      </w:r>
      <w:r w:rsidR="00750414">
        <w:rPr>
          <w:rFonts w:ascii="Arial" w:hAnsi="Arial" w:cs="Arial"/>
          <w:sz w:val="22"/>
          <w:szCs w:val="22"/>
        </w:rPr>
        <w:t>ta</w:t>
      </w:r>
      <w:r w:rsidR="003170BE">
        <w:rPr>
          <w:rFonts w:ascii="Arial" w:hAnsi="Arial" w:cs="Arial"/>
          <w:sz w:val="22"/>
          <w:szCs w:val="22"/>
        </w:rPr>
        <w:t xml:space="preserve"> la Germania (13,6 t</w:t>
      </w:r>
      <w:r w:rsidR="0063513B">
        <w:rPr>
          <w:rFonts w:ascii="Arial" w:hAnsi="Arial" w:cs="Arial"/>
          <w:sz w:val="22"/>
          <w:szCs w:val="22"/>
        </w:rPr>
        <w:t>.</w:t>
      </w:r>
      <w:r w:rsidR="00476992">
        <w:rPr>
          <w:rFonts w:ascii="Arial" w:hAnsi="Arial" w:cs="Arial"/>
          <w:sz w:val="22"/>
          <w:szCs w:val="22"/>
        </w:rPr>
        <w:t>), mentre i</w:t>
      </w:r>
      <w:r w:rsidR="006944B9">
        <w:rPr>
          <w:rFonts w:ascii="Arial" w:hAnsi="Arial" w:cs="Arial"/>
          <w:sz w:val="22"/>
          <w:szCs w:val="22"/>
        </w:rPr>
        <w:t xml:space="preserve">l </w:t>
      </w:r>
      <w:r w:rsidR="00AA3144" w:rsidRPr="00A027C8">
        <w:rPr>
          <w:rFonts w:ascii="Arial" w:hAnsi="Arial" w:cs="Arial"/>
          <w:i/>
          <w:sz w:val="22"/>
          <w:szCs w:val="22"/>
        </w:rPr>
        <w:t>Dmc</w:t>
      </w:r>
      <w:r w:rsidR="00AA3144">
        <w:rPr>
          <w:rFonts w:ascii="Arial" w:hAnsi="Arial" w:cs="Arial"/>
          <w:sz w:val="22"/>
          <w:szCs w:val="22"/>
        </w:rPr>
        <w:t xml:space="preserve"> </w:t>
      </w:r>
      <w:r w:rsidR="006944B9">
        <w:rPr>
          <w:rFonts w:ascii="Arial" w:hAnsi="Arial" w:cs="Arial"/>
          <w:sz w:val="22"/>
          <w:szCs w:val="22"/>
        </w:rPr>
        <w:t>pro</w:t>
      </w:r>
      <w:r w:rsidR="0000351A">
        <w:rPr>
          <w:rFonts w:ascii="Arial" w:hAnsi="Arial" w:cs="Arial"/>
          <w:sz w:val="22"/>
          <w:szCs w:val="22"/>
        </w:rPr>
        <w:t xml:space="preserve"> </w:t>
      </w:r>
      <w:r w:rsidR="006944B9">
        <w:rPr>
          <w:rFonts w:ascii="Arial" w:hAnsi="Arial" w:cs="Arial"/>
          <w:sz w:val="22"/>
          <w:szCs w:val="22"/>
        </w:rPr>
        <w:t>capite</w:t>
      </w:r>
      <w:r w:rsidR="0063513B">
        <w:rPr>
          <w:rFonts w:ascii="Arial" w:hAnsi="Arial" w:cs="Arial"/>
          <w:sz w:val="22"/>
          <w:szCs w:val="22"/>
        </w:rPr>
        <w:t xml:space="preserve"> del</w:t>
      </w:r>
      <w:r w:rsidR="003170BE">
        <w:rPr>
          <w:rFonts w:ascii="Arial" w:hAnsi="Arial" w:cs="Arial"/>
          <w:sz w:val="22"/>
          <w:szCs w:val="22"/>
        </w:rPr>
        <w:t>la Francia</w:t>
      </w:r>
      <w:r w:rsidR="0063513B">
        <w:rPr>
          <w:rFonts w:ascii="Arial" w:hAnsi="Arial" w:cs="Arial"/>
          <w:sz w:val="22"/>
          <w:szCs w:val="22"/>
        </w:rPr>
        <w:t xml:space="preserve"> è </w:t>
      </w:r>
      <w:r w:rsidR="00266185">
        <w:rPr>
          <w:rFonts w:ascii="Arial" w:hAnsi="Arial" w:cs="Arial"/>
          <w:sz w:val="22"/>
          <w:szCs w:val="22"/>
        </w:rPr>
        <w:t xml:space="preserve">stato </w:t>
      </w:r>
      <w:r w:rsidR="0063513B">
        <w:rPr>
          <w:rFonts w:ascii="Arial" w:hAnsi="Arial" w:cs="Arial"/>
          <w:sz w:val="22"/>
          <w:szCs w:val="22"/>
        </w:rPr>
        <w:t>pari a 11,2 t</w:t>
      </w:r>
      <w:r w:rsidR="003126DE">
        <w:rPr>
          <w:rFonts w:ascii="Arial" w:hAnsi="Arial" w:cs="Arial"/>
          <w:sz w:val="22"/>
          <w:szCs w:val="22"/>
        </w:rPr>
        <w:t>.</w:t>
      </w:r>
      <w:r w:rsidR="006944B9">
        <w:rPr>
          <w:rFonts w:ascii="Arial" w:hAnsi="Arial" w:cs="Arial"/>
          <w:sz w:val="22"/>
          <w:szCs w:val="22"/>
        </w:rPr>
        <w:t xml:space="preserve"> </w:t>
      </w:r>
    </w:p>
    <w:p w14:paraId="0FD852EE" w14:textId="2E51BF69" w:rsidR="00FA0AA4" w:rsidRDefault="00FA0AA4" w:rsidP="0065677D">
      <w:pPr>
        <w:spacing w:after="120"/>
        <w:jc w:val="both"/>
        <w:rPr>
          <w:rFonts w:ascii="Arial" w:hAnsi="Arial" w:cs="Arial"/>
          <w:sz w:val="22"/>
          <w:szCs w:val="22"/>
        </w:rPr>
      </w:pPr>
    </w:p>
    <w:p w14:paraId="1E982FCF" w14:textId="79C5F477" w:rsidR="00093816" w:rsidRDefault="00093816" w:rsidP="0065677D">
      <w:pPr>
        <w:spacing w:after="120"/>
        <w:jc w:val="both"/>
        <w:rPr>
          <w:rFonts w:ascii="Arial" w:hAnsi="Arial" w:cs="Arial"/>
          <w:sz w:val="22"/>
          <w:szCs w:val="22"/>
        </w:rPr>
      </w:pPr>
    </w:p>
    <w:p w14:paraId="3A406F65" w14:textId="4791F528" w:rsidR="008F254E" w:rsidRDefault="008F254E" w:rsidP="0065677D">
      <w:pPr>
        <w:spacing w:after="120"/>
        <w:jc w:val="both"/>
        <w:rPr>
          <w:rFonts w:ascii="Arial" w:hAnsi="Arial" w:cs="Arial"/>
          <w:sz w:val="22"/>
          <w:szCs w:val="22"/>
        </w:rPr>
      </w:pPr>
    </w:p>
    <w:p w14:paraId="4576D95F" w14:textId="77777777" w:rsidR="008F254E" w:rsidRPr="00266185" w:rsidRDefault="008F254E" w:rsidP="0065677D">
      <w:pPr>
        <w:spacing w:after="120"/>
        <w:jc w:val="both"/>
        <w:rPr>
          <w:rFonts w:ascii="Arial" w:hAnsi="Arial" w:cs="Arial"/>
          <w:sz w:val="20"/>
          <w:szCs w:val="20"/>
        </w:rPr>
      </w:pPr>
    </w:p>
    <w:p w14:paraId="3ABA0F05" w14:textId="7EC94116" w:rsidR="00093816" w:rsidRDefault="00093816" w:rsidP="0065677D">
      <w:pPr>
        <w:spacing w:after="120"/>
        <w:jc w:val="both"/>
        <w:rPr>
          <w:rFonts w:ascii="Arial" w:hAnsi="Arial" w:cs="Arial"/>
          <w:sz w:val="22"/>
          <w:szCs w:val="22"/>
        </w:rPr>
      </w:pPr>
    </w:p>
    <w:p w14:paraId="011CF8DC" w14:textId="7F151920" w:rsidR="00825867" w:rsidRDefault="00825867" w:rsidP="0065677D">
      <w:pPr>
        <w:spacing w:after="120"/>
        <w:jc w:val="both"/>
        <w:rPr>
          <w:rFonts w:ascii="Arial" w:hAnsi="Arial" w:cs="Arial"/>
          <w:sz w:val="22"/>
          <w:szCs w:val="22"/>
        </w:rPr>
      </w:pPr>
    </w:p>
    <w:p w14:paraId="6771DD14" w14:textId="77777777" w:rsidR="0018360E" w:rsidRDefault="0018360E" w:rsidP="0028066D">
      <w:pPr>
        <w:spacing w:after="40"/>
        <w:jc w:val="both"/>
        <w:rPr>
          <w:rFonts w:ascii="Arial" w:hAnsi="Arial" w:cs="Arial"/>
          <w:sz w:val="22"/>
          <w:szCs w:val="22"/>
        </w:rPr>
      </w:pPr>
    </w:p>
    <w:p w14:paraId="31C51E04" w14:textId="704E0CC5" w:rsidR="005B5197" w:rsidRDefault="00C477E8" w:rsidP="0018360E">
      <w:pPr>
        <w:pStyle w:val="Didascalia"/>
        <w:spacing w:before="0" w:after="60"/>
        <w:ind w:left="0" w:firstLine="0"/>
        <w:rPr>
          <w:rFonts w:ascii="Arial Narrow" w:hAnsi="Arial Narrow"/>
          <w:b w:val="0"/>
          <w:color w:val="1F497D" w:themeColor="text2"/>
          <w:sz w:val="24"/>
          <w:szCs w:val="24"/>
        </w:rPr>
      </w:pPr>
      <w:r w:rsidRPr="00A027C8">
        <w:rPr>
          <w:rFonts w:ascii="Arial Black" w:hAnsi="Arial Black" w:cs="Arial"/>
          <w:iCs/>
          <w:noProof/>
          <w:color w:val="1F497D" w:themeColor="text2"/>
          <w:sz w:val="22"/>
          <w:szCs w:val="24"/>
        </w:rPr>
        <w:t>FIGURA 3</w:t>
      </w:r>
      <w:r w:rsidRPr="00A027C8">
        <w:rPr>
          <w:rFonts w:ascii="Arial Black" w:hAnsi="Arial Black" w:cs="Arial"/>
          <w:iCs/>
          <w:noProof/>
          <w:color w:val="1F497D"/>
          <w:sz w:val="22"/>
          <w:szCs w:val="24"/>
        </w:rPr>
        <w:t>.</w:t>
      </w:r>
      <w:r w:rsidRPr="00A027C8">
        <w:rPr>
          <w:rFonts w:ascii="Arial Narrow" w:hAnsi="Arial Narrow" w:cs="Arial"/>
          <w:iCs/>
          <w:noProof/>
          <w:color w:val="1F497D"/>
          <w:sz w:val="22"/>
          <w:szCs w:val="24"/>
        </w:rPr>
        <w:t xml:space="preserve"> </w:t>
      </w:r>
      <w:r w:rsidRPr="00A027C8">
        <w:rPr>
          <w:rFonts w:ascii="Arial Narrow" w:hAnsi="Arial Narrow" w:cs="Arial"/>
          <w:noProof/>
          <w:color w:val="1F497D"/>
          <w:sz w:val="22"/>
          <w:szCs w:val="24"/>
        </w:rPr>
        <w:t>CONSUMO MATERIALE INTERNO (</w:t>
      </w:r>
      <w:r w:rsidRPr="00A027C8">
        <w:rPr>
          <w:rFonts w:ascii="Arial Narrow" w:hAnsi="Arial Narrow" w:cs="Arial"/>
          <w:i/>
          <w:noProof/>
          <w:color w:val="1F497D"/>
          <w:sz w:val="22"/>
          <w:szCs w:val="24"/>
        </w:rPr>
        <w:t>DMC</w:t>
      </w:r>
      <w:r w:rsidRPr="00A027C8">
        <w:rPr>
          <w:rFonts w:ascii="Arial Narrow" w:hAnsi="Arial Narrow" w:cs="Arial"/>
          <w:noProof/>
          <w:color w:val="1F497D"/>
          <w:sz w:val="22"/>
          <w:szCs w:val="24"/>
        </w:rPr>
        <w:t>) DELL’ITALIA PER PROVENIENZA E TIPO D</w:t>
      </w:r>
      <w:r w:rsidR="006944B9" w:rsidRPr="00A027C8">
        <w:rPr>
          <w:rFonts w:ascii="Arial Narrow" w:hAnsi="Arial Narrow" w:cs="Arial"/>
          <w:noProof/>
          <w:color w:val="1F497D"/>
          <w:sz w:val="22"/>
          <w:szCs w:val="24"/>
        </w:rPr>
        <w:t>I MATERIA</w:t>
      </w:r>
      <w:r w:rsidR="00476992" w:rsidRPr="00A027C8">
        <w:rPr>
          <w:rFonts w:ascii="Arial Narrow" w:hAnsi="Arial Narrow" w:cs="Arial"/>
          <w:noProof/>
          <w:color w:val="1F497D"/>
          <w:sz w:val="22"/>
          <w:szCs w:val="24"/>
        </w:rPr>
        <w:t>LE</w:t>
      </w:r>
      <w:r w:rsidR="00FC18F9">
        <w:rPr>
          <w:rFonts w:ascii="Arial Narrow" w:hAnsi="Arial Narrow" w:cs="Arial"/>
          <w:noProof/>
          <w:color w:val="1F497D"/>
          <w:sz w:val="22"/>
          <w:szCs w:val="24"/>
        </w:rPr>
        <w:t>.</w:t>
      </w:r>
      <w:r w:rsidRPr="00A027C8">
        <w:rPr>
          <w:rFonts w:ascii="Arial Narrow" w:hAnsi="Arial Narrow" w:cs="Arial"/>
          <w:noProof/>
          <w:color w:val="1F497D"/>
          <w:sz w:val="22"/>
          <w:szCs w:val="24"/>
        </w:rPr>
        <w:t xml:space="preserve"> </w:t>
      </w:r>
      <w:r w:rsidR="00093816" w:rsidRPr="00A027C8">
        <w:rPr>
          <w:rFonts w:ascii="Arial Narrow" w:hAnsi="Arial Narrow"/>
          <w:b w:val="0"/>
          <w:color w:val="1F497D" w:themeColor="text2"/>
          <w:sz w:val="20"/>
          <w:szCs w:val="24"/>
        </w:rPr>
        <w:t>A</w:t>
      </w:r>
      <w:r w:rsidRPr="00A027C8">
        <w:rPr>
          <w:rFonts w:ascii="Arial Narrow" w:hAnsi="Arial Narrow"/>
          <w:b w:val="0"/>
          <w:color w:val="1F497D" w:themeColor="text2"/>
          <w:sz w:val="20"/>
          <w:szCs w:val="24"/>
        </w:rPr>
        <w:t>nni 2021-202</w:t>
      </w:r>
      <w:r w:rsidR="00476992" w:rsidRPr="00A027C8">
        <w:rPr>
          <w:rFonts w:ascii="Arial Narrow" w:hAnsi="Arial Narrow"/>
          <w:b w:val="0"/>
          <w:color w:val="1F497D" w:themeColor="text2"/>
          <w:sz w:val="20"/>
          <w:szCs w:val="24"/>
        </w:rPr>
        <w:t>2</w:t>
      </w:r>
      <w:r w:rsidR="00093816" w:rsidRPr="00A027C8">
        <w:rPr>
          <w:rFonts w:ascii="Arial Narrow" w:hAnsi="Arial Narrow"/>
          <w:b w:val="0"/>
          <w:color w:val="1F497D" w:themeColor="text2"/>
          <w:sz w:val="20"/>
          <w:szCs w:val="24"/>
        </w:rPr>
        <w:t>, milioni di tonnellate</w:t>
      </w:r>
      <w:r w:rsidR="00FC18F9">
        <w:rPr>
          <w:rFonts w:ascii="Arial Narrow" w:hAnsi="Arial Narrow"/>
          <w:color w:val="1F497D" w:themeColor="text2"/>
          <w:sz w:val="20"/>
          <w:szCs w:val="24"/>
        </w:rPr>
        <w:t>.</w:t>
      </w:r>
      <w:r w:rsidRPr="00A027C8">
        <w:rPr>
          <w:rFonts w:ascii="Arial Narrow" w:hAnsi="Arial Narrow"/>
          <w:color w:val="1F497D" w:themeColor="text2"/>
          <w:sz w:val="20"/>
          <w:szCs w:val="24"/>
        </w:rPr>
        <w:t xml:space="preserve"> </w:t>
      </w:r>
      <w:r w:rsidRPr="00A027C8">
        <w:rPr>
          <w:rFonts w:ascii="Arial Narrow" w:hAnsi="Arial Narrow" w:cs="Arial"/>
          <w:i/>
          <w:noProof/>
          <w:color w:val="1F497D"/>
          <w:sz w:val="22"/>
          <w:szCs w:val="24"/>
        </w:rPr>
        <w:t>DMC</w:t>
      </w:r>
      <w:r w:rsidRPr="00A027C8">
        <w:rPr>
          <w:rFonts w:ascii="Arial Narrow" w:hAnsi="Arial Narrow" w:cs="Arial"/>
          <w:noProof/>
          <w:color w:val="1F497D"/>
          <w:sz w:val="22"/>
          <w:szCs w:val="24"/>
        </w:rPr>
        <w:t xml:space="preserve"> </w:t>
      </w:r>
      <w:r w:rsidR="006944B9" w:rsidRPr="00A027C8">
        <w:rPr>
          <w:rFonts w:ascii="Arial Narrow" w:hAnsi="Arial Narrow" w:cs="Arial"/>
          <w:noProof/>
          <w:color w:val="1F497D"/>
          <w:sz w:val="22"/>
          <w:szCs w:val="24"/>
        </w:rPr>
        <w:t xml:space="preserve">PRO CAPITE </w:t>
      </w:r>
      <w:r w:rsidR="009A5D48" w:rsidRPr="00A027C8">
        <w:rPr>
          <w:rFonts w:ascii="Arial Narrow" w:hAnsi="Arial Narrow" w:cs="Arial"/>
          <w:noProof/>
          <w:color w:val="1F497D"/>
          <w:sz w:val="22"/>
          <w:szCs w:val="24"/>
        </w:rPr>
        <w:t xml:space="preserve">NELLA </w:t>
      </w:r>
      <w:r w:rsidR="006944B9" w:rsidRPr="00A027C8">
        <w:rPr>
          <w:rFonts w:ascii="Arial Narrow" w:hAnsi="Arial Narrow" w:cs="Arial"/>
          <w:noProof/>
          <w:color w:val="1F497D"/>
          <w:sz w:val="22"/>
          <w:szCs w:val="24"/>
        </w:rPr>
        <w:t>U</w:t>
      </w:r>
      <w:r w:rsidR="009A5D48" w:rsidRPr="00A027C8">
        <w:rPr>
          <w:rFonts w:ascii="Arial Narrow" w:hAnsi="Arial Narrow" w:cs="Arial"/>
          <w:noProof/>
          <w:color w:val="1F497D"/>
          <w:sz w:val="22"/>
          <w:szCs w:val="24"/>
        </w:rPr>
        <w:t>E27</w:t>
      </w:r>
      <w:r w:rsidR="006944B9" w:rsidRPr="00A027C8">
        <w:rPr>
          <w:rFonts w:ascii="Arial Narrow" w:hAnsi="Arial Narrow" w:cs="Arial"/>
          <w:noProof/>
          <w:color w:val="1F497D"/>
          <w:sz w:val="22"/>
          <w:szCs w:val="24"/>
        </w:rPr>
        <w:t xml:space="preserve"> E NELLE SUE MAGGIORI ECONOMIE</w:t>
      </w:r>
      <w:r w:rsidR="00FC18F9">
        <w:rPr>
          <w:rFonts w:ascii="Arial Narrow" w:hAnsi="Arial Narrow" w:cs="Arial"/>
          <w:noProof/>
          <w:color w:val="1F497D"/>
          <w:sz w:val="22"/>
          <w:szCs w:val="24"/>
        </w:rPr>
        <w:t>.</w:t>
      </w:r>
      <w:r w:rsidR="00093816" w:rsidRPr="00A027C8">
        <w:rPr>
          <w:rFonts w:ascii="Arial Narrow" w:hAnsi="Arial Narrow" w:cs="Arial"/>
          <w:b w:val="0"/>
          <w:noProof/>
          <w:color w:val="1F497D"/>
          <w:sz w:val="22"/>
          <w:szCs w:val="24"/>
        </w:rPr>
        <w:t xml:space="preserve"> </w:t>
      </w:r>
      <w:r w:rsidR="00CA39BA">
        <w:rPr>
          <w:rFonts w:ascii="Arial Narrow" w:hAnsi="Arial Narrow" w:cs="Arial"/>
          <w:b w:val="0"/>
          <w:noProof/>
          <w:color w:val="1F497D"/>
          <w:sz w:val="22"/>
          <w:szCs w:val="24"/>
        </w:rPr>
        <w:br/>
      </w:r>
      <w:r w:rsidR="00960F94" w:rsidRPr="00A027C8">
        <w:rPr>
          <w:rFonts w:ascii="Arial Narrow" w:hAnsi="Arial Narrow"/>
          <w:b w:val="0"/>
          <w:color w:val="1F497D" w:themeColor="text2"/>
          <w:sz w:val="20"/>
          <w:szCs w:val="24"/>
        </w:rPr>
        <w:t xml:space="preserve">Anno </w:t>
      </w:r>
      <w:r w:rsidRPr="00A027C8">
        <w:rPr>
          <w:rFonts w:ascii="Arial Narrow" w:hAnsi="Arial Narrow"/>
          <w:b w:val="0"/>
          <w:color w:val="1F497D" w:themeColor="text2"/>
          <w:sz w:val="20"/>
          <w:szCs w:val="24"/>
        </w:rPr>
        <w:t>2022</w:t>
      </w:r>
      <w:r w:rsidR="00093816" w:rsidRPr="00A027C8">
        <w:rPr>
          <w:rFonts w:ascii="Arial Narrow" w:hAnsi="Arial Narrow"/>
          <w:b w:val="0"/>
          <w:color w:val="1F497D" w:themeColor="text2"/>
          <w:sz w:val="20"/>
          <w:szCs w:val="24"/>
        </w:rPr>
        <w:t>,</w:t>
      </w:r>
      <w:r w:rsidR="006944B9" w:rsidRPr="00A027C8">
        <w:rPr>
          <w:rFonts w:ascii="Arial Narrow" w:hAnsi="Arial Narrow"/>
          <w:b w:val="0"/>
          <w:color w:val="1F497D" w:themeColor="text2"/>
          <w:sz w:val="20"/>
          <w:szCs w:val="24"/>
        </w:rPr>
        <w:t xml:space="preserve"> tonnellate</w:t>
      </w:r>
    </w:p>
    <w:p w14:paraId="001B2CC6" w14:textId="50561C4F" w:rsidR="00F93BB8" w:rsidRPr="00A027C8" w:rsidRDefault="006B6841" w:rsidP="00A027C8">
      <w:r>
        <w:rPr>
          <w:noProof/>
        </w:rPr>
        <mc:AlternateContent>
          <mc:Choice Requires="wps">
            <w:drawing>
              <wp:anchor distT="45720" distB="45720" distL="114300" distR="114300" simplePos="0" relativeHeight="251663360" behindDoc="0" locked="0" layoutInCell="1" allowOverlap="1" wp14:anchorId="21074C40" wp14:editId="1A4D61CE">
                <wp:simplePos x="0" y="0"/>
                <wp:positionH relativeFrom="column">
                  <wp:posOffset>-11512</wp:posOffset>
                </wp:positionH>
                <wp:positionV relativeFrom="paragraph">
                  <wp:posOffset>5388</wp:posOffset>
                </wp:positionV>
                <wp:extent cx="1067681" cy="140462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681" cy="1404620"/>
                        </a:xfrm>
                        <a:prstGeom prst="rect">
                          <a:avLst/>
                        </a:prstGeom>
                        <a:noFill/>
                        <a:ln w="9525">
                          <a:noFill/>
                          <a:miter lim="800000"/>
                          <a:headEnd/>
                          <a:tailEnd/>
                        </a:ln>
                      </wps:spPr>
                      <wps:txbx>
                        <w:txbxContent>
                          <w:p w14:paraId="3C82FF04" w14:textId="0048901E" w:rsidR="00E108F4" w:rsidRPr="00A027C8" w:rsidRDefault="00E108F4">
                            <w:pPr>
                              <w:rPr>
                                <w:rFonts w:ascii="Arial Narrow" w:hAnsi="Arial Narrow"/>
                                <w:sz w:val="16"/>
                              </w:rPr>
                            </w:pPr>
                            <w:r w:rsidRPr="00A027C8">
                              <w:rPr>
                                <w:rFonts w:ascii="Arial Narrow" w:hAnsi="Arial Narrow"/>
                                <w:sz w:val="16"/>
                              </w:rPr>
                              <w:t>M</w:t>
                            </w:r>
                            <w:r w:rsidRPr="006B6841">
                              <w:rPr>
                                <w:rFonts w:ascii="Arial Narrow" w:hAnsi="Arial Narrow"/>
                                <w:sz w:val="16"/>
                              </w:rPr>
                              <w:t>ilioni di tonnellate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074C40" id="_x0000_t202" coordsize="21600,21600" o:spt="202" path="m,l,21600r21600,l21600,xe">
                <v:stroke joinstyle="miter"/>
                <v:path gradientshapeok="t" o:connecttype="rect"/>
              </v:shapetype>
              <v:shape id="Casella di testo 2" o:spid="_x0000_s1026" type="#_x0000_t202" style="position:absolute;margin-left:-.9pt;margin-top:.4pt;width:84.0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" filled="f" stroked="f">
                <v:textbox style="mso-fit-shape-to-text:t">
                  <w:txbxContent>
                    <w:p w14:paraId="3C82FF04" w14:textId="0048901E" w:rsidR="00E108F4" w:rsidRPr="00A027C8" w:rsidRDefault="00E108F4">
                      <w:pPr>
                        <w:rPr>
                          <w:rFonts w:ascii="Arial Narrow" w:hAnsi="Arial Narrow"/>
                          <w:sz w:val="16"/>
                        </w:rPr>
                      </w:pPr>
                      <w:r w:rsidRPr="00A027C8">
                        <w:rPr>
                          <w:rFonts w:ascii="Arial Narrow" w:hAnsi="Arial Narrow"/>
                          <w:sz w:val="16"/>
                        </w:rPr>
                        <w:t>M</w:t>
                      </w:r>
                      <w:r w:rsidRPr="006B6841">
                        <w:rPr>
                          <w:rFonts w:ascii="Arial Narrow" w:hAnsi="Arial Narrow"/>
                          <w:sz w:val="16"/>
                        </w:rPr>
                        <w:t>ilioni di tonnellate</w:t>
                      </w:r>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2C2F79C7" wp14:editId="23312F7F">
                <wp:simplePos x="0" y="0"/>
                <wp:positionH relativeFrom="column">
                  <wp:posOffset>3239095</wp:posOffset>
                </wp:positionH>
                <wp:positionV relativeFrom="paragraph">
                  <wp:posOffset>5267</wp:posOffset>
                </wp:positionV>
                <wp:extent cx="687122" cy="1404620"/>
                <wp:effectExtent l="0" t="0" r="0" b="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22" cy="1404620"/>
                        </a:xfrm>
                        <a:prstGeom prst="rect">
                          <a:avLst/>
                        </a:prstGeom>
                        <a:noFill/>
                        <a:ln w="9525">
                          <a:noFill/>
                          <a:miter lim="800000"/>
                          <a:headEnd/>
                          <a:tailEnd/>
                        </a:ln>
                      </wps:spPr>
                      <wps:txbx>
                        <w:txbxContent>
                          <w:p w14:paraId="413A1A43" w14:textId="66546D0E" w:rsidR="00E108F4" w:rsidRPr="00A027C8" w:rsidRDefault="00E108F4" w:rsidP="006B6841">
                            <w:pPr>
                              <w:rPr>
                                <w:rFonts w:ascii="Arial Narrow" w:hAnsi="Arial Narrow"/>
                                <w:sz w:val="16"/>
                              </w:rPr>
                            </w:pPr>
                            <w:r>
                              <w:rPr>
                                <w:rFonts w:ascii="Arial Narrow" w:hAnsi="Arial Narrow"/>
                                <w:sz w:val="16"/>
                              </w:rPr>
                              <w:t>Tonnellate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F79C7" id="_x0000_s1027" type="#_x0000_t202" style="position:absolute;margin-left:255.05pt;margin-top:.4pt;width:54.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" filled="f" stroked="f">
                <v:textbox style="mso-fit-shape-to-text:t">
                  <w:txbxContent>
                    <w:p w14:paraId="413A1A43" w14:textId="66546D0E" w:rsidR="00E108F4" w:rsidRPr="00A027C8" w:rsidRDefault="00E108F4" w:rsidP="006B6841">
                      <w:pPr>
                        <w:rPr>
                          <w:rFonts w:ascii="Arial Narrow" w:hAnsi="Arial Narrow"/>
                          <w:sz w:val="16"/>
                        </w:rPr>
                      </w:pPr>
                      <w:r>
                        <w:rPr>
                          <w:rFonts w:ascii="Arial Narrow" w:hAnsi="Arial Narrow"/>
                          <w:sz w:val="16"/>
                        </w:rPr>
                        <w:t>Tonnellate</w:t>
                      </w:r>
                    </w:p>
                  </w:txbxContent>
                </v:textbox>
              </v:shape>
            </w:pict>
          </mc:Fallback>
        </mc:AlternateContent>
      </w:r>
      <w:r w:rsidR="00F93BB8">
        <w:rPr>
          <w:noProof/>
        </w:rPr>
        <w:drawing>
          <wp:inline distT="0" distB="0" distL="0" distR="0" wp14:anchorId="26DB893A" wp14:editId="6E25D5E2">
            <wp:extent cx="3018049" cy="1960880"/>
            <wp:effectExtent l="0" t="0" r="0" b="127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6A50C04B" wp14:editId="0D41710B">
            <wp:extent cx="3271215" cy="1945005"/>
            <wp:effectExtent l="0" t="0" r="5715" b="0"/>
            <wp:docPr id="21"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91C8DC" w14:textId="7AF080B1" w:rsidR="00B415D6" w:rsidRDefault="006B6841" w:rsidP="0018360E">
      <w:pPr>
        <w:spacing w:before="60"/>
        <w:jc w:val="both"/>
        <w:rPr>
          <w:rFonts w:ascii="Arial" w:hAnsi="Arial" w:cs="Arial"/>
          <w:sz w:val="15"/>
          <w:szCs w:val="15"/>
        </w:rPr>
      </w:pPr>
      <w:r>
        <w:rPr>
          <w:noProof/>
        </w:rPr>
        <w:drawing>
          <wp:anchor distT="0" distB="0" distL="114300" distR="114300" simplePos="0" relativeHeight="251661312" behindDoc="0" locked="0" layoutInCell="1" allowOverlap="1" wp14:anchorId="731E9F4C" wp14:editId="64346695">
            <wp:simplePos x="0" y="0"/>
            <wp:positionH relativeFrom="column">
              <wp:posOffset>-940</wp:posOffset>
            </wp:positionH>
            <wp:positionV relativeFrom="paragraph">
              <wp:posOffset>34639</wp:posOffset>
            </wp:positionV>
            <wp:extent cx="6219107" cy="216707"/>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31112" cy="217125"/>
                    </a:xfrm>
                    <a:prstGeom prst="rect">
                      <a:avLst/>
                    </a:prstGeom>
                  </pic:spPr>
                </pic:pic>
              </a:graphicData>
            </a:graphic>
            <wp14:sizeRelH relativeFrom="margin">
              <wp14:pctWidth>0</wp14:pctWidth>
            </wp14:sizeRelH>
            <wp14:sizeRelV relativeFrom="margin">
              <wp14:pctHeight>0</wp14:pctHeight>
            </wp14:sizeRelV>
          </wp:anchor>
        </w:drawing>
      </w:r>
    </w:p>
    <w:p w14:paraId="1CF2F097" w14:textId="77777777" w:rsidR="006B6841" w:rsidRPr="00A027C8" w:rsidRDefault="006B6841" w:rsidP="0018360E">
      <w:pPr>
        <w:spacing w:before="60"/>
        <w:jc w:val="both"/>
        <w:rPr>
          <w:rFonts w:ascii="Arial" w:hAnsi="Arial" w:cs="Arial"/>
          <w:sz w:val="5"/>
          <w:szCs w:val="15"/>
        </w:rPr>
      </w:pPr>
    </w:p>
    <w:p w14:paraId="4E2F6BE9" w14:textId="649400E3" w:rsidR="00B85BE8" w:rsidRDefault="00401B84" w:rsidP="0018360E">
      <w:pPr>
        <w:spacing w:before="60"/>
        <w:jc w:val="both"/>
        <w:rPr>
          <w:rFonts w:ascii="Arial" w:hAnsi="Arial" w:cs="Arial"/>
          <w:sz w:val="15"/>
          <w:szCs w:val="15"/>
        </w:rPr>
      </w:pPr>
      <w:r w:rsidRPr="00A027C8">
        <w:rPr>
          <w:rFonts w:ascii="Arial" w:hAnsi="Arial" w:cs="Arial"/>
          <w:sz w:val="13"/>
          <w:szCs w:val="15"/>
        </w:rPr>
        <w:t>Legenda:</w:t>
      </w:r>
      <w:r w:rsidRPr="00A027C8">
        <w:rPr>
          <w:rFonts w:ascii="Arial" w:hAnsi="Arial" w:cs="Arial"/>
          <w:sz w:val="13"/>
          <w:szCs w:val="15"/>
        </w:rPr>
        <w:tab/>
        <w:t xml:space="preserve">Ei: Estrazione interna; </w:t>
      </w:r>
      <w:r w:rsidRPr="00A027C8">
        <w:rPr>
          <w:rFonts w:ascii="Arial" w:hAnsi="Arial" w:cs="Arial"/>
          <w:i/>
          <w:sz w:val="13"/>
          <w:szCs w:val="15"/>
        </w:rPr>
        <w:t>Ptb</w:t>
      </w:r>
      <w:r w:rsidRPr="00A027C8">
        <w:rPr>
          <w:rFonts w:ascii="Arial" w:hAnsi="Arial" w:cs="Arial"/>
          <w:sz w:val="13"/>
          <w:szCs w:val="15"/>
        </w:rPr>
        <w:t xml:space="preserve">: </w:t>
      </w:r>
      <w:r w:rsidRPr="00A027C8">
        <w:rPr>
          <w:rFonts w:ascii="Arial" w:hAnsi="Arial" w:cs="Arial"/>
          <w:i/>
          <w:sz w:val="13"/>
          <w:szCs w:val="15"/>
        </w:rPr>
        <w:t>Physical</w:t>
      </w:r>
      <w:r w:rsidRPr="00A027C8">
        <w:rPr>
          <w:rFonts w:ascii="Arial" w:hAnsi="Arial" w:cs="Arial"/>
          <w:sz w:val="13"/>
          <w:szCs w:val="15"/>
        </w:rPr>
        <w:t xml:space="preserve"> </w:t>
      </w:r>
      <w:r w:rsidRPr="00A027C8">
        <w:rPr>
          <w:rFonts w:ascii="Arial" w:hAnsi="Arial" w:cs="Arial"/>
          <w:i/>
          <w:sz w:val="13"/>
          <w:szCs w:val="15"/>
        </w:rPr>
        <w:t>trade</w:t>
      </w:r>
      <w:r w:rsidRPr="00A027C8">
        <w:rPr>
          <w:rFonts w:ascii="Arial" w:hAnsi="Arial" w:cs="Arial"/>
          <w:sz w:val="13"/>
          <w:szCs w:val="15"/>
        </w:rPr>
        <w:t xml:space="preserve"> </w:t>
      </w:r>
      <w:r w:rsidRPr="00A027C8">
        <w:rPr>
          <w:rFonts w:ascii="Arial" w:hAnsi="Arial" w:cs="Arial"/>
          <w:i/>
          <w:sz w:val="13"/>
          <w:szCs w:val="15"/>
        </w:rPr>
        <w:t>balance</w:t>
      </w:r>
      <w:r w:rsidRPr="00A027C8">
        <w:rPr>
          <w:rFonts w:ascii="Arial" w:hAnsi="Arial" w:cs="Arial"/>
          <w:sz w:val="13"/>
          <w:szCs w:val="15"/>
        </w:rPr>
        <w:t xml:space="preserve"> (Bilancia commerciale fisica); </w:t>
      </w:r>
      <w:r w:rsidRPr="00A027C8">
        <w:rPr>
          <w:rFonts w:ascii="Arial" w:hAnsi="Arial" w:cs="Arial"/>
          <w:i/>
          <w:sz w:val="13"/>
          <w:szCs w:val="15"/>
        </w:rPr>
        <w:t>Dmc</w:t>
      </w:r>
      <w:r w:rsidRPr="00A027C8">
        <w:rPr>
          <w:rFonts w:ascii="Arial" w:hAnsi="Arial" w:cs="Arial"/>
          <w:sz w:val="13"/>
          <w:szCs w:val="15"/>
        </w:rPr>
        <w:t xml:space="preserve">: </w:t>
      </w:r>
      <w:r w:rsidRPr="00A027C8">
        <w:rPr>
          <w:rFonts w:ascii="Arial" w:hAnsi="Arial" w:cs="Arial"/>
          <w:i/>
          <w:sz w:val="13"/>
          <w:szCs w:val="15"/>
        </w:rPr>
        <w:t>Domestic</w:t>
      </w:r>
      <w:r w:rsidRPr="00A027C8">
        <w:rPr>
          <w:rFonts w:ascii="Arial" w:hAnsi="Arial" w:cs="Arial"/>
          <w:sz w:val="13"/>
          <w:szCs w:val="15"/>
        </w:rPr>
        <w:t xml:space="preserve"> </w:t>
      </w:r>
      <w:r w:rsidRPr="00A027C8">
        <w:rPr>
          <w:rFonts w:ascii="Arial" w:hAnsi="Arial" w:cs="Arial"/>
          <w:i/>
          <w:sz w:val="13"/>
          <w:szCs w:val="15"/>
        </w:rPr>
        <w:t>material</w:t>
      </w:r>
      <w:r w:rsidRPr="00A027C8">
        <w:rPr>
          <w:rFonts w:ascii="Arial" w:hAnsi="Arial" w:cs="Arial"/>
          <w:sz w:val="13"/>
          <w:szCs w:val="15"/>
        </w:rPr>
        <w:t xml:space="preserve"> </w:t>
      </w:r>
      <w:r w:rsidRPr="00A027C8">
        <w:rPr>
          <w:rFonts w:ascii="Arial" w:hAnsi="Arial" w:cs="Arial"/>
          <w:i/>
          <w:sz w:val="13"/>
          <w:szCs w:val="15"/>
        </w:rPr>
        <w:t>consumption</w:t>
      </w:r>
      <w:r w:rsidRPr="00A027C8">
        <w:rPr>
          <w:rFonts w:ascii="Arial" w:hAnsi="Arial" w:cs="Arial"/>
          <w:sz w:val="13"/>
          <w:szCs w:val="15"/>
        </w:rPr>
        <w:t xml:space="preserve"> (Consumo materiale interno). </w:t>
      </w:r>
      <w:r w:rsidR="00152D3E" w:rsidRPr="00A027C8">
        <w:rPr>
          <w:rFonts w:ascii="Arial" w:hAnsi="Arial" w:cs="Arial"/>
          <w:sz w:val="13"/>
          <w:szCs w:val="15"/>
        </w:rPr>
        <w:t>Fonte: Istat, Conti ambientali - Conti dei flussi di materia a livello di intera economia</w:t>
      </w:r>
      <w:r w:rsidR="005367A2" w:rsidRPr="00A027C8">
        <w:rPr>
          <w:rFonts w:ascii="Arial" w:hAnsi="Arial" w:cs="Arial"/>
          <w:sz w:val="13"/>
          <w:szCs w:val="15"/>
        </w:rPr>
        <w:t>; Eurostat</w:t>
      </w:r>
      <w:r w:rsidR="00B85BE8">
        <w:rPr>
          <w:rFonts w:ascii="Arial" w:hAnsi="Arial" w:cs="Arial"/>
          <w:sz w:val="15"/>
          <w:szCs w:val="15"/>
        </w:rPr>
        <w:br w:type="page"/>
      </w:r>
    </w:p>
    <w:p w14:paraId="34520B7D" w14:textId="77777777" w:rsidR="001502A1" w:rsidRPr="009F60CF" w:rsidRDefault="001502A1" w:rsidP="009F60CF"/>
    <w:p w14:paraId="25A58AD9" w14:textId="77777777" w:rsidR="00060B68" w:rsidRPr="00060B68" w:rsidRDefault="00060B68" w:rsidP="00ED5780">
      <w:pPr>
        <w:pStyle w:val="Titolo2"/>
        <w:rPr>
          <w:rFonts w:ascii="Arial" w:hAnsi="Arial" w:cs="Arial"/>
          <w:b/>
          <w:bCs w:val="0"/>
          <w:i w:val="0"/>
          <w:color w:val="1F497D" w:themeColor="text2"/>
          <w:sz w:val="26"/>
          <w:szCs w:val="26"/>
        </w:rPr>
      </w:pPr>
      <w:r w:rsidRPr="00060B68">
        <w:rPr>
          <w:rFonts w:ascii="Arial" w:hAnsi="Arial" w:cs="Arial"/>
          <w:b/>
          <w:bCs w:val="0"/>
          <w:i w:val="0"/>
          <w:color w:val="1F497D" w:themeColor="text2"/>
          <w:sz w:val="26"/>
          <w:szCs w:val="26"/>
        </w:rPr>
        <w:t>Fiscalità ambientale: le imposte sull’energia trainano la ripresa del gettito</w:t>
      </w:r>
    </w:p>
    <w:p w14:paraId="1726FE4A" w14:textId="57E7B57A" w:rsidR="003724C2" w:rsidRDefault="00060B68" w:rsidP="00060B68">
      <w:pPr>
        <w:autoSpaceDE w:val="0"/>
        <w:autoSpaceDN w:val="0"/>
        <w:adjustRightInd w:val="0"/>
        <w:spacing w:after="120"/>
        <w:jc w:val="both"/>
        <w:rPr>
          <w:rFonts w:ascii="Arial" w:hAnsi="Arial" w:cs="Arial"/>
          <w:sz w:val="22"/>
          <w:szCs w:val="22"/>
        </w:rPr>
      </w:pPr>
      <w:r w:rsidRPr="00060B68">
        <w:rPr>
          <w:rFonts w:ascii="Arial" w:hAnsi="Arial" w:cs="Arial"/>
          <w:sz w:val="22"/>
          <w:szCs w:val="22"/>
        </w:rPr>
        <w:t xml:space="preserve">Nel 2023 il gettito delle imposte ambientali in Italia </w:t>
      </w:r>
      <w:r w:rsidR="00A205F2">
        <w:rPr>
          <w:rFonts w:ascii="Arial" w:hAnsi="Arial" w:cs="Arial"/>
          <w:sz w:val="22"/>
          <w:szCs w:val="22"/>
        </w:rPr>
        <w:t xml:space="preserve">è </w:t>
      </w:r>
      <w:r w:rsidR="00003583">
        <w:rPr>
          <w:rFonts w:ascii="Arial" w:hAnsi="Arial" w:cs="Arial"/>
          <w:sz w:val="22"/>
          <w:szCs w:val="22"/>
        </w:rPr>
        <w:t>salito</w:t>
      </w:r>
      <w:r w:rsidR="00003583" w:rsidRPr="00060B68">
        <w:rPr>
          <w:rFonts w:ascii="Arial" w:hAnsi="Arial" w:cs="Arial"/>
          <w:sz w:val="22"/>
          <w:szCs w:val="22"/>
        </w:rPr>
        <w:t xml:space="preserve"> </w:t>
      </w:r>
      <w:r w:rsidRPr="00060B68">
        <w:rPr>
          <w:rFonts w:ascii="Arial" w:hAnsi="Arial" w:cs="Arial"/>
          <w:sz w:val="22"/>
          <w:szCs w:val="22"/>
        </w:rPr>
        <w:t>a 54,2 miliardi di euro, il 19,4% in più rispetto al 2022, anno per il quale si è complessivamente registrato un forte calo (-1</w:t>
      </w:r>
      <w:r w:rsidR="00366A64">
        <w:rPr>
          <w:rFonts w:ascii="Arial" w:hAnsi="Arial" w:cs="Arial"/>
          <w:sz w:val="22"/>
          <w:szCs w:val="22"/>
        </w:rPr>
        <w:t>9</w:t>
      </w:r>
      <w:r w:rsidRPr="00060B68">
        <w:rPr>
          <w:rFonts w:ascii="Arial" w:hAnsi="Arial" w:cs="Arial"/>
          <w:sz w:val="22"/>
          <w:szCs w:val="22"/>
        </w:rPr>
        <w:t>,</w:t>
      </w:r>
      <w:r w:rsidR="00366A64">
        <w:rPr>
          <w:rFonts w:ascii="Arial" w:hAnsi="Arial" w:cs="Arial"/>
          <w:sz w:val="22"/>
          <w:szCs w:val="22"/>
        </w:rPr>
        <w:t>0</w:t>
      </w:r>
      <w:r w:rsidRPr="00060B68">
        <w:rPr>
          <w:rFonts w:ascii="Arial" w:hAnsi="Arial" w:cs="Arial"/>
          <w:sz w:val="22"/>
          <w:szCs w:val="22"/>
        </w:rPr>
        <w:t xml:space="preserve">%) </w:t>
      </w:r>
      <w:r w:rsidR="005A22FE">
        <w:rPr>
          <w:rFonts w:ascii="Arial" w:hAnsi="Arial" w:cs="Arial"/>
          <w:sz w:val="22"/>
          <w:szCs w:val="22"/>
        </w:rPr>
        <w:t>per effetto</w:t>
      </w:r>
      <w:r w:rsidRPr="00060B68">
        <w:rPr>
          <w:rFonts w:ascii="Arial" w:hAnsi="Arial" w:cs="Arial"/>
          <w:sz w:val="22"/>
          <w:szCs w:val="22"/>
        </w:rPr>
        <w:t xml:space="preserve"> del taglio delle accise sui carburanti e </w:t>
      </w:r>
      <w:r w:rsidR="00E066D5">
        <w:rPr>
          <w:rFonts w:ascii="Arial" w:hAnsi="Arial" w:cs="Arial"/>
          <w:sz w:val="22"/>
          <w:szCs w:val="22"/>
        </w:rPr>
        <w:t>del</w:t>
      </w:r>
      <w:r w:rsidRPr="00060B68">
        <w:rPr>
          <w:rFonts w:ascii="Arial" w:hAnsi="Arial" w:cs="Arial"/>
          <w:sz w:val="22"/>
          <w:szCs w:val="22"/>
        </w:rPr>
        <w:t xml:space="preserve">l’azzeramento degli oneri generali del sistema elettrico. </w:t>
      </w:r>
    </w:p>
    <w:p w14:paraId="6F941922" w14:textId="14C9FF7A" w:rsidR="00060B68" w:rsidRPr="00060B68" w:rsidRDefault="003724C2" w:rsidP="00060B68">
      <w:pPr>
        <w:autoSpaceDE w:val="0"/>
        <w:autoSpaceDN w:val="0"/>
        <w:adjustRightInd w:val="0"/>
        <w:spacing w:after="120"/>
        <w:jc w:val="both"/>
        <w:rPr>
          <w:rFonts w:ascii="Arial" w:hAnsi="Arial" w:cs="Arial"/>
          <w:sz w:val="22"/>
          <w:szCs w:val="22"/>
        </w:rPr>
      </w:pPr>
      <w:r>
        <w:rPr>
          <w:rFonts w:ascii="Arial" w:hAnsi="Arial" w:cs="Arial"/>
          <w:sz w:val="22"/>
          <w:szCs w:val="22"/>
          <w:lang w:val="it"/>
        </w:rPr>
        <w:t>L’</w:t>
      </w:r>
      <w:r w:rsidRPr="00060B68">
        <w:rPr>
          <w:rFonts w:ascii="Arial" w:hAnsi="Arial" w:cs="Arial"/>
          <w:sz w:val="22"/>
          <w:szCs w:val="22"/>
          <w:lang w:val="it"/>
        </w:rPr>
        <w:t xml:space="preserve">aumento complessivo delle imposte </w:t>
      </w:r>
      <w:r>
        <w:rPr>
          <w:rFonts w:ascii="Arial" w:hAnsi="Arial" w:cs="Arial"/>
          <w:sz w:val="22"/>
          <w:szCs w:val="22"/>
          <w:lang w:val="it"/>
        </w:rPr>
        <w:t xml:space="preserve">ambientali </w:t>
      </w:r>
      <w:r w:rsidRPr="00060B68">
        <w:rPr>
          <w:rFonts w:ascii="Arial" w:hAnsi="Arial" w:cs="Arial"/>
          <w:sz w:val="22"/>
          <w:szCs w:val="22"/>
          <w:lang w:val="it"/>
        </w:rPr>
        <w:t xml:space="preserve">per l’anno 2023 </w:t>
      </w:r>
      <w:r>
        <w:rPr>
          <w:rFonts w:ascii="Arial" w:hAnsi="Arial" w:cs="Arial"/>
          <w:sz w:val="22"/>
          <w:szCs w:val="22"/>
          <w:lang w:val="it"/>
        </w:rPr>
        <w:t>è</w:t>
      </w:r>
      <w:r w:rsidRPr="00060B68">
        <w:rPr>
          <w:rFonts w:ascii="Arial" w:hAnsi="Arial" w:cs="Arial"/>
          <w:sz w:val="22"/>
          <w:szCs w:val="22"/>
          <w:lang w:val="it"/>
        </w:rPr>
        <w:t xml:space="preserve"> </w:t>
      </w:r>
      <w:r w:rsidR="004F773B">
        <w:rPr>
          <w:rFonts w:ascii="Arial" w:hAnsi="Arial" w:cs="Arial"/>
          <w:sz w:val="22"/>
          <w:szCs w:val="22"/>
          <w:lang w:val="it"/>
        </w:rPr>
        <w:t xml:space="preserve">stato </w:t>
      </w:r>
      <w:r w:rsidRPr="00060B68">
        <w:rPr>
          <w:rFonts w:ascii="Arial" w:hAnsi="Arial" w:cs="Arial"/>
          <w:sz w:val="22"/>
          <w:szCs w:val="22"/>
          <w:lang w:val="it"/>
        </w:rPr>
        <w:t xml:space="preserve">trainato </w:t>
      </w:r>
      <w:r>
        <w:rPr>
          <w:rFonts w:ascii="Arial" w:hAnsi="Arial" w:cs="Arial"/>
          <w:sz w:val="22"/>
          <w:szCs w:val="22"/>
          <w:lang w:val="it"/>
        </w:rPr>
        <w:t>dal</w:t>
      </w:r>
      <w:r w:rsidRPr="00060B68">
        <w:rPr>
          <w:rFonts w:ascii="Arial" w:hAnsi="Arial" w:cs="Arial"/>
          <w:sz w:val="22"/>
          <w:szCs w:val="22"/>
          <w:lang w:val="it"/>
        </w:rPr>
        <w:t xml:space="preserve"> ripristino della normativa precedente il 2022 </w:t>
      </w:r>
      <w:r>
        <w:rPr>
          <w:rFonts w:ascii="Arial" w:hAnsi="Arial" w:cs="Arial"/>
          <w:sz w:val="22"/>
          <w:szCs w:val="22"/>
          <w:lang w:val="it"/>
        </w:rPr>
        <w:t>relativa alle imposte</w:t>
      </w:r>
      <w:r w:rsidRPr="00060B68">
        <w:rPr>
          <w:rFonts w:ascii="Arial" w:hAnsi="Arial" w:cs="Arial"/>
          <w:sz w:val="22"/>
          <w:szCs w:val="22"/>
          <w:lang w:val="it"/>
        </w:rPr>
        <w:t xml:space="preserve"> sull’energia (</w:t>
      </w:r>
      <w:r w:rsidR="004F773B">
        <w:rPr>
          <w:rFonts w:ascii="Arial" w:hAnsi="Arial" w:cs="Arial"/>
          <w:sz w:val="22"/>
          <w:szCs w:val="22"/>
          <w:lang w:val="it"/>
        </w:rPr>
        <w:t xml:space="preserve">in crescita del </w:t>
      </w:r>
      <w:r w:rsidRPr="00060B68">
        <w:rPr>
          <w:rFonts w:ascii="Arial" w:hAnsi="Arial" w:cs="Arial"/>
          <w:sz w:val="22"/>
          <w:szCs w:val="22"/>
          <w:lang w:val="it"/>
        </w:rPr>
        <w:t xml:space="preserve">23,9%), nonostante </w:t>
      </w:r>
      <w:r>
        <w:rPr>
          <w:rFonts w:ascii="Arial" w:hAnsi="Arial" w:cs="Arial"/>
          <w:sz w:val="22"/>
          <w:szCs w:val="22"/>
          <w:lang w:val="it"/>
        </w:rPr>
        <w:t>la forte riduzione dell’</w:t>
      </w:r>
      <w:r w:rsidRPr="00060B68">
        <w:rPr>
          <w:rFonts w:ascii="Arial" w:hAnsi="Arial" w:cs="Arial"/>
          <w:sz w:val="22"/>
          <w:szCs w:val="22"/>
          <w:lang w:val="it"/>
        </w:rPr>
        <w:t>imposta sugli extra profitti legati alla produzione di energia rinnovabile</w:t>
      </w:r>
      <w:r>
        <w:rPr>
          <w:rFonts w:ascii="Arial" w:hAnsi="Arial" w:cs="Arial"/>
          <w:sz w:val="22"/>
          <w:szCs w:val="22"/>
          <w:lang w:val="it"/>
        </w:rPr>
        <w:t xml:space="preserve">, il cui gettito nel 2023 è </w:t>
      </w:r>
      <w:r w:rsidR="004F773B">
        <w:rPr>
          <w:rFonts w:ascii="Arial" w:hAnsi="Arial" w:cs="Arial"/>
          <w:sz w:val="22"/>
          <w:szCs w:val="22"/>
          <w:lang w:val="it"/>
        </w:rPr>
        <w:t xml:space="preserve">stato </w:t>
      </w:r>
      <w:r>
        <w:rPr>
          <w:rFonts w:ascii="Arial" w:hAnsi="Arial" w:cs="Arial"/>
          <w:sz w:val="22"/>
          <w:szCs w:val="22"/>
          <w:lang w:val="it"/>
        </w:rPr>
        <w:t xml:space="preserve">di soli </w:t>
      </w:r>
      <w:r w:rsidRPr="00060B68">
        <w:rPr>
          <w:rFonts w:ascii="Arial" w:hAnsi="Arial" w:cs="Arial"/>
          <w:sz w:val="22"/>
          <w:szCs w:val="22"/>
          <w:lang w:val="it"/>
        </w:rPr>
        <w:t>69 milioni</w:t>
      </w:r>
      <w:r>
        <w:rPr>
          <w:rFonts w:ascii="Arial" w:hAnsi="Arial" w:cs="Arial"/>
          <w:sz w:val="22"/>
          <w:szCs w:val="22"/>
          <w:lang w:val="it"/>
        </w:rPr>
        <w:t xml:space="preserve"> a fronte dei </w:t>
      </w:r>
      <w:r w:rsidRPr="00060B68">
        <w:rPr>
          <w:rFonts w:ascii="Arial" w:hAnsi="Arial" w:cs="Arial"/>
          <w:sz w:val="22"/>
          <w:szCs w:val="22"/>
          <w:lang w:val="it"/>
        </w:rPr>
        <w:t>3,7 miliardi di euro</w:t>
      </w:r>
      <w:r>
        <w:rPr>
          <w:rFonts w:ascii="Arial" w:hAnsi="Arial" w:cs="Arial"/>
          <w:sz w:val="22"/>
          <w:szCs w:val="22"/>
          <w:lang w:val="it"/>
        </w:rPr>
        <w:t xml:space="preserve"> del 2022, anno della sua introduzione</w:t>
      </w:r>
      <w:r w:rsidRPr="00060B68">
        <w:rPr>
          <w:rFonts w:ascii="Arial" w:hAnsi="Arial" w:cs="Arial"/>
          <w:sz w:val="22"/>
          <w:szCs w:val="22"/>
          <w:lang w:val="it"/>
        </w:rPr>
        <w:t>.</w:t>
      </w:r>
      <w:r>
        <w:rPr>
          <w:rFonts w:ascii="Arial" w:hAnsi="Arial" w:cs="Arial"/>
          <w:sz w:val="22"/>
          <w:szCs w:val="22"/>
          <w:lang w:val="it"/>
        </w:rPr>
        <w:t xml:space="preserve"> </w:t>
      </w:r>
      <w:r w:rsidR="00567475">
        <w:rPr>
          <w:rFonts w:ascii="Arial" w:hAnsi="Arial" w:cs="Arial"/>
          <w:sz w:val="22"/>
          <w:szCs w:val="22"/>
        </w:rPr>
        <w:t>I</w:t>
      </w:r>
      <w:r w:rsidR="00060B68" w:rsidRPr="00060B68">
        <w:rPr>
          <w:rFonts w:ascii="Arial" w:hAnsi="Arial" w:cs="Arial"/>
          <w:sz w:val="22"/>
          <w:szCs w:val="22"/>
        </w:rPr>
        <w:t xml:space="preserve">l gettito dell’imposta sugli oli minerali </w:t>
      </w:r>
      <w:r w:rsidR="004F773B">
        <w:rPr>
          <w:rFonts w:ascii="Arial" w:hAnsi="Arial" w:cs="Arial"/>
          <w:sz w:val="22"/>
          <w:szCs w:val="22"/>
        </w:rPr>
        <w:t xml:space="preserve">è </w:t>
      </w:r>
      <w:r w:rsidR="00567475">
        <w:rPr>
          <w:rFonts w:ascii="Arial" w:hAnsi="Arial" w:cs="Arial"/>
          <w:sz w:val="22"/>
          <w:szCs w:val="22"/>
        </w:rPr>
        <w:t>torna</w:t>
      </w:r>
      <w:r w:rsidR="004F773B">
        <w:rPr>
          <w:rFonts w:ascii="Arial" w:hAnsi="Arial" w:cs="Arial"/>
          <w:sz w:val="22"/>
          <w:szCs w:val="22"/>
        </w:rPr>
        <w:t>to</w:t>
      </w:r>
      <w:r w:rsidR="00060B68" w:rsidRPr="00060B68">
        <w:rPr>
          <w:rFonts w:ascii="Arial" w:hAnsi="Arial" w:cs="Arial"/>
          <w:sz w:val="22"/>
          <w:szCs w:val="22"/>
        </w:rPr>
        <w:t xml:space="preserve"> a</w:t>
      </w:r>
      <w:r w:rsidR="00567475">
        <w:rPr>
          <w:rFonts w:ascii="Arial" w:hAnsi="Arial" w:cs="Arial"/>
          <w:sz w:val="22"/>
          <w:szCs w:val="22"/>
        </w:rPr>
        <w:t>i</w:t>
      </w:r>
      <w:r w:rsidR="00060B68" w:rsidRPr="00060B68">
        <w:rPr>
          <w:rFonts w:ascii="Arial" w:hAnsi="Arial" w:cs="Arial"/>
          <w:sz w:val="22"/>
          <w:szCs w:val="22"/>
        </w:rPr>
        <w:t xml:space="preserve"> live</w:t>
      </w:r>
      <w:r w:rsidR="00567475">
        <w:rPr>
          <w:rFonts w:ascii="Arial" w:hAnsi="Arial" w:cs="Arial"/>
          <w:sz w:val="22"/>
          <w:szCs w:val="22"/>
        </w:rPr>
        <w:t xml:space="preserve">lli del 2021 </w:t>
      </w:r>
      <w:r w:rsidR="00060B68" w:rsidRPr="00060B68">
        <w:rPr>
          <w:rFonts w:ascii="Arial" w:hAnsi="Arial" w:cs="Arial"/>
          <w:sz w:val="22"/>
          <w:szCs w:val="22"/>
        </w:rPr>
        <w:t>(25,</w:t>
      </w:r>
      <w:r w:rsidR="00567475">
        <w:rPr>
          <w:rFonts w:ascii="Arial" w:hAnsi="Arial" w:cs="Arial"/>
          <w:sz w:val="22"/>
          <w:szCs w:val="22"/>
        </w:rPr>
        <w:t>7</w:t>
      </w:r>
      <w:r w:rsidR="00060B68" w:rsidRPr="00060B68">
        <w:rPr>
          <w:rFonts w:ascii="Arial" w:hAnsi="Arial" w:cs="Arial"/>
          <w:sz w:val="22"/>
          <w:szCs w:val="22"/>
        </w:rPr>
        <w:t xml:space="preserve"> miliardi rispetto ai 18,1 del 2022)</w:t>
      </w:r>
      <w:r w:rsidR="00567475">
        <w:rPr>
          <w:rFonts w:ascii="Arial" w:hAnsi="Arial" w:cs="Arial"/>
          <w:sz w:val="22"/>
          <w:szCs w:val="22"/>
        </w:rPr>
        <w:t xml:space="preserve"> in</w:t>
      </w:r>
      <w:r w:rsidR="00567475" w:rsidRPr="005A22FE">
        <w:rPr>
          <w:rFonts w:ascii="Arial" w:hAnsi="Arial" w:cs="Arial"/>
          <w:sz w:val="22"/>
          <w:szCs w:val="22"/>
        </w:rPr>
        <w:t xml:space="preserve"> seguito </w:t>
      </w:r>
      <w:r w:rsidR="00567475">
        <w:rPr>
          <w:rFonts w:ascii="Arial" w:hAnsi="Arial" w:cs="Arial"/>
          <w:sz w:val="22"/>
          <w:szCs w:val="22"/>
        </w:rPr>
        <w:t>a</w:t>
      </w:r>
      <w:r w:rsidR="00567475" w:rsidRPr="005A22FE">
        <w:rPr>
          <w:rFonts w:ascii="Arial" w:hAnsi="Arial" w:cs="Arial"/>
          <w:sz w:val="22"/>
          <w:szCs w:val="22"/>
        </w:rPr>
        <w:t>l</w:t>
      </w:r>
      <w:r w:rsidR="00567475">
        <w:rPr>
          <w:rFonts w:ascii="Arial" w:hAnsi="Arial" w:cs="Arial"/>
          <w:sz w:val="22"/>
          <w:szCs w:val="22"/>
        </w:rPr>
        <w:t xml:space="preserve"> ripristino </w:t>
      </w:r>
      <w:r w:rsidR="00567475" w:rsidRPr="005A22FE">
        <w:rPr>
          <w:rFonts w:ascii="Arial" w:hAnsi="Arial" w:cs="Arial"/>
          <w:sz w:val="22"/>
          <w:szCs w:val="22"/>
        </w:rPr>
        <w:t>delle accise</w:t>
      </w:r>
      <w:r w:rsidR="00567475">
        <w:rPr>
          <w:rFonts w:ascii="Arial" w:hAnsi="Arial" w:cs="Arial"/>
          <w:sz w:val="22"/>
          <w:szCs w:val="22"/>
        </w:rPr>
        <w:t>,</w:t>
      </w:r>
      <w:r w:rsidR="00060B68" w:rsidRPr="00060B68">
        <w:rPr>
          <w:rFonts w:ascii="Arial" w:hAnsi="Arial" w:cs="Arial"/>
          <w:sz w:val="22"/>
          <w:szCs w:val="22"/>
        </w:rPr>
        <w:t xml:space="preserve"> mentre la riattivazione</w:t>
      </w:r>
      <w:r w:rsidR="00C74240">
        <w:rPr>
          <w:rFonts w:ascii="Arial" w:hAnsi="Arial" w:cs="Arial"/>
          <w:sz w:val="22"/>
          <w:szCs w:val="22"/>
        </w:rPr>
        <w:t>,</w:t>
      </w:r>
      <w:r w:rsidR="00060B68" w:rsidRPr="00060B68">
        <w:rPr>
          <w:rFonts w:ascii="Arial" w:hAnsi="Arial" w:cs="Arial"/>
          <w:sz w:val="22"/>
          <w:szCs w:val="22"/>
        </w:rPr>
        <w:t xml:space="preserve"> dal II trimestre </w:t>
      </w:r>
      <w:r w:rsidR="00C74240">
        <w:rPr>
          <w:rFonts w:ascii="Arial" w:hAnsi="Arial" w:cs="Arial"/>
          <w:sz w:val="22"/>
          <w:szCs w:val="22"/>
        </w:rPr>
        <w:t>2023,</w:t>
      </w:r>
      <w:r w:rsidR="00C74240" w:rsidRPr="00060B68">
        <w:rPr>
          <w:rFonts w:ascii="Arial" w:hAnsi="Arial" w:cs="Arial"/>
          <w:sz w:val="22"/>
          <w:szCs w:val="22"/>
        </w:rPr>
        <w:t xml:space="preserve"> degli oneri del sistema elettrico </w:t>
      </w:r>
      <w:r w:rsidR="004F773B">
        <w:rPr>
          <w:rFonts w:ascii="Arial" w:hAnsi="Arial" w:cs="Arial"/>
          <w:sz w:val="22"/>
          <w:szCs w:val="22"/>
        </w:rPr>
        <w:t xml:space="preserve">ha </w:t>
      </w:r>
      <w:r w:rsidR="00060B68" w:rsidRPr="00060B68">
        <w:rPr>
          <w:rFonts w:ascii="Arial" w:hAnsi="Arial" w:cs="Arial"/>
          <w:sz w:val="22"/>
          <w:szCs w:val="22"/>
        </w:rPr>
        <w:t>porta</w:t>
      </w:r>
      <w:r w:rsidR="004F773B">
        <w:rPr>
          <w:rFonts w:ascii="Arial" w:hAnsi="Arial" w:cs="Arial"/>
          <w:sz w:val="22"/>
          <w:szCs w:val="22"/>
        </w:rPr>
        <w:t>to</w:t>
      </w:r>
      <w:r w:rsidR="00060B68" w:rsidRPr="00060B68">
        <w:rPr>
          <w:rFonts w:ascii="Arial" w:hAnsi="Arial" w:cs="Arial"/>
          <w:sz w:val="22"/>
          <w:szCs w:val="22"/>
        </w:rPr>
        <w:t xml:space="preserve"> il gettito dell‘imposta sull</w:t>
      </w:r>
      <w:r w:rsidR="00B24221">
        <w:rPr>
          <w:rFonts w:ascii="Arial" w:hAnsi="Arial" w:cs="Arial"/>
          <w:sz w:val="22"/>
          <w:szCs w:val="22"/>
        </w:rPr>
        <w:t>’</w:t>
      </w:r>
      <w:r w:rsidR="00060B68" w:rsidRPr="00060B68">
        <w:rPr>
          <w:rFonts w:ascii="Arial" w:hAnsi="Arial" w:cs="Arial"/>
          <w:sz w:val="22"/>
          <w:szCs w:val="22"/>
        </w:rPr>
        <w:t xml:space="preserve">energia elettrica nel suo complesso a 9,1 miliardi </w:t>
      </w:r>
      <w:r w:rsidR="00B24221">
        <w:rPr>
          <w:rFonts w:ascii="Arial" w:hAnsi="Arial" w:cs="Arial"/>
          <w:sz w:val="22"/>
          <w:szCs w:val="22"/>
        </w:rPr>
        <w:br/>
      </w:r>
      <w:r w:rsidR="00C74240">
        <w:rPr>
          <w:rFonts w:ascii="Arial" w:hAnsi="Arial" w:cs="Arial"/>
          <w:sz w:val="22"/>
          <w:szCs w:val="22"/>
        </w:rPr>
        <w:t>(</w:t>
      </w:r>
      <w:r w:rsidR="00060B68" w:rsidRPr="00060B68">
        <w:rPr>
          <w:rFonts w:ascii="Arial" w:hAnsi="Arial" w:cs="Arial"/>
          <w:sz w:val="22"/>
          <w:szCs w:val="22"/>
        </w:rPr>
        <w:t xml:space="preserve">4,5 </w:t>
      </w:r>
      <w:r w:rsidR="00C74240">
        <w:rPr>
          <w:rFonts w:ascii="Arial" w:hAnsi="Arial" w:cs="Arial"/>
          <w:sz w:val="22"/>
          <w:szCs w:val="22"/>
        </w:rPr>
        <w:t>n</w:t>
      </w:r>
      <w:r w:rsidR="00060B68" w:rsidRPr="00060B68">
        <w:rPr>
          <w:rFonts w:ascii="Arial" w:hAnsi="Arial" w:cs="Arial"/>
          <w:sz w:val="22"/>
          <w:szCs w:val="22"/>
        </w:rPr>
        <w:t>el 2022</w:t>
      </w:r>
      <w:r w:rsidR="00C74240">
        <w:rPr>
          <w:rFonts w:ascii="Arial" w:hAnsi="Arial" w:cs="Arial"/>
          <w:sz w:val="22"/>
          <w:szCs w:val="22"/>
        </w:rPr>
        <w:t>)</w:t>
      </w:r>
      <w:r w:rsidR="00060B68" w:rsidRPr="00060B68">
        <w:rPr>
          <w:rFonts w:ascii="Arial" w:hAnsi="Arial" w:cs="Arial"/>
          <w:sz w:val="22"/>
          <w:szCs w:val="22"/>
        </w:rPr>
        <w:t>.</w:t>
      </w:r>
      <w:r>
        <w:rPr>
          <w:rFonts w:ascii="Arial" w:hAnsi="Arial" w:cs="Arial"/>
          <w:sz w:val="22"/>
          <w:szCs w:val="22"/>
        </w:rPr>
        <w:t xml:space="preserve"> </w:t>
      </w:r>
      <w:r w:rsidR="00543FBE">
        <w:rPr>
          <w:rFonts w:ascii="Arial" w:hAnsi="Arial" w:cs="Arial"/>
          <w:sz w:val="22"/>
          <w:szCs w:val="22"/>
          <w:lang w:val="it"/>
        </w:rPr>
        <w:t>Le imposte</w:t>
      </w:r>
      <w:r w:rsidR="00060B68" w:rsidRPr="00060B68">
        <w:rPr>
          <w:rFonts w:ascii="Arial" w:hAnsi="Arial" w:cs="Arial"/>
          <w:sz w:val="22"/>
          <w:szCs w:val="22"/>
        </w:rPr>
        <w:t xml:space="preserve"> su trasporto e inquinamento hanno contribuito alla crescita complessiva registrando rispettivamente </w:t>
      </w:r>
      <w:r w:rsidR="004F773B">
        <w:rPr>
          <w:rFonts w:ascii="Arial" w:hAnsi="Arial" w:cs="Arial"/>
          <w:sz w:val="22"/>
          <w:szCs w:val="22"/>
        </w:rPr>
        <w:t xml:space="preserve">incrementi del </w:t>
      </w:r>
      <w:r w:rsidR="00060B68" w:rsidRPr="00060B68">
        <w:rPr>
          <w:rFonts w:ascii="Arial" w:hAnsi="Arial" w:cs="Arial"/>
          <w:sz w:val="22"/>
          <w:szCs w:val="22"/>
        </w:rPr>
        <w:t xml:space="preserve">5,9% e </w:t>
      </w:r>
      <w:r w:rsidR="004F773B">
        <w:rPr>
          <w:rFonts w:ascii="Arial" w:hAnsi="Arial" w:cs="Arial"/>
          <w:sz w:val="22"/>
          <w:szCs w:val="22"/>
        </w:rPr>
        <w:t>dell’</w:t>
      </w:r>
      <w:r w:rsidR="00060B68" w:rsidRPr="00060B68">
        <w:rPr>
          <w:rFonts w:ascii="Arial" w:hAnsi="Arial" w:cs="Arial"/>
          <w:sz w:val="22"/>
          <w:szCs w:val="22"/>
        </w:rPr>
        <w:t>1,2%.</w:t>
      </w:r>
    </w:p>
    <w:p w14:paraId="1F9515CE" w14:textId="2BBE14D2" w:rsidR="00060B68" w:rsidRPr="00060B68" w:rsidRDefault="005E5354" w:rsidP="00060B68">
      <w:pPr>
        <w:autoSpaceDE w:val="0"/>
        <w:autoSpaceDN w:val="0"/>
        <w:adjustRightInd w:val="0"/>
        <w:spacing w:after="120"/>
        <w:jc w:val="both"/>
        <w:rPr>
          <w:rFonts w:ascii="Arial" w:hAnsi="Arial" w:cs="Arial"/>
          <w:sz w:val="22"/>
          <w:szCs w:val="22"/>
        </w:rPr>
      </w:pPr>
      <w:r w:rsidRPr="00F0027B">
        <w:rPr>
          <w:rFonts w:ascii="Arial" w:hAnsi="Arial" w:cs="Arial"/>
          <w:sz w:val="22"/>
          <w:szCs w:val="22"/>
          <w:lang w:val="it"/>
        </w:rPr>
        <w:t>Sia l</w:t>
      </w:r>
      <w:r w:rsidR="00060B68" w:rsidRPr="00F0027B">
        <w:rPr>
          <w:rFonts w:ascii="Arial" w:hAnsi="Arial" w:cs="Arial"/>
          <w:sz w:val="22"/>
          <w:szCs w:val="22"/>
          <w:lang w:val="it"/>
        </w:rPr>
        <w:t xml:space="preserve">a quota delle imposte ambientali sul totale delle imposte e contributi sociali </w:t>
      </w:r>
      <w:r w:rsidRPr="00F0027B">
        <w:rPr>
          <w:rFonts w:ascii="Arial" w:hAnsi="Arial" w:cs="Arial"/>
          <w:sz w:val="22"/>
          <w:szCs w:val="22"/>
          <w:lang w:val="it"/>
        </w:rPr>
        <w:t xml:space="preserve">sia l’incidenza del loro gettito sul Pil </w:t>
      </w:r>
      <w:r w:rsidR="00F0027B" w:rsidRPr="00F0027B">
        <w:rPr>
          <w:rFonts w:ascii="Arial" w:hAnsi="Arial" w:cs="Arial"/>
          <w:sz w:val="22"/>
          <w:szCs w:val="22"/>
          <w:lang w:val="it"/>
        </w:rPr>
        <w:t xml:space="preserve">mostrano, a partire dal 2014, </w:t>
      </w:r>
      <w:r w:rsidRPr="00F0027B">
        <w:rPr>
          <w:rFonts w:ascii="Arial" w:hAnsi="Arial" w:cs="Arial"/>
          <w:sz w:val="22"/>
          <w:szCs w:val="22"/>
          <w:lang w:val="it"/>
        </w:rPr>
        <w:t>una tendenza alla riduzione, attestandosi nel 2023 rispettivamente al 6,1% (</w:t>
      </w:r>
      <w:r w:rsidR="00F0027B" w:rsidRPr="00F0027B">
        <w:rPr>
          <w:rFonts w:ascii="Arial" w:hAnsi="Arial" w:cs="Arial"/>
          <w:sz w:val="22"/>
          <w:szCs w:val="22"/>
          <w:lang w:val="it"/>
        </w:rPr>
        <w:t>2,7 punti percentuali in meno rispetto al 2014</w:t>
      </w:r>
      <w:r w:rsidRPr="00F0027B">
        <w:rPr>
          <w:rFonts w:ascii="Arial" w:hAnsi="Arial" w:cs="Arial"/>
          <w:sz w:val="22"/>
          <w:szCs w:val="22"/>
          <w:lang w:val="it"/>
        </w:rPr>
        <w:t xml:space="preserve">) </w:t>
      </w:r>
      <w:r w:rsidR="00F0027B" w:rsidRPr="00F0027B">
        <w:rPr>
          <w:rFonts w:ascii="Arial" w:hAnsi="Arial" w:cs="Arial"/>
          <w:sz w:val="22"/>
          <w:szCs w:val="22"/>
          <w:lang w:val="it"/>
        </w:rPr>
        <w:t>e al 2,5% (1,3 punti percentuali in meno)</w:t>
      </w:r>
      <w:r w:rsidR="00060B68" w:rsidRPr="00F0027B">
        <w:rPr>
          <w:rFonts w:ascii="Arial" w:hAnsi="Arial" w:cs="Arial"/>
          <w:sz w:val="22"/>
          <w:szCs w:val="22"/>
          <w:lang w:val="it"/>
        </w:rPr>
        <w:t xml:space="preserve">. </w:t>
      </w:r>
      <w:r w:rsidR="00F0027B" w:rsidRPr="00F0027B">
        <w:rPr>
          <w:rFonts w:ascii="Arial" w:hAnsi="Arial" w:cs="Arial"/>
          <w:sz w:val="22"/>
          <w:szCs w:val="22"/>
          <w:lang w:val="it"/>
        </w:rPr>
        <w:t xml:space="preserve">Tale dinamica è </w:t>
      </w:r>
      <w:r w:rsidR="001E1AF3">
        <w:rPr>
          <w:rFonts w:ascii="Arial" w:hAnsi="Arial" w:cs="Arial"/>
          <w:sz w:val="22"/>
          <w:szCs w:val="22"/>
          <w:lang w:val="it"/>
        </w:rPr>
        <w:t xml:space="preserve">stata </w:t>
      </w:r>
      <w:r w:rsidR="00F0027B" w:rsidRPr="00F0027B">
        <w:rPr>
          <w:rFonts w:ascii="Arial" w:hAnsi="Arial" w:cs="Arial"/>
          <w:sz w:val="22"/>
          <w:szCs w:val="22"/>
          <w:lang w:val="it"/>
        </w:rPr>
        <w:t xml:space="preserve">influenzata soprattutto da quella </w:t>
      </w:r>
      <w:r w:rsidR="00060B68" w:rsidRPr="00F0027B">
        <w:rPr>
          <w:rFonts w:ascii="Arial" w:hAnsi="Arial" w:cs="Arial"/>
          <w:sz w:val="22"/>
          <w:szCs w:val="22"/>
          <w:lang w:val="it"/>
        </w:rPr>
        <w:t xml:space="preserve">delle imposte sull’energia, che </w:t>
      </w:r>
      <w:r w:rsidR="001E1AF3">
        <w:rPr>
          <w:rFonts w:ascii="Arial" w:hAnsi="Arial" w:cs="Arial"/>
          <w:sz w:val="22"/>
          <w:szCs w:val="22"/>
          <w:lang w:val="it"/>
        </w:rPr>
        <w:t xml:space="preserve">hanno </w:t>
      </w:r>
      <w:r w:rsidR="00060B68" w:rsidRPr="00F0027B">
        <w:rPr>
          <w:rFonts w:ascii="Arial" w:hAnsi="Arial" w:cs="Arial"/>
          <w:sz w:val="22"/>
          <w:szCs w:val="22"/>
          <w:lang w:val="it"/>
        </w:rPr>
        <w:t>rappresenta</w:t>
      </w:r>
      <w:r w:rsidR="001E1AF3">
        <w:rPr>
          <w:rFonts w:ascii="Arial" w:hAnsi="Arial" w:cs="Arial"/>
          <w:sz w:val="22"/>
          <w:szCs w:val="22"/>
          <w:lang w:val="it"/>
        </w:rPr>
        <w:t xml:space="preserve">to </w:t>
      </w:r>
      <w:r w:rsidR="00005B96">
        <w:rPr>
          <w:rFonts w:ascii="Arial" w:hAnsi="Arial" w:cs="Arial"/>
          <w:sz w:val="22"/>
          <w:szCs w:val="22"/>
          <w:lang w:val="it"/>
        </w:rPr>
        <w:t>circa</w:t>
      </w:r>
      <w:r w:rsidR="00060B68" w:rsidRPr="00F0027B">
        <w:rPr>
          <w:rFonts w:ascii="Arial" w:hAnsi="Arial" w:cs="Arial"/>
          <w:sz w:val="22"/>
          <w:szCs w:val="22"/>
          <w:lang w:val="it"/>
        </w:rPr>
        <w:t xml:space="preserve"> l’80% del gettito complessivo delle imposte ambientali</w:t>
      </w:r>
      <w:r w:rsidR="00005B96">
        <w:rPr>
          <w:rFonts w:ascii="Arial" w:hAnsi="Arial" w:cs="Arial"/>
          <w:sz w:val="22"/>
          <w:szCs w:val="22"/>
          <w:lang w:val="it"/>
        </w:rPr>
        <w:t xml:space="preserve"> nel periodo</w:t>
      </w:r>
      <w:r w:rsidR="00060B68" w:rsidRPr="00F0027B">
        <w:rPr>
          <w:rFonts w:ascii="Arial" w:hAnsi="Arial" w:cs="Arial"/>
          <w:sz w:val="22"/>
          <w:szCs w:val="22"/>
          <w:lang w:val="it"/>
        </w:rPr>
        <w:t>.</w:t>
      </w:r>
    </w:p>
    <w:p w14:paraId="35723B68" w14:textId="794FB441" w:rsidR="00060B68" w:rsidRPr="00060B68" w:rsidRDefault="00060B68" w:rsidP="00060B68">
      <w:pPr>
        <w:autoSpaceDE w:val="0"/>
        <w:autoSpaceDN w:val="0"/>
        <w:adjustRightInd w:val="0"/>
        <w:spacing w:after="120"/>
        <w:jc w:val="both"/>
        <w:rPr>
          <w:rFonts w:ascii="Arial" w:hAnsi="Arial" w:cs="Arial"/>
          <w:sz w:val="22"/>
          <w:szCs w:val="22"/>
        </w:rPr>
      </w:pPr>
      <w:r w:rsidRPr="00060B68">
        <w:rPr>
          <w:rFonts w:ascii="Arial" w:hAnsi="Arial" w:cs="Arial"/>
          <w:sz w:val="22"/>
          <w:szCs w:val="22"/>
        </w:rPr>
        <w:t xml:space="preserve">L’88% della crescita del gettito delle imposte ambientali del 2023 è </w:t>
      </w:r>
      <w:r w:rsidR="00874BDB">
        <w:rPr>
          <w:rFonts w:ascii="Arial" w:hAnsi="Arial" w:cs="Arial"/>
          <w:sz w:val="22"/>
          <w:szCs w:val="22"/>
        </w:rPr>
        <w:t xml:space="preserve">stato </w:t>
      </w:r>
      <w:r w:rsidR="0046436C">
        <w:rPr>
          <w:rFonts w:ascii="Arial" w:hAnsi="Arial" w:cs="Arial"/>
          <w:sz w:val="22"/>
          <w:szCs w:val="22"/>
        </w:rPr>
        <w:t>causato</w:t>
      </w:r>
      <w:r w:rsidRPr="00060B68">
        <w:rPr>
          <w:rFonts w:ascii="Arial" w:hAnsi="Arial" w:cs="Arial"/>
          <w:sz w:val="22"/>
          <w:szCs w:val="22"/>
        </w:rPr>
        <w:t xml:space="preserve"> </w:t>
      </w:r>
      <w:r w:rsidR="0046436C">
        <w:rPr>
          <w:rFonts w:ascii="Arial" w:hAnsi="Arial" w:cs="Arial"/>
          <w:sz w:val="22"/>
          <w:szCs w:val="22"/>
        </w:rPr>
        <w:t>d</w:t>
      </w:r>
      <w:r w:rsidRPr="00060B68">
        <w:rPr>
          <w:rFonts w:ascii="Arial" w:hAnsi="Arial" w:cs="Arial"/>
          <w:sz w:val="22"/>
          <w:szCs w:val="22"/>
        </w:rPr>
        <w:t>al maggior esborso delle famiglie, stimato in 7,7 mil</w:t>
      </w:r>
      <w:r w:rsidR="00EF665B">
        <w:rPr>
          <w:rFonts w:ascii="Arial" w:hAnsi="Arial" w:cs="Arial"/>
          <w:sz w:val="22"/>
          <w:szCs w:val="22"/>
        </w:rPr>
        <w:t xml:space="preserve">iardi di euro (+32,9%), </w:t>
      </w:r>
      <w:r w:rsidR="0054468E">
        <w:rPr>
          <w:rFonts w:ascii="Arial" w:hAnsi="Arial" w:cs="Arial"/>
          <w:sz w:val="22"/>
          <w:szCs w:val="22"/>
        </w:rPr>
        <w:t>derivante</w:t>
      </w:r>
      <w:r w:rsidR="00EF665B">
        <w:rPr>
          <w:rFonts w:ascii="Arial" w:hAnsi="Arial" w:cs="Arial"/>
          <w:sz w:val="22"/>
          <w:szCs w:val="22"/>
        </w:rPr>
        <w:t xml:space="preserve">, anche in questo caso, </w:t>
      </w:r>
      <w:r w:rsidR="00232BC3">
        <w:rPr>
          <w:rFonts w:ascii="Arial" w:hAnsi="Arial" w:cs="Arial"/>
          <w:sz w:val="22"/>
          <w:szCs w:val="22"/>
        </w:rPr>
        <w:t>d</w:t>
      </w:r>
      <w:r w:rsidRPr="00060B68">
        <w:rPr>
          <w:rFonts w:ascii="Arial" w:hAnsi="Arial" w:cs="Arial"/>
          <w:sz w:val="22"/>
          <w:szCs w:val="22"/>
        </w:rPr>
        <w:t xml:space="preserve">all’abolizione delle misure di contenimento </w:t>
      </w:r>
      <w:r w:rsidR="00FD3F39">
        <w:rPr>
          <w:rFonts w:ascii="Arial" w:hAnsi="Arial" w:cs="Arial"/>
          <w:sz w:val="22"/>
          <w:szCs w:val="22"/>
        </w:rPr>
        <w:t xml:space="preserve">dei prezzi </w:t>
      </w:r>
      <w:r w:rsidRPr="00060B68">
        <w:rPr>
          <w:rFonts w:ascii="Arial" w:hAnsi="Arial" w:cs="Arial"/>
          <w:sz w:val="22"/>
          <w:szCs w:val="22"/>
        </w:rPr>
        <w:t>che hanno caratterizzato il 2022. Più contenuto (oltre 1 miliardo</w:t>
      </w:r>
      <w:r w:rsidR="00CC3AAE">
        <w:rPr>
          <w:rFonts w:ascii="Arial" w:hAnsi="Arial" w:cs="Arial"/>
          <w:sz w:val="22"/>
          <w:szCs w:val="22"/>
        </w:rPr>
        <w:t>)</w:t>
      </w:r>
      <w:r w:rsidRPr="00060B68">
        <w:rPr>
          <w:rFonts w:ascii="Arial" w:hAnsi="Arial" w:cs="Arial"/>
          <w:sz w:val="22"/>
          <w:szCs w:val="22"/>
        </w:rPr>
        <w:t xml:space="preserve"> </w:t>
      </w:r>
      <w:r w:rsidR="00874BDB">
        <w:rPr>
          <w:rFonts w:ascii="Arial" w:hAnsi="Arial" w:cs="Arial"/>
          <w:sz w:val="22"/>
          <w:szCs w:val="22"/>
        </w:rPr>
        <w:t xml:space="preserve">è stato </w:t>
      </w:r>
      <w:r w:rsidR="00CC3AAE" w:rsidRPr="00060B68">
        <w:rPr>
          <w:rFonts w:ascii="Arial" w:hAnsi="Arial" w:cs="Arial"/>
          <w:sz w:val="22"/>
          <w:szCs w:val="22"/>
        </w:rPr>
        <w:t xml:space="preserve">il contributo </w:t>
      </w:r>
      <w:r w:rsidR="00CC3AAE">
        <w:rPr>
          <w:rFonts w:ascii="Arial" w:hAnsi="Arial" w:cs="Arial"/>
          <w:sz w:val="22"/>
          <w:szCs w:val="22"/>
        </w:rPr>
        <w:t>d</w:t>
      </w:r>
      <w:r w:rsidR="00874BDB">
        <w:rPr>
          <w:rFonts w:ascii="Arial" w:hAnsi="Arial" w:cs="Arial"/>
          <w:sz w:val="22"/>
          <w:szCs w:val="22"/>
        </w:rPr>
        <w:t>e</w:t>
      </w:r>
      <w:r w:rsidR="00CC3AAE" w:rsidRPr="00060B68">
        <w:rPr>
          <w:rFonts w:ascii="Arial" w:hAnsi="Arial" w:cs="Arial"/>
          <w:sz w:val="22"/>
          <w:szCs w:val="22"/>
        </w:rPr>
        <w:t>lle attività produttive</w:t>
      </w:r>
      <w:r w:rsidR="00CC3AAE">
        <w:rPr>
          <w:rFonts w:ascii="Arial" w:hAnsi="Arial" w:cs="Arial"/>
          <w:sz w:val="22"/>
          <w:szCs w:val="22"/>
        </w:rPr>
        <w:t>,</w:t>
      </w:r>
      <w:r w:rsidR="00CC3AAE" w:rsidRPr="00060B68">
        <w:rPr>
          <w:rFonts w:ascii="Arial" w:hAnsi="Arial" w:cs="Arial"/>
          <w:sz w:val="22"/>
          <w:szCs w:val="22"/>
        </w:rPr>
        <w:t xml:space="preserve"> </w:t>
      </w:r>
      <w:r w:rsidRPr="00060B68">
        <w:rPr>
          <w:rFonts w:ascii="Arial" w:hAnsi="Arial" w:cs="Arial"/>
          <w:sz w:val="22"/>
          <w:szCs w:val="22"/>
        </w:rPr>
        <w:t xml:space="preserve">che complessivamente </w:t>
      </w:r>
      <w:r w:rsidR="00874BDB">
        <w:rPr>
          <w:rFonts w:ascii="Arial" w:hAnsi="Arial" w:cs="Arial"/>
          <w:sz w:val="22"/>
          <w:szCs w:val="22"/>
        </w:rPr>
        <w:t xml:space="preserve">hanno </w:t>
      </w:r>
      <w:r w:rsidR="00874BDB" w:rsidRPr="00060B68">
        <w:rPr>
          <w:rFonts w:ascii="Arial" w:hAnsi="Arial" w:cs="Arial"/>
          <w:sz w:val="22"/>
          <w:szCs w:val="22"/>
        </w:rPr>
        <w:t>eroga</w:t>
      </w:r>
      <w:r w:rsidR="00874BDB">
        <w:rPr>
          <w:rFonts w:ascii="Arial" w:hAnsi="Arial" w:cs="Arial"/>
          <w:sz w:val="22"/>
          <w:szCs w:val="22"/>
        </w:rPr>
        <w:t>t</w:t>
      </w:r>
      <w:r w:rsidR="00874BDB" w:rsidRPr="00060B68">
        <w:rPr>
          <w:rFonts w:ascii="Arial" w:hAnsi="Arial" w:cs="Arial"/>
          <w:sz w:val="22"/>
          <w:szCs w:val="22"/>
        </w:rPr>
        <w:t xml:space="preserve">o </w:t>
      </w:r>
      <w:r w:rsidRPr="00060B68">
        <w:rPr>
          <w:rFonts w:ascii="Arial" w:hAnsi="Arial" w:cs="Arial"/>
          <w:sz w:val="22"/>
          <w:szCs w:val="22"/>
        </w:rPr>
        <w:t>il 41,1% del gettito totale delle imposte ambientali</w:t>
      </w:r>
      <w:r w:rsidR="009353FE">
        <w:rPr>
          <w:rFonts w:ascii="Arial" w:hAnsi="Arial" w:cs="Arial"/>
          <w:sz w:val="22"/>
          <w:szCs w:val="22"/>
        </w:rPr>
        <w:t>.</w:t>
      </w:r>
    </w:p>
    <w:p w14:paraId="7A5DC7C4" w14:textId="18ECF1D9" w:rsidR="00060B68" w:rsidRPr="00060B68" w:rsidRDefault="00060B68" w:rsidP="00060B68">
      <w:pPr>
        <w:autoSpaceDE w:val="0"/>
        <w:autoSpaceDN w:val="0"/>
        <w:adjustRightInd w:val="0"/>
        <w:spacing w:after="120"/>
        <w:jc w:val="both"/>
        <w:rPr>
          <w:rFonts w:ascii="Arial" w:hAnsi="Arial" w:cs="Arial"/>
          <w:sz w:val="22"/>
          <w:szCs w:val="22"/>
        </w:rPr>
      </w:pPr>
      <w:r w:rsidRPr="00060B68">
        <w:rPr>
          <w:rFonts w:ascii="Arial" w:hAnsi="Arial" w:cs="Arial"/>
          <w:sz w:val="22"/>
          <w:szCs w:val="22"/>
        </w:rPr>
        <w:t xml:space="preserve">Nel 2022 </w:t>
      </w:r>
      <w:r w:rsidR="00AF3AEF">
        <w:rPr>
          <w:rFonts w:ascii="Arial" w:hAnsi="Arial" w:cs="Arial"/>
          <w:sz w:val="22"/>
          <w:szCs w:val="22"/>
        </w:rPr>
        <w:t>(u</w:t>
      </w:r>
      <w:r w:rsidR="00AF3AEF" w:rsidRPr="00466D7F">
        <w:rPr>
          <w:rFonts w:ascii="Arial" w:hAnsi="Arial" w:cs="Arial"/>
          <w:sz w:val="22"/>
          <w:szCs w:val="22"/>
        </w:rPr>
        <w:t xml:space="preserve">ltimo anno per il quale </w:t>
      </w:r>
      <w:r w:rsidR="00495B61">
        <w:rPr>
          <w:rFonts w:ascii="Arial" w:hAnsi="Arial" w:cs="Arial"/>
          <w:sz w:val="22"/>
          <w:szCs w:val="22"/>
        </w:rPr>
        <w:t>sono disponibili</w:t>
      </w:r>
      <w:r w:rsidR="00AF3AEF" w:rsidRPr="00466D7F">
        <w:rPr>
          <w:rFonts w:ascii="Arial" w:hAnsi="Arial" w:cs="Arial"/>
          <w:sz w:val="22"/>
          <w:szCs w:val="22"/>
        </w:rPr>
        <w:t xml:space="preserve"> dati sulle imposte ambientali dettagliati per attività economica</w:t>
      </w:r>
      <w:r w:rsidR="00AF3AEF">
        <w:rPr>
          <w:rFonts w:ascii="Arial" w:hAnsi="Arial" w:cs="Arial"/>
          <w:sz w:val="22"/>
          <w:szCs w:val="22"/>
        </w:rPr>
        <w:t xml:space="preserve">), </w:t>
      </w:r>
      <w:r w:rsidRPr="00060B68">
        <w:rPr>
          <w:rFonts w:ascii="Arial" w:hAnsi="Arial" w:cs="Arial"/>
          <w:sz w:val="22"/>
          <w:szCs w:val="22"/>
        </w:rPr>
        <w:t xml:space="preserve">il gettito corrisposto dalle attività economiche è </w:t>
      </w:r>
      <w:r w:rsidR="00874BDB">
        <w:rPr>
          <w:rFonts w:ascii="Arial" w:hAnsi="Arial" w:cs="Arial"/>
          <w:sz w:val="22"/>
          <w:szCs w:val="22"/>
        </w:rPr>
        <w:t xml:space="preserve">stato </w:t>
      </w:r>
      <w:r w:rsidRPr="00060B68">
        <w:rPr>
          <w:rFonts w:ascii="Arial" w:hAnsi="Arial" w:cs="Arial"/>
          <w:sz w:val="22"/>
          <w:szCs w:val="22"/>
        </w:rPr>
        <w:t>principalmente alimentato dai settori dell’Energia (25</w:t>
      </w:r>
      <w:r w:rsidR="0038464D">
        <w:rPr>
          <w:rFonts w:ascii="Arial" w:hAnsi="Arial" w:cs="Arial"/>
          <w:sz w:val="22"/>
          <w:szCs w:val="22"/>
        </w:rPr>
        <w:t>,0</w:t>
      </w:r>
      <w:r w:rsidRPr="00060B68">
        <w:rPr>
          <w:rFonts w:ascii="Arial" w:hAnsi="Arial" w:cs="Arial"/>
          <w:sz w:val="22"/>
          <w:szCs w:val="22"/>
        </w:rPr>
        <w:t>%), della Manifattura (23,7%), del Trasporto (14,3%), dei Servizi (13,1%) e del Commercio (10,6%). In termini di variazione rispetto al 2021, ad eccezione del settore dell’Energia</w:t>
      </w:r>
      <w:r w:rsidR="000E47B1">
        <w:rPr>
          <w:rFonts w:ascii="Arial" w:hAnsi="Arial" w:cs="Arial"/>
          <w:sz w:val="22"/>
          <w:szCs w:val="22"/>
        </w:rPr>
        <w:t xml:space="preserve"> </w:t>
      </w:r>
      <w:r w:rsidR="00FD3F39">
        <w:rPr>
          <w:rFonts w:ascii="Arial" w:hAnsi="Arial" w:cs="Arial"/>
          <w:sz w:val="22"/>
          <w:szCs w:val="22"/>
        </w:rPr>
        <w:t xml:space="preserve">– su cui </w:t>
      </w:r>
      <w:r w:rsidRPr="00060B68">
        <w:rPr>
          <w:rFonts w:ascii="Arial" w:hAnsi="Arial" w:cs="Arial"/>
          <w:sz w:val="22"/>
          <w:szCs w:val="22"/>
        </w:rPr>
        <w:t xml:space="preserve">nel 2022 </w:t>
      </w:r>
      <w:r w:rsidR="00FD3F39">
        <w:rPr>
          <w:rFonts w:ascii="Arial" w:hAnsi="Arial" w:cs="Arial"/>
          <w:sz w:val="22"/>
          <w:szCs w:val="22"/>
        </w:rPr>
        <w:t xml:space="preserve">grava la citata nuova </w:t>
      </w:r>
      <w:r w:rsidRPr="00060B68">
        <w:rPr>
          <w:rFonts w:ascii="Arial" w:hAnsi="Arial" w:cs="Arial"/>
          <w:sz w:val="22"/>
          <w:szCs w:val="22"/>
        </w:rPr>
        <w:t>imposta sugli extra profitti</w:t>
      </w:r>
      <w:r w:rsidR="00FD3F39">
        <w:rPr>
          <w:rFonts w:ascii="Arial" w:hAnsi="Arial" w:cs="Arial"/>
          <w:sz w:val="22"/>
          <w:szCs w:val="22"/>
        </w:rPr>
        <w:t xml:space="preserve"> – </w:t>
      </w:r>
      <w:r w:rsidRPr="00060B68">
        <w:rPr>
          <w:rFonts w:ascii="Arial" w:hAnsi="Arial" w:cs="Arial"/>
          <w:sz w:val="22"/>
          <w:szCs w:val="22"/>
        </w:rPr>
        <w:t xml:space="preserve">per tutti i settori si </w:t>
      </w:r>
      <w:r w:rsidR="00874BDB">
        <w:rPr>
          <w:rFonts w:ascii="Arial" w:hAnsi="Arial" w:cs="Arial"/>
          <w:sz w:val="22"/>
          <w:szCs w:val="22"/>
        </w:rPr>
        <w:t xml:space="preserve">sono </w:t>
      </w:r>
      <w:r w:rsidRPr="00060B68">
        <w:rPr>
          <w:rFonts w:ascii="Arial" w:hAnsi="Arial" w:cs="Arial"/>
          <w:sz w:val="22"/>
          <w:szCs w:val="22"/>
        </w:rPr>
        <w:t>registra</w:t>
      </w:r>
      <w:r w:rsidR="00874BDB">
        <w:rPr>
          <w:rFonts w:ascii="Arial" w:hAnsi="Arial" w:cs="Arial"/>
          <w:sz w:val="22"/>
          <w:szCs w:val="22"/>
        </w:rPr>
        <w:t>te</w:t>
      </w:r>
      <w:r w:rsidRPr="00060B68">
        <w:rPr>
          <w:rFonts w:ascii="Arial" w:hAnsi="Arial" w:cs="Arial"/>
          <w:sz w:val="22"/>
          <w:szCs w:val="22"/>
        </w:rPr>
        <w:t xml:space="preserve"> contrazioni del gettito corrisposto. </w:t>
      </w:r>
      <w:r w:rsidR="009353FE">
        <w:rPr>
          <w:rFonts w:ascii="Arial" w:hAnsi="Arial" w:cs="Arial"/>
          <w:sz w:val="22"/>
          <w:szCs w:val="22"/>
        </w:rPr>
        <w:t>L</w:t>
      </w:r>
      <w:r w:rsidRPr="00060B68">
        <w:rPr>
          <w:rFonts w:ascii="Arial" w:hAnsi="Arial" w:cs="Arial"/>
          <w:sz w:val="22"/>
          <w:szCs w:val="22"/>
        </w:rPr>
        <w:t xml:space="preserve">e </w:t>
      </w:r>
      <w:r w:rsidR="00C7695F" w:rsidRPr="00060B68">
        <w:rPr>
          <w:rFonts w:ascii="Arial" w:hAnsi="Arial" w:cs="Arial"/>
          <w:sz w:val="22"/>
          <w:szCs w:val="22"/>
        </w:rPr>
        <w:t xml:space="preserve">riduzioni </w:t>
      </w:r>
      <w:r w:rsidRPr="00060B68">
        <w:rPr>
          <w:rFonts w:ascii="Arial" w:hAnsi="Arial" w:cs="Arial"/>
          <w:sz w:val="22"/>
          <w:szCs w:val="22"/>
        </w:rPr>
        <w:t xml:space="preserve">più ampie </w:t>
      </w:r>
      <w:r w:rsidR="009353FE">
        <w:rPr>
          <w:rFonts w:ascii="Arial" w:hAnsi="Arial" w:cs="Arial"/>
          <w:sz w:val="22"/>
          <w:szCs w:val="22"/>
        </w:rPr>
        <w:t xml:space="preserve">si </w:t>
      </w:r>
      <w:r w:rsidR="00874BDB">
        <w:rPr>
          <w:rFonts w:ascii="Arial" w:hAnsi="Arial" w:cs="Arial"/>
          <w:sz w:val="22"/>
          <w:szCs w:val="22"/>
        </w:rPr>
        <w:t xml:space="preserve">sono verificate </w:t>
      </w:r>
      <w:r w:rsidR="009353FE">
        <w:rPr>
          <w:rFonts w:ascii="Arial" w:hAnsi="Arial" w:cs="Arial"/>
          <w:sz w:val="22"/>
          <w:szCs w:val="22"/>
        </w:rPr>
        <w:t>ne</w:t>
      </w:r>
      <w:r w:rsidRPr="00060B68">
        <w:rPr>
          <w:rFonts w:ascii="Arial" w:hAnsi="Arial" w:cs="Arial"/>
          <w:sz w:val="22"/>
          <w:szCs w:val="22"/>
        </w:rPr>
        <w:t xml:space="preserve">lla Manifattura (-53,2%), </w:t>
      </w:r>
      <w:r w:rsidR="009353FE">
        <w:rPr>
          <w:rFonts w:ascii="Arial" w:hAnsi="Arial" w:cs="Arial"/>
          <w:sz w:val="22"/>
          <w:szCs w:val="22"/>
        </w:rPr>
        <w:t>nel settore estrattivo (-44,4%), nel Commercio (-31,3%) e ne</w:t>
      </w:r>
      <w:r w:rsidRPr="00060B68">
        <w:rPr>
          <w:rFonts w:ascii="Arial" w:hAnsi="Arial" w:cs="Arial"/>
          <w:sz w:val="22"/>
          <w:szCs w:val="22"/>
        </w:rPr>
        <w:t>ll’Agricoltura (-25,9%).</w:t>
      </w:r>
    </w:p>
    <w:p w14:paraId="7AC592E0" w14:textId="33742BC7" w:rsidR="00060B68" w:rsidRDefault="00FD3F39" w:rsidP="00A027C8">
      <w:pPr>
        <w:autoSpaceDE w:val="0"/>
        <w:autoSpaceDN w:val="0"/>
        <w:adjustRightInd w:val="0"/>
        <w:jc w:val="both"/>
        <w:rPr>
          <w:rFonts w:ascii="Arial" w:hAnsi="Arial" w:cs="Arial"/>
          <w:sz w:val="22"/>
          <w:szCs w:val="22"/>
        </w:rPr>
      </w:pPr>
      <w:r>
        <w:rPr>
          <w:rFonts w:ascii="Arial" w:hAnsi="Arial" w:cs="Arial"/>
          <w:sz w:val="22"/>
          <w:szCs w:val="22"/>
        </w:rPr>
        <w:t xml:space="preserve">Le </w:t>
      </w:r>
      <w:r w:rsidR="00931A81">
        <w:rPr>
          <w:rFonts w:ascii="Arial" w:hAnsi="Arial" w:cs="Arial"/>
          <w:sz w:val="22"/>
          <w:szCs w:val="22"/>
        </w:rPr>
        <w:t xml:space="preserve">quote delle </w:t>
      </w:r>
      <w:r w:rsidR="00060B68" w:rsidRPr="00060B68">
        <w:rPr>
          <w:rFonts w:ascii="Arial" w:hAnsi="Arial" w:cs="Arial"/>
          <w:sz w:val="22"/>
          <w:szCs w:val="22"/>
        </w:rPr>
        <w:t xml:space="preserve">imposte ambientali </w:t>
      </w:r>
      <w:r w:rsidR="00931A81">
        <w:rPr>
          <w:rFonts w:ascii="Arial" w:hAnsi="Arial" w:cs="Arial"/>
          <w:sz w:val="22"/>
          <w:szCs w:val="22"/>
        </w:rPr>
        <w:t xml:space="preserve">sul </w:t>
      </w:r>
      <w:r w:rsidR="00931A81" w:rsidRPr="00060B68">
        <w:rPr>
          <w:rFonts w:ascii="Arial" w:hAnsi="Arial" w:cs="Arial"/>
          <w:sz w:val="22"/>
          <w:szCs w:val="22"/>
        </w:rPr>
        <w:t xml:space="preserve">totale </w:t>
      </w:r>
      <w:r w:rsidR="00931A81">
        <w:rPr>
          <w:rFonts w:ascii="Arial" w:hAnsi="Arial" w:cs="Arial"/>
          <w:sz w:val="22"/>
          <w:szCs w:val="22"/>
        </w:rPr>
        <w:t xml:space="preserve">delle </w:t>
      </w:r>
      <w:r w:rsidR="00931A81" w:rsidRPr="00060B68">
        <w:rPr>
          <w:rFonts w:ascii="Arial" w:hAnsi="Arial" w:cs="Arial"/>
          <w:sz w:val="22"/>
          <w:szCs w:val="22"/>
        </w:rPr>
        <w:t xml:space="preserve">imposte e contributi </w:t>
      </w:r>
      <w:r w:rsidR="00931A81">
        <w:rPr>
          <w:rFonts w:ascii="Arial" w:hAnsi="Arial" w:cs="Arial"/>
          <w:sz w:val="22"/>
          <w:szCs w:val="22"/>
        </w:rPr>
        <w:t xml:space="preserve">e sul Pil, sono </w:t>
      </w:r>
      <w:r w:rsidR="00874BDB">
        <w:rPr>
          <w:rFonts w:ascii="Arial" w:hAnsi="Arial" w:cs="Arial"/>
          <w:sz w:val="22"/>
          <w:szCs w:val="22"/>
        </w:rPr>
        <w:t xml:space="preserve">state </w:t>
      </w:r>
      <w:r w:rsidR="00C1344A">
        <w:rPr>
          <w:rFonts w:ascii="Arial" w:hAnsi="Arial" w:cs="Arial"/>
          <w:sz w:val="22"/>
          <w:szCs w:val="22"/>
        </w:rPr>
        <w:t xml:space="preserve">nel 2022 </w:t>
      </w:r>
      <w:r w:rsidR="00931A81">
        <w:rPr>
          <w:rFonts w:ascii="Arial" w:hAnsi="Arial" w:cs="Arial"/>
          <w:sz w:val="22"/>
          <w:szCs w:val="22"/>
        </w:rPr>
        <w:t xml:space="preserve">per l’Italia </w:t>
      </w:r>
      <w:r w:rsidR="00060B68" w:rsidRPr="00060B68">
        <w:rPr>
          <w:rFonts w:ascii="Arial" w:hAnsi="Arial" w:cs="Arial"/>
          <w:sz w:val="22"/>
          <w:szCs w:val="22"/>
        </w:rPr>
        <w:t>superiori a</w:t>
      </w:r>
      <w:r w:rsidR="00931A81">
        <w:rPr>
          <w:rFonts w:ascii="Arial" w:hAnsi="Arial" w:cs="Arial"/>
          <w:sz w:val="22"/>
          <w:szCs w:val="22"/>
        </w:rPr>
        <w:t xml:space="preserve"> quelle medie della Ue27 </w:t>
      </w:r>
      <w:r w:rsidR="00060B68" w:rsidRPr="00060B68">
        <w:rPr>
          <w:rFonts w:ascii="Arial" w:hAnsi="Arial" w:cs="Arial"/>
          <w:sz w:val="22"/>
          <w:szCs w:val="22"/>
        </w:rPr>
        <w:t>(rispettivamente</w:t>
      </w:r>
      <w:r w:rsidR="00931A81">
        <w:rPr>
          <w:rFonts w:ascii="Arial" w:hAnsi="Arial" w:cs="Arial"/>
          <w:sz w:val="22"/>
          <w:szCs w:val="22"/>
        </w:rPr>
        <w:t xml:space="preserve"> </w:t>
      </w:r>
      <w:r w:rsidR="00F934A3">
        <w:rPr>
          <w:rFonts w:ascii="Arial" w:hAnsi="Arial" w:cs="Arial"/>
          <w:sz w:val="22"/>
          <w:szCs w:val="22"/>
        </w:rPr>
        <w:t>5,5</w:t>
      </w:r>
      <w:r w:rsidR="00DD1E60">
        <w:rPr>
          <w:rFonts w:ascii="Arial" w:hAnsi="Arial" w:cs="Arial"/>
          <w:sz w:val="22"/>
          <w:szCs w:val="22"/>
        </w:rPr>
        <w:t>%</w:t>
      </w:r>
      <w:r w:rsidR="00F934A3">
        <w:rPr>
          <w:rFonts w:ascii="Arial" w:hAnsi="Arial" w:cs="Arial"/>
          <w:sz w:val="22"/>
          <w:szCs w:val="22"/>
        </w:rPr>
        <w:t xml:space="preserve"> contro </w:t>
      </w:r>
      <w:r w:rsidR="00931A81" w:rsidRPr="00060B68">
        <w:rPr>
          <w:rFonts w:ascii="Arial" w:hAnsi="Arial" w:cs="Arial"/>
          <w:sz w:val="22"/>
          <w:szCs w:val="22"/>
        </w:rPr>
        <w:t>5</w:t>
      </w:r>
      <w:r w:rsidR="00931A81">
        <w:rPr>
          <w:rFonts w:ascii="Arial" w:hAnsi="Arial" w:cs="Arial"/>
          <w:sz w:val="22"/>
          <w:szCs w:val="22"/>
        </w:rPr>
        <w:t>,0</w:t>
      </w:r>
      <w:r w:rsidR="00931A81" w:rsidRPr="00060B68">
        <w:rPr>
          <w:rFonts w:ascii="Arial" w:hAnsi="Arial" w:cs="Arial"/>
          <w:sz w:val="22"/>
          <w:szCs w:val="22"/>
        </w:rPr>
        <w:t>%</w:t>
      </w:r>
      <w:r w:rsidR="00060B68" w:rsidRPr="00060B68">
        <w:rPr>
          <w:rFonts w:ascii="Arial" w:hAnsi="Arial" w:cs="Arial"/>
          <w:sz w:val="22"/>
          <w:szCs w:val="22"/>
        </w:rPr>
        <w:t xml:space="preserve"> </w:t>
      </w:r>
      <w:r w:rsidR="00931A81">
        <w:rPr>
          <w:rFonts w:ascii="Arial" w:hAnsi="Arial" w:cs="Arial"/>
          <w:sz w:val="22"/>
          <w:szCs w:val="22"/>
        </w:rPr>
        <w:t xml:space="preserve">e </w:t>
      </w:r>
      <w:r w:rsidR="00F934A3">
        <w:rPr>
          <w:rFonts w:ascii="Arial" w:hAnsi="Arial" w:cs="Arial"/>
          <w:sz w:val="22"/>
          <w:szCs w:val="22"/>
        </w:rPr>
        <w:t>2,3</w:t>
      </w:r>
      <w:r w:rsidR="00DD1E60">
        <w:rPr>
          <w:rFonts w:ascii="Arial" w:hAnsi="Arial" w:cs="Arial"/>
          <w:sz w:val="22"/>
          <w:szCs w:val="22"/>
        </w:rPr>
        <w:t>%</w:t>
      </w:r>
      <w:r w:rsidR="00F934A3">
        <w:rPr>
          <w:rFonts w:ascii="Arial" w:hAnsi="Arial" w:cs="Arial"/>
          <w:sz w:val="22"/>
          <w:szCs w:val="22"/>
        </w:rPr>
        <w:t xml:space="preserve"> contro </w:t>
      </w:r>
      <w:r w:rsidR="00060B68" w:rsidRPr="00060B68">
        <w:rPr>
          <w:rFonts w:ascii="Arial" w:hAnsi="Arial" w:cs="Arial"/>
          <w:sz w:val="22"/>
          <w:szCs w:val="22"/>
        </w:rPr>
        <w:t>2</w:t>
      </w:r>
      <w:r w:rsidR="00931A81">
        <w:rPr>
          <w:rFonts w:ascii="Arial" w:hAnsi="Arial" w:cs="Arial"/>
          <w:sz w:val="22"/>
          <w:szCs w:val="22"/>
        </w:rPr>
        <w:t>,0</w:t>
      </w:r>
      <w:r w:rsidR="00060B68" w:rsidRPr="00060B68">
        <w:rPr>
          <w:rFonts w:ascii="Arial" w:hAnsi="Arial" w:cs="Arial"/>
          <w:sz w:val="22"/>
          <w:szCs w:val="22"/>
        </w:rPr>
        <w:t xml:space="preserve">%), nonché di alcuni </w:t>
      </w:r>
      <w:r w:rsidR="00C7695F">
        <w:rPr>
          <w:rFonts w:ascii="Arial" w:hAnsi="Arial" w:cs="Arial"/>
          <w:sz w:val="22"/>
          <w:szCs w:val="22"/>
        </w:rPr>
        <w:t>dei</w:t>
      </w:r>
      <w:r w:rsidR="00C7695F" w:rsidRPr="00060B68">
        <w:rPr>
          <w:rFonts w:ascii="Arial" w:hAnsi="Arial" w:cs="Arial"/>
          <w:sz w:val="22"/>
          <w:szCs w:val="22"/>
        </w:rPr>
        <w:t xml:space="preserve"> </w:t>
      </w:r>
      <w:r w:rsidR="00060B68" w:rsidRPr="00060B68">
        <w:rPr>
          <w:rFonts w:ascii="Arial" w:hAnsi="Arial" w:cs="Arial"/>
          <w:sz w:val="22"/>
          <w:szCs w:val="22"/>
        </w:rPr>
        <w:t xml:space="preserve">maggiori Paesi </w:t>
      </w:r>
      <w:r w:rsidR="00C7695F">
        <w:rPr>
          <w:rFonts w:ascii="Arial" w:hAnsi="Arial" w:cs="Arial"/>
          <w:sz w:val="22"/>
          <w:szCs w:val="22"/>
        </w:rPr>
        <w:t xml:space="preserve">europei </w:t>
      </w:r>
      <w:r w:rsidR="00060B68" w:rsidRPr="00060B68">
        <w:rPr>
          <w:rFonts w:ascii="Arial" w:hAnsi="Arial" w:cs="Arial"/>
          <w:sz w:val="22"/>
          <w:szCs w:val="22"/>
        </w:rPr>
        <w:t>quali Francia (4,5%</w:t>
      </w:r>
      <w:r w:rsidR="00F934A3">
        <w:rPr>
          <w:rFonts w:ascii="Arial" w:hAnsi="Arial" w:cs="Arial"/>
          <w:sz w:val="22"/>
          <w:szCs w:val="22"/>
        </w:rPr>
        <w:t xml:space="preserve"> e </w:t>
      </w:r>
      <w:r w:rsidR="00F934A3" w:rsidRPr="00060B68">
        <w:rPr>
          <w:rFonts w:ascii="Arial" w:hAnsi="Arial" w:cs="Arial"/>
          <w:sz w:val="22"/>
          <w:szCs w:val="22"/>
        </w:rPr>
        <w:t>2,1%</w:t>
      </w:r>
      <w:r w:rsidR="00060B68" w:rsidRPr="00060B68">
        <w:rPr>
          <w:rFonts w:ascii="Arial" w:hAnsi="Arial" w:cs="Arial"/>
          <w:sz w:val="22"/>
          <w:szCs w:val="22"/>
        </w:rPr>
        <w:t>), Germania (4</w:t>
      </w:r>
      <w:r w:rsidR="003126DE">
        <w:rPr>
          <w:rFonts w:ascii="Arial" w:hAnsi="Arial" w:cs="Arial"/>
          <w:sz w:val="22"/>
          <w:szCs w:val="22"/>
        </w:rPr>
        <w:t>,0</w:t>
      </w:r>
      <w:r w:rsidR="00060B68" w:rsidRPr="00060B68">
        <w:rPr>
          <w:rFonts w:ascii="Arial" w:hAnsi="Arial" w:cs="Arial"/>
          <w:sz w:val="22"/>
          <w:szCs w:val="22"/>
        </w:rPr>
        <w:t>%</w:t>
      </w:r>
      <w:r w:rsidR="00F934A3">
        <w:rPr>
          <w:rFonts w:ascii="Arial" w:hAnsi="Arial" w:cs="Arial"/>
          <w:sz w:val="22"/>
          <w:szCs w:val="22"/>
        </w:rPr>
        <w:t xml:space="preserve"> e </w:t>
      </w:r>
      <w:r w:rsidR="00F934A3" w:rsidRPr="00060B68">
        <w:rPr>
          <w:rFonts w:ascii="Arial" w:hAnsi="Arial" w:cs="Arial"/>
          <w:sz w:val="22"/>
          <w:szCs w:val="22"/>
        </w:rPr>
        <w:t>1,6%</w:t>
      </w:r>
      <w:r w:rsidR="00060B68" w:rsidRPr="00060B68">
        <w:rPr>
          <w:rFonts w:ascii="Arial" w:hAnsi="Arial" w:cs="Arial"/>
          <w:sz w:val="22"/>
          <w:szCs w:val="22"/>
        </w:rPr>
        <w:t>) e Spagna (4,1</w:t>
      </w:r>
      <w:r w:rsidR="00F934A3" w:rsidRPr="00060B68">
        <w:rPr>
          <w:rFonts w:ascii="Arial" w:hAnsi="Arial" w:cs="Arial"/>
          <w:sz w:val="22"/>
          <w:szCs w:val="22"/>
        </w:rPr>
        <w:t>%</w:t>
      </w:r>
      <w:r w:rsidR="00F934A3">
        <w:rPr>
          <w:rFonts w:ascii="Arial" w:hAnsi="Arial" w:cs="Arial"/>
          <w:sz w:val="22"/>
          <w:szCs w:val="22"/>
        </w:rPr>
        <w:t xml:space="preserve"> e </w:t>
      </w:r>
      <w:r w:rsidR="00F934A3" w:rsidRPr="00060B68">
        <w:rPr>
          <w:rFonts w:ascii="Arial" w:hAnsi="Arial" w:cs="Arial"/>
          <w:sz w:val="22"/>
          <w:szCs w:val="22"/>
        </w:rPr>
        <w:t>1,5%</w:t>
      </w:r>
      <w:r w:rsidR="00060B68" w:rsidRPr="00060B68">
        <w:rPr>
          <w:rFonts w:ascii="Arial" w:hAnsi="Arial" w:cs="Arial"/>
          <w:sz w:val="22"/>
          <w:szCs w:val="22"/>
        </w:rPr>
        <w:t xml:space="preserve">). </w:t>
      </w:r>
      <w:r w:rsidR="00060B68" w:rsidRPr="00F90398">
        <w:rPr>
          <w:rFonts w:ascii="Arial" w:hAnsi="Arial" w:cs="Arial"/>
          <w:sz w:val="22"/>
          <w:szCs w:val="22"/>
        </w:rPr>
        <w:t>Per lo stesso anno</w:t>
      </w:r>
      <w:r w:rsidR="00874BDB">
        <w:rPr>
          <w:rFonts w:ascii="Arial" w:hAnsi="Arial" w:cs="Arial"/>
          <w:sz w:val="22"/>
          <w:szCs w:val="22"/>
        </w:rPr>
        <w:t>,</w:t>
      </w:r>
      <w:r w:rsidR="00060B68" w:rsidRPr="00F90398">
        <w:rPr>
          <w:rFonts w:ascii="Arial" w:hAnsi="Arial" w:cs="Arial"/>
          <w:sz w:val="22"/>
          <w:szCs w:val="22"/>
        </w:rPr>
        <w:t xml:space="preserve"> la contrazione </w:t>
      </w:r>
      <w:r w:rsidR="00F934A3" w:rsidRPr="00F90398">
        <w:rPr>
          <w:rFonts w:ascii="Arial" w:hAnsi="Arial" w:cs="Arial"/>
          <w:sz w:val="22"/>
          <w:szCs w:val="22"/>
        </w:rPr>
        <w:t xml:space="preserve">rispetto all’anno precedente </w:t>
      </w:r>
      <w:r w:rsidR="00060B68" w:rsidRPr="00F90398">
        <w:rPr>
          <w:rFonts w:ascii="Arial" w:hAnsi="Arial" w:cs="Arial"/>
          <w:sz w:val="22"/>
          <w:szCs w:val="22"/>
        </w:rPr>
        <w:t>del gettito delle imposte sull’energia</w:t>
      </w:r>
      <w:r w:rsidR="00F90398" w:rsidRPr="00F90398">
        <w:rPr>
          <w:rFonts w:ascii="Arial" w:hAnsi="Arial" w:cs="Arial"/>
          <w:sz w:val="22"/>
          <w:szCs w:val="22"/>
        </w:rPr>
        <w:t xml:space="preserve"> </w:t>
      </w:r>
      <w:r w:rsidR="00874BDB">
        <w:rPr>
          <w:rFonts w:ascii="Arial" w:hAnsi="Arial" w:cs="Arial"/>
          <w:sz w:val="22"/>
          <w:szCs w:val="22"/>
        </w:rPr>
        <w:t xml:space="preserve">è </w:t>
      </w:r>
      <w:r w:rsidR="00F90398" w:rsidRPr="00F90398">
        <w:rPr>
          <w:rFonts w:ascii="Arial" w:hAnsi="Arial" w:cs="Arial"/>
          <w:sz w:val="22"/>
          <w:szCs w:val="22"/>
        </w:rPr>
        <w:t>risulta</w:t>
      </w:r>
      <w:r w:rsidR="00874BDB">
        <w:rPr>
          <w:rFonts w:ascii="Arial" w:hAnsi="Arial" w:cs="Arial"/>
          <w:sz w:val="22"/>
          <w:szCs w:val="22"/>
        </w:rPr>
        <w:t>ta</w:t>
      </w:r>
      <w:r w:rsidR="00F90398" w:rsidRPr="00F90398">
        <w:rPr>
          <w:rFonts w:ascii="Arial" w:hAnsi="Arial" w:cs="Arial"/>
          <w:sz w:val="22"/>
          <w:szCs w:val="22"/>
        </w:rPr>
        <w:t xml:space="preserve"> maggiore per l’Italia</w:t>
      </w:r>
      <w:r w:rsidR="00F90398">
        <w:rPr>
          <w:rFonts w:ascii="Arial" w:hAnsi="Arial" w:cs="Arial"/>
          <w:sz w:val="22"/>
          <w:szCs w:val="22"/>
        </w:rPr>
        <w:t xml:space="preserve"> che per gli altri Paesi</w:t>
      </w:r>
      <w:r w:rsidR="00060B68" w:rsidRPr="00060B68">
        <w:rPr>
          <w:rFonts w:ascii="Arial" w:hAnsi="Arial" w:cs="Arial"/>
          <w:sz w:val="22"/>
          <w:szCs w:val="22"/>
        </w:rPr>
        <w:t xml:space="preserve">. Inoltre, </w:t>
      </w:r>
      <w:r w:rsidR="009A5D48">
        <w:rPr>
          <w:rFonts w:ascii="Arial" w:hAnsi="Arial" w:cs="Arial"/>
          <w:sz w:val="22"/>
          <w:szCs w:val="22"/>
        </w:rPr>
        <w:t>per il nostro P</w:t>
      </w:r>
      <w:r w:rsidR="00AD51AF">
        <w:rPr>
          <w:rFonts w:ascii="Arial" w:hAnsi="Arial" w:cs="Arial"/>
          <w:sz w:val="22"/>
          <w:szCs w:val="22"/>
        </w:rPr>
        <w:t xml:space="preserve">aese tale contrazione è </w:t>
      </w:r>
      <w:r w:rsidR="00874BDB">
        <w:rPr>
          <w:rFonts w:ascii="Arial" w:hAnsi="Arial" w:cs="Arial"/>
          <w:sz w:val="22"/>
          <w:szCs w:val="22"/>
        </w:rPr>
        <w:t xml:space="preserve">stata </w:t>
      </w:r>
      <w:r w:rsidR="00AD51AF">
        <w:rPr>
          <w:rFonts w:ascii="Arial" w:hAnsi="Arial" w:cs="Arial"/>
          <w:sz w:val="22"/>
          <w:szCs w:val="22"/>
        </w:rPr>
        <w:t xml:space="preserve">superiore a quella </w:t>
      </w:r>
      <w:r w:rsidR="00060B68" w:rsidRPr="00060B68">
        <w:rPr>
          <w:rFonts w:ascii="Arial" w:hAnsi="Arial" w:cs="Arial"/>
          <w:sz w:val="22"/>
          <w:szCs w:val="22"/>
        </w:rPr>
        <w:t xml:space="preserve">registrata nell’anno della pandemia </w:t>
      </w:r>
      <w:r w:rsidR="00C7695F">
        <w:rPr>
          <w:rFonts w:ascii="Arial" w:hAnsi="Arial" w:cs="Arial"/>
          <w:sz w:val="22"/>
          <w:szCs w:val="22"/>
        </w:rPr>
        <w:t>(2020)</w:t>
      </w:r>
      <w:r w:rsidR="00AD51AF">
        <w:rPr>
          <w:rFonts w:ascii="Arial" w:hAnsi="Arial" w:cs="Arial"/>
          <w:sz w:val="22"/>
          <w:szCs w:val="22"/>
        </w:rPr>
        <w:t>,</w:t>
      </w:r>
      <w:r w:rsidR="00C7695F">
        <w:rPr>
          <w:rFonts w:ascii="Arial" w:hAnsi="Arial" w:cs="Arial"/>
          <w:sz w:val="22"/>
          <w:szCs w:val="22"/>
        </w:rPr>
        <w:t xml:space="preserve"> </w:t>
      </w:r>
      <w:r w:rsidR="00AD51AF">
        <w:rPr>
          <w:rFonts w:ascii="Arial" w:hAnsi="Arial" w:cs="Arial"/>
          <w:sz w:val="22"/>
          <w:szCs w:val="22"/>
        </w:rPr>
        <w:t>diversamente</w:t>
      </w:r>
      <w:r w:rsidR="00060B68" w:rsidRPr="00060B68">
        <w:rPr>
          <w:rFonts w:ascii="Arial" w:hAnsi="Arial" w:cs="Arial"/>
          <w:sz w:val="22"/>
          <w:szCs w:val="22"/>
        </w:rPr>
        <w:t xml:space="preserve"> </w:t>
      </w:r>
      <w:r w:rsidR="00AD51AF">
        <w:rPr>
          <w:rFonts w:ascii="Arial" w:hAnsi="Arial" w:cs="Arial"/>
          <w:sz w:val="22"/>
          <w:szCs w:val="22"/>
        </w:rPr>
        <w:t>da quanto osserva</w:t>
      </w:r>
      <w:r w:rsidR="00874BDB">
        <w:rPr>
          <w:rFonts w:ascii="Arial" w:hAnsi="Arial" w:cs="Arial"/>
          <w:sz w:val="22"/>
          <w:szCs w:val="22"/>
        </w:rPr>
        <w:t>to</w:t>
      </w:r>
      <w:r w:rsidR="00AD51AF">
        <w:rPr>
          <w:rFonts w:ascii="Arial" w:hAnsi="Arial" w:cs="Arial"/>
          <w:sz w:val="22"/>
          <w:szCs w:val="22"/>
        </w:rPr>
        <w:t xml:space="preserve"> per l</w:t>
      </w:r>
      <w:r w:rsidR="00C7695F">
        <w:rPr>
          <w:rFonts w:ascii="Arial" w:hAnsi="Arial" w:cs="Arial"/>
          <w:sz w:val="22"/>
          <w:szCs w:val="22"/>
        </w:rPr>
        <w:t xml:space="preserve">a </w:t>
      </w:r>
      <w:r w:rsidR="00495B61">
        <w:rPr>
          <w:rFonts w:ascii="Arial" w:hAnsi="Arial" w:cs="Arial"/>
          <w:sz w:val="22"/>
          <w:szCs w:val="22"/>
        </w:rPr>
        <w:t xml:space="preserve">Ue27 </w:t>
      </w:r>
      <w:r w:rsidR="00060B68" w:rsidRPr="00060B68">
        <w:rPr>
          <w:rFonts w:ascii="Arial" w:hAnsi="Arial" w:cs="Arial"/>
          <w:sz w:val="22"/>
          <w:szCs w:val="22"/>
        </w:rPr>
        <w:t xml:space="preserve">e i </w:t>
      </w:r>
      <w:r w:rsidR="00C7695F">
        <w:rPr>
          <w:rFonts w:ascii="Arial" w:hAnsi="Arial" w:cs="Arial"/>
          <w:sz w:val="22"/>
          <w:szCs w:val="22"/>
        </w:rPr>
        <w:t xml:space="preserve">suoi maggiori </w:t>
      </w:r>
      <w:r w:rsidR="00874BDB">
        <w:rPr>
          <w:rFonts w:ascii="Arial" w:hAnsi="Arial" w:cs="Arial"/>
          <w:sz w:val="22"/>
          <w:szCs w:val="22"/>
        </w:rPr>
        <w:t>P</w:t>
      </w:r>
      <w:r w:rsidR="00060B68" w:rsidRPr="00060B68">
        <w:rPr>
          <w:rFonts w:ascii="Arial" w:hAnsi="Arial" w:cs="Arial"/>
          <w:sz w:val="22"/>
          <w:szCs w:val="22"/>
        </w:rPr>
        <w:t>aesi.</w:t>
      </w:r>
    </w:p>
    <w:p w14:paraId="3E1303B0" w14:textId="77777777" w:rsidR="0000351A" w:rsidRPr="0000351A" w:rsidRDefault="0000351A" w:rsidP="0000351A">
      <w:pPr>
        <w:autoSpaceDE w:val="0"/>
        <w:autoSpaceDN w:val="0"/>
        <w:adjustRightInd w:val="0"/>
        <w:jc w:val="both"/>
        <w:rPr>
          <w:rFonts w:ascii="Arial" w:hAnsi="Arial" w:cs="Arial"/>
          <w:sz w:val="16"/>
          <w:szCs w:val="16"/>
        </w:rPr>
      </w:pPr>
    </w:p>
    <w:p w14:paraId="13131ECF" w14:textId="6DDDD5CA" w:rsidR="00060B68" w:rsidRPr="00A027C8" w:rsidRDefault="00CA4430" w:rsidP="00856FBA">
      <w:pPr>
        <w:spacing w:after="120"/>
        <w:rPr>
          <w:rFonts w:ascii="Arial Narrow" w:hAnsi="Arial Narrow" w:cs="Arial"/>
          <w:iCs/>
          <w:noProof/>
          <w:color w:val="1F497D"/>
          <w:sz w:val="20"/>
          <w:szCs w:val="22"/>
        </w:rPr>
      </w:pPr>
      <w:r w:rsidRPr="00060B68">
        <w:rPr>
          <w:rFonts w:ascii="Arial Black" w:hAnsi="Arial Black" w:cs="Arial"/>
          <w:iCs/>
          <w:noProof/>
          <w:color w:val="1F497D"/>
          <w:sz w:val="22"/>
          <w:szCs w:val="22"/>
        </w:rPr>
        <w:t>FIGURA</w:t>
      </w:r>
      <w:r w:rsidR="00060B68" w:rsidRPr="00060B68">
        <w:rPr>
          <w:rFonts w:ascii="Arial Black" w:hAnsi="Arial Black" w:cs="Arial"/>
          <w:iCs/>
          <w:noProof/>
          <w:color w:val="1F497D"/>
          <w:sz w:val="22"/>
          <w:szCs w:val="22"/>
        </w:rPr>
        <w:t xml:space="preserve"> 4</w:t>
      </w:r>
      <w:r w:rsidR="00D47546">
        <w:rPr>
          <w:rFonts w:ascii="Arial" w:hAnsi="Arial" w:cs="Arial"/>
          <w:sz w:val="22"/>
          <w:szCs w:val="22"/>
        </w:rPr>
        <w:t xml:space="preserve">. </w:t>
      </w:r>
      <w:r w:rsidR="00060B68" w:rsidRPr="00060B68">
        <w:rPr>
          <w:rFonts w:ascii="Arial Narrow" w:hAnsi="Arial Narrow" w:cs="Arial"/>
          <w:b/>
          <w:bCs/>
          <w:iCs/>
          <w:caps/>
          <w:noProof/>
          <w:color w:val="1F497D"/>
          <w:sz w:val="22"/>
          <w:szCs w:val="22"/>
        </w:rPr>
        <w:t xml:space="preserve">GETTITO DELLE IMPOSTE AMBIENTALI PER </w:t>
      </w:r>
      <w:r w:rsidR="00060B68" w:rsidRPr="006B6841">
        <w:rPr>
          <w:rFonts w:ascii="Arial Narrow" w:hAnsi="Arial Narrow" w:cs="Arial"/>
          <w:b/>
          <w:bCs/>
          <w:iCs/>
          <w:caps/>
          <w:noProof/>
          <w:color w:val="1F497D"/>
          <w:sz w:val="22"/>
          <w:szCs w:val="22"/>
        </w:rPr>
        <w:t>CATEGORIA E UNITÀ PAGANTE</w:t>
      </w:r>
      <w:r w:rsidR="00D47546">
        <w:rPr>
          <w:rFonts w:ascii="Arial Narrow" w:hAnsi="Arial Narrow" w:cs="Arial"/>
          <w:b/>
          <w:bCs/>
          <w:iCs/>
          <w:caps/>
          <w:noProof/>
          <w:color w:val="1F497D"/>
          <w:sz w:val="22"/>
          <w:szCs w:val="22"/>
        </w:rPr>
        <w:t xml:space="preserve"> </w:t>
      </w:r>
      <w:r w:rsidR="00D47546" w:rsidRPr="00A027C8">
        <w:rPr>
          <w:rFonts w:ascii="Arial Narrow" w:hAnsi="Arial Narrow" w:cs="Arial"/>
          <w:iCs/>
          <w:noProof/>
          <w:color w:val="1F497D"/>
          <w:sz w:val="20"/>
          <w:szCs w:val="22"/>
        </w:rPr>
        <w:t>(</w:t>
      </w:r>
      <w:r w:rsidR="00060B68" w:rsidRPr="00A027C8">
        <w:rPr>
          <w:rFonts w:ascii="Arial Narrow" w:hAnsi="Arial Narrow" w:cs="Arial"/>
          <w:iCs/>
          <w:noProof/>
          <w:color w:val="1F497D"/>
          <w:sz w:val="20"/>
          <w:szCs w:val="22"/>
        </w:rPr>
        <w:t xml:space="preserve">Anni 2022-2023, </w:t>
      </w:r>
      <w:r w:rsidR="009353FE" w:rsidRPr="00A027C8">
        <w:rPr>
          <w:rFonts w:ascii="Arial Narrow" w:hAnsi="Arial Narrow" w:cs="Arial"/>
          <w:color w:val="1F497D"/>
          <w:sz w:val="20"/>
          <w:szCs w:val="22"/>
        </w:rPr>
        <w:t>M</w:t>
      </w:r>
      <w:r w:rsidR="00DA452C" w:rsidRPr="00A027C8">
        <w:rPr>
          <w:rFonts w:ascii="Arial Narrow" w:hAnsi="Arial Narrow" w:cs="Arial"/>
          <w:color w:val="1F497D"/>
          <w:sz w:val="20"/>
          <w:szCs w:val="22"/>
        </w:rPr>
        <w:t>ld</w:t>
      </w:r>
      <w:r w:rsidR="009353FE" w:rsidRPr="00A027C8">
        <w:rPr>
          <w:rFonts w:ascii="Arial Narrow" w:hAnsi="Arial Narrow" w:cs="Arial"/>
          <w:color w:val="1F497D"/>
          <w:sz w:val="20"/>
          <w:szCs w:val="22"/>
        </w:rPr>
        <w:t>€</w:t>
      </w:r>
      <w:r w:rsidR="00D47546">
        <w:rPr>
          <w:rFonts w:ascii="Arial Narrow" w:hAnsi="Arial Narrow" w:cs="Arial"/>
          <w:color w:val="1F497D"/>
          <w:sz w:val="20"/>
          <w:szCs w:val="22"/>
        </w:rPr>
        <w:t>)</w:t>
      </w:r>
      <w:r w:rsidR="009353FE" w:rsidRPr="00A027C8">
        <w:rPr>
          <w:rFonts w:ascii="Arial Narrow" w:hAnsi="Arial Narrow" w:cs="Arial"/>
          <w:color w:val="1F497D"/>
          <w:sz w:val="22"/>
        </w:rPr>
        <w:t xml:space="preserve"> </w:t>
      </w:r>
      <w:r w:rsidR="00D47546" w:rsidRPr="00A027C8">
        <w:rPr>
          <w:rFonts w:ascii="Arial Narrow" w:hAnsi="Arial Narrow" w:cs="Arial"/>
          <w:b/>
          <w:color w:val="1F497D"/>
          <w:sz w:val="22"/>
        </w:rPr>
        <w:t>E</w:t>
      </w:r>
      <w:r w:rsidR="00D47546">
        <w:rPr>
          <w:rFonts w:ascii="Arial Narrow" w:hAnsi="Arial Narrow" w:cs="Arial"/>
          <w:color w:val="1F497D"/>
          <w:sz w:val="22"/>
        </w:rPr>
        <w:t xml:space="preserve"> </w:t>
      </w:r>
      <w:r w:rsidR="00060B68" w:rsidRPr="00060B68">
        <w:rPr>
          <w:rFonts w:ascii="Arial Narrow" w:hAnsi="Arial Narrow" w:cs="Arial"/>
          <w:b/>
          <w:bCs/>
          <w:iCs/>
          <w:caps/>
          <w:noProof/>
          <w:color w:val="1F497D"/>
          <w:sz w:val="22"/>
          <w:szCs w:val="22"/>
        </w:rPr>
        <w:t xml:space="preserve">variazione del gettito DELLE IMPOSTE sull’energia In Europa </w:t>
      </w:r>
      <w:r w:rsidR="00D47546" w:rsidRPr="00A027C8">
        <w:rPr>
          <w:rFonts w:ascii="Arial Narrow" w:hAnsi="Arial Narrow" w:cs="Arial"/>
          <w:iCs/>
          <w:noProof/>
          <w:color w:val="1F497D"/>
          <w:sz w:val="20"/>
          <w:szCs w:val="22"/>
        </w:rPr>
        <w:t>(</w:t>
      </w:r>
      <w:r w:rsidR="00060B68" w:rsidRPr="00A027C8">
        <w:rPr>
          <w:rFonts w:ascii="Arial Narrow" w:hAnsi="Arial Narrow" w:cs="Arial"/>
          <w:iCs/>
          <w:noProof/>
          <w:color w:val="1F497D"/>
          <w:sz w:val="20"/>
          <w:szCs w:val="22"/>
        </w:rPr>
        <w:t>Anni 2020 e 2022, valori percentuali</w:t>
      </w:r>
      <w:r>
        <w:rPr>
          <w:rFonts w:ascii="Arial Narrow" w:hAnsi="Arial Narrow" w:cs="Arial"/>
          <w:iCs/>
          <w:noProof/>
          <w:color w:val="1F497D"/>
          <w:sz w:val="20"/>
          <w:szCs w:val="22"/>
        </w:rPr>
        <w:t>)</w:t>
      </w:r>
    </w:p>
    <w:p w14:paraId="63F4B098" w14:textId="77777777" w:rsidR="006208B0" w:rsidRPr="00A027C8" w:rsidRDefault="006208B0" w:rsidP="00856FBA">
      <w:pPr>
        <w:spacing w:after="120"/>
        <w:rPr>
          <w:rFonts w:ascii="Arial Narrow" w:hAnsi="Arial Narrow" w:cs="Arial"/>
          <w:iCs/>
          <w:noProof/>
          <w:color w:val="1F497D"/>
          <w:sz w:val="2"/>
          <w:szCs w:val="22"/>
        </w:rPr>
      </w:pPr>
    </w:p>
    <w:p w14:paraId="5F91B9B9" w14:textId="494AED2D" w:rsidR="00060B68" w:rsidRPr="00060B68" w:rsidRDefault="00E15AAF" w:rsidP="00856FBA">
      <w:pPr>
        <w:autoSpaceDE w:val="0"/>
        <w:autoSpaceDN w:val="0"/>
        <w:adjustRightInd w:val="0"/>
        <w:spacing w:after="60"/>
        <w:jc w:val="both"/>
        <w:rPr>
          <w:rFonts w:ascii="Arial Narrow" w:hAnsi="Arial Narrow" w:cs="Arial"/>
          <w:iCs/>
          <w:noProof/>
          <w:color w:val="1F497D"/>
          <w:sz w:val="22"/>
          <w:szCs w:val="22"/>
        </w:rPr>
      </w:pPr>
      <w:r>
        <w:rPr>
          <w:noProof/>
        </w:rPr>
        <w:drawing>
          <wp:inline distT="0" distB="0" distL="0" distR="0" wp14:anchorId="5A79A2F3" wp14:editId="1A0A677B">
            <wp:extent cx="3139440" cy="2134385"/>
            <wp:effectExtent l="0" t="0" r="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15AAF">
        <w:rPr>
          <w:noProof/>
        </w:rPr>
        <w:t xml:space="preserve"> </w:t>
      </w:r>
      <w:r>
        <w:rPr>
          <w:noProof/>
        </w:rPr>
        <w:drawing>
          <wp:inline distT="0" distB="0" distL="0" distR="0" wp14:anchorId="06AF9E20" wp14:editId="52EECD7F">
            <wp:extent cx="3037205" cy="2130370"/>
            <wp:effectExtent l="0" t="0" r="0" b="3810"/>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33A791" w14:textId="2132A4A0" w:rsidR="00A02704" w:rsidRPr="00AF3AEF" w:rsidRDefault="00060B68" w:rsidP="009353FE">
      <w:pPr>
        <w:autoSpaceDE w:val="0"/>
        <w:autoSpaceDN w:val="0"/>
        <w:adjustRightInd w:val="0"/>
        <w:jc w:val="both"/>
        <w:rPr>
          <w:rFonts w:ascii="Arial" w:hAnsi="Arial" w:cs="Arial"/>
        </w:rPr>
      </w:pPr>
      <w:r w:rsidRPr="00AF3AEF">
        <w:rPr>
          <w:rFonts w:ascii="Arial" w:hAnsi="Arial" w:cs="Arial"/>
          <w:iCs/>
          <w:noProof/>
          <w:sz w:val="15"/>
          <w:szCs w:val="15"/>
        </w:rPr>
        <w:t xml:space="preserve">Fonte: Istat, Conti ambientali - </w:t>
      </w:r>
      <w:r w:rsidR="005367A2">
        <w:rPr>
          <w:rFonts w:ascii="Arial" w:hAnsi="Arial" w:cs="Arial"/>
          <w:iCs/>
          <w:noProof/>
          <w:sz w:val="15"/>
          <w:szCs w:val="15"/>
        </w:rPr>
        <w:t>Imposte ambientali per attività economica</w:t>
      </w:r>
      <w:r w:rsidR="00037B49" w:rsidRPr="00AF3AEF">
        <w:rPr>
          <w:rFonts w:ascii="Arial" w:hAnsi="Arial" w:cs="Arial"/>
          <w:iCs/>
          <w:noProof/>
          <w:sz w:val="15"/>
          <w:szCs w:val="15"/>
        </w:rPr>
        <w:t>; Eurostat</w:t>
      </w:r>
      <w:r w:rsidR="00A02704" w:rsidRPr="00AF3AEF">
        <w:rPr>
          <w:rFonts w:ascii="Arial" w:hAnsi="Arial" w:cs="Arial"/>
        </w:rPr>
        <w:br w:type="page"/>
      </w:r>
    </w:p>
    <w:p w14:paraId="0D4DC5C9" w14:textId="77777777" w:rsidR="008D20E4" w:rsidRPr="00A027C8" w:rsidRDefault="008D20E4" w:rsidP="00A027C8">
      <w:pPr>
        <w:autoSpaceDE w:val="0"/>
        <w:autoSpaceDN w:val="0"/>
        <w:adjustRightInd w:val="0"/>
        <w:spacing w:after="120"/>
        <w:jc w:val="both"/>
        <w:outlineLvl w:val="1"/>
        <w:rPr>
          <w:rFonts w:ascii="Arial" w:hAnsi="Arial" w:cs="Arial"/>
          <w:color w:val="1F497D"/>
          <w:sz w:val="22"/>
          <w:szCs w:val="26"/>
        </w:rPr>
      </w:pPr>
    </w:p>
    <w:p w14:paraId="35E85991" w14:textId="73A49DFC" w:rsidR="00D14BBB" w:rsidRPr="00D14BBB" w:rsidRDefault="00D14BBB" w:rsidP="00A027C8">
      <w:pPr>
        <w:autoSpaceDE w:val="0"/>
        <w:autoSpaceDN w:val="0"/>
        <w:adjustRightInd w:val="0"/>
        <w:spacing w:after="120"/>
        <w:jc w:val="both"/>
        <w:outlineLvl w:val="1"/>
        <w:rPr>
          <w:rFonts w:ascii="Arial" w:hAnsi="Arial" w:cs="Arial"/>
          <w:bCs/>
          <w:i/>
          <w:color w:val="1F497D"/>
          <w:sz w:val="26"/>
          <w:szCs w:val="26"/>
        </w:rPr>
      </w:pPr>
      <w:r w:rsidRPr="00D14BBB">
        <w:rPr>
          <w:rFonts w:ascii="Arial" w:hAnsi="Arial" w:cs="Arial"/>
          <w:b/>
          <w:color w:val="1F497D"/>
          <w:sz w:val="26"/>
          <w:szCs w:val="26"/>
        </w:rPr>
        <w:t>Nel 2022 il comparto ecoindustrie continua a crescere</w:t>
      </w:r>
    </w:p>
    <w:p w14:paraId="2DC0D476" w14:textId="28A731C7" w:rsidR="00D14BBB" w:rsidRPr="00767A2C" w:rsidRDefault="00D14BBB">
      <w:pPr>
        <w:autoSpaceDE w:val="0"/>
        <w:autoSpaceDN w:val="0"/>
        <w:adjustRightInd w:val="0"/>
        <w:spacing w:after="120"/>
        <w:jc w:val="both"/>
        <w:rPr>
          <w:rFonts w:ascii="Arial" w:hAnsi="Arial" w:cs="Arial"/>
          <w:color w:val="000000"/>
          <w:sz w:val="22"/>
          <w:szCs w:val="22"/>
        </w:rPr>
      </w:pPr>
      <w:r w:rsidRPr="00D14BBB">
        <w:rPr>
          <w:rFonts w:ascii="Arial" w:hAnsi="Arial" w:cs="Arial"/>
          <w:color w:val="000000"/>
          <w:sz w:val="22"/>
          <w:szCs w:val="22"/>
        </w:rPr>
        <w:t>Nel 2022 il valore ai prezzi base della produzione di beni e servizi ambientali (settore delle ecoindustrie) realizzata da tutti gli operatori economici (</w:t>
      </w:r>
      <w:r w:rsidRPr="00A027C8">
        <w:rPr>
          <w:rFonts w:ascii="Arial" w:hAnsi="Arial" w:cs="Arial"/>
          <w:i/>
          <w:color w:val="000000"/>
          <w:sz w:val="22"/>
          <w:szCs w:val="22"/>
        </w:rPr>
        <w:t>market</w:t>
      </w:r>
      <w:r w:rsidRPr="00D14BBB">
        <w:rPr>
          <w:rFonts w:ascii="Arial" w:hAnsi="Arial" w:cs="Arial"/>
          <w:color w:val="000000"/>
          <w:sz w:val="22"/>
          <w:szCs w:val="22"/>
        </w:rPr>
        <w:t xml:space="preserve"> e non </w:t>
      </w:r>
      <w:r w:rsidRPr="00A027C8">
        <w:rPr>
          <w:rFonts w:ascii="Arial" w:hAnsi="Arial" w:cs="Arial"/>
          <w:i/>
          <w:color w:val="000000"/>
          <w:sz w:val="22"/>
          <w:szCs w:val="22"/>
        </w:rPr>
        <w:t>market</w:t>
      </w:r>
      <w:r w:rsidRPr="00D14BBB">
        <w:rPr>
          <w:rFonts w:ascii="Arial" w:hAnsi="Arial" w:cs="Arial"/>
          <w:color w:val="000000"/>
          <w:sz w:val="22"/>
          <w:szCs w:val="22"/>
        </w:rPr>
        <w:t xml:space="preserve">) e comprensiva della produzione svolta in proprio dai comparti produttivi e dalle famiglie, si è attestata a 217,4 miliardi di euro (a prezzi correnti), </w:t>
      </w:r>
      <w:r w:rsidRPr="0022267B">
        <w:rPr>
          <w:rFonts w:ascii="Arial" w:hAnsi="Arial" w:cs="Arial"/>
          <w:color w:val="000000"/>
          <w:sz w:val="22"/>
          <w:szCs w:val="22"/>
        </w:rPr>
        <w:t>con</w:t>
      </w:r>
      <w:r w:rsidRPr="00D14BBB">
        <w:rPr>
          <w:rFonts w:ascii="Arial" w:hAnsi="Arial" w:cs="Arial"/>
          <w:color w:val="000000"/>
          <w:sz w:val="22"/>
          <w:szCs w:val="22"/>
        </w:rPr>
        <w:t xml:space="preserve"> un valore aggiunto di 79,9 miliardi di euro. Gli incrementi della produzione e del valore aggiunto </w:t>
      </w:r>
      <w:r w:rsidRPr="00767A2C">
        <w:rPr>
          <w:rFonts w:ascii="Arial" w:hAnsi="Arial" w:cs="Arial"/>
          <w:color w:val="000000"/>
          <w:sz w:val="22"/>
          <w:szCs w:val="22"/>
        </w:rPr>
        <w:t>rispetto all’anno precedente sono stati rispettivamente del 37,7% e del 40,6%. La dinamica positiva del valore aggiunto delle ecoindustrie ha superato anche nel 2022 quella del Pil (+8,4% in valori correnti), determinando una crescita dell’incidenza del comparto sull’intera economia, che</w:t>
      </w:r>
      <w:r w:rsidR="00D82805">
        <w:rPr>
          <w:rFonts w:ascii="Arial" w:hAnsi="Arial" w:cs="Arial"/>
          <w:color w:val="000000"/>
          <w:sz w:val="22"/>
          <w:szCs w:val="22"/>
        </w:rPr>
        <w:t>,</w:t>
      </w:r>
      <w:r w:rsidRPr="00767A2C">
        <w:rPr>
          <w:rFonts w:ascii="Arial" w:hAnsi="Arial" w:cs="Arial"/>
          <w:color w:val="000000"/>
          <w:sz w:val="22"/>
          <w:szCs w:val="22"/>
        </w:rPr>
        <w:t xml:space="preserve"> </w:t>
      </w:r>
      <w:r w:rsidR="00174E1F" w:rsidRPr="00767A2C">
        <w:rPr>
          <w:rFonts w:ascii="Arial" w:hAnsi="Arial" w:cs="Arial"/>
          <w:color w:val="000000"/>
          <w:sz w:val="22"/>
          <w:szCs w:val="22"/>
        </w:rPr>
        <w:t>in termini di valore aggiunto</w:t>
      </w:r>
      <w:r w:rsidR="00D82805">
        <w:rPr>
          <w:rFonts w:ascii="Arial" w:hAnsi="Arial" w:cs="Arial"/>
          <w:color w:val="000000"/>
          <w:sz w:val="22"/>
          <w:szCs w:val="22"/>
        </w:rPr>
        <w:t>,</w:t>
      </w:r>
      <w:r w:rsidR="00174E1F" w:rsidRPr="00767A2C">
        <w:rPr>
          <w:rFonts w:ascii="Arial" w:hAnsi="Arial" w:cs="Arial"/>
          <w:color w:val="000000"/>
          <w:sz w:val="22"/>
          <w:szCs w:val="22"/>
        </w:rPr>
        <w:t xml:space="preserve"> </w:t>
      </w:r>
      <w:r w:rsidRPr="00767A2C">
        <w:rPr>
          <w:rFonts w:ascii="Arial" w:hAnsi="Arial" w:cs="Arial"/>
          <w:color w:val="000000"/>
          <w:sz w:val="22"/>
          <w:szCs w:val="22"/>
        </w:rPr>
        <w:t>è passata dal 3,1% nel 2021 al 4</w:t>
      </w:r>
      <w:r w:rsidR="00514DE2">
        <w:rPr>
          <w:rFonts w:ascii="Arial" w:hAnsi="Arial" w:cs="Arial"/>
          <w:color w:val="000000"/>
          <w:sz w:val="22"/>
          <w:szCs w:val="22"/>
        </w:rPr>
        <w:t>,0</w:t>
      </w:r>
      <w:r w:rsidRPr="00767A2C">
        <w:rPr>
          <w:rFonts w:ascii="Arial" w:hAnsi="Arial" w:cs="Arial"/>
          <w:color w:val="000000"/>
          <w:sz w:val="22"/>
          <w:szCs w:val="22"/>
        </w:rPr>
        <w:t>% nel 2022.</w:t>
      </w:r>
    </w:p>
    <w:p w14:paraId="59A382F7" w14:textId="07B69B17" w:rsidR="00D14BBB" w:rsidRPr="00D14BBB" w:rsidRDefault="00D14BBB">
      <w:pPr>
        <w:autoSpaceDE w:val="0"/>
        <w:autoSpaceDN w:val="0"/>
        <w:adjustRightInd w:val="0"/>
        <w:spacing w:after="120"/>
        <w:jc w:val="both"/>
        <w:rPr>
          <w:rFonts w:ascii="Arial" w:hAnsi="Arial" w:cs="Arial"/>
          <w:color w:val="000000"/>
          <w:sz w:val="22"/>
          <w:szCs w:val="22"/>
        </w:rPr>
      </w:pPr>
      <w:r w:rsidRPr="00D14BBB">
        <w:rPr>
          <w:rFonts w:ascii="Arial" w:hAnsi="Arial" w:cs="Arial"/>
          <w:color w:val="000000"/>
          <w:sz w:val="22"/>
          <w:szCs w:val="22"/>
        </w:rPr>
        <w:t xml:space="preserve">La crescita ha riguardato tutti gli ambiti del comparto ecoindustrie, ad eccezione delle attività per il contenimento dell’inquinamento acustico. L’incremento più rilevante è stato registrato per le attività volte al miglioramento dell’efficienza energetica (+87,4%). Questa dinamica così accentuata, già evidente nel 2021, è </w:t>
      </w:r>
      <w:r w:rsidR="00D82805">
        <w:rPr>
          <w:rFonts w:ascii="Arial" w:hAnsi="Arial" w:cs="Arial"/>
          <w:color w:val="000000"/>
          <w:sz w:val="22"/>
          <w:szCs w:val="22"/>
        </w:rPr>
        <w:t>da ricondurre</w:t>
      </w:r>
      <w:r w:rsidR="00D82805" w:rsidRPr="00D14BBB">
        <w:rPr>
          <w:rFonts w:ascii="Arial" w:hAnsi="Arial" w:cs="Arial"/>
          <w:color w:val="000000"/>
          <w:sz w:val="22"/>
          <w:szCs w:val="22"/>
        </w:rPr>
        <w:t xml:space="preserve"> </w:t>
      </w:r>
      <w:r w:rsidRPr="00D14BBB">
        <w:rPr>
          <w:rFonts w:ascii="Arial" w:hAnsi="Arial" w:cs="Arial"/>
          <w:color w:val="000000"/>
          <w:sz w:val="22"/>
          <w:szCs w:val="22"/>
        </w:rPr>
        <w:t xml:space="preserve">agli effetti di due misure legislative che hanno interessato il settore </w:t>
      </w:r>
      <w:r w:rsidR="00D82805">
        <w:rPr>
          <w:rFonts w:ascii="Arial" w:hAnsi="Arial" w:cs="Arial"/>
          <w:color w:val="000000"/>
          <w:sz w:val="22"/>
          <w:szCs w:val="22"/>
        </w:rPr>
        <w:t>a partire</w:t>
      </w:r>
      <w:r w:rsidR="00D82805" w:rsidRPr="00D14BBB">
        <w:rPr>
          <w:rFonts w:ascii="Arial" w:hAnsi="Arial" w:cs="Arial"/>
          <w:color w:val="000000"/>
          <w:sz w:val="22"/>
          <w:szCs w:val="22"/>
        </w:rPr>
        <w:t xml:space="preserve"> </w:t>
      </w:r>
      <w:r w:rsidRPr="00D14BBB">
        <w:rPr>
          <w:rFonts w:ascii="Arial" w:hAnsi="Arial" w:cs="Arial"/>
          <w:color w:val="000000"/>
          <w:sz w:val="22"/>
          <w:szCs w:val="22"/>
        </w:rPr>
        <w:t xml:space="preserve">dal 2021. La prima riguarda l’applicazione della Direttiva </w:t>
      </w:r>
      <w:r w:rsidR="00F469EE">
        <w:rPr>
          <w:rFonts w:ascii="Arial" w:hAnsi="Arial" w:cs="Arial"/>
          <w:color w:val="000000"/>
          <w:sz w:val="22"/>
          <w:szCs w:val="22"/>
        </w:rPr>
        <w:t>e</w:t>
      </w:r>
      <w:r w:rsidRPr="00D14BBB">
        <w:rPr>
          <w:rFonts w:ascii="Arial" w:hAnsi="Arial" w:cs="Arial"/>
          <w:color w:val="000000"/>
          <w:sz w:val="22"/>
          <w:szCs w:val="22"/>
        </w:rPr>
        <w:t>uropea 2010/31/UE, che impone la realizzazione di tutti i nuovi edifici secondo gli standard degli edifici a quasi zero impatto energetico (Nzeb), determinando la registrazione dell’intero valore delle attività di costruzione di nuovi edifici realizzati nel Paese all’interno del conto delle ecoindustrie. La seconda misura riguarda gli incentivi fiscali comunemente noti come Superbonus 110%, i cui maggiori effetti si sono registrati proprio nel 2022 con l’incremento del numero di interventi di efficientamento energetico degli edifici.</w:t>
      </w:r>
    </w:p>
    <w:p w14:paraId="70E41E3C" w14:textId="39B35EC1" w:rsidR="00D14BBB" w:rsidRPr="00D14BBB" w:rsidRDefault="00D14BBB">
      <w:pPr>
        <w:autoSpaceDE w:val="0"/>
        <w:autoSpaceDN w:val="0"/>
        <w:adjustRightInd w:val="0"/>
        <w:spacing w:after="120"/>
        <w:jc w:val="both"/>
        <w:rPr>
          <w:rFonts w:ascii="Arial" w:hAnsi="Arial" w:cs="Arial"/>
          <w:color w:val="000000"/>
          <w:sz w:val="22"/>
          <w:szCs w:val="22"/>
        </w:rPr>
      </w:pPr>
      <w:r w:rsidRPr="00D14BBB">
        <w:rPr>
          <w:rFonts w:ascii="Arial" w:hAnsi="Arial" w:cs="Arial"/>
          <w:color w:val="000000"/>
          <w:sz w:val="22"/>
          <w:szCs w:val="22"/>
        </w:rPr>
        <w:t xml:space="preserve">Sempre in campo energetico, un aumento rilevante del valore aggiunto si </w:t>
      </w:r>
      <w:r w:rsidR="00D82805">
        <w:rPr>
          <w:rFonts w:ascii="Arial" w:hAnsi="Arial" w:cs="Arial"/>
          <w:color w:val="000000"/>
          <w:sz w:val="22"/>
          <w:szCs w:val="22"/>
        </w:rPr>
        <w:t xml:space="preserve">è </w:t>
      </w:r>
      <w:r w:rsidRPr="00D14BBB">
        <w:rPr>
          <w:rFonts w:ascii="Arial" w:hAnsi="Arial" w:cs="Arial"/>
          <w:color w:val="000000"/>
          <w:sz w:val="22"/>
          <w:szCs w:val="22"/>
        </w:rPr>
        <w:t>registra</w:t>
      </w:r>
      <w:r w:rsidR="00D82805">
        <w:rPr>
          <w:rFonts w:ascii="Arial" w:hAnsi="Arial" w:cs="Arial"/>
          <w:color w:val="000000"/>
          <w:sz w:val="22"/>
          <w:szCs w:val="22"/>
        </w:rPr>
        <w:t>to</w:t>
      </w:r>
      <w:r w:rsidRPr="00D14BBB">
        <w:rPr>
          <w:rFonts w:ascii="Arial" w:hAnsi="Arial" w:cs="Arial"/>
          <w:color w:val="000000"/>
          <w:sz w:val="22"/>
          <w:szCs w:val="22"/>
        </w:rPr>
        <w:t xml:space="preserve"> nella produzione di energia da fonti rinnovabili (+66,9%). Questa crescita del valore non si </w:t>
      </w:r>
      <w:r w:rsidR="00D82805">
        <w:rPr>
          <w:rFonts w:ascii="Arial" w:hAnsi="Arial" w:cs="Arial"/>
          <w:color w:val="000000"/>
          <w:sz w:val="22"/>
          <w:szCs w:val="22"/>
        </w:rPr>
        <w:t xml:space="preserve">è </w:t>
      </w:r>
      <w:r w:rsidRPr="00D14BBB">
        <w:rPr>
          <w:rFonts w:ascii="Arial" w:hAnsi="Arial" w:cs="Arial"/>
          <w:color w:val="000000"/>
          <w:sz w:val="22"/>
          <w:szCs w:val="22"/>
        </w:rPr>
        <w:t>accompagna</w:t>
      </w:r>
      <w:r w:rsidR="00D82805">
        <w:rPr>
          <w:rFonts w:ascii="Arial" w:hAnsi="Arial" w:cs="Arial"/>
          <w:color w:val="000000"/>
          <w:sz w:val="22"/>
          <w:szCs w:val="22"/>
        </w:rPr>
        <w:t>ta</w:t>
      </w:r>
      <w:r w:rsidRPr="00D14BBB">
        <w:rPr>
          <w:rFonts w:ascii="Arial" w:hAnsi="Arial" w:cs="Arial"/>
          <w:color w:val="000000"/>
          <w:sz w:val="22"/>
          <w:szCs w:val="22"/>
        </w:rPr>
        <w:t xml:space="preserve"> a una maggior</w:t>
      </w:r>
      <w:r w:rsidR="00CF70E6">
        <w:rPr>
          <w:rFonts w:ascii="Arial" w:hAnsi="Arial" w:cs="Arial"/>
          <w:color w:val="000000"/>
          <w:sz w:val="22"/>
          <w:szCs w:val="22"/>
        </w:rPr>
        <w:t>e</w:t>
      </w:r>
      <w:r w:rsidRPr="00D14BBB">
        <w:rPr>
          <w:rFonts w:ascii="Arial" w:hAnsi="Arial" w:cs="Arial"/>
          <w:color w:val="000000"/>
          <w:sz w:val="22"/>
          <w:szCs w:val="22"/>
        </w:rPr>
        <w:t xml:space="preserve"> </w:t>
      </w:r>
      <w:r w:rsidR="00CF70E6">
        <w:rPr>
          <w:rFonts w:ascii="Arial" w:hAnsi="Arial" w:cs="Arial"/>
          <w:color w:val="000000"/>
          <w:sz w:val="22"/>
          <w:szCs w:val="22"/>
        </w:rPr>
        <w:t>quantità prodotta</w:t>
      </w:r>
      <w:r w:rsidR="00D82805">
        <w:rPr>
          <w:rFonts w:ascii="Arial" w:hAnsi="Arial" w:cs="Arial"/>
          <w:color w:val="000000"/>
          <w:sz w:val="22"/>
          <w:szCs w:val="22"/>
        </w:rPr>
        <w:t>,</w:t>
      </w:r>
      <w:r w:rsidRPr="00D14BBB">
        <w:rPr>
          <w:rFonts w:ascii="Arial" w:hAnsi="Arial" w:cs="Arial"/>
          <w:color w:val="000000"/>
          <w:sz w:val="22"/>
          <w:szCs w:val="22"/>
        </w:rPr>
        <w:t xml:space="preserve"> ma è </w:t>
      </w:r>
      <w:r w:rsidR="00D82805">
        <w:rPr>
          <w:rFonts w:ascii="Arial" w:hAnsi="Arial" w:cs="Arial"/>
          <w:color w:val="000000"/>
          <w:sz w:val="22"/>
          <w:szCs w:val="22"/>
        </w:rPr>
        <w:t xml:space="preserve">stata </w:t>
      </w:r>
      <w:r w:rsidRPr="00D14BBB">
        <w:rPr>
          <w:rFonts w:ascii="Arial" w:hAnsi="Arial" w:cs="Arial"/>
          <w:color w:val="000000"/>
          <w:sz w:val="22"/>
          <w:szCs w:val="22"/>
        </w:rPr>
        <w:t>determinata dall’incremento del prezzo base unitario</w:t>
      </w:r>
      <w:r w:rsidRPr="001973DC">
        <w:rPr>
          <w:rFonts w:ascii="Arial" w:hAnsi="Arial" w:cs="Arial"/>
          <w:color w:val="000000"/>
          <w:sz w:val="22"/>
          <w:szCs w:val="22"/>
        </w:rPr>
        <w:t>,</w:t>
      </w:r>
      <w:r w:rsidRPr="00D14BBB">
        <w:rPr>
          <w:rFonts w:ascii="Arial" w:hAnsi="Arial" w:cs="Arial"/>
          <w:color w:val="000000"/>
          <w:sz w:val="22"/>
          <w:szCs w:val="22"/>
        </w:rPr>
        <w:t xml:space="preserve"> trainato dal prezzo del gas, che ha interessato il settore energetico, incluso quello delle rinnovabili. </w:t>
      </w:r>
    </w:p>
    <w:p w14:paraId="7A68E233" w14:textId="5B9A11C1" w:rsidR="00D14BBB" w:rsidRPr="00D14BBB" w:rsidRDefault="00D14BBB">
      <w:pPr>
        <w:autoSpaceDE w:val="0"/>
        <w:autoSpaceDN w:val="0"/>
        <w:adjustRightInd w:val="0"/>
        <w:spacing w:after="120"/>
        <w:jc w:val="both"/>
        <w:rPr>
          <w:rFonts w:ascii="Arial" w:hAnsi="Arial" w:cs="Arial"/>
          <w:color w:val="000000"/>
          <w:sz w:val="22"/>
          <w:szCs w:val="22"/>
        </w:rPr>
      </w:pPr>
      <w:r w:rsidRPr="00D14BBB">
        <w:rPr>
          <w:rFonts w:ascii="Arial" w:hAnsi="Arial" w:cs="Arial"/>
          <w:color w:val="000000"/>
          <w:sz w:val="22"/>
          <w:szCs w:val="22"/>
        </w:rPr>
        <w:t xml:space="preserve">Questi fenomeni </w:t>
      </w:r>
      <w:r w:rsidR="00D82805">
        <w:rPr>
          <w:rFonts w:ascii="Arial" w:hAnsi="Arial" w:cs="Arial"/>
          <w:color w:val="000000"/>
          <w:sz w:val="22"/>
          <w:szCs w:val="22"/>
        </w:rPr>
        <w:t>hanno concorso</w:t>
      </w:r>
      <w:r w:rsidR="00D82805" w:rsidRPr="00D14BBB">
        <w:rPr>
          <w:rFonts w:ascii="Arial" w:hAnsi="Arial" w:cs="Arial"/>
          <w:color w:val="000000"/>
          <w:sz w:val="22"/>
          <w:szCs w:val="22"/>
        </w:rPr>
        <w:t xml:space="preserve"> </w:t>
      </w:r>
      <w:r w:rsidRPr="00D14BBB">
        <w:rPr>
          <w:rFonts w:ascii="Arial" w:hAnsi="Arial" w:cs="Arial"/>
          <w:color w:val="000000"/>
          <w:sz w:val="22"/>
          <w:szCs w:val="22"/>
        </w:rPr>
        <w:t xml:space="preserve">a confermare il primato delle attività svolte nel campo energetico sul valore aggiunto complessivo generato dal comparto delle ecoindustrie. Gli interventi per l’efficienza energetica e la produzione di energia da fonti rinnovabili </w:t>
      </w:r>
      <w:r w:rsidR="00D82805" w:rsidRPr="00D14BBB">
        <w:rPr>
          <w:rFonts w:ascii="Arial" w:hAnsi="Arial" w:cs="Arial"/>
          <w:color w:val="000000"/>
          <w:sz w:val="22"/>
          <w:szCs w:val="22"/>
        </w:rPr>
        <w:t xml:space="preserve">nel 2022 </w:t>
      </w:r>
      <w:r w:rsidR="00D82805">
        <w:rPr>
          <w:rFonts w:ascii="Arial" w:hAnsi="Arial" w:cs="Arial"/>
          <w:color w:val="000000"/>
          <w:sz w:val="22"/>
          <w:szCs w:val="22"/>
        </w:rPr>
        <w:t xml:space="preserve">hanno rappresentato </w:t>
      </w:r>
      <w:r w:rsidRPr="00D14BBB">
        <w:rPr>
          <w:rFonts w:ascii="Arial" w:hAnsi="Arial" w:cs="Arial"/>
          <w:color w:val="000000"/>
          <w:sz w:val="22"/>
          <w:szCs w:val="22"/>
        </w:rPr>
        <w:t>infatti</w:t>
      </w:r>
      <w:r w:rsidR="00D82805">
        <w:rPr>
          <w:rFonts w:ascii="Arial" w:hAnsi="Arial" w:cs="Arial"/>
          <w:color w:val="000000"/>
          <w:sz w:val="22"/>
          <w:szCs w:val="22"/>
        </w:rPr>
        <w:t>,</w:t>
      </w:r>
      <w:r w:rsidRPr="00D14BBB">
        <w:rPr>
          <w:rFonts w:ascii="Arial" w:hAnsi="Arial" w:cs="Arial"/>
          <w:color w:val="000000"/>
          <w:sz w:val="22"/>
          <w:szCs w:val="22"/>
        </w:rPr>
        <w:t xml:space="preserve"> il 58,6% del comparto, una quota superiore rispetto a quella registrata nell’anno precedente (44,8%). </w:t>
      </w:r>
    </w:p>
    <w:p w14:paraId="24BAA8DA" w14:textId="40A7FAE5" w:rsidR="00D14BBB" w:rsidRPr="00D14BBB" w:rsidRDefault="00D14BBB">
      <w:pPr>
        <w:autoSpaceDE w:val="0"/>
        <w:autoSpaceDN w:val="0"/>
        <w:adjustRightInd w:val="0"/>
        <w:spacing w:after="120"/>
        <w:jc w:val="both"/>
        <w:rPr>
          <w:rFonts w:ascii="Arial" w:hAnsi="Arial" w:cs="Arial"/>
          <w:color w:val="000000"/>
          <w:sz w:val="22"/>
          <w:szCs w:val="22"/>
        </w:rPr>
      </w:pPr>
      <w:r w:rsidRPr="00D14BBB">
        <w:rPr>
          <w:rFonts w:ascii="Arial" w:hAnsi="Arial" w:cs="Arial"/>
          <w:color w:val="000000"/>
          <w:sz w:val="22"/>
          <w:szCs w:val="22"/>
        </w:rPr>
        <w:t xml:space="preserve">Nel 2022 </w:t>
      </w:r>
      <w:r w:rsidR="00D82805">
        <w:rPr>
          <w:rFonts w:ascii="Arial" w:hAnsi="Arial" w:cs="Arial"/>
          <w:color w:val="000000"/>
          <w:sz w:val="22"/>
          <w:szCs w:val="22"/>
        </w:rPr>
        <w:t xml:space="preserve">si </w:t>
      </w:r>
      <w:r w:rsidRPr="00D14BBB">
        <w:rPr>
          <w:rFonts w:ascii="Arial" w:hAnsi="Arial" w:cs="Arial"/>
          <w:color w:val="000000"/>
          <w:sz w:val="22"/>
          <w:szCs w:val="22"/>
        </w:rPr>
        <w:t xml:space="preserve">è confermata anche la rilevanza dei servizi di depurazione delle acque, di gestione dei rifiuti e di riduzione dell’uso delle risorse (che include le attività di recupero dei materiali). Questi tre ambiti </w:t>
      </w:r>
      <w:r w:rsidR="00D82805">
        <w:rPr>
          <w:rFonts w:ascii="Arial" w:hAnsi="Arial" w:cs="Arial"/>
          <w:color w:val="000000"/>
          <w:sz w:val="22"/>
          <w:szCs w:val="22"/>
        </w:rPr>
        <w:t xml:space="preserve">hanno </w:t>
      </w:r>
      <w:r w:rsidRPr="00D14BBB">
        <w:rPr>
          <w:rFonts w:ascii="Arial" w:hAnsi="Arial" w:cs="Arial"/>
          <w:color w:val="000000"/>
          <w:sz w:val="22"/>
          <w:szCs w:val="22"/>
        </w:rPr>
        <w:t>insieme assorb</w:t>
      </w:r>
      <w:r w:rsidR="00D82805">
        <w:rPr>
          <w:rFonts w:ascii="Arial" w:hAnsi="Arial" w:cs="Arial"/>
          <w:color w:val="000000"/>
          <w:sz w:val="22"/>
          <w:szCs w:val="22"/>
        </w:rPr>
        <w:t xml:space="preserve">ito </w:t>
      </w:r>
      <w:r w:rsidRPr="00D14BBB">
        <w:rPr>
          <w:rFonts w:ascii="Arial" w:hAnsi="Arial" w:cs="Arial"/>
          <w:color w:val="000000"/>
          <w:sz w:val="22"/>
          <w:szCs w:val="22"/>
        </w:rPr>
        <w:t xml:space="preserve">un quarto del valore aggiunto generato dal comparto delle ecoindustrie e hanno registrato una dinamica positiva rispettivamente pari a +9,6%, +1,9% e +3,9%. </w:t>
      </w:r>
    </w:p>
    <w:p w14:paraId="377B747F" w14:textId="2E99BC11" w:rsidR="00D14BBB" w:rsidRDefault="00495B61">
      <w:pPr>
        <w:autoSpaceDE w:val="0"/>
        <w:autoSpaceDN w:val="0"/>
        <w:adjustRightInd w:val="0"/>
        <w:spacing w:after="120"/>
        <w:jc w:val="both"/>
        <w:rPr>
          <w:rFonts w:ascii="Arial" w:hAnsi="Arial" w:cs="Arial"/>
          <w:sz w:val="22"/>
          <w:szCs w:val="22"/>
        </w:rPr>
      </w:pPr>
      <w:r>
        <w:rPr>
          <w:rFonts w:ascii="Arial" w:hAnsi="Arial" w:cs="Arial"/>
          <w:sz w:val="22"/>
          <w:szCs w:val="22"/>
        </w:rPr>
        <w:t>Nel 2021 (</w:t>
      </w:r>
      <w:r w:rsidR="00914467">
        <w:rPr>
          <w:rFonts w:ascii="Arial" w:hAnsi="Arial" w:cs="Arial"/>
          <w:sz w:val="22"/>
          <w:szCs w:val="22"/>
        </w:rPr>
        <w:t>ultimo dato disponibile)</w:t>
      </w:r>
      <w:r w:rsidR="00767A2C" w:rsidRPr="00767A2C">
        <w:rPr>
          <w:rFonts w:ascii="Arial" w:hAnsi="Arial" w:cs="Arial"/>
          <w:sz w:val="22"/>
          <w:szCs w:val="22"/>
        </w:rPr>
        <w:t xml:space="preserve">, l’Italia si </w:t>
      </w:r>
      <w:r w:rsidR="00914467">
        <w:rPr>
          <w:rFonts w:ascii="Arial" w:hAnsi="Arial" w:cs="Arial"/>
          <w:sz w:val="22"/>
          <w:szCs w:val="22"/>
        </w:rPr>
        <w:t>è collocata</w:t>
      </w:r>
      <w:r w:rsidR="00767A2C" w:rsidRPr="00767A2C">
        <w:rPr>
          <w:rFonts w:ascii="Arial" w:hAnsi="Arial" w:cs="Arial"/>
          <w:sz w:val="22"/>
          <w:szCs w:val="22"/>
        </w:rPr>
        <w:t xml:space="preserve"> tra i </w:t>
      </w:r>
      <w:r w:rsidR="00F469EE">
        <w:rPr>
          <w:rFonts w:ascii="Arial" w:hAnsi="Arial" w:cs="Arial"/>
          <w:sz w:val="22"/>
          <w:szCs w:val="22"/>
        </w:rPr>
        <w:t>P</w:t>
      </w:r>
      <w:r w:rsidR="00767A2C" w:rsidRPr="00767A2C">
        <w:rPr>
          <w:rFonts w:ascii="Arial" w:hAnsi="Arial" w:cs="Arial"/>
          <w:sz w:val="22"/>
          <w:szCs w:val="22"/>
        </w:rPr>
        <w:t xml:space="preserve">aesi </w:t>
      </w:r>
      <w:r w:rsidR="00914467">
        <w:rPr>
          <w:rFonts w:ascii="Arial" w:hAnsi="Arial" w:cs="Arial"/>
          <w:sz w:val="22"/>
          <w:szCs w:val="22"/>
        </w:rPr>
        <w:t>con</w:t>
      </w:r>
      <w:r w:rsidR="00767A2C" w:rsidRPr="00767A2C">
        <w:rPr>
          <w:rFonts w:ascii="Arial" w:hAnsi="Arial" w:cs="Arial"/>
          <w:sz w:val="22"/>
          <w:szCs w:val="22"/>
        </w:rPr>
        <w:t xml:space="preserve"> l</w:t>
      </w:r>
      <w:r w:rsidR="00914467">
        <w:rPr>
          <w:rFonts w:ascii="Arial" w:hAnsi="Arial" w:cs="Arial"/>
          <w:sz w:val="22"/>
          <w:szCs w:val="22"/>
        </w:rPr>
        <w:t>a</w:t>
      </w:r>
      <w:r w:rsidR="00767A2C" w:rsidRPr="00767A2C">
        <w:rPr>
          <w:rFonts w:ascii="Arial" w:hAnsi="Arial" w:cs="Arial"/>
          <w:sz w:val="22"/>
          <w:szCs w:val="22"/>
        </w:rPr>
        <w:t xml:space="preserve"> più alt</w:t>
      </w:r>
      <w:r w:rsidR="00914467">
        <w:rPr>
          <w:rFonts w:ascii="Arial" w:hAnsi="Arial" w:cs="Arial"/>
          <w:sz w:val="22"/>
          <w:szCs w:val="22"/>
        </w:rPr>
        <w:t>a</w:t>
      </w:r>
      <w:r w:rsidR="00767A2C" w:rsidRPr="00767A2C">
        <w:rPr>
          <w:rFonts w:ascii="Arial" w:hAnsi="Arial" w:cs="Arial"/>
          <w:sz w:val="22"/>
          <w:szCs w:val="22"/>
        </w:rPr>
        <w:t xml:space="preserve"> </w:t>
      </w:r>
      <w:r w:rsidR="00621DF8" w:rsidRPr="00767A2C">
        <w:rPr>
          <w:rFonts w:ascii="Arial" w:hAnsi="Arial" w:cs="Arial"/>
          <w:sz w:val="22"/>
          <w:szCs w:val="22"/>
        </w:rPr>
        <w:t>incidenz</w:t>
      </w:r>
      <w:r w:rsidR="00621DF8">
        <w:rPr>
          <w:rFonts w:ascii="Arial" w:hAnsi="Arial" w:cs="Arial"/>
          <w:sz w:val="22"/>
          <w:szCs w:val="22"/>
        </w:rPr>
        <w:t>a</w:t>
      </w:r>
      <w:r w:rsidR="00621DF8" w:rsidRPr="00767A2C">
        <w:rPr>
          <w:rFonts w:ascii="Arial" w:hAnsi="Arial" w:cs="Arial"/>
          <w:sz w:val="22"/>
          <w:szCs w:val="22"/>
        </w:rPr>
        <w:t xml:space="preserve"> </w:t>
      </w:r>
      <w:r w:rsidR="00767A2C" w:rsidRPr="00767A2C">
        <w:rPr>
          <w:rFonts w:ascii="Arial" w:hAnsi="Arial" w:cs="Arial"/>
          <w:sz w:val="22"/>
          <w:szCs w:val="22"/>
        </w:rPr>
        <w:t>del settore delle ecoindustrie sul Pil</w:t>
      </w:r>
      <w:r w:rsidR="00914467">
        <w:rPr>
          <w:rFonts w:ascii="Arial" w:hAnsi="Arial" w:cs="Arial"/>
          <w:sz w:val="22"/>
          <w:szCs w:val="22"/>
        </w:rPr>
        <w:t xml:space="preserve"> (3,1% rispetto a 2</w:t>
      </w:r>
      <w:r w:rsidR="005A1354">
        <w:rPr>
          <w:rFonts w:ascii="Arial" w:hAnsi="Arial" w:cs="Arial"/>
          <w:sz w:val="22"/>
          <w:szCs w:val="22"/>
        </w:rPr>
        <w:t>,0</w:t>
      </w:r>
      <w:r w:rsidR="00914467">
        <w:rPr>
          <w:rFonts w:ascii="Arial" w:hAnsi="Arial" w:cs="Arial"/>
          <w:sz w:val="22"/>
          <w:szCs w:val="22"/>
        </w:rPr>
        <w:t>% della media Ue27)</w:t>
      </w:r>
      <w:r w:rsidR="00767A2C" w:rsidRPr="00767A2C">
        <w:rPr>
          <w:rFonts w:ascii="Arial" w:hAnsi="Arial" w:cs="Arial"/>
          <w:sz w:val="22"/>
          <w:szCs w:val="22"/>
        </w:rPr>
        <w:t>.</w:t>
      </w:r>
    </w:p>
    <w:p w14:paraId="43F6697A" w14:textId="2017E6EA" w:rsidR="008D20E4" w:rsidRDefault="008D20E4" w:rsidP="00D14BBB">
      <w:pPr>
        <w:autoSpaceDE w:val="0"/>
        <w:autoSpaceDN w:val="0"/>
        <w:adjustRightInd w:val="0"/>
        <w:spacing w:after="120"/>
        <w:jc w:val="both"/>
        <w:rPr>
          <w:rFonts w:ascii="Arial" w:hAnsi="Arial" w:cs="Arial"/>
          <w:sz w:val="22"/>
          <w:szCs w:val="22"/>
        </w:rPr>
      </w:pPr>
    </w:p>
    <w:p w14:paraId="50025747" w14:textId="49EE1BD0" w:rsidR="008D20E4" w:rsidRDefault="008D20E4" w:rsidP="00D14BBB">
      <w:pPr>
        <w:autoSpaceDE w:val="0"/>
        <w:autoSpaceDN w:val="0"/>
        <w:adjustRightInd w:val="0"/>
        <w:spacing w:after="120"/>
        <w:jc w:val="both"/>
        <w:rPr>
          <w:rFonts w:ascii="Arial" w:hAnsi="Arial" w:cs="Arial"/>
          <w:sz w:val="22"/>
          <w:szCs w:val="22"/>
        </w:rPr>
      </w:pPr>
    </w:p>
    <w:p w14:paraId="4EADE03D" w14:textId="77777777" w:rsidR="008D20E4" w:rsidRDefault="008D20E4" w:rsidP="00A027C8">
      <w:pPr>
        <w:autoSpaceDE w:val="0"/>
        <w:autoSpaceDN w:val="0"/>
        <w:adjustRightInd w:val="0"/>
        <w:jc w:val="both"/>
        <w:rPr>
          <w:rFonts w:ascii="Arial" w:hAnsi="Arial" w:cs="Arial"/>
          <w:sz w:val="22"/>
          <w:szCs w:val="22"/>
        </w:rPr>
      </w:pPr>
    </w:p>
    <w:p w14:paraId="703DEAD2" w14:textId="5AD0ACC5" w:rsidR="00D14BBB" w:rsidRPr="00D14BBB" w:rsidRDefault="00F469EE" w:rsidP="00D14BBB">
      <w:pPr>
        <w:rPr>
          <w:rFonts w:ascii="Arial Narrow" w:hAnsi="Arial Narrow" w:cs="Arial"/>
          <w:b/>
          <w:iCs/>
          <w:caps/>
          <w:noProof/>
          <w:color w:val="1F497D"/>
          <w:sz w:val="22"/>
          <w:szCs w:val="22"/>
        </w:rPr>
      </w:pPr>
      <w:r w:rsidRPr="00D14BBB">
        <w:rPr>
          <w:rFonts w:ascii="Arial Black" w:hAnsi="Arial Black" w:cs="Arial"/>
          <w:iCs/>
          <w:noProof/>
          <w:color w:val="1F497D"/>
          <w:sz w:val="22"/>
          <w:szCs w:val="22"/>
        </w:rPr>
        <w:t>FIGURA</w:t>
      </w:r>
      <w:r w:rsidR="00D14BBB" w:rsidRPr="00D14BBB">
        <w:rPr>
          <w:rFonts w:ascii="Arial Black" w:hAnsi="Arial Black" w:cs="Arial"/>
          <w:iCs/>
          <w:noProof/>
          <w:color w:val="1F497D"/>
          <w:sz w:val="22"/>
          <w:szCs w:val="22"/>
        </w:rPr>
        <w:t xml:space="preserve"> 5</w:t>
      </w:r>
      <w:r w:rsidR="006208B0">
        <w:rPr>
          <w:rFonts w:ascii="Arial" w:hAnsi="Arial" w:cs="Arial"/>
          <w:sz w:val="22"/>
          <w:szCs w:val="22"/>
        </w:rPr>
        <w:t xml:space="preserve">. </w:t>
      </w:r>
      <w:r w:rsidR="00D14BBB" w:rsidRPr="00D14BBB">
        <w:rPr>
          <w:rFonts w:ascii="Arial Narrow" w:hAnsi="Arial Narrow" w:cs="Arial"/>
          <w:b/>
          <w:iCs/>
          <w:caps/>
          <w:noProof/>
          <w:color w:val="1F497D"/>
          <w:sz w:val="22"/>
          <w:szCs w:val="22"/>
        </w:rPr>
        <w:t>Valore aggiunto per finalità ambientale</w:t>
      </w:r>
    </w:p>
    <w:p w14:paraId="126662D1" w14:textId="77777777" w:rsidR="00D14BBB" w:rsidRPr="00D14BBB" w:rsidRDefault="00D14BBB" w:rsidP="00A027C8">
      <w:pPr>
        <w:autoSpaceDE w:val="0"/>
        <w:autoSpaceDN w:val="0"/>
        <w:adjustRightInd w:val="0"/>
        <w:spacing w:after="120"/>
        <w:rPr>
          <w:rFonts w:ascii="Arial Narrow" w:hAnsi="Arial Narrow" w:cs="Arial"/>
          <w:iCs/>
          <w:noProof/>
          <w:color w:val="1F497D"/>
          <w:sz w:val="22"/>
          <w:szCs w:val="22"/>
        </w:rPr>
      </w:pPr>
      <w:r w:rsidRPr="00D14BBB">
        <w:rPr>
          <w:rFonts w:ascii="Arial Narrow" w:hAnsi="Arial Narrow" w:cs="Arial"/>
          <w:iCs/>
          <w:noProof/>
          <w:color w:val="1F497D"/>
          <w:sz w:val="22"/>
          <w:szCs w:val="22"/>
        </w:rPr>
        <w:t>Anni 2021-2022, miliardi di euro</w:t>
      </w:r>
    </w:p>
    <w:p w14:paraId="231327AB" w14:textId="59DBD489" w:rsidR="00D14BBB" w:rsidRDefault="000737D4">
      <w:pPr>
        <w:rPr>
          <w:rFonts w:ascii="Arial Narrow" w:hAnsi="Arial Narrow" w:cs="Arial"/>
          <w:iCs/>
          <w:noProof/>
          <w:color w:val="1F497D"/>
          <w:sz w:val="15"/>
          <w:szCs w:val="15"/>
        </w:rPr>
      </w:pPr>
      <w:r>
        <w:rPr>
          <w:noProof/>
        </w:rPr>
        <w:drawing>
          <wp:inline distT="0" distB="0" distL="0" distR="0" wp14:anchorId="14697917" wp14:editId="62F5E573">
            <wp:extent cx="6296025" cy="2315071"/>
            <wp:effectExtent l="0" t="0" r="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14BBB" w:rsidRPr="00D14BBB">
        <w:rPr>
          <w:rFonts w:ascii="Arial Narrow" w:hAnsi="Arial Narrow" w:cs="Arial"/>
          <w:iCs/>
          <w:noProof/>
          <w:color w:val="1F497D"/>
          <w:sz w:val="15"/>
          <w:szCs w:val="15"/>
        </w:rPr>
        <w:t xml:space="preserve"> </w:t>
      </w:r>
      <w:r w:rsidR="00D14BBB" w:rsidRPr="005367A2">
        <w:rPr>
          <w:rFonts w:ascii="Arial" w:hAnsi="Arial" w:cs="Arial"/>
          <w:iCs/>
          <w:noProof/>
          <w:sz w:val="15"/>
          <w:szCs w:val="15"/>
        </w:rPr>
        <w:t>Fonte: Istat, Conti ambientali - Conto dei beni e servizi ambientali</w:t>
      </w:r>
      <w:r w:rsidR="00D14BBB">
        <w:rPr>
          <w:rFonts w:ascii="Arial Narrow" w:hAnsi="Arial Narrow" w:cs="Arial"/>
          <w:iCs/>
          <w:noProof/>
          <w:color w:val="1F497D"/>
          <w:sz w:val="15"/>
          <w:szCs w:val="15"/>
        </w:rPr>
        <w:br w:type="page"/>
      </w:r>
    </w:p>
    <w:p w14:paraId="23E76857" w14:textId="32A8EAB2" w:rsidR="00E03EFC" w:rsidRPr="00060B68" w:rsidRDefault="00E03EFC" w:rsidP="00E03EFC">
      <w:pPr>
        <w:spacing w:after="120"/>
        <w:rPr>
          <w:rFonts w:ascii="Arial" w:hAnsi="Arial" w:cs="Arial"/>
          <w:color w:val="1F497D" w:themeColor="text2"/>
          <w:sz w:val="22"/>
          <w:szCs w:val="22"/>
          <w:highlight w:val="yellow"/>
        </w:rPr>
      </w:pPr>
    </w:p>
    <w:p w14:paraId="7F9A9929" w14:textId="77777777" w:rsidR="00E03EFC" w:rsidRPr="00AE059A" w:rsidRDefault="00E03EFC" w:rsidP="00E03EFC">
      <w:pPr>
        <w:pStyle w:val="Titolo2"/>
        <w:rPr>
          <w:rFonts w:ascii="Arial" w:hAnsi="Arial" w:cs="Arial"/>
          <w:b/>
          <w:bCs w:val="0"/>
          <w:i w:val="0"/>
          <w:color w:val="1F497D" w:themeColor="text2"/>
          <w:sz w:val="26"/>
          <w:szCs w:val="26"/>
        </w:rPr>
      </w:pPr>
      <w:r w:rsidRPr="00387F55">
        <w:rPr>
          <w:rFonts w:ascii="Arial" w:hAnsi="Arial" w:cs="Arial"/>
          <w:b/>
          <w:bCs w:val="0"/>
          <w:i w:val="0"/>
          <w:color w:val="1F497D" w:themeColor="text2"/>
          <w:sz w:val="26"/>
          <w:szCs w:val="26"/>
        </w:rPr>
        <w:t>Stabile</w:t>
      </w:r>
      <w:r>
        <w:rPr>
          <w:rFonts w:ascii="Arial" w:hAnsi="Arial" w:cs="Arial"/>
          <w:b/>
          <w:bCs w:val="0"/>
          <w:i w:val="0"/>
          <w:color w:val="1F497D" w:themeColor="text2"/>
          <w:sz w:val="26"/>
          <w:szCs w:val="26"/>
        </w:rPr>
        <w:t xml:space="preserve"> nel 2022</w:t>
      </w:r>
      <w:r w:rsidRPr="00387F55">
        <w:rPr>
          <w:rFonts w:ascii="Arial" w:hAnsi="Arial" w:cs="Arial"/>
          <w:b/>
          <w:bCs w:val="0"/>
          <w:i w:val="0"/>
          <w:color w:val="1F497D" w:themeColor="text2"/>
          <w:sz w:val="26"/>
          <w:szCs w:val="26"/>
        </w:rPr>
        <w:t xml:space="preserve"> l’incidenza delle spese per la protezione dell’ambiente sul Pil</w:t>
      </w:r>
    </w:p>
    <w:p w14:paraId="68F2A5A4" w14:textId="28D8000F" w:rsidR="00E03EFC" w:rsidRPr="00750F00" w:rsidRDefault="00E03EFC" w:rsidP="00E03EFC">
      <w:pPr>
        <w:spacing w:after="120"/>
        <w:jc w:val="both"/>
        <w:rPr>
          <w:rFonts w:ascii="Arial" w:hAnsi="Arial" w:cs="Arial"/>
          <w:sz w:val="22"/>
          <w:szCs w:val="22"/>
        </w:rPr>
      </w:pPr>
      <w:r w:rsidRPr="00750F00">
        <w:rPr>
          <w:rFonts w:ascii="Arial" w:hAnsi="Arial" w:cs="Arial"/>
          <w:sz w:val="22"/>
          <w:szCs w:val="22"/>
        </w:rPr>
        <w:t xml:space="preserve">Nel 2022, le famiglie, le imprese e le Amministrazioni pubbliche hanno speso complessivamente </w:t>
      </w:r>
      <w:r w:rsidR="00A41ED6">
        <w:rPr>
          <w:rFonts w:ascii="Arial" w:hAnsi="Arial" w:cs="Arial"/>
          <w:sz w:val="22"/>
          <w:szCs w:val="22"/>
        </w:rPr>
        <w:br/>
      </w:r>
      <w:r w:rsidRPr="00750F00">
        <w:rPr>
          <w:rFonts w:ascii="Arial" w:hAnsi="Arial" w:cs="Arial"/>
          <w:sz w:val="22"/>
          <w:szCs w:val="22"/>
        </w:rPr>
        <w:t>51,</w:t>
      </w:r>
      <w:r>
        <w:rPr>
          <w:rFonts w:ascii="Arial" w:hAnsi="Arial" w:cs="Arial"/>
          <w:sz w:val="22"/>
          <w:szCs w:val="22"/>
        </w:rPr>
        <w:t>4</w:t>
      </w:r>
      <w:r w:rsidRPr="00750F00">
        <w:rPr>
          <w:rFonts w:ascii="Arial" w:hAnsi="Arial" w:cs="Arial"/>
          <w:sz w:val="22"/>
          <w:szCs w:val="22"/>
        </w:rPr>
        <w:t xml:space="preserve"> miliardi di euro per la prevenzione e riduzione dell'inquinamento e di ogni altra forma di degrado ambientale. Tale spesa, in aumento del 9,</w:t>
      </w:r>
      <w:r>
        <w:rPr>
          <w:rFonts w:ascii="Arial" w:hAnsi="Arial" w:cs="Arial"/>
          <w:sz w:val="22"/>
          <w:szCs w:val="22"/>
        </w:rPr>
        <w:t>4</w:t>
      </w:r>
      <w:r w:rsidRPr="00750F00">
        <w:rPr>
          <w:rFonts w:ascii="Arial" w:hAnsi="Arial" w:cs="Arial"/>
          <w:sz w:val="22"/>
          <w:szCs w:val="22"/>
        </w:rPr>
        <w:t>%</w:t>
      </w:r>
      <w:r>
        <w:rPr>
          <w:rFonts w:ascii="Arial" w:hAnsi="Arial" w:cs="Arial"/>
          <w:sz w:val="22"/>
          <w:szCs w:val="22"/>
        </w:rPr>
        <w:t xml:space="preserve"> </w:t>
      </w:r>
      <w:r w:rsidRPr="00750F00">
        <w:rPr>
          <w:rFonts w:ascii="Arial" w:hAnsi="Arial" w:cs="Arial"/>
          <w:sz w:val="22"/>
          <w:szCs w:val="22"/>
        </w:rPr>
        <w:t xml:space="preserve">rispetto al 2021, è </w:t>
      </w:r>
      <w:r w:rsidR="00BD0485">
        <w:rPr>
          <w:rFonts w:ascii="Arial" w:hAnsi="Arial" w:cs="Arial"/>
          <w:sz w:val="22"/>
          <w:szCs w:val="22"/>
        </w:rPr>
        <w:t xml:space="preserve">risultata </w:t>
      </w:r>
      <w:r w:rsidRPr="00750F00">
        <w:rPr>
          <w:rFonts w:ascii="Arial" w:hAnsi="Arial" w:cs="Arial"/>
          <w:sz w:val="22"/>
          <w:szCs w:val="22"/>
        </w:rPr>
        <w:t>pari in entrambi gli anni al</w:t>
      </w:r>
      <w:r>
        <w:rPr>
          <w:rFonts w:ascii="Arial" w:hAnsi="Arial" w:cs="Arial"/>
          <w:sz w:val="22"/>
          <w:szCs w:val="22"/>
        </w:rPr>
        <w:t xml:space="preserve"> </w:t>
      </w:r>
      <w:r w:rsidRPr="00750F00">
        <w:rPr>
          <w:rFonts w:ascii="Arial" w:hAnsi="Arial" w:cs="Arial"/>
          <w:sz w:val="22"/>
          <w:szCs w:val="22"/>
        </w:rPr>
        <w:t xml:space="preserve">2,6% del Pil. </w:t>
      </w:r>
    </w:p>
    <w:p w14:paraId="3FC96636" w14:textId="491838FC" w:rsidR="00E03EFC" w:rsidRPr="00750F00" w:rsidRDefault="00E03EFC" w:rsidP="00E03EFC">
      <w:pPr>
        <w:spacing w:after="120"/>
        <w:jc w:val="both"/>
        <w:rPr>
          <w:rFonts w:ascii="Arial" w:hAnsi="Arial" w:cs="Arial"/>
          <w:sz w:val="22"/>
          <w:szCs w:val="22"/>
        </w:rPr>
      </w:pPr>
      <w:r w:rsidRPr="00750F00">
        <w:rPr>
          <w:rFonts w:ascii="Arial" w:hAnsi="Arial" w:cs="Arial"/>
          <w:sz w:val="22"/>
          <w:szCs w:val="22"/>
        </w:rPr>
        <w:t xml:space="preserve">Le attività di </w:t>
      </w:r>
      <w:r>
        <w:rPr>
          <w:rFonts w:ascii="Arial" w:hAnsi="Arial" w:cs="Arial"/>
          <w:sz w:val="22"/>
          <w:szCs w:val="22"/>
        </w:rPr>
        <w:t xml:space="preserve">gestione dei rifiuti – che comprendono </w:t>
      </w:r>
      <w:r w:rsidRPr="00750F00">
        <w:rPr>
          <w:rFonts w:ascii="Arial" w:hAnsi="Arial" w:cs="Arial"/>
          <w:sz w:val="22"/>
          <w:szCs w:val="22"/>
        </w:rPr>
        <w:t>prevenzione</w:t>
      </w:r>
      <w:r>
        <w:rPr>
          <w:rFonts w:ascii="Arial" w:hAnsi="Arial" w:cs="Arial"/>
          <w:sz w:val="22"/>
          <w:szCs w:val="22"/>
        </w:rPr>
        <w:t xml:space="preserve">, </w:t>
      </w:r>
      <w:r w:rsidRPr="00750F00">
        <w:rPr>
          <w:rFonts w:ascii="Arial" w:hAnsi="Arial" w:cs="Arial"/>
          <w:sz w:val="22"/>
          <w:szCs w:val="22"/>
        </w:rPr>
        <w:t>raccolta, trattamento e smaltimento</w:t>
      </w:r>
      <w:r>
        <w:rPr>
          <w:rFonts w:ascii="Arial" w:hAnsi="Arial" w:cs="Arial"/>
          <w:sz w:val="22"/>
          <w:szCs w:val="22"/>
        </w:rPr>
        <w:t xml:space="preserve"> – </w:t>
      </w:r>
      <w:r w:rsidR="00BD0485">
        <w:rPr>
          <w:rFonts w:ascii="Arial" w:hAnsi="Arial" w:cs="Arial"/>
          <w:sz w:val="22"/>
          <w:szCs w:val="22"/>
        </w:rPr>
        <w:t>hanno assorbito</w:t>
      </w:r>
      <w:r w:rsidRPr="00750F00">
        <w:rPr>
          <w:rFonts w:ascii="Arial" w:hAnsi="Arial" w:cs="Arial"/>
          <w:sz w:val="22"/>
          <w:szCs w:val="22"/>
        </w:rPr>
        <w:t>, con 23,</w:t>
      </w:r>
      <w:r>
        <w:rPr>
          <w:rFonts w:ascii="Arial" w:hAnsi="Arial" w:cs="Arial"/>
          <w:sz w:val="22"/>
          <w:szCs w:val="22"/>
        </w:rPr>
        <w:t>6</w:t>
      </w:r>
      <w:r w:rsidRPr="00750F00">
        <w:rPr>
          <w:rFonts w:ascii="Arial" w:hAnsi="Arial" w:cs="Arial"/>
          <w:sz w:val="22"/>
          <w:szCs w:val="22"/>
        </w:rPr>
        <w:t xml:space="preserve"> miliardi (+5,</w:t>
      </w:r>
      <w:r>
        <w:rPr>
          <w:rFonts w:ascii="Arial" w:hAnsi="Arial" w:cs="Arial"/>
          <w:sz w:val="22"/>
          <w:szCs w:val="22"/>
        </w:rPr>
        <w:t>4</w:t>
      </w:r>
      <w:r w:rsidRPr="00750F00">
        <w:rPr>
          <w:rFonts w:ascii="Arial" w:hAnsi="Arial" w:cs="Arial"/>
          <w:sz w:val="22"/>
          <w:szCs w:val="22"/>
        </w:rPr>
        <w:t>% sul 2021), il 4</w:t>
      </w:r>
      <w:r>
        <w:rPr>
          <w:rFonts w:ascii="Arial" w:hAnsi="Arial" w:cs="Arial"/>
          <w:sz w:val="22"/>
          <w:szCs w:val="22"/>
        </w:rPr>
        <w:t xml:space="preserve">5,8% </w:t>
      </w:r>
      <w:r w:rsidRPr="00750F00">
        <w:rPr>
          <w:rFonts w:ascii="Arial" w:hAnsi="Arial" w:cs="Arial"/>
          <w:sz w:val="22"/>
          <w:szCs w:val="22"/>
        </w:rPr>
        <w:t>della Spesa nazionale per la protezione dell’ambiente</w:t>
      </w:r>
      <w:r w:rsidR="00A41ED6">
        <w:rPr>
          <w:rFonts w:ascii="Arial" w:hAnsi="Arial" w:cs="Arial"/>
          <w:sz w:val="22"/>
          <w:szCs w:val="22"/>
        </w:rPr>
        <w:t xml:space="preserve"> (</w:t>
      </w:r>
      <w:r w:rsidRPr="00750F00">
        <w:rPr>
          <w:rFonts w:ascii="Arial" w:hAnsi="Arial" w:cs="Arial"/>
          <w:sz w:val="22"/>
          <w:szCs w:val="22"/>
        </w:rPr>
        <w:t>ne rappresentavano il 4</w:t>
      </w:r>
      <w:r>
        <w:rPr>
          <w:rFonts w:ascii="Arial" w:hAnsi="Arial" w:cs="Arial"/>
          <w:sz w:val="22"/>
          <w:szCs w:val="22"/>
        </w:rPr>
        <w:t xml:space="preserve">7,6% </w:t>
      </w:r>
      <w:r w:rsidRPr="00750F00">
        <w:rPr>
          <w:rFonts w:ascii="Arial" w:hAnsi="Arial" w:cs="Arial"/>
          <w:sz w:val="22"/>
          <w:szCs w:val="22"/>
        </w:rPr>
        <w:t>nel 2021</w:t>
      </w:r>
      <w:r w:rsidR="00A41ED6">
        <w:rPr>
          <w:rFonts w:ascii="Arial" w:hAnsi="Arial" w:cs="Arial"/>
          <w:sz w:val="22"/>
          <w:szCs w:val="22"/>
        </w:rPr>
        <w:t>)</w:t>
      </w:r>
      <w:r w:rsidRPr="00750F00">
        <w:rPr>
          <w:rFonts w:ascii="Arial" w:hAnsi="Arial" w:cs="Arial"/>
          <w:sz w:val="22"/>
          <w:szCs w:val="22"/>
        </w:rPr>
        <w:t xml:space="preserve">. </w:t>
      </w:r>
    </w:p>
    <w:p w14:paraId="2C62F318" w14:textId="1567A142" w:rsidR="00E03EFC" w:rsidRDefault="00E03EFC" w:rsidP="00E03EFC">
      <w:pPr>
        <w:spacing w:after="120"/>
        <w:jc w:val="both"/>
        <w:rPr>
          <w:rFonts w:ascii="Arial" w:hAnsi="Arial" w:cs="Arial"/>
          <w:sz w:val="22"/>
          <w:szCs w:val="22"/>
        </w:rPr>
      </w:pPr>
      <w:r>
        <w:rPr>
          <w:rFonts w:ascii="Arial" w:hAnsi="Arial" w:cs="Arial"/>
          <w:sz w:val="22"/>
          <w:szCs w:val="22"/>
        </w:rPr>
        <w:t>In</w:t>
      </w:r>
      <w:r w:rsidRPr="00750F00">
        <w:rPr>
          <w:rFonts w:ascii="Arial" w:hAnsi="Arial" w:cs="Arial"/>
          <w:sz w:val="22"/>
          <w:szCs w:val="22"/>
        </w:rPr>
        <w:t xml:space="preserve"> aumento la quota della spesa per la gestione delle acque reflue, ovvero per la riduzione degli scarichi, la raccolta e il trattamento dei reflui, passata dal 24</w:t>
      </w:r>
      <w:r>
        <w:rPr>
          <w:rFonts w:ascii="Arial" w:hAnsi="Arial" w:cs="Arial"/>
          <w:sz w:val="22"/>
          <w:szCs w:val="22"/>
        </w:rPr>
        <w:t>,4%</w:t>
      </w:r>
      <w:r w:rsidRPr="00750F00">
        <w:rPr>
          <w:rFonts w:ascii="Arial" w:hAnsi="Arial" w:cs="Arial"/>
          <w:sz w:val="22"/>
          <w:szCs w:val="22"/>
        </w:rPr>
        <w:t xml:space="preserve"> del totale del 2021 al 2</w:t>
      </w:r>
      <w:r>
        <w:rPr>
          <w:rFonts w:ascii="Arial" w:hAnsi="Arial" w:cs="Arial"/>
          <w:sz w:val="22"/>
          <w:szCs w:val="22"/>
        </w:rPr>
        <w:t>5,5%</w:t>
      </w:r>
      <w:r w:rsidR="00083E13">
        <w:rPr>
          <w:rFonts w:ascii="Arial" w:hAnsi="Arial" w:cs="Arial"/>
          <w:sz w:val="22"/>
          <w:szCs w:val="22"/>
        </w:rPr>
        <w:t xml:space="preserve"> </w:t>
      </w:r>
      <w:r>
        <w:rPr>
          <w:rFonts w:ascii="Arial" w:hAnsi="Arial" w:cs="Arial"/>
          <w:sz w:val="22"/>
          <w:szCs w:val="22"/>
        </w:rPr>
        <w:t>del 2022</w:t>
      </w:r>
      <w:r w:rsidRPr="00750F00">
        <w:rPr>
          <w:rFonts w:ascii="Arial" w:hAnsi="Arial" w:cs="Arial"/>
          <w:sz w:val="22"/>
          <w:szCs w:val="22"/>
        </w:rPr>
        <w:t xml:space="preserve">. </w:t>
      </w:r>
      <w:r>
        <w:rPr>
          <w:rFonts w:ascii="Arial" w:hAnsi="Arial" w:cs="Arial"/>
          <w:sz w:val="22"/>
          <w:szCs w:val="22"/>
        </w:rPr>
        <w:t>Per queste attività</w:t>
      </w:r>
      <w:r w:rsidRPr="00750F00">
        <w:rPr>
          <w:rFonts w:ascii="Arial" w:hAnsi="Arial" w:cs="Arial"/>
          <w:sz w:val="22"/>
          <w:szCs w:val="22"/>
        </w:rPr>
        <w:t>, l’economia italiana ha speso 13</w:t>
      </w:r>
      <w:r>
        <w:rPr>
          <w:rFonts w:ascii="Arial" w:hAnsi="Arial" w:cs="Arial"/>
          <w:sz w:val="22"/>
          <w:szCs w:val="22"/>
        </w:rPr>
        <w:t>,1</w:t>
      </w:r>
      <w:r w:rsidRPr="00750F00">
        <w:rPr>
          <w:rFonts w:ascii="Arial" w:hAnsi="Arial" w:cs="Arial"/>
          <w:sz w:val="22"/>
          <w:szCs w:val="22"/>
        </w:rPr>
        <w:t xml:space="preserve"> miliardi (in aumento del 1</w:t>
      </w:r>
      <w:r>
        <w:rPr>
          <w:rFonts w:ascii="Arial" w:hAnsi="Arial" w:cs="Arial"/>
          <w:sz w:val="22"/>
          <w:szCs w:val="22"/>
        </w:rPr>
        <w:t>4,6</w:t>
      </w:r>
      <w:r w:rsidRPr="00750F00">
        <w:rPr>
          <w:rFonts w:ascii="Arial" w:hAnsi="Arial" w:cs="Arial"/>
          <w:sz w:val="22"/>
          <w:szCs w:val="22"/>
        </w:rPr>
        <w:t xml:space="preserve">% sul 2021). </w:t>
      </w:r>
    </w:p>
    <w:p w14:paraId="6B14B283" w14:textId="1F247956" w:rsidR="00E03EFC" w:rsidRPr="00AE059A" w:rsidRDefault="00E03EFC" w:rsidP="00E03EFC">
      <w:pPr>
        <w:spacing w:after="120"/>
        <w:jc w:val="both"/>
        <w:rPr>
          <w:rFonts w:ascii="Arial" w:hAnsi="Arial" w:cs="Arial"/>
          <w:color w:val="000000"/>
          <w:sz w:val="22"/>
          <w:szCs w:val="22"/>
        </w:rPr>
      </w:pPr>
      <w:r>
        <w:rPr>
          <w:rFonts w:ascii="Arial" w:hAnsi="Arial" w:cs="Arial"/>
          <w:sz w:val="22"/>
          <w:szCs w:val="22"/>
        </w:rPr>
        <w:t xml:space="preserve">La spesa per tutte le altre </w:t>
      </w:r>
      <w:r w:rsidRPr="00AE059A">
        <w:rPr>
          <w:rFonts w:ascii="Arial" w:hAnsi="Arial" w:cs="Arial"/>
          <w:color w:val="000000"/>
          <w:sz w:val="22"/>
          <w:szCs w:val="22"/>
        </w:rPr>
        <w:t>attività di protezione dell’ambiente</w:t>
      </w:r>
      <w:r>
        <w:rPr>
          <w:rFonts w:ascii="Arial" w:hAnsi="Arial" w:cs="Arial"/>
          <w:sz w:val="22"/>
          <w:szCs w:val="22"/>
        </w:rPr>
        <w:t xml:space="preserve"> è stata di </w:t>
      </w:r>
      <w:r w:rsidRPr="00AE059A">
        <w:rPr>
          <w:rFonts w:ascii="Arial" w:hAnsi="Arial" w:cs="Arial"/>
          <w:color w:val="000000"/>
          <w:sz w:val="22"/>
          <w:szCs w:val="22"/>
        </w:rPr>
        <w:t>1</w:t>
      </w:r>
      <w:r>
        <w:rPr>
          <w:rFonts w:ascii="Arial" w:hAnsi="Arial" w:cs="Arial"/>
          <w:color w:val="000000"/>
          <w:sz w:val="22"/>
          <w:szCs w:val="22"/>
        </w:rPr>
        <w:t>4,7</w:t>
      </w:r>
      <w:r w:rsidRPr="00AE059A">
        <w:rPr>
          <w:rFonts w:ascii="Arial" w:hAnsi="Arial" w:cs="Arial"/>
          <w:color w:val="000000"/>
          <w:sz w:val="22"/>
          <w:szCs w:val="22"/>
        </w:rPr>
        <w:t xml:space="preserve"> miliardi correnti (+</w:t>
      </w:r>
      <w:r>
        <w:rPr>
          <w:rFonts w:ascii="Arial" w:hAnsi="Arial" w:cs="Arial"/>
          <w:color w:val="000000"/>
          <w:sz w:val="22"/>
          <w:szCs w:val="22"/>
        </w:rPr>
        <w:t>9</w:t>
      </w:r>
      <w:r w:rsidRPr="00AE059A">
        <w:rPr>
          <w:rFonts w:ascii="Arial" w:hAnsi="Arial" w:cs="Arial"/>
          <w:color w:val="000000"/>
          <w:sz w:val="22"/>
          <w:szCs w:val="22"/>
        </w:rPr>
        <w:t>,</w:t>
      </w:r>
      <w:r>
        <w:rPr>
          <w:rFonts w:ascii="Arial" w:hAnsi="Arial" w:cs="Arial"/>
          <w:color w:val="000000"/>
          <w:sz w:val="22"/>
          <w:szCs w:val="22"/>
        </w:rPr>
        <w:t>4</w:t>
      </w:r>
      <w:r w:rsidRPr="00AE059A">
        <w:rPr>
          <w:rFonts w:ascii="Arial" w:hAnsi="Arial" w:cs="Arial"/>
          <w:color w:val="000000"/>
          <w:sz w:val="22"/>
          <w:szCs w:val="22"/>
        </w:rPr>
        <w:t>% nel periodo)</w:t>
      </w:r>
      <w:r>
        <w:rPr>
          <w:rFonts w:ascii="Arial" w:hAnsi="Arial" w:cs="Arial"/>
          <w:color w:val="000000"/>
          <w:sz w:val="22"/>
          <w:szCs w:val="22"/>
        </w:rPr>
        <w:t xml:space="preserve">. Si tratta </w:t>
      </w:r>
      <w:r w:rsidRPr="00AE059A">
        <w:rPr>
          <w:rFonts w:ascii="Arial" w:hAnsi="Arial" w:cs="Arial"/>
          <w:color w:val="000000"/>
          <w:sz w:val="22"/>
          <w:szCs w:val="22"/>
        </w:rPr>
        <w:t xml:space="preserve">per </w:t>
      </w:r>
      <w:r>
        <w:rPr>
          <w:rFonts w:ascii="Arial" w:hAnsi="Arial" w:cs="Arial"/>
          <w:color w:val="000000"/>
          <w:sz w:val="22"/>
          <w:szCs w:val="22"/>
        </w:rPr>
        <w:t>oltre 5 miliardi</w:t>
      </w:r>
      <w:r w:rsidRPr="00AE059A">
        <w:rPr>
          <w:rFonts w:ascii="Arial" w:hAnsi="Arial" w:cs="Arial"/>
          <w:color w:val="000000"/>
          <w:sz w:val="22"/>
          <w:szCs w:val="22"/>
        </w:rPr>
        <w:t xml:space="preserve"> </w:t>
      </w:r>
      <w:r>
        <w:rPr>
          <w:rFonts w:ascii="Arial" w:hAnsi="Arial" w:cs="Arial"/>
          <w:color w:val="000000"/>
          <w:sz w:val="22"/>
          <w:szCs w:val="22"/>
        </w:rPr>
        <w:t xml:space="preserve">di spese per </w:t>
      </w:r>
      <w:r w:rsidRPr="00AE059A">
        <w:rPr>
          <w:rFonts w:ascii="Arial" w:hAnsi="Arial" w:cs="Arial"/>
          <w:color w:val="000000"/>
          <w:sz w:val="22"/>
          <w:szCs w:val="22"/>
        </w:rPr>
        <w:t xml:space="preserve">la decontaminazione del suolo inquinato </w:t>
      </w:r>
      <w:r w:rsidR="005B526B">
        <w:rPr>
          <w:rFonts w:ascii="Arial" w:hAnsi="Arial" w:cs="Arial"/>
          <w:color w:val="000000"/>
          <w:sz w:val="22"/>
          <w:szCs w:val="22"/>
        </w:rPr>
        <w:br/>
      </w:r>
      <w:r w:rsidRPr="00AE059A">
        <w:rPr>
          <w:rFonts w:ascii="Arial" w:hAnsi="Arial" w:cs="Arial"/>
          <w:color w:val="000000"/>
          <w:sz w:val="22"/>
          <w:szCs w:val="22"/>
        </w:rPr>
        <w:t>(+12%</w:t>
      </w:r>
      <w:r>
        <w:rPr>
          <w:rFonts w:ascii="Arial" w:hAnsi="Arial" w:cs="Arial"/>
          <w:color w:val="000000"/>
          <w:sz w:val="22"/>
          <w:szCs w:val="22"/>
        </w:rPr>
        <w:t xml:space="preserve"> rispetto al 2021),</w:t>
      </w:r>
      <w:r w:rsidRPr="00AE059A">
        <w:rPr>
          <w:rFonts w:ascii="Arial" w:hAnsi="Arial" w:cs="Arial"/>
          <w:color w:val="000000"/>
          <w:sz w:val="22"/>
          <w:szCs w:val="22"/>
        </w:rPr>
        <w:t xml:space="preserve"> </w:t>
      </w:r>
      <w:r>
        <w:rPr>
          <w:rFonts w:ascii="Arial" w:hAnsi="Arial" w:cs="Arial"/>
          <w:color w:val="000000"/>
          <w:sz w:val="22"/>
          <w:szCs w:val="22"/>
        </w:rPr>
        <w:t xml:space="preserve">per quasi 4 miliardi di spese per ricerca e sviluppo e </w:t>
      </w:r>
      <w:r w:rsidRPr="00AE059A">
        <w:rPr>
          <w:rFonts w:ascii="Arial" w:hAnsi="Arial" w:cs="Arial"/>
          <w:color w:val="000000"/>
          <w:sz w:val="22"/>
          <w:szCs w:val="22"/>
        </w:rPr>
        <w:t>protezione dalle radiazioni (complessivamente +2</w:t>
      </w:r>
      <w:r>
        <w:rPr>
          <w:rFonts w:ascii="Arial" w:hAnsi="Arial" w:cs="Arial"/>
          <w:color w:val="000000"/>
          <w:sz w:val="22"/>
          <w:szCs w:val="22"/>
        </w:rPr>
        <w:t>1</w:t>
      </w:r>
      <w:r w:rsidRPr="00AE059A">
        <w:rPr>
          <w:rFonts w:ascii="Arial" w:hAnsi="Arial" w:cs="Arial"/>
          <w:color w:val="000000"/>
          <w:sz w:val="22"/>
          <w:szCs w:val="22"/>
        </w:rPr>
        <w:t xml:space="preserve">%), per </w:t>
      </w:r>
      <w:r>
        <w:rPr>
          <w:rFonts w:ascii="Arial" w:hAnsi="Arial" w:cs="Arial"/>
          <w:color w:val="000000"/>
          <w:sz w:val="22"/>
          <w:szCs w:val="22"/>
        </w:rPr>
        <w:t>oltre 3 miliardi di spese per l</w:t>
      </w:r>
      <w:r w:rsidRPr="00AE059A">
        <w:rPr>
          <w:rFonts w:ascii="Arial" w:hAnsi="Arial" w:cs="Arial"/>
          <w:color w:val="000000"/>
          <w:sz w:val="22"/>
          <w:szCs w:val="22"/>
        </w:rPr>
        <w:t>a salvaguardia della b</w:t>
      </w:r>
      <w:r>
        <w:rPr>
          <w:rFonts w:ascii="Arial" w:hAnsi="Arial" w:cs="Arial"/>
          <w:color w:val="000000"/>
          <w:sz w:val="22"/>
          <w:szCs w:val="22"/>
        </w:rPr>
        <w:t>iodiversità e del paesaggio (+5</w:t>
      </w:r>
      <w:r w:rsidRPr="00AE059A">
        <w:rPr>
          <w:rFonts w:ascii="Arial" w:hAnsi="Arial" w:cs="Arial"/>
          <w:color w:val="000000"/>
          <w:sz w:val="22"/>
          <w:szCs w:val="22"/>
        </w:rPr>
        <w:t>%)</w:t>
      </w:r>
      <w:r>
        <w:rPr>
          <w:rFonts w:ascii="Arial" w:hAnsi="Arial" w:cs="Arial"/>
          <w:color w:val="000000"/>
          <w:sz w:val="22"/>
          <w:szCs w:val="22"/>
        </w:rPr>
        <w:t xml:space="preserve">, per quasi 2 miliardi di spese per </w:t>
      </w:r>
      <w:r w:rsidRPr="00AE059A">
        <w:rPr>
          <w:rFonts w:ascii="Arial" w:hAnsi="Arial" w:cs="Arial"/>
          <w:color w:val="000000"/>
          <w:sz w:val="22"/>
          <w:szCs w:val="22"/>
        </w:rPr>
        <w:t>la salvaguardia di aria e clima</w:t>
      </w:r>
      <w:r>
        <w:rPr>
          <w:rFonts w:ascii="Arial" w:hAnsi="Arial" w:cs="Arial"/>
          <w:color w:val="000000"/>
          <w:sz w:val="22"/>
          <w:szCs w:val="22"/>
        </w:rPr>
        <w:t xml:space="preserve"> (+9% nel periodo) e, per la parte restante, di spese per la riduzione del rumore (+2%)</w:t>
      </w:r>
      <w:r w:rsidRPr="00AE059A">
        <w:rPr>
          <w:rFonts w:ascii="Arial" w:hAnsi="Arial" w:cs="Arial"/>
          <w:color w:val="000000"/>
          <w:sz w:val="22"/>
          <w:szCs w:val="22"/>
        </w:rPr>
        <w:t xml:space="preserve">. </w:t>
      </w:r>
    </w:p>
    <w:p w14:paraId="141140C8" w14:textId="2FE3C954" w:rsidR="00E03EFC" w:rsidRPr="00387F55" w:rsidRDefault="00E03EFC" w:rsidP="00E03EFC">
      <w:pPr>
        <w:spacing w:after="120"/>
        <w:jc w:val="both"/>
        <w:rPr>
          <w:rFonts w:ascii="Arial" w:hAnsi="Arial" w:cs="Arial"/>
          <w:color w:val="000000"/>
          <w:sz w:val="22"/>
          <w:szCs w:val="22"/>
        </w:rPr>
      </w:pPr>
      <w:r w:rsidRPr="00387F55">
        <w:rPr>
          <w:rFonts w:ascii="Arial" w:hAnsi="Arial" w:cs="Arial"/>
          <w:color w:val="000000"/>
          <w:sz w:val="22"/>
          <w:szCs w:val="22"/>
        </w:rPr>
        <w:t xml:space="preserve">Nei settori della depurazione delle acque e della gestione dei rifiuti sono </w:t>
      </w:r>
      <w:r w:rsidR="00BD0485">
        <w:rPr>
          <w:rFonts w:ascii="Arial" w:hAnsi="Arial" w:cs="Arial"/>
          <w:color w:val="000000"/>
          <w:sz w:val="22"/>
          <w:szCs w:val="22"/>
        </w:rPr>
        <w:t xml:space="preserve">state </w:t>
      </w:r>
      <w:r w:rsidRPr="00387F55">
        <w:rPr>
          <w:rFonts w:ascii="Arial" w:hAnsi="Arial" w:cs="Arial"/>
          <w:color w:val="000000"/>
          <w:sz w:val="22"/>
          <w:szCs w:val="22"/>
        </w:rPr>
        <w:t xml:space="preserve">le </w:t>
      </w:r>
      <w:r>
        <w:rPr>
          <w:rFonts w:ascii="Arial" w:hAnsi="Arial" w:cs="Arial"/>
          <w:color w:val="000000"/>
          <w:sz w:val="22"/>
          <w:szCs w:val="22"/>
        </w:rPr>
        <w:t>società</w:t>
      </w:r>
      <w:r w:rsidRPr="00387F55">
        <w:rPr>
          <w:rFonts w:ascii="Arial" w:hAnsi="Arial" w:cs="Arial"/>
          <w:color w:val="000000"/>
          <w:sz w:val="22"/>
          <w:szCs w:val="22"/>
        </w:rPr>
        <w:t xml:space="preserve"> a sostenere la maggior parte delle spese (rispettivamente il 68% e 53% del totale 2022), con investimenti e consumi per la realizzazione delle proprie attività, mentre le famiglie, acquistando tali servizi, </w:t>
      </w:r>
      <w:r w:rsidR="00BD0485">
        <w:rPr>
          <w:rFonts w:ascii="Arial" w:hAnsi="Arial" w:cs="Arial"/>
          <w:color w:val="000000"/>
          <w:sz w:val="22"/>
          <w:szCs w:val="22"/>
        </w:rPr>
        <w:t>hanno coperto</w:t>
      </w:r>
      <w:r w:rsidR="00BD0485" w:rsidRPr="00387F55">
        <w:rPr>
          <w:rFonts w:ascii="Arial" w:hAnsi="Arial" w:cs="Arial"/>
          <w:color w:val="000000"/>
          <w:sz w:val="22"/>
          <w:szCs w:val="22"/>
        </w:rPr>
        <w:t xml:space="preserve"> </w:t>
      </w:r>
      <w:r w:rsidRPr="00387F55">
        <w:rPr>
          <w:rFonts w:ascii="Arial" w:hAnsi="Arial" w:cs="Arial"/>
          <w:color w:val="000000"/>
          <w:sz w:val="22"/>
          <w:szCs w:val="22"/>
        </w:rPr>
        <w:t xml:space="preserve">il 20% della spesa totale nel caso della depurazione e il 30% in quello dei rifiuti. </w:t>
      </w:r>
    </w:p>
    <w:p w14:paraId="74EEEF6D" w14:textId="379CDAEB" w:rsidR="00E03EFC" w:rsidRPr="00AE059A" w:rsidRDefault="00E03EFC" w:rsidP="00E03EFC">
      <w:pPr>
        <w:spacing w:after="120"/>
        <w:jc w:val="both"/>
        <w:rPr>
          <w:rFonts w:ascii="Arial" w:hAnsi="Arial" w:cs="Arial"/>
          <w:color w:val="000000"/>
          <w:sz w:val="22"/>
          <w:szCs w:val="22"/>
        </w:rPr>
      </w:pPr>
      <w:r w:rsidRPr="00387F55">
        <w:rPr>
          <w:rFonts w:ascii="Arial" w:hAnsi="Arial" w:cs="Arial"/>
          <w:color w:val="000000"/>
          <w:sz w:val="22"/>
          <w:szCs w:val="22"/>
        </w:rPr>
        <w:t xml:space="preserve">Il contributo delle Amministrazioni pubbliche alla </w:t>
      </w:r>
      <w:r>
        <w:rPr>
          <w:rFonts w:ascii="Arial" w:hAnsi="Arial" w:cs="Arial"/>
          <w:color w:val="000000"/>
          <w:sz w:val="22"/>
          <w:szCs w:val="22"/>
        </w:rPr>
        <w:t>s</w:t>
      </w:r>
      <w:r w:rsidRPr="00387F55">
        <w:rPr>
          <w:rFonts w:ascii="Arial" w:hAnsi="Arial" w:cs="Arial"/>
          <w:color w:val="000000"/>
          <w:sz w:val="22"/>
          <w:szCs w:val="22"/>
        </w:rPr>
        <w:t xml:space="preserve">pesa nazionale per la protezione dell’ambiente, costituito da acquisti dei servizi in questione, investimenti di operatori pubblici e consumi collettivi, è </w:t>
      </w:r>
      <w:r w:rsidR="00BD0485">
        <w:rPr>
          <w:rFonts w:ascii="Arial" w:hAnsi="Arial" w:cs="Arial"/>
          <w:color w:val="000000"/>
          <w:sz w:val="22"/>
          <w:szCs w:val="22"/>
        </w:rPr>
        <w:t xml:space="preserve">stato </w:t>
      </w:r>
      <w:r w:rsidRPr="00387F55">
        <w:rPr>
          <w:rFonts w:ascii="Arial" w:hAnsi="Arial" w:cs="Arial"/>
          <w:color w:val="000000"/>
          <w:sz w:val="22"/>
          <w:szCs w:val="22"/>
        </w:rPr>
        <w:t xml:space="preserve">di oltre un miliardo e mezzo per la depurazione delle acque, di </w:t>
      </w:r>
      <w:r>
        <w:rPr>
          <w:rFonts w:ascii="Arial" w:hAnsi="Arial" w:cs="Arial"/>
          <w:color w:val="000000"/>
          <w:sz w:val="22"/>
          <w:szCs w:val="22"/>
        </w:rPr>
        <w:t>4</w:t>
      </w:r>
      <w:r w:rsidRPr="00387F55">
        <w:rPr>
          <w:rFonts w:ascii="Arial" w:hAnsi="Arial" w:cs="Arial"/>
          <w:color w:val="000000"/>
          <w:sz w:val="22"/>
          <w:szCs w:val="22"/>
        </w:rPr>
        <w:t xml:space="preserve"> miliardi per la gestione dei rifiuti (rispettivamente il 12% e il 17% del totale) e</w:t>
      </w:r>
      <w:r w:rsidR="00BD0485">
        <w:rPr>
          <w:rFonts w:ascii="Arial" w:hAnsi="Arial" w:cs="Arial"/>
          <w:color w:val="000000"/>
          <w:sz w:val="22"/>
          <w:szCs w:val="22"/>
        </w:rPr>
        <w:t>d è</w:t>
      </w:r>
      <w:r w:rsidRPr="00387F55">
        <w:rPr>
          <w:rFonts w:ascii="Arial" w:hAnsi="Arial" w:cs="Arial"/>
          <w:color w:val="000000"/>
          <w:sz w:val="22"/>
          <w:szCs w:val="22"/>
        </w:rPr>
        <w:t xml:space="preserve"> arriva</w:t>
      </w:r>
      <w:r w:rsidR="00BD0485">
        <w:rPr>
          <w:rFonts w:ascii="Arial" w:hAnsi="Arial" w:cs="Arial"/>
          <w:color w:val="000000"/>
          <w:sz w:val="22"/>
          <w:szCs w:val="22"/>
        </w:rPr>
        <w:t>to</w:t>
      </w:r>
      <w:r w:rsidRPr="00387F55">
        <w:rPr>
          <w:rFonts w:ascii="Arial" w:hAnsi="Arial" w:cs="Arial"/>
          <w:color w:val="000000"/>
          <w:sz w:val="22"/>
          <w:szCs w:val="22"/>
        </w:rPr>
        <w:t xml:space="preserve"> a 8,6 miliardi, il 58% della spesa complessiva, per </w:t>
      </w:r>
      <w:r>
        <w:rPr>
          <w:rFonts w:ascii="Arial" w:hAnsi="Arial" w:cs="Arial"/>
          <w:color w:val="000000"/>
          <w:sz w:val="22"/>
          <w:szCs w:val="22"/>
        </w:rPr>
        <w:t xml:space="preserve">le </w:t>
      </w:r>
      <w:r w:rsidRPr="00387F55">
        <w:rPr>
          <w:rFonts w:ascii="Arial" w:hAnsi="Arial" w:cs="Arial"/>
          <w:color w:val="000000"/>
          <w:sz w:val="22"/>
          <w:szCs w:val="22"/>
        </w:rPr>
        <w:t>altre attività di protezione ambientale.</w:t>
      </w:r>
      <w:r w:rsidRPr="00AE059A">
        <w:rPr>
          <w:rFonts w:ascii="Arial" w:hAnsi="Arial" w:cs="Arial"/>
          <w:color w:val="000000"/>
          <w:sz w:val="22"/>
          <w:szCs w:val="22"/>
        </w:rPr>
        <w:t xml:space="preserve"> </w:t>
      </w:r>
    </w:p>
    <w:p w14:paraId="553940E8" w14:textId="57553821" w:rsidR="00E03EFC" w:rsidRDefault="00E03EFC" w:rsidP="00E03EFC">
      <w:pPr>
        <w:spacing w:after="120"/>
        <w:jc w:val="both"/>
        <w:rPr>
          <w:rFonts w:ascii="Arial" w:hAnsi="Arial" w:cs="Arial"/>
          <w:sz w:val="22"/>
          <w:szCs w:val="22"/>
        </w:rPr>
      </w:pPr>
      <w:r>
        <w:rPr>
          <w:rFonts w:ascii="Arial" w:hAnsi="Arial" w:cs="Arial"/>
          <w:sz w:val="22"/>
          <w:szCs w:val="22"/>
        </w:rPr>
        <w:t xml:space="preserve">Con una incidenza della spesa per la protezione dell’ambiente sul Pil pari al 2,6%, l’Italia si </w:t>
      </w:r>
      <w:r w:rsidRPr="00882BCF">
        <w:rPr>
          <w:rFonts w:ascii="Arial" w:hAnsi="Arial" w:cs="Arial"/>
          <w:sz w:val="22"/>
          <w:szCs w:val="22"/>
        </w:rPr>
        <w:t xml:space="preserve">colloca </w:t>
      </w:r>
      <w:r>
        <w:rPr>
          <w:rFonts w:ascii="Arial" w:hAnsi="Arial" w:cs="Arial"/>
          <w:sz w:val="22"/>
          <w:szCs w:val="22"/>
        </w:rPr>
        <w:t xml:space="preserve">al di sopra della media dei 27 </w:t>
      </w:r>
      <w:r w:rsidRPr="00882BCF">
        <w:rPr>
          <w:rFonts w:ascii="Arial" w:hAnsi="Arial" w:cs="Arial"/>
          <w:sz w:val="22"/>
          <w:szCs w:val="22"/>
        </w:rPr>
        <w:t>Paesi</w:t>
      </w:r>
      <w:r>
        <w:rPr>
          <w:rFonts w:ascii="Arial" w:hAnsi="Arial" w:cs="Arial"/>
          <w:sz w:val="22"/>
          <w:szCs w:val="22"/>
        </w:rPr>
        <w:t xml:space="preserve"> della Unione europea</w:t>
      </w:r>
      <w:r w:rsidRPr="00882BCF">
        <w:rPr>
          <w:rFonts w:ascii="Arial" w:hAnsi="Arial" w:cs="Arial"/>
          <w:sz w:val="22"/>
          <w:szCs w:val="22"/>
        </w:rPr>
        <w:t>, s</w:t>
      </w:r>
      <w:r>
        <w:rPr>
          <w:rFonts w:ascii="Arial" w:hAnsi="Arial" w:cs="Arial"/>
          <w:sz w:val="22"/>
          <w:szCs w:val="22"/>
        </w:rPr>
        <w:t xml:space="preserve">timata </w:t>
      </w:r>
      <w:r w:rsidR="00495B61">
        <w:rPr>
          <w:rFonts w:ascii="Arial" w:hAnsi="Arial" w:cs="Arial"/>
          <w:sz w:val="22"/>
          <w:szCs w:val="22"/>
        </w:rPr>
        <w:t>da Eurostat</w:t>
      </w:r>
      <w:r>
        <w:rPr>
          <w:rFonts w:ascii="Arial" w:hAnsi="Arial" w:cs="Arial"/>
          <w:sz w:val="22"/>
          <w:szCs w:val="22"/>
        </w:rPr>
        <w:t xml:space="preserve"> al 2,2% del Pil per gli anni 2021 e 2022. </w:t>
      </w:r>
    </w:p>
    <w:p w14:paraId="3705A8EA" w14:textId="49789E43" w:rsidR="00F951DF" w:rsidRDefault="00F951DF" w:rsidP="00DE1C28">
      <w:pPr>
        <w:spacing w:after="120"/>
        <w:jc w:val="both"/>
        <w:rPr>
          <w:rFonts w:ascii="Arial" w:hAnsi="Arial" w:cs="Arial"/>
          <w:sz w:val="22"/>
          <w:szCs w:val="22"/>
          <w:highlight w:val="yellow"/>
        </w:rPr>
      </w:pPr>
    </w:p>
    <w:p w14:paraId="335C5E69" w14:textId="77777777" w:rsidR="00767A2C" w:rsidRPr="00060B68" w:rsidRDefault="00767A2C" w:rsidP="00DE1C28">
      <w:pPr>
        <w:spacing w:after="120"/>
        <w:jc w:val="both"/>
        <w:rPr>
          <w:rFonts w:ascii="Arial" w:hAnsi="Arial" w:cs="Arial"/>
          <w:sz w:val="22"/>
          <w:szCs w:val="22"/>
          <w:highlight w:val="yellow"/>
        </w:rPr>
      </w:pPr>
    </w:p>
    <w:p w14:paraId="781A5197" w14:textId="77777777" w:rsidR="00F951DF" w:rsidRPr="00060B68" w:rsidRDefault="00F951DF" w:rsidP="00DE1C28">
      <w:pPr>
        <w:spacing w:after="120"/>
        <w:jc w:val="both"/>
        <w:rPr>
          <w:rFonts w:ascii="Arial" w:hAnsi="Arial" w:cs="Arial"/>
          <w:sz w:val="22"/>
          <w:szCs w:val="22"/>
          <w:highlight w:val="yellow"/>
        </w:rPr>
      </w:pPr>
    </w:p>
    <w:p w14:paraId="46DBF6E3" w14:textId="77777777" w:rsidR="00F951DF" w:rsidRPr="00060B68" w:rsidRDefault="00F951DF" w:rsidP="00DE1C28">
      <w:pPr>
        <w:spacing w:after="120"/>
        <w:jc w:val="both"/>
        <w:rPr>
          <w:rFonts w:ascii="Arial" w:hAnsi="Arial" w:cs="Arial"/>
          <w:sz w:val="22"/>
          <w:szCs w:val="22"/>
          <w:highlight w:val="yellow"/>
        </w:rPr>
      </w:pPr>
    </w:p>
    <w:p w14:paraId="007113B3" w14:textId="5A8881FC" w:rsidR="00F951DF" w:rsidRPr="00A027C8" w:rsidRDefault="00F951DF" w:rsidP="00A027C8">
      <w:pPr>
        <w:jc w:val="both"/>
        <w:rPr>
          <w:rFonts w:ascii="Arial" w:hAnsi="Arial" w:cs="Arial"/>
          <w:sz w:val="32"/>
          <w:highlight w:val="yellow"/>
        </w:rPr>
      </w:pPr>
    </w:p>
    <w:p w14:paraId="55BC5993" w14:textId="77777777" w:rsidR="00E03EFC" w:rsidRPr="00A027C8" w:rsidRDefault="00E03EFC" w:rsidP="00E03EFC">
      <w:pPr>
        <w:tabs>
          <w:tab w:val="left" w:pos="900"/>
        </w:tabs>
        <w:spacing w:after="120"/>
        <w:rPr>
          <w:rFonts w:ascii="Arial Narrow" w:hAnsi="Arial Narrow"/>
          <w:iCs/>
          <w:noProof/>
          <w:color w:val="1F497D" w:themeColor="text2"/>
          <w:sz w:val="22"/>
        </w:rPr>
      </w:pPr>
      <w:r w:rsidRPr="00AE059A">
        <w:rPr>
          <w:rFonts w:ascii="Arial Black" w:hAnsi="Arial Black" w:cs="Arial"/>
          <w:iCs/>
          <w:noProof/>
          <w:color w:val="1F497D" w:themeColor="text2"/>
          <w:sz w:val="22"/>
          <w:szCs w:val="22"/>
        </w:rPr>
        <w:t>FIGURA 6.</w:t>
      </w:r>
      <w:r w:rsidRPr="00AE059A">
        <w:rPr>
          <w:rFonts w:ascii="Arial Narrow" w:hAnsi="Arial Narrow" w:cs="Arial"/>
          <w:b/>
          <w:iCs/>
          <w:noProof/>
          <w:color w:val="1F497D" w:themeColor="text2"/>
          <w:sz w:val="22"/>
          <w:szCs w:val="22"/>
        </w:rPr>
        <w:t xml:space="preserve"> </w:t>
      </w:r>
      <w:r w:rsidRPr="00AE059A">
        <w:rPr>
          <w:rFonts w:ascii="Arial Narrow" w:hAnsi="Arial Narrow"/>
          <w:b/>
          <w:iCs/>
          <w:caps/>
          <w:noProof/>
          <w:color w:val="1F497D" w:themeColor="text2"/>
        </w:rPr>
        <w:t xml:space="preserve">Spesa nazionale per la protezione dell’ambiente per finalità ambientale e settore istituzionale. </w:t>
      </w:r>
      <w:r w:rsidRPr="00A027C8">
        <w:rPr>
          <w:rFonts w:ascii="Arial Narrow" w:hAnsi="Arial Narrow"/>
          <w:iCs/>
          <w:noProof/>
          <w:color w:val="1F497D" w:themeColor="text2"/>
          <w:sz w:val="22"/>
        </w:rPr>
        <w:t>Anni 2021-2022, miliardi di euro</w:t>
      </w:r>
    </w:p>
    <w:p w14:paraId="41EF8986" w14:textId="5B963AE3" w:rsidR="00454F13" w:rsidRPr="0032748F" w:rsidRDefault="00E03EFC" w:rsidP="0032748F">
      <w:pPr>
        <w:jc w:val="both"/>
        <w:rPr>
          <w:rFonts w:ascii="Arial" w:hAnsi="Arial" w:cs="Arial"/>
          <w:sz w:val="16"/>
          <w:szCs w:val="16"/>
          <w:highlight w:val="yellow"/>
        </w:rPr>
      </w:pPr>
      <w:r>
        <w:rPr>
          <w:noProof/>
        </w:rPr>
        <w:drawing>
          <wp:inline distT="0" distB="0" distL="0" distR="0" wp14:anchorId="2D5E04E9" wp14:editId="639A4930">
            <wp:extent cx="6480084" cy="2305050"/>
            <wp:effectExtent l="0" t="0" r="0" b="0"/>
            <wp:docPr id="2" name="Grafico 2">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EED5DC" w14:textId="67E56A76" w:rsidR="00B74FF7" w:rsidRPr="00E03EFC" w:rsidRDefault="006D4F9B" w:rsidP="00E6741E">
      <w:pPr>
        <w:rPr>
          <w:rFonts w:ascii="Arial Narrow" w:hAnsi="Arial Narrow" w:cs="Arial"/>
          <w:sz w:val="15"/>
          <w:szCs w:val="15"/>
        </w:rPr>
      </w:pPr>
      <w:r w:rsidRPr="00E03EFC">
        <w:rPr>
          <w:rFonts w:ascii="Arial" w:hAnsi="Arial" w:cs="Arial"/>
          <w:sz w:val="15"/>
          <w:szCs w:val="15"/>
        </w:rPr>
        <w:t xml:space="preserve">Fonte: Istat, Conti ambientali - Conto della spesa per la protezione dell’ambiente </w:t>
      </w:r>
      <w:r w:rsidR="006C4E16" w:rsidRPr="00E03EFC">
        <w:rPr>
          <w:rFonts w:ascii="Arial Narrow" w:hAnsi="Arial Narrow"/>
          <w:sz w:val="15"/>
          <w:szCs w:val="15"/>
        </w:rPr>
        <w:br w:type="page"/>
      </w:r>
    </w:p>
    <w:p w14:paraId="298F1C6F" w14:textId="77777777" w:rsidR="00B74FF7" w:rsidRPr="00E03EFC" w:rsidRDefault="00B74FF7" w:rsidP="00B74FF7">
      <w:pPr>
        <w:tabs>
          <w:tab w:val="left" w:pos="1380"/>
        </w:tabs>
        <w:sectPr w:rsidR="00B74FF7" w:rsidRPr="00E03EFC" w:rsidSect="002261D9">
          <w:headerReference w:type="default" r:id="rId23"/>
          <w:footerReference w:type="default" r:id="rId24"/>
          <w:pgSz w:w="11906" w:h="16838" w:code="9"/>
          <w:pgMar w:top="567" w:right="992" w:bottom="714" w:left="992" w:header="0" w:footer="0" w:gutter="0"/>
          <w:cols w:space="430"/>
          <w:docGrid w:linePitch="360"/>
        </w:sectPr>
      </w:pPr>
    </w:p>
    <w:p w14:paraId="4608F7A1" w14:textId="77777777" w:rsidR="00BF4257" w:rsidRPr="003B7089" w:rsidRDefault="00BF4257" w:rsidP="003B7089">
      <w:pPr>
        <w:spacing w:after="120"/>
        <w:rPr>
          <w:sz w:val="48"/>
          <w:szCs w:val="48"/>
        </w:rPr>
      </w:pPr>
    </w:p>
    <w:p w14:paraId="1A8F803B" w14:textId="38CA5AC5" w:rsidR="00015D71" w:rsidRPr="00DC5A69" w:rsidRDefault="00015D71" w:rsidP="006A503F">
      <w:pPr>
        <w:autoSpaceDE w:val="0"/>
        <w:autoSpaceDN w:val="0"/>
        <w:adjustRightInd w:val="0"/>
        <w:spacing w:after="120"/>
        <w:jc w:val="both"/>
        <w:outlineLvl w:val="0"/>
        <w:rPr>
          <w:rFonts w:ascii="Georgia" w:hAnsi="Georgia" w:cs="Arial"/>
          <w:color w:val="1F497D"/>
          <w:sz w:val="48"/>
          <w:szCs w:val="48"/>
        </w:rPr>
      </w:pPr>
      <w:r w:rsidRPr="00DC5A69">
        <w:rPr>
          <w:rFonts w:ascii="Georgia" w:hAnsi="Georgia" w:cs="Arial"/>
          <w:color w:val="1F497D"/>
          <w:sz w:val="48"/>
          <w:szCs w:val="48"/>
        </w:rPr>
        <w:t>Glossario</w:t>
      </w:r>
    </w:p>
    <w:p w14:paraId="62B925C0" w14:textId="3EB9F9B0" w:rsidR="00A014B9" w:rsidRPr="009536BA" w:rsidRDefault="00A014B9" w:rsidP="006A503F">
      <w:pPr>
        <w:pStyle w:val="Nessunaspaziatura"/>
      </w:pPr>
      <w:r w:rsidRPr="009536BA">
        <w:rPr>
          <w:b/>
          <w:color w:val="1F497D" w:themeColor="text2"/>
        </w:rPr>
        <w:t xml:space="preserve">Attività economica: </w:t>
      </w:r>
      <w:r w:rsidR="00FD4550">
        <w:t>a</w:t>
      </w:r>
      <w:r w:rsidRPr="009536BA">
        <w:t>ttività di produzione di beni o servizi che ha luogo quando risorse quali lavoro, impianti e materie prime concorrono all’ottenimento di beni o alla prestazione di servizi. Un’attività economica è caratterizzata dall’uso di fattori della produzione, da un processo di produzione e da uno o più prodotti ottenuti (merci o prestazioni di servizi). Ai fini della produzione dell’informazione statistica, le attività economiche sono classificate secondo la classificazione Ateco 2007 (coerente con la nomenclatura europea Nace Rev. 2).</w:t>
      </w:r>
    </w:p>
    <w:p w14:paraId="73EA16E1" w14:textId="7FACAEA0" w:rsidR="00A014B9" w:rsidRPr="009536BA" w:rsidRDefault="00A014B9" w:rsidP="006A503F">
      <w:pPr>
        <w:pStyle w:val="Nessunaspaziatura"/>
      </w:pPr>
      <w:r w:rsidRPr="009536BA">
        <w:rPr>
          <w:b/>
          <w:color w:val="1F497D" w:themeColor="text2"/>
        </w:rPr>
        <w:t xml:space="preserve">Biomasse e prodotti derivati: </w:t>
      </w:r>
      <w:r w:rsidR="00FD4550">
        <w:t>c</w:t>
      </w:r>
      <w:r w:rsidRPr="009536BA">
        <w:t>omprendono le biomasse per l’alimentazione umana, foraggi per gli allevamenti, animali e pesce, prodotti trasformati, legname e prodotti a base di legno e altri prodotti costituiti prevalentemente da biomassa.</w:t>
      </w:r>
    </w:p>
    <w:p w14:paraId="767CB7A9" w14:textId="27A9271C" w:rsidR="00A014B9" w:rsidRPr="009536BA" w:rsidRDefault="00A014B9" w:rsidP="006A503F">
      <w:pPr>
        <w:pStyle w:val="Nessunaspaziatura"/>
      </w:pPr>
      <w:r w:rsidRPr="009536BA">
        <w:rPr>
          <w:b/>
          <w:color w:val="1F497D" w:themeColor="text2"/>
        </w:rPr>
        <w:t xml:space="preserve">Classificazione </w:t>
      </w:r>
      <w:r w:rsidR="0020267C" w:rsidRPr="009536BA">
        <w:rPr>
          <w:b/>
          <w:color w:val="1F497D" w:themeColor="text2"/>
        </w:rPr>
        <w:t>Cepa</w:t>
      </w:r>
      <w:r w:rsidRPr="009536BA">
        <w:t xml:space="preserve">: </w:t>
      </w:r>
      <w:r w:rsidR="00FF6E9F">
        <w:t>c</w:t>
      </w:r>
      <w:r w:rsidRPr="009536BA">
        <w:t>lassificazione delle attività e delle spese per la protezione dell’ambiente; comprende tutte le attività e azioni il cui obiettivo principale è la prevenzione, la riduzione e l'eliminazione dell'inquinamento e di ogni altra forma di degrado ambientale. Si articola nelle seguenti voci principali: 1. protezione dell’aria e del clima; 2. gestione delle acque reflue; 3. gestione dei rifiuti; 4. protezione del suolo e delle acque del sottosuolo; 5. abbattimento del rumore e delle vibrazioni; 6. protezione della biodiversità e del paesaggio; 7. protezione dalle radiazioni; 8. ricerca e sviluppo per la protezione dell’ambiente; 9. altre attività di protezione dell’ambiente.</w:t>
      </w:r>
    </w:p>
    <w:p w14:paraId="299ECD66" w14:textId="6779A408" w:rsidR="00A014B9" w:rsidRPr="009536BA" w:rsidRDefault="00A014B9" w:rsidP="006A503F">
      <w:pPr>
        <w:pStyle w:val="Nessunaspaziatura"/>
      </w:pPr>
      <w:r w:rsidRPr="009536BA">
        <w:rPr>
          <w:b/>
          <w:color w:val="1F497D" w:themeColor="text2"/>
        </w:rPr>
        <w:t xml:space="preserve">Classificazione </w:t>
      </w:r>
      <w:r w:rsidR="0020267C" w:rsidRPr="009536BA">
        <w:rPr>
          <w:b/>
          <w:color w:val="1F497D" w:themeColor="text2"/>
        </w:rPr>
        <w:t>Crema</w:t>
      </w:r>
      <w:r w:rsidRPr="009536BA">
        <w:t xml:space="preserve">: </w:t>
      </w:r>
      <w:r w:rsidR="00FF6E9F">
        <w:t>c</w:t>
      </w:r>
      <w:r w:rsidRPr="009536BA">
        <w:t>lassificazione delle attività per la gestione delle risorse naturali; comprende tutte le attività e azioni il cui obiettivo principale è la conservazione, il mantenimento e il miglioramento dello stock di risorse naturali e, pertanto, la tutela di tali risorse da fenomeni di esaurimento. Si articola nelle seguenti voci principali: 10. Gestione delle acque, 11. Gestione delle risorse forestali, 12. Gestione della fauna e della flora selvatiche, 13. Gestione delle risorse energetiche (13A. Produzione di energia da fonti rinnovabili, 13B. Gestione e risparmio di energia/calore, 13C. Riduzione dell'utilizzo delle energie fossili come materie prime), 14. Gestione dei minerali, 15. Attività di ricerca e sviluppo in materia di gestione delle risorse, 16. Altre attività di gestione delle risorse.</w:t>
      </w:r>
    </w:p>
    <w:p w14:paraId="63DE91D9" w14:textId="77777777" w:rsidR="000C3EDA" w:rsidRPr="009536BA" w:rsidRDefault="000C3EDA" w:rsidP="000C3EDA">
      <w:pPr>
        <w:pStyle w:val="Nessunaspaziatura"/>
      </w:pPr>
      <w:r w:rsidRPr="009536BA">
        <w:rPr>
          <w:b/>
          <w:color w:val="1F497D" w:themeColor="text2"/>
        </w:rPr>
        <w:t xml:space="preserve">Consumo di </w:t>
      </w:r>
      <w:r>
        <w:rPr>
          <w:b/>
          <w:color w:val="1F497D" w:themeColor="text2"/>
        </w:rPr>
        <w:t>E</w:t>
      </w:r>
      <w:r w:rsidRPr="009536BA">
        <w:rPr>
          <w:b/>
          <w:color w:val="1F497D" w:themeColor="text2"/>
        </w:rPr>
        <w:t>nergia delle unità residenti (</w:t>
      </w:r>
      <w:r w:rsidRPr="009536BA">
        <w:rPr>
          <w:b/>
          <w:i/>
          <w:color w:val="1F497D" w:themeColor="text2"/>
        </w:rPr>
        <w:t>Net domestic energy use - Ndeu</w:t>
      </w:r>
      <w:r w:rsidRPr="009536BA">
        <w:rPr>
          <w:b/>
          <w:color w:val="1F497D" w:themeColor="text2"/>
        </w:rPr>
        <w:t xml:space="preserve">): </w:t>
      </w:r>
      <w:r>
        <w:t>i</w:t>
      </w:r>
      <w:r w:rsidRPr="009536BA">
        <w:t>ndicatore derivato dai Conti dei flussi fisici di energia (</w:t>
      </w:r>
      <w:r w:rsidRPr="00A35518">
        <w:rPr>
          <w:i/>
          <w:iCs/>
        </w:rPr>
        <w:t>Physical energy flow accounts</w:t>
      </w:r>
      <w:r>
        <w:t>,</w:t>
      </w:r>
      <w:r w:rsidRPr="009536BA">
        <w:t xml:space="preserve"> </w:t>
      </w:r>
      <w:r w:rsidRPr="00A027C8">
        <w:rPr>
          <w:i/>
        </w:rPr>
        <w:t>Pefa</w:t>
      </w:r>
      <w:r w:rsidRPr="009536BA">
        <w:t>) che permette di valutare l’effettivo impiego energetico dei residenti a livello di intera economia. Esso rappresenta il consumo di energia al netto di quella che nei processi di trasformazione rimane incorporata nei prodotti derivati (è quindi scevro da doppi conteggi di energia); ossia esprime l’energia consumata e non più utilizzabile per altro scopo energetico includendo tutta l’energia dissipata (mediante combustione e non), tutti i tipi di perdita di energia e la quantità di energia utilizzata per scopi non energetici.</w:t>
      </w:r>
    </w:p>
    <w:p w14:paraId="4C3A9766" w14:textId="220F212A" w:rsidR="00A014B9" w:rsidRPr="009536BA" w:rsidRDefault="00A014B9" w:rsidP="006A503F">
      <w:pPr>
        <w:pStyle w:val="Nessunaspaziatura"/>
      </w:pPr>
      <w:r w:rsidRPr="009536BA">
        <w:rPr>
          <w:b/>
          <w:color w:val="1F497D" w:themeColor="text2"/>
        </w:rPr>
        <w:t>Consumo materiale interno (</w:t>
      </w:r>
      <w:r w:rsidRPr="009536BA">
        <w:rPr>
          <w:b/>
          <w:i/>
          <w:color w:val="1F497D" w:themeColor="text2"/>
        </w:rPr>
        <w:t>Domestic material consumption - Dmc</w:t>
      </w:r>
      <w:r w:rsidRPr="009536BA">
        <w:rPr>
          <w:b/>
          <w:color w:val="1F497D" w:themeColor="text2"/>
        </w:rPr>
        <w:t xml:space="preserve">): </w:t>
      </w:r>
      <w:r w:rsidR="00FF6E9F">
        <w:t>a</w:t>
      </w:r>
      <w:r w:rsidRPr="009536BA">
        <w:t>ggregato dei conti dei flussi di materia</w:t>
      </w:r>
      <w:r w:rsidRPr="009536BA">
        <w:rPr>
          <w:b/>
          <w:color w:val="1F497D" w:themeColor="text2"/>
        </w:rPr>
        <w:t xml:space="preserve"> </w:t>
      </w:r>
      <w:r w:rsidRPr="009536BA">
        <w:t>che equivale alla somma di Estrazione interna e Importazioni al netto delle Esportazioni.</w:t>
      </w:r>
    </w:p>
    <w:p w14:paraId="7ECEF99F" w14:textId="09FC8468" w:rsidR="00A014B9" w:rsidRPr="009536BA" w:rsidRDefault="00A014B9" w:rsidP="006A503F">
      <w:pPr>
        <w:pStyle w:val="Nessunaspaziatura"/>
      </w:pPr>
      <w:r w:rsidRPr="009536BA">
        <w:rPr>
          <w:b/>
          <w:color w:val="1F497D" w:themeColor="text2"/>
        </w:rPr>
        <w:t>Conto dei beni e servizi ambientali</w:t>
      </w:r>
      <w:r w:rsidRPr="009536BA">
        <w:rPr>
          <w:rFonts w:eastAsia="Arial"/>
          <w:b/>
        </w:rPr>
        <w:t xml:space="preserve">: </w:t>
      </w:r>
      <w:r w:rsidR="00FF6E9F">
        <w:t>r</w:t>
      </w:r>
      <w:r w:rsidRPr="009536BA">
        <w:t xml:space="preserve">egistra e presenta dati sulle attività di produzione che generano prodotti ambientali. I prodotti ambientali comprendono beni e servizi realizzati per scopi di protezione dell'ambiente e di gestione delle risorse. La protezione dell'ambiente comprende tutte le attività e azioni il cui obiettivo principale è la prevenzione, la riduzione e l'eliminazione dell'inquinamento e di ogni altra forma di degrado ambientale </w:t>
      </w:r>
      <w:r w:rsidR="00561878">
        <w:br/>
      </w:r>
      <w:r w:rsidRPr="009536BA">
        <w:t xml:space="preserve">(cfr. Classificazione </w:t>
      </w:r>
      <w:r w:rsidR="0020267C" w:rsidRPr="009536BA">
        <w:t>Cepa</w:t>
      </w:r>
      <w:r w:rsidRPr="009536BA">
        <w:t xml:space="preserve">). La gestione delle risorse comprende la conservazione, il mantenimento e il miglioramento dello stock di risorse naturali e, pertanto, la tutela di tali risorse da fenomeni di esaurimento </w:t>
      </w:r>
      <w:r w:rsidR="00561878">
        <w:br/>
      </w:r>
      <w:r w:rsidRPr="009536BA">
        <w:t xml:space="preserve">(cfr. Classificazione </w:t>
      </w:r>
      <w:r w:rsidR="0020267C" w:rsidRPr="009536BA">
        <w:t>Crema</w:t>
      </w:r>
      <w:r w:rsidRPr="009536BA">
        <w:t xml:space="preserve">). </w:t>
      </w:r>
    </w:p>
    <w:p w14:paraId="654B333C" w14:textId="42809D42" w:rsidR="00A014B9" w:rsidRPr="009536BA" w:rsidRDefault="00A014B9" w:rsidP="006A503F">
      <w:pPr>
        <w:pStyle w:val="Nessunaspaziatura"/>
      </w:pPr>
      <w:r w:rsidRPr="009536BA">
        <w:rPr>
          <w:b/>
          <w:color w:val="1F497D" w:themeColor="text2"/>
        </w:rPr>
        <w:t>Conti dei flussi di materia</w:t>
      </w:r>
      <w:r w:rsidRPr="009536BA">
        <w:rPr>
          <w:rFonts w:eastAsia="Arial"/>
          <w:b/>
        </w:rPr>
        <w:t xml:space="preserve">: </w:t>
      </w:r>
      <w:r w:rsidR="009E6465">
        <w:t>r</w:t>
      </w:r>
      <w:r w:rsidRPr="009536BA">
        <w:t>egistrano e presentano misurazioni relative agli scambi fisici (in unità di massa) del sistema socioeconomico italiano co</w:t>
      </w:r>
      <w:r w:rsidR="007565EF">
        <w:t>n il sistema naturale e con il R</w:t>
      </w:r>
      <w:r w:rsidRPr="009536BA">
        <w:t>esto del mondo. Sono inclusi tutti i materiali diversi dall'acqua e dall'aria. I prodotti primari frutto dell'estrazione interna e tutti i prodotti - grezzi, semilavorati e finiti - importati ed esportati sono classificati per tipo di materiale.</w:t>
      </w:r>
    </w:p>
    <w:p w14:paraId="10F962FC" w14:textId="2137AEC0" w:rsidR="00A014B9" w:rsidRPr="009536BA" w:rsidRDefault="00A014B9" w:rsidP="006A503F">
      <w:pPr>
        <w:pStyle w:val="Nessunaspaziatura"/>
      </w:pPr>
      <w:r w:rsidRPr="009536BA">
        <w:rPr>
          <w:b/>
          <w:color w:val="1F497D" w:themeColor="text2"/>
        </w:rPr>
        <w:t>Conti dei flussi fisici di energia</w:t>
      </w:r>
      <w:r w:rsidRPr="009536BA">
        <w:rPr>
          <w:rFonts w:eastAsia="Arial"/>
          <w:b/>
        </w:rPr>
        <w:t xml:space="preserve">: </w:t>
      </w:r>
      <w:r w:rsidR="009E6465">
        <w:t>r</w:t>
      </w:r>
      <w:r w:rsidRPr="009536BA">
        <w:t>egistrano e presentano i flussi di energia dall'ambiente verso l</w:t>
      </w:r>
      <w:r w:rsidR="009E6465">
        <w:t>’</w:t>
      </w:r>
      <w:r w:rsidRPr="009536BA">
        <w:t xml:space="preserve">economia, all'interno dell'economia e dall'economia verso l'ambiente, espressi in </w:t>
      </w:r>
      <w:r w:rsidR="009E6465">
        <w:t>t</w:t>
      </w:r>
      <w:r w:rsidRPr="009536BA">
        <w:t>erajoule, distinguendo risorse naturali, prodotti e residui energetici. Per ciascun flusso di energia, l'offerta (risorse) è registrata secondo l'origine e la domanda (impieghi) secondo la destinazione attraverso uno schema matriciale basato sulla struttura delle tavole delle Risorse e degli Impieghi proprie dei conti nazionali monetari.</w:t>
      </w:r>
    </w:p>
    <w:p w14:paraId="4A571D63" w14:textId="4752E358" w:rsidR="00A014B9" w:rsidRPr="009536BA" w:rsidRDefault="00A014B9" w:rsidP="006A503F">
      <w:pPr>
        <w:pStyle w:val="Nessunaspaziatura"/>
      </w:pPr>
      <w:r w:rsidRPr="009536BA">
        <w:rPr>
          <w:b/>
          <w:color w:val="1F497D" w:themeColor="text2"/>
        </w:rPr>
        <w:t>Conti della spesa per la protezione dell’ambiente</w:t>
      </w:r>
      <w:r w:rsidRPr="009536BA">
        <w:t xml:space="preserve">: </w:t>
      </w:r>
      <w:r w:rsidR="00965EA3">
        <w:t>r</w:t>
      </w:r>
      <w:r w:rsidRPr="009536BA">
        <w:t>egistrano e presentano dati sulle risorse economiche destinate alla protezione dell'ambiente dalle unità residenti secondo l’articolazione della Classificazione delle attività per la protezione dell’ambiente (</w:t>
      </w:r>
      <w:r w:rsidR="0020267C" w:rsidRPr="009536BA">
        <w:t>Cepa</w:t>
      </w:r>
      <w:r w:rsidRPr="009536BA">
        <w:t>; cfr. voce del Glossario).</w:t>
      </w:r>
    </w:p>
    <w:p w14:paraId="0B0F2F84" w14:textId="22EB3A03" w:rsidR="00A014B9" w:rsidRPr="009536BA" w:rsidRDefault="00A014B9" w:rsidP="006A503F">
      <w:pPr>
        <w:pStyle w:val="Nessunaspaziatura"/>
      </w:pPr>
      <w:r w:rsidRPr="009536BA">
        <w:rPr>
          <w:b/>
          <w:color w:val="1F497D" w:themeColor="text2"/>
        </w:rPr>
        <w:t>Conti delle emissioni atmosferiche</w:t>
      </w:r>
      <w:r w:rsidRPr="009536BA">
        <w:rPr>
          <w:rFonts w:eastAsia="Arial"/>
          <w:b/>
        </w:rPr>
        <w:t xml:space="preserve">: </w:t>
      </w:r>
      <w:r w:rsidR="00965EA3">
        <w:t>r</w:t>
      </w:r>
      <w:r w:rsidRPr="009536BA">
        <w:t xml:space="preserve">egistrano e presentano le emissioni di gas climalteranti, sostanze acidificanti, precursori dell’ozono troposferico, particolato e metalli pesanti, prodotte dalle attività produttive e dalle famiglie residenti in Italia, secondo la classificazione delle attività economiche utilizzata nelle tavole delle Risorse e degli Impieghi dell’economia italiana. </w:t>
      </w:r>
    </w:p>
    <w:p w14:paraId="609E988B" w14:textId="37004BAA" w:rsidR="00A014B9" w:rsidRPr="009536BA" w:rsidRDefault="00A014B9" w:rsidP="006A503F">
      <w:pPr>
        <w:pStyle w:val="Nessunaspaziatura"/>
      </w:pPr>
      <w:r w:rsidRPr="009536BA">
        <w:rPr>
          <w:b/>
          <w:color w:val="1F497D" w:themeColor="text2"/>
        </w:rPr>
        <w:lastRenderedPageBreak/>
        <w:t>Conti economici dell’ambiente/contabilità ambientale</w:t>
      </w:r>
      <w:r w:rsidRPr="009536BA">
        <w:rPr>
          <w:rFonts w:eastAsia="Arial"/>
          <w:b/>
        </w:rPr>
        <w:t xml:space="preserve">: </w:t>
      </w:r>
      <w:r w:rsidR="00965EA3">
        <w:t>s</w:t>
      </w:r>
      <w:r w:rsidRPr="009536BA">
        <w:t>istema di conti satellite che rappresentano l’interazione tra economia e ambiente in coerenza con i conti economici nazionali e con i principi delineati dallo standard statistico internazionale “Sistema di contabilità integrata ambientale ed econom</w:t>
      </w:r>
      <w:r w:rsidR="00042C40">
        <w:t>ica” (Seea 2012). Ai sensi del Regolamento Ue</w:t>
      </w:r>
      <w:r w:rsidRPr="009536BA">
        <w:t xml:space="preserve"> N. 691/2011 relativo ai </w:t>
      </w:r>
      <w:r w:rsidR="00D1792E">
        <w:t>C</w:t>
      </w:r>
      <w:r w:rsidRPr="009536BA">
        <w:t>onti economici ambientali (</w:t>
      </w:r>
      <w:r w:rsidRPr="00767A2C">
        <w:t xml:space="preserve">emendato dal Reg. Ue </w:t>
      </w:r>
      <w:r w:rsidR="00374CC8" w:rsidRPr="00767A2C">
        <w:t>N. 538/2014 del 16 aprile 2014,</w:t>
      </w:r>
      <w:r w:rsidRPr="00767A2C">
        <w:t xml:space="preserve"> dal Reg. delegato Ue 2022/125 della Commissione del 19 novembre 2021</w:t>
      </w:r>
      <w:r w:rsidR="00374CC8" w:rsidRPr="00767A2C">
        <w:t xml:space="preserve"> e dal Reg Ue N. 3024/2024 del </w:t>
      </w:r>
      <w:r w:rsidR="00FD1922" w:rsidRPr="00767A2C">
        <w:t>27 novembre</w:t>
      </w:r>
      <w:r w:rsidR="00374CC8" w:rsidRPr="00767A2C">
        <w:t xml:space="preserve"> 2024</w:t>
      </w:r>
      <w:r w:rsidRPr="00767A2C">
        <w:t xml:space="preserve">), è obbligatoria per gli Istituti di Statistica della Ue la produzione di </w:t>
      </w:r>
      <w:r w:rsidR="00374CC8" w:rsidRPr="00767A2C">
        <w:t>nove</w:t>
      </w:r>
      <w:r w:rsidRPr="00767A2C">
        <w:t xml:space="preserve"> conti ambientali</w:t>
      </w:r>
      <w:r w:rsidR="00374CC8" w:rsidRPr="00767A2C">
        <w:t xml:space="preserve">, sei dei quali – oggetto di questa statistica report – sono regolarmente compilati </w:t>
      </w:r>
      <w:r w:rsidR="00FD1922" w:rsidRPr="00767A2C">
        <w:t xml:space="preserve">e diffusi </w:t>
      </w:r>
      <w:r w:rsidR="00374CC8" w:rsidRPr="00767A2C">
        <w:t>dall’Istat (mentre per gli altri tre l’emendamento del 2024 prevede siano compilati a partire dal 2025)</w:t>
      </w:r>
      <w:r w:rsidRPr="00767A2C">
        <w:t>:</w:t>
      </w:r>
      <w:r w:rsidRPr="009536BA">
        <w:t xml:space="preserve"> tre conti in unità fisiche (flussi di materia, flussi fisici di energia, emissioni atmosferiche) e tre conti in unità monetarie (spese per la protezione dell’ambiente, gettito delle imposte ambienta</w:t>
      </w:r>
      <w:r w:rsidR="00767A2C">
        <w:t>li, beni e servizi ambientali).</w:t>
      </w:r>
    </w:p>
    <w:p w14:paraId="52AD6E7B" w14:textId="6CA4AB6B" w:rsidR="00A014B9" w:rsidRPr="009536BA" w:rsidRDefault="00A014B9" w:rsidP="002E3672">
      <w:pPr>
        <w:pStyle w:val="Nessunaspaziatura"/>
      </w:pPr>
      <w:r w:rsidRPr="009536BA">
        <w:rPr>
          <w:b/>
          <w:color w:val="1F497D" w:themeColor="text2"/>
        </w:rPr>
        <w:t>Gas climalteranti</w:t>
      </w:r>
      <w:r w:rsidR="00F71FB5">
        <w:rPr>
          <w:b/>
          <w:color w:val="1F497D" w:themeColor="text2"/>
        </w:rPr>
        <w:t xml:space="preserve"> (o gas serra – greenhouse gases </w:t>
      </w:r>
      <w:r w:rsidR="00F71FB5" w:rsidRPr="00A027C8">
        <w:rPr>
          <w:b/>
          <w:i/>
          <w:color w:val="1F497D" w:themeColor="text2"/>
        </w:rPr>
        <w:t>GHG</w:t>
      </w:r>
      <w:r w:rsidR="00F71FB5">
        <w:rPr>
          <w:b/>
          <w:color w:val="1F497D" w:themeColor="text2"/>
        </w:rPr>
        <w:t>)</w:t>
      </w:r>
      <w:r w:rsidRPr="009536BA">
        <w:rPr>
          <w:b/>
          <w:color w:val="1F497D" w:themeColor="text2"/>
        </w:rPr>
        <w:t xml:space="preserve">: </w:t>
      </w:r>
      <w:r w:rsidR="00965EA3">
        <w:t>a</w:t>
      </w:r>
      <w:r w:rsidRPr="009536BA">
        <w:t>lcuni gas presenti in atmosfera, di origine naturale e antropica, assorbono ed emettono la radiazione infrarossa a specifiche lunghezze d’onda determinando il fenomeno detto “effetto serra”. Sono inclusi anidride carbonica (CO</w:t>
      </w:r>
      <w:r w:rsidRPr="000B3F9B">
        <w:rPr>
          <w:vertAlign w:val="subscript"/>
        </w:rPr>
        <w:t>2</w:t>
      </w:r>
      <w:r w:rsidRPr="009536BA">
        <w:t>), metano (CH</w:t>
      </w:r>
      <w:r w:rsidRPr="00042C40">
        <w:rPr>
          <w:vertAlign w:val="subscript"/>
        </w:rPr>
        <w:t>4</w:t>
      </w:r>
      <w:r w:rsidRPr="009536BA">
        <w:t>), protossido di azoto (N</w:t>
      </w:r>
      <w:r w:rsidRPr="000B3F9B">
        <w:rPr>
          <w:vertAlign w:val="subscript"/>
        </w:rPr>
        <w:t>2</w:t>
      </w:r>
      <w:r w:rsidRPr="009536BA">
        <w:t>O), idrofluorocarburi (HFC), perfluorocarburi (PFC), esafluoruro di zolfo (SF</w:t>
      </w:r>
      <w:r w:rsidRPr="000B3F9B">
        <w:rPr>
          <w:vertAlign w:val="subscript"/>
        </w:rPr>
        <w:t>6</w:t>
      </w:r>
      <w:r w:rsidRPr="009536BA">
        <w:t>) e trifluoruro di azoto (NF</w:t>
      </w:r>
      <w:r w:rsidRPr="000B3F9B">
        <w:rPr>
          <w:vertAlign w:val="subscript"/>
        </w:rPr>
        <w:t>3</w:t>
      </w:r>
      <w:r w:rsidRPr="009536BA">
        <w:t>). I gas serra consentono alle radiazioni solari di passare attraverso l’atmosfera e ostacolano il passaggio verso lo spazio di parte delle radiazioni infrarosse provenienti dalla superficie della Terra, contribuendo in tal modo al riscaldamento del pianeta. Ognuno di questi gas ha un proprio specifico potenziale di riscaldamento. Per calcolare le emissioni a effetto serra complessive, le quantità relative alle emissioni dei singoli inquinanti vengono convertite in “tonnellate di CO</w:t>
      </w:r>
      <w:r w:rsidRPr="00042C40">
        <w:rPr>
          <w:vertAlign w:val="subscript"/>
        </w:rPr>
        <w:t>2</w:t>
      </w:r>
      <w:r w:rsidRPr="009536BA">
        <w:t xml:space="preserve"> equivalente”, ottenute moltiplicando le emissioni di ogni gas per il proprio potenziale di riscaldamento globale </w:t>
      </w:r>
      <w:r w:rsidR="00E64C2D" w:rsidRPr="00D509DF">
        <w:t>–</w:t>
      </w:r>
      <w:r w:rsidRPr="009536BA">
        <w:t xml:space="preserve"> </w:t>
      </w:r>
      <w:r w:rsidRPr="00A35518">
        <w:rPr>
          <w:i/>
          <w:iCs/>
        </w:rPr>
        <w:t>Global warming potential</w:t>
      </w:r>
      <w:r w:rsidRPr="009536BA">
        <w:t xml:space="preserve"> (</w:t>
      </w:r>
      <w:r w:rsidRPr="00A027C8">
        <w:rPr>
          <w:i/>
        </w:rPr>
        <w:t>Gwp</w:t>
      </w:r>
      <w:r w:rsidRPr="009536BA">
        <w:t xml:space="preserve">) </w:t>
      </w:r>
      <w:r w:rsidR="00E64C2D" w:rsidRPr="00D509DF">
        <w:t>–</w:t>
      </w:r>
      <w:r w:rsidRPr="009536BA">
        <w:t xml:space="preserve"> espresso in rapporto al potenziale di riscaldamento dell’anidride carbonica. A tal fine sono applicati i seguenti coefficienti: 1 per CO</w:t>
      </w:r>
      <w:r w:rsidRPr="000B3F9B">
        <w:rPr>
          <w:vertAlign w:val="subscript"/>
        </w:rPr>
        <w:t>2</w:t>
      </w:r>
      <w:r w:rsidR="00E80119">
        <w:t>; 265</w:t>
      </w:r>
      <w:r w:rsidRPr="009536BA">
        <w:t xml:space="preserve"> per N</w:t>
      </w:r>
      <w:r w:rsidRPr="000B3F9B">
        <w:rPr>
          <w:vertAlign w:val="subscript"/>
        </w:rPr>
        <w:t>2</w:t>
      </w:r>
      <w:r w:rsidR="00E80119">
        <w:t>O; 28</w:t>
      </w:r>
      <w:r w:rsidRPr="009536BA">
        <w:t xml:space="preserve"> per CH</w:t>
      </w:r>
      <w:r w:rsidRPr="000B3F9B">
        <w:rPr>
          <w:vertAlign w:val="subscript"/>
        </w:rPr>
        <w:t>4</w:t>
      </w:r>
      <w:r w:rsidRPr="009536BA">
        <w:t xml:space="preserve"> e pesi variabili in relazione agli specifici gas per HFC, PFC, SF</w:t>
      </w:r>
      <w:r w:rsidRPr="000B3F9B">
        <w:rPr>
          <w:vertAlign w:val="subscript"/>
        </w:rPr>
        <w:t>6</w:t>
      </w:r>
      <w:r w:rsidRPr="009536BA">
        <w:t xml:space="preserve"> e NF</w:t>
      </w:r>
      <w:r w:rsidRPr="000B3F9B">
        <w:rPr>
          <w:vertAlign w:val="subscript"/>
        </w:rPr>
        <w:t>3</w:t>
      </w:r>
      <w:r w:rsidRPr="009536BA">
        <w:t>.</w:t>
      </w:r>
    </w:p>
    <w:p w14:paraId="62743F1F" w14:textId="19FD70F5" w:rsidR="00A014B9" w:rsidRPr="00A35518" w:rsidRDefault="00A014B9" w:rsidP="00A35518">
      <w:pPr>
        <w:spacing w:after="120"/>
        <w:jc w:val="both"/>
        <w:rPr>
          <w:rFonts w:ascii="Arial" w:eastAsiaTheme="minorHAnsi" w:hAnsi="Arial" w:cs="Arial"/>
          <w:sz w:val="20"/>
          <w:szCs w:val="20"/>
          <w:lang w:eastAsia="en-US"/>
        </w:rPr>
      </w:pPr>
      <w:r w:rsidRPr="00A35518">
        <w:rPr>
          <w:rFonts w:ascii="Arial" w:hAnsi="Arial" w:cs="Arial"/>
          <w:b/>
          <w:bCs/>
          <w:color w:val="1F497D" w:themeColor="text2"/>
          <w:sz w:val="20"/>
          <w:szCs w:val="20"/>
        </w:rPr>
        <w:t>Esportazioni (flussi di materia):</w:t>
      </w:r>
      <w:r w:rsidRPr="00A35518">
        <w:rPr>
          <w:rFonts w:ascii="Arial" w:hAnsi="Arial" w:cs="Arial"/>
          <w:color w:val="002060"/>
          <w:sz w:val="20"/>
          <w:szCs w:val="20"/>
        </w:rPr>
        <w:t xml:space="preserve"> </w:t>
      </w:r>
      <w:r w:rsidR="002E3672">
        <w:rPr>
          <w:rFonts w:ascii="Arial" w:eastAsiaTheme="minorHAnsi" w:hAnsi="Arial" w:cs="Arial"/>
          <w:sz w:val="20"/>
          <w:szCs w:val="20"/>
          <w:lang w:eastAsia="en-US"/>
        </w:rPr>
        <w:t>c</w:t>
      </w:r>
      <w:r w:rsidRPr="00A35518">
        <w:rPr>
          <w:rFonts w:ascii="Arial" w:eastAsiaTheme="minorHAnsi" w:hAnsi="Arial" w:cs="Arial"/>
          <w:sz w:val="20"/>
          <w:szCs w:val="20"/>
          <w:lang w:eastAsia="en-US"/>
        </w:rPr>
        <w:t>omprendono il materiale esportato verso altri contesti territoriali o economie. Si considera il peso delle merci che attraversano il confine e – nel solo caso del livello nazionale – gli acquisti diretti effettuati in Italia dalle unità residenti all’estero.</w:t>
      </w:r>
    </w:p>
    <w:p w14:paraId="20A66B52" w14:textId="2AE315C3" w:rsidR="00A014B9" w:rsidRPr="009536BA" w:rsidRDefault="00A014B9" w:rsidP="002E3672">
      <w:pPr>
        <w:pStyle w:val="Nessunaspaziatura"/>
      </w:pPr>
      <w:r w:rsidRPr="009536BA">
        <w:rPr>
          <w:b/>
          <w:color w:val="1F497D" w:themeColor="text2"/>
        </w:rPr>
        <w:t xml:space="preserve">Estrazione interna: </w:t>
      </w:r>
      <w:r w:rsidR="00E64C2D">
        <w:t>a</w:t>
      </w:r>
      <w:r w:rsidRPr="009536BA">
        <w:t>ggregato dei conti dei flussi di materia</w:t>
      </w:r>
      <w:r w:rsidRPr="009536BA">
        <w:rPr>
          <w:b/>
          <w:color w:val="1F497D" w:themeColor="text2"/>
        </w:rPr>
        <w:t xml:space="preserve"> </w:t>
      </w:r>
      <w:r w:rsidRPr="009536BA">
        <w:t>che comprende le risorse naturali estratte all’interno del territorio e direttamente utilizzate.</w:t>
      </w:r>
    </w:p>
    <w:p w14:paraId="2B6FE136" w14:textId="60E61B3A" w:rsidR="00A014B9" w:rsidRPr="009536BA" w:rsidRDefault="00A014B9" w:rsidP="002E3672">
      <w:pPr>
        <w:pStyle w:val="Nessunaspaziatura"/>
      </w:pPr>
      <w:r w:rsidRPr="009536BA">
        <w:rPr>
          <w:b/>
          <w:color w:val="1F497D" w:themeColor="text2"/>
        </w:rPr>
        <w:t>Flussi netti dall’estero (</w:t>
      </w:r>
      <w:r w:rsidRPr="009536BA">
        <w:rPr>
          <w:b/>
          <w:i/>
          <w:color w:val="1F497D" w:themeColor="text2"/>
        </w:rPr>
        <w:t>Physical trade balance</w:t>
      </w:r>
      <w:r w:rsidR="00E64C2D">
        <w:rPr>
          <w:b/>
          <w:i/>
          <w:color w:val="1F497D" w:themeColor="text2"/>
        </w:rPr>
        <w:t>,</w:t>
      </w:r>
      <w:r w:rsidRPr="00A35518">
        <w:rPr>
          <w:b/>
          <w:iCs/>
          <w:color w:val="1F497D" w:themeColor="text2"/>
        </w:rPr>
        <w:t xml:space="preserve"> </w:t>
      </w:r>
      <w:r w:rsidRPr="00A027C8">
        <w:rPr>
          <w:b/>
          <w:i/>
          <w:iCs/>
          <w:color w:val="1F497D" w:themeColor="text2"/>
        </w:rPr>
        <w:t>Ptb</w:t>
      </w:r>
      <w:r w:rsidRPr="009536BA">
        <w:rPr>
          <w:b/>
          <w:color w:val="1F497D" w:themeColor="text2"/>
        </w:rPr>
        <w:t xml:space="preserve">): </w:t>
      </w:r>
      <w:r w:rsidR="00E64C2D">
        <w:t>a</w:t>
      </w:r>
      <w:r w:rsidRPr="009536BA">
        <w:t>ggregato dei conti dei flussi di materia</w:t>
      </w:r>
      <w:r w:rsidRPr="009536BA">
        <w:rPr>
          <w:b/>
          <w:color w:val="1F497D" w:themeColor="text2"/>
        </w:rPr>
        <w:t xml:space="preserve"> </w:t>
      </w:r>
      <w:r w:rsidRPr="009536BA">
        <w:t>dato da Importazioni meno Esportazioni.</w:t>
      </w:r>
    </w:p>
    <w:p w14:paraId="7E1FA5D6" w14:textId="1D782480" w:rsidR="00A014B9" w:rsidRPr="009536BA" w:rsidRDefault="00A014B9" w:rsidP="006A503F">
      <w:pPr>
        <w:pStyle w:val="Nessunaspaziatura"/>
      </w:pPr>
      <w:r w:rsidRPr="009536BA">
        <w:rPr>
          <w:b/>
          <w:color w:val="1F497D" w:themeColor="text2"/>
        </w:rPr>
        <w:t xml:space="preserve">Gestione dei rifiuti: </w:t>
      </w:r>
      <w:r w:rsidR="005267D1">
        <w:t>s</w:t>
      </w:r>
      <w:r w:rsidRPr="009536BA">
        <w:t>econdo la Classificazione delle attività e delle spese per la protezione dell’ambiente (</w:t>
      </w:r>
      <w:r w:rsidR="00107A68" w:rsidRPr="009536BA">
        <w:t>Cepa</w:t>
      </w:r>
      <w:r w:rsidRPr="009536BA">
        <w:t>) sono incluse le attività di prevenzione della produzione di rifiuti; raccolta, trasporto e smaltimento dei rifiuti; monitoraggio e controllo, regolamentazione e amministrazione, informazione e comunicazione in materia di rifiuti.</w:t>
      </w:r>
    </w:p>
    <w:p w14:paraId="1F29FF0D" w14:textId="005A4191" w:rsidR="00A014B9" w:rsidRPr="009536BA" w:rsidRDefault="00A014B9" w:rsidP="005267D1">
      <w:pPr>
        <w:pStyle w:val="Nessunaspaziatura"/>
      </w:pPr>
      <w:r w:rsidRPr="009536BA">
        <w:rPr>
          <w:b/>
          <w:color w:val="1F497D" w:themeColor="text2"/>
        </w:rPr>
        <w:t xml:space="preserve">Gestione delle acque reflue: </w:t>
      </w:r>
      <w:r w:rsidR="005267D1">
        <w:t>s</w:t>
      </w:r>
      <w:r w:rsidRPr="009536BA">
        <w:t>econdo la Classificazione delle attività e delle spese per la protezione dell’ambiente (</w:t>
      </w:r>
      <w:r w:rsidR="00107A68" w:rsidRPr="009536BA">
        <w:t>Cepa</w:t>
      </w:r>
      <w:r w:rsidRPr="009536BA">
        <w:t>) sono incluse le attività di: prevenzione dell’inquinamento idrico; raccolta e depurazione delle acque reflue; monitoraggio e controllo, regolamentazione e amministrazione, informazione e comunicazione in materia di acque reflue.</w:t>
      </w:r>
    </w:p>
    <w:p w14:paraId="292A5663" w14:textId="5D50449A" w:rsidR="00A014B9" w:rsidRPr="00A35518" w:rsidRDefault="00A014B9" w:rsidP="00A35518">
      <w:pPr>
        <w:spacing w:after="120"/>
        <w:jc w:val="both"/>
        <w:rPr>
          <w:rFonts w:ascii="Arial" w:eastAsiaTheme="minorHAnsi" w:hAnsi="Arial" w:cs="Arial"/>
          <w:sz w:val="20"/>
          <w:szCs w:val="20"/>
          <w:lang w:eastAsia="en-US"/>
        </w:rPr>
      </w:pPr>
      <w:r w:rsidRPr="00A35518">
        <w:rPr>
          <w:rFonts w:ascii="Arial" w:hAnsi="Arial" w:cs="Arial"/>
          <w:b/>
          <w:bCs/>
          <w:color w:val="1F497D" w:themeColor="text2"/>
          <w:sz w:val="20"/>
          <w:szCs w:val="20"/>
        </w:rPr>
        <w:t>Importazioni (flussi di materia):</w:t>
      </w:r>
      <w:r w:rsidRPr="00A35518">
        <w:rPr>
          <w:rFonts w:ascii="Arial" w:hAnsi="Arial" w:cs="Arial"/>
          <w:color w:val="002060"/>
          <w:sz w:val="20"/>
          <w:szCs w:val="20"/>
        </w:rPr>
        <w:t xml:space="preserve"> </w:t>
      </w:r>
      <w:r w:rsidR="005267D1">
        <w:rPr>
          <w:rFonts w:ascii="Arial" w:eastAsiaTheme="minorHAnsi" w:hAnsi="Arial" w:cs="Arial"/>
          <w:sz w:val="20"/>
          <w:szCs w:val="20"/>
          <w:lang w:eastAsia="en-US"/>
        </w:rPr>
        <w:t>c</w:t>
      </w:r>
      <w:r w:rsidRPr="00A35518">
        <w:rPr>
          <w:rFonts w:ascii="Arial" w:eastAsiaTheme="minorHAnsi" w:hAnsi="Arial" w:cs="Arial"/>
          <w:sz w:val="20"/>
          <w:szCs w:val="20"/>
          <w:lang w:eastAsia="en-US"/>
        </w:rPr>
        <w:t>omprendono il materiale importato da altri contesti territoriali o economie. Si considera il peso delle merci che attraversano il confine e – nel solo caso del livello nazionale – gli acquisti diretti effettuati all’estero dalle unità residenti in Italia.</w:t>
      </w:r>
    </w:p>
    <w:p w14:paraId="5840E470" w14:textId="77777777" w:rsidR="00A014B9" w:rsidRPr="00A35518" w:rsidRDefault="00A014B9" w:rsidP="00A35518">
      <w:pPr>
        <w:spacing w:after="120"/>
        <w:jc w:val="both"/>
        <w:rPr>
          <w:rFonts w:ascii="Arial" w:eastAsiaTheme="minorHAnsi" w:hAnsi="Arial" w:cs="Arial"/>
          <w:sz w:val="20"/>
          <w:szCs w:val="20"/>
          <w:lang w:eastAsia="en-US"/>
        </w:rPr>
      </w:pPr>
      <w:r w:rsidRPr="00A35518">
        <w:rPr>
          <w:rFonts w:ascii="Arial" w:hAnsi="Arial" w:cs="Arial"/>
          <w:b/>
          <w:bCs/>
          <w:color w:val="1F497D" w:themeColor="text2"/>
          <w:sz w:val="20"/>
          <w:szCs w:val="20"/>
        </w:rPr>
        <w:t>Imposta:</w:t>
      </w:r>
      <w:r w:rsidRPr="00A35518">
        <w:rPr>
          <w:rFonts w:ascii="Arial" w:hAnsi="Arial" w:cs="Arial"/>
          <w:color w:val="002060"/>
          <w:sz w:val="20"/>
          <w:szCs w:val="20"/>
        </w:rPr>
        <w:t xml:space="preserve"> </w:t>
      </w:r>
      <w:r w:rsidRPr="00A35518">
        <w:rPr>
          <w:rFonts w:ascii="Arial" w:eastAsiaTheme="minorHAnsi" w:hAnsi="Arial" w:cs="Arial"/>
          <w:sz w:val="20"/>
          <w:szCs w:val="20"/>
          <w:lang w:eastAsia="en-US"/>
        </w:rPr>
        <w:t>prelievo obbligatorio non commisurato al beneficio che il singolo riceve dall’azione delle amministrazioni pubbliche.</w:t>
      </w:r>
    </w:p>
    <w:p w14:paraId="4C8879AC" w14:textId="2C9CCC68" w:rsidR="00A014B9" w:rsidRDefault="00A014B9" w:rsidP="00A35518">
      <w:pPr>
        <w:spacing w:after="120"/>
        <w:jc w:val="both"/>
        <w:rPr>
          <w:rFonts w:ascii="Arial" w:eastAsiaTheme="minorHAnsi" w:hAnsi="Arial" w:cs="Arial"/>
          <w:sz w:val="20"/>
          <w:szCs w:val="20"/>
          <w:lang w:eastAsia="en-US"/>
        </w:rPr>
      </w:pPr>
      <w:r w:rsidRPr="00A35518">
        <w:rPr>
          <w:rFonts w:ascii="Arial" w:hAnsi="Arial" w:cs="Arial"/>
          <w:b/>
          <w:bCs/>
          <w:color w:val="1F497D" w:themeColor="text2"/>
          <w:sz w:val="20"/>
          <w:szCs w:val="20"/>
        </w:rPr>
        <w:t>Imposte ambientali:</w:t>
      </w:r>
      <w:r w:rsidRPr="00A35518">
        <w:rPr>
          <w:rFonts w:ascii="Arial" w:hAnsi="Arial" w:cs="Arial"/>
          <w:color w:val="002060"/>
          <w:sz w:val="20"/>
          <w:szCs w:val="20"/>
        </w:rPr>
        <w:t xml:space="preserve"> </w:t>
      </w:r>
      <w:r w:rsidR="0054313C">
        <w:rPr>
          <w:rFonts w:ascii="Arial" w:eastAsiaTheme="minorHAnsi" w:hAnsi="Arial" w:cs="Arial"/>
          <w:sz w:val="20"/>
          <w:szCs w:val="20"/>
          <w:lang w:eastAsia="en-US"/>
        </w:rPr>
        <w:t>i</w:t>
      </w:r>
      <w:r w:rsidRPr="00A35518">
        <w:rPr>
          <w:rFonts w:ascii="Arial" w:eastAsiaTheme="minorHAnsi" w:hAnsi="Arial" w:cs="Arial"/>
          <w:sz w:val="20"/>
          <w:szCs w:val="20"/>
          <w:lang w:eastAsia="en-US"/>
        </w:rPr>
        <w:t>mposte la cui base impositiva è costituita da una grandezza fisica che ha un impatto negativo provato e specifico sull’ambiente.</w:t>
      </w:r>
      <w:r w:rsidRPr="00A35518">
        <w:rPr>
          <w:rFonts w:ascii="Arial" w:hAnsi="Arial" w:cs="Arial"/>
        </w:rPr>
        <w:t xml:space="preserve"> </w:t>
      </w:r>
      <w:r w:rsidRPr="00A35518">
        <w:rPr>
          <w:rFonts w:ascii="Arial" w:eastAsiaTheme="minorHAnsi" w:hAnsi="Arial" w:cs="Arial"/>
          <w:sz w:val="20"/>
          <w:szCs w:val="20"/>
          <w:lang w:eastAsia="en-US"/>
        </w:rPr>
        <w:t>Il gettito delle imposte ambientali è classificato secondo quattro categorie</w:t>
      </w:r>
      <w:r w:rsidR="00F71FB5">
        <w:rPr>
          <w:rFonts w:ascii="Arial" w:eastAsiaTheme="minorHAnsi" w:hAnsi="Arial" w:cs="Arial"/>
          <w:sz w:val="20"/>
          <w:szCs w:val="20"/>
          <w:lang w:eastAsia="en-US"/>
        </w:rPr>
        <w:t xml:space="preserve"> -</w:t>
      </w:r>
      <w:r w:rsidRPr="00A35518">
        <w:rPr>
          <w:rFonts w:ascii="Arial" w:eastAsiaTheme="minorHAnsi" w:hAnsi="Arial" w:cs="Arial"/>
          <w:sz w:val="20"/>
          <w:szCs w:val="20"/>
          <w:lang w:eastAsia="en-US"/>
        </w:rPr>
        <w:t xml:space="preserve"> energia, trasporti, inquinamento, risorse – e secondo il soggetto economico che lo corrisponde: attività produttive residenti, famiglie residenti e unità non residenti. </w:t>
      </w:r>
    </w:p>
    <w:p w14:paraId="09D04EB3" w14:textId="320B1C23" w:rsidR="000C3EDA" w:rsidRDefault="000C3EDA" w:rsidP="00A35518">
      <w:pPr>
        <w:spacing w:after="120"/>
        <w:jc w:val="both"/>
      </w:pPr>
      <w:r w:rsidRPr="000C3EDA">
        <w:rPr>
          <w:rFonts w:ascii="Arial" w:hAnsi="Arial" w:cs="Arial"/>
          <w:b/>
          <w:bCs/>
          <w:color w:val="1F497D" w:themeColor="text2"/>
          <w:sz w:val="20"/>
          <w:szCs w:val="20"/>
        </w:rPr>
        <w:t>Intensità di emissione di CO</w:t>
      </w:r>
      <w:r w:rsidRPr="005542B3">
        <w:rPr>
          <w:rFonts w:ascii="Arial" w:hAnsi="Arial" w:cs="Arial"/>
          <w:b/>
          <w:bCs/>
          <w:color w:val="1F497D" w:themeColor="text2"/>
          <w:sz w:val="20"/>
          <w:szCs w:val="20"/>
          <w:vertAlign w:val="subscript"/>
        </w:rPr>
        <w:t>2</w:t>
      </w:r>
      <w:r w:rsidRPr="000C3EDA">
        <w:rPr>
          <w:rFonts w:ascii="Arial" w:hAnsi="Arial" w:cs="Arial"/>
          <w:b/>
          <w:bCs/>
          <w:color w:val="1F497D" w:themeColor="text2"/>
          <w:sz w:val="20"/>
          <w:szCs w:val="20"/>
        </w:rPr>
        <w:t xml:space="preserve"> dei consumi energetici</w:t>
      </w:r>
      <w:r w:rsidRPr="000C3EDA">
        <w:rPr>
          <w:rFonts w:ascii="Arial" w:eastAsiaTheme="minorHAnsi" w:hAnsi="Arial" w:cs="Arial"/>
          <w:sz w:val="20"/>
          <w:szCs w:val="20"/>
          <w:lang w:eastAsia="en-US"/>
        </w:rPr>
        <w:t>: è il rapporto tra l</w:t>
      </w:r>
      <w:r w:rsidR="005542B3">
        <w:rPr>
          <w:rFonts w:ascii="Arial" w:eastAsiaTheme="minorHAnsi" w:hAnsi="Arial" w:cs="Arial"/>
          <w:sz w:val="20"/>
          <w:szCs w:val="20"/>
          <w:lang w:eastAsia="en-US"/>
        </w:rPr>
        <w:t>a</w:t>
      </w:r>
      <w:r w:rsidRPr="000C3EDA">
        <w:rPr>
          <w:rFonts w:ascii="Arial" w:eastAsiaTheme="minorHAnsi" w:hAnsi="Arial" w:cs="Arial"/>
          <w:sz w:val="20"/>
          <w:szCs w:val="20"/>
          <w:lang w:eastAsia="en-US"/>
        </w:rPr>
        <w:t xml:space="preserve"> quantità di CO</w:t>
      </w:r>
      <w:r w:rsidRPr="000C3EDA">
        <w:rPr>
          <w:rFonts w:ascii="Arial" w:eastAsiaTheme="minorHAnsi" w:hAnsi="Arial" w:cs="Arial"/>
          <w:sz w:val="20"/>
          <w:szCs w:val="20"/>
          <w:vertAlign w:val="subscript"/>
          <w:lang w:eastAsia="en-US"/>
        </w:rPr>
        <w:t>2</w:t>
      </w:r>
      <w:r w:rsidRPr="000C3EDA">
        <w:rPr>
          <w:rFonts w:ascii="Arial" w:eastAsiaTheme="minorHAnsi" w:hAnsi="Arial" w:cs="Arial"/>
          <w:sz w:val="20"/>
          <w:szCs w:val="20"/>
          <w:lang w:eastAsia="en-US"/>
        </w:rPr>
        <w:t xml:space="preserve"> emessa e i consumi energetici rappresentati dal Consumo di Energia delle unità residenti </w:t>
      </w:r>
      <w:r>
        <w:rPr>
          <w:rFonts w:ascii="Arial" w:eastAsiaTheme="minorHAnsi" w:hAnsi="Arial" w:cs="Arial"/>
          <w:sz w:val="20"/>
          <w:szCs w:val="20"/>
          <w:lang w:eastAsia="en-US"/>
        </w:rPr>
        <w:t>(</w:t>
      </w:r>
      <w:r w:rsidRPr="004E4364">
        <w:rPr>
          <w:rFonts w:ascii="Arial" w:eastAsiaTheme="minorHAnsi" w:hAnsi="Arial" w:cs="Arial"/>
          <w:i/>
          <w:iCs/>
          <w:sz w:val="20"/>
          <w:szCs w:val="20"/>
          <w:lang w:eastAsia="en-US"/>
        </w:rPr>
        <w:t>Net domestic energy use</w:t>
      </w:r>
      <w:r>
        <w:rPr>
          <w:rFonts w:ascii="Arial" w:eastAsiaTheme="minorHAnsi" w:hAnsi="Arial" w:cs="Arial"/>
          <w:sz w:val="20"/>
          <w:szCs w:val="20"/>
          <w:lang w:eastAsia="en-US"/>
        </w:rPr>
        <w:t>)</w:t>
      </w:r>
      <w:r w:rsidRPr="000C3EDA">
        <w:rPr>
          <w:rFonts w:ascii="Arial" w:eastAsiaTheme="minorHAnsi" w:hAnsi="Arial" w:cs="Arial"/>
          <w:sz w:val="20"/>
          <w:szCs w:val="20"/>
          <w:lang w:eastAsia="en-US"/>
        </w:rPr>
        <w:t xml:space="preserve"> a fini energetici</w:t>
      </w:r>
      <w:r>
        <w:rPr>
          <w:rFonts w:ascii="Arial" w:eastAsiaTheme="minorHAnsi" w:hAnsi="Arial" w:cs="Arial"/>
          <w:sz w:val="20"/>
          <w:szCs w:val="20"/>
          <w:lang w:eastAsia="en-US"/>
        </w:rPr>
        <w:t>.</w:t>
      </w:r>
    </w:p>
    <w:p w14:paraId="3CC55A35" w14:textId="7B6677A8" w:rsidR="00C56096" w:rsidRPr="00A35518" w:rsidRDefault="00C56096" w:rsidP="00A35518">
      <w:pPr>
        <w:spacing w:after="120"/>
        <w:jc w:val="both"/>
        <w:rPr>
          <w:rFonts w:ascii="Arial" w:eastAsiaTheme="minorHAnsi" w:hAnsi="Arial" w:cs="Arial"/>
          <w:sz w:val="20"/>
          <w:szCs w:val="20"/>
          <w:lang w:eastAsia="en-US"/>
        </w:rPr>
      </w:pPr>
      <w:r w:rsidRPr="00A96DD6">
        <w:rPr>
          <w:rFonts w:ascii="Arial" w:hAnsi="Arial" w:cs="Arial"/>
          <w:b/>
          <w:bCs/>
          <w:color w:val="1F497D" w:themeColor="text2"/>
          <w:sz w:val="20"/>
          <w:szCs w:val="20"/>
        </w:rPr>
        <w:t>Intensità energetica</w:t>
      </w:r>
      <w:r>
        <w:rPr>
          <w:rFonts w:ascii="Arial" w:eastAsiaTheme="minorHAnsi" w:hAnsi="Arial" w:cs="Arial"/>
          <w:sz w:val="20"/>
          <w:szCs w:val="20"/>
          <w:lang w:eastAsia="en-US"/>
        </w:rPr>
        <w:t xml:space="preserve">: è misurata </w:t>
      </w:r>
      <w:r w:rsidR="000B3F9B" w:rsidRPr="000B3F9B">
        <w:rPr>
          <w:rFonts w:ascii="Arial" w:eastAsiaTheme="minorHAnsi" w:hAnsi="Arial" w:cs="Arial"/>
          <w:sz w:val="20"/>
          <w:szCs w:val="20"/>
          <w:lang w:eastAsia="en-US"/>
        </w:rPr>
        <w:t>rapportando il “</w:t>
      </w:r>
      <w:r w:rsidR="000B3F9B" w:rsidRPr="004E4364">
        <w:rPr>
          <w:rFonts w:ascii="Arial" w:eastAsiaTheme="minorHAnsi" w:hAnsi="Arial" w:cs="Arial"/>
          <w:i/>
          <w:iCs/>
          <w:sz w:val="20"/>
          <w:szCs w:val="20"/>
          <w:lang w:eastAsia="en-US"/>
        </w:rPr>
        <w:t>Net domestic energy use</w:t>
      </w:r>
      <w:r w:rsidR="000B3F9B" w:rsidRPr="000B3F9B">
        <w:rPr>
          <w:rFonts w:ascii="Arial" w:eastAsiaTheme="minorHAnsi" w:hAnsi="Arial" w:cs="Arial"/>
          <w:sz w:val="20"/>
          <w:szCs w:val="20"/>
          <w:lang w:eastAsia="en-US"/>
        </w:rPr>
        <w:t xml:space="preserve">” </w:t>
      </w:r>
      <w:r>
        <w:rPr>
          <w:rFonts w:ascii="Arial" w:eastAsiaTheme="minorHAnsi" w:hAnsi="Arial" w:cs="Arial"/>
          <w:sz w:val="20"/>
          <w:szCs w:val="20"/>
          <w:lang w:eastAsia="en-US"/>
        </w:rPr>
        <w:t>e</w:t>
      </w:r>
      <w:r w:rsidR="000B3F9B">
        <w:rPr>
          <w:rFonts w:ascii="Arial" w:eastAsiaTheme="minorHAnsi" w:hAnsi="Arial" w:cs="Arial"/>
          <w:sz w:val="20"/>
          <w:szCs w:val="20"/>
          <w:lang w:eastAsia="en-US"/>
        </w:rPr>
        <w:t>spresso in terajoule (unità di misura dell’energia</w:t>
      </w:r>
      <w:r w:rsidR="00A96DD6">
        <w:rPr>
          <w:rFonts w:ascii="Arial" w:eastAsiaTheme="minorHAnsi" w:hAnsi="Arial" w:cs="Arial"/>
          <w:sz w:val="20"/>
          <w:szCs w:val="20"/>
          <w:lang w:eastAsia="en-US"/>
        </w:rPr>
        <w:t>), al</w:t>
      </w:r>
      <w:r>
        <w:rPr>
          <w:rFonts w:ascii="Arial" w:eastAsiaTheme="minorHAnsi" w:hAnsi="Arial" w:cs="Arial"/>
          <w:sz w:val="20"/>
          <w:szCs w:val="20"/>
          <w:lang w:eastAsia="en-US"/>
        </w:rPr>
        <w:t xml:space="preserve"> </w:t>
      </w:r>
      <w:r w:rsidRPr="00C56096">
        <w:rPr>
          <w:rFonts w:ascii="Arial" w:eastAsiaTheme="minorHAnsi" w:hAnsi="Arial" w:cs="Arial"/>
          <w:sz w:val="20"/>
          <w:szCs w:val="20"/>
          <w:lang w:eastAsia="en-US"/>
        </w:rPr>
        <w:t>Pil</w:t>
      </w:r>
      <w:r>
        <w:rPr>
          <w:rFonts w:ascii="Arial" w:eastAsiaTheme="minorHAnsi" w:hAnsi="Arial" w:cs="Arial"/>
          <w:sz w:val="20"/>
          <w:szCs w:val="20"/>
          <w:lang w:eastAsia="en-US"/>
        </w:rPr>
        <w:t xml:space="preserve"> espresso a </w:t>
      </w:r>
      <w:r w:rsidRPr="00C56096">
        <w:rPr>
          <w:rFonts w:ascii="Arial" w:eastAsiaTheme="minorHAnsi" w:hAnsi="Arial" w:cs="Arial"/>
          <w:sz w:val="20"/>
          <w:szCs w:val="20"/>
          <w:lang w:eastAsia="en-US"/>
        </w:rPr>
        <w:t>valori concatenati con anno di riferimento 20</w:t>
      </w:r>
      <w:r w:rsidR="002F5A80">
        <w:rPr>
          <w:rFonts w:ascii="Arial" w:eastAsiaTheme="minorHAnsi" w:hAnsi="Arial" w:cs="Arial"/>
          <w:sz w:val="20"/>
          <w:szCs w:val="20"/>
          <w:lang w:eastAsia="en-US"/>
        </w:rPr>
        <w:t>20</w:t>
      </w:r>
      <w:r>
        <w:rPr>
          <w:rFonts w:ascii="Arial" w:eastAsiaTheme="minorHAnsi" w:hAnsi="Arial" w:cs="Arial"/>
          <w:sz w:val="20"/>
          <w:szCs w:val="20"/>
          <w:lang w:eastAsia="en-US"/>
        </w:rPr>
        <w:t xml:space="preserve">. </w:t>
      </w:r>
    </w:p>
    <w:p w14:paraId="2AB0A549" w14:textId="09794911" w:rsidR="00A014B9" w:rsidRPr="00A35518" w:rsidRDefault="00A014B9" w:rsidP="00A35518">
      <w:pPr>
        <w:spacing w:after="120"/>
        <w:jc w:val="both"/>
        <w:rPr>
          <w:rFonts w:ascii="Arial" w:hAnsi="Arial" w:cs="Arial"/>
          <w:color w:val="000000"/>
          <w:sz w:val="20"/>
          <w:szCs w:val="20"/>
        </w:rPr>
      </w:pPr>
      <w:r w:rsidRPr="00A35518">
        <w:rPr>
          <w:rFonts w:ascii="Arial" w:hAnsi="Arial" w:cs="Arial"/>
          <w:b/>
          <w:bCs/>
          <w:color w:val="1F497D" w:themeColor="text2"/>
          <w:sz w:val="20"/>
          <w:szCs w:val="20"/>
        </w:rPr>
        <w:t>Minerali energetici e prodotti derivati:</w:t>
      </w:r>
      <w:r w:rsidRPr="00A35518">
        <w:rPr>
          <w:rFonts w:ascii="Arial" w:hAnsi="Arial" w:cs="Arial"/>
          <w:color w:val="002060"/>
          <w:sz w:val="20"/>
          <w:szCs w:val="20"/>
        </w:rPr>
        <w:t xml:space="preserve"> </w:t>
      </w:r>
      <w:r w:rsidR="005267D1">
        <w:rPr>
          <w:rFonts w:ascii="Arial" w:hAnsi="Arial" w:cs="Arial"/>
          <w:sz w:val="20"/>
          <w:szCs w:val="20"/>
        </w:rPr>
        <w:t>c</w:t>
      </w:r>
      <w:r w:rsidRPr="00A35518">
        <w:rPr>
          <w:rFonts w:ascii="Arial" w:hAnsi="Arial" w:cs="Arial"/>
          <w:sz w:val="20"/>
          <w:szCs w:val="20"/>
        </w:rPr>
        <w:t>omprendono carbone, petrolio, gas, altri combustibili fossili e altri prodotti costituiti prevalentemente da minerali energetici</w:t>
      </w:r>
      <w:r w:rsidRPr="00A35518">
        <w:rPr>
          <w:rFonts w:ascii="Arial" w:hAnsi="Arial" w:cs="Arial"/>
          <w:color w:val="000000"/>
          <w:sz w:val="20"/>
          <w:szCs w:val="20"/>
        </w:rPr>
        <w:t xml:space="preserve">. </w:t>
      </w:r>
    </w:p>
    <w:p w14:paraId="55C1A747" w14:textId="0CF4B824" w:rsidR="00A014B9" w:rsidRPr="00A35518" w:rsidRDefault="00A014B9" w:rsidP="00A35518">
      <w:pPr>
        <w:spacing w:after="120"/>
        <w:jc w:val="both"/>
        <w:rPr>
          <w:rFonts w:ascii="Arial" w:hAnsi="Arial" w:cs="Arial"/>
          <w:color w:val="000000"/>
          <w:sz w:val="20"/>
          <w:szCs w:val="20"/>
        </w:rPr>
      </w:pPr>
      <w:r w:rsidRPr="00A35518">
        <w:rPr>
          <w:rFonts w:ascii="Arial" w:hAnsi="Arial" w:cs="Arial"/>
          <w:b/>
          <w:bCs/>
          <w:color w:val="1F497D" w:themeColor="text2"/>
          <w:sz w:val="20"/>
          <w:szCs w:val="20"/>
        </w:rPr>
        <w:t>Minerali metalliferi e prodotti derivati:</w:t>
      </w:r>
      <w:r w:rsidRPr="00A35518">
        <w:rPr>
          <w:rFonts w:ascii="Arial" w:hAnsi="Arial" w:cs="Arial"/>
          <w:color w:val="002060"/>
          <w:sz w:val="20"/>
          <w:szCs w:val="20"/>
        </w:rPr>
        <w:t xml:space="preserve"> </w:t>
      </w:r>
      <w:r w:rsidR="005267D1">
        <w:rPr>
          <w:rFonts w:ascii="Arial" w:hAnsi="Arial" w:cs="Arial"/>
          <w:sz w:val="20"/>
          <w:szCs w:val="20"/>
        </w:rPr>
        <w:t>c</w:t>
      </w:r>
      <w:r w:rsidRPr="00A35518">
        <w:rPr>
          <w:rFonts w:ascii="Arial" w:hAnsi="Arial" w:cs="Arial"/>
          <w:sz w:val="20"/>
          <w:szCs w:val="20"/>
        </w:rPr>
        <w:t>omprendono minerali</w:t>
      </w:r>
      <w:r w:rsidRPr="00A35518">
        <w:rPr>
          <w:rFonts w:ascii="Arial" w:hAnsi="Arial" w:cs="Arial"/>
          <w:color w:val="000000"/>
          <w:sz w:val="20"/>
          <w:szCs w:val="20"/>
        </w:rPr>
        <w:t xml:space="preserve"> di ferro, rame, piombo e altri metalli, nonché altri prodotti costituiti prevalentemente da minerali metalliferi.</w:t>
      </w:r>
    </w:p>
    <w:p w14:paraId="013B2CC2" w14:textId="5D05AB12" w:rsidR="00A014B9" w:rsidRPr="00A35518" w:rsidRDefault="00A014B9" w:rsidP="00A35518">
      <w:pPr>
        <w:spacing w:after="120"/>
        <w:jc w:val="both"/>
        <w:rPr>
          <w:rFonts w:ascii="Arial" w:hAnsi="Arial" w:cs="Arial"/>
          <w:color w:val="000000"/>
          <w:sz w:val="20"/>
          <w:szCs w:val="20"/>
        </w:rPr>
      </w:pPr>
      <w:r w:rsidRPr="00A35518">
        <w:rPr>
          <w:rFonts w:ascii="Arial" w:hAnsi="Arial" w:cs="Arial"/>
          <w:b/>
          <w:bCs/>
          <w:color w:val="1F497D" w:themeColor="text2"/>
          <w:sz w:val="20"/>
          <w:szCs w:val="20"/>
        </w:rPr>
        <w:t>Minerali non metalliferi e prodotti derivati:</w:t>
      </w:r>
      <w:r w:rsidRPr="00A35518">
        <w:rPr>
          <w:rFonts w:ascii="Arial" w:hAnsi="Arial" w:cs="Arial"/>
          <w:color w:val="002060"/>
          <w:sz w:val="20"/>
          <w:szCs w:val="20"/>
        </w:rPr>
        <w:t xml:space="preserve"> </w:t>
      </w:r>
      <w:r w:rsidR="005267D1">
        <w:rPr>
          <w:rFonts w:ascii="Arial" w:hAnsi="Arial" w:cs="Arial"/>
          <w:sz w:val="20"/>
          <w:szCs w:val="20"/>
        </w:rPr>
        <w:t>c</w:t>
      </w:r>
      <w:r w:rsidRPr="00A35518">
        <w:rPr>
          <w:rFonts w:ascii="Arial" w:hAnsi="Arial" w:cs="Arial"/>
          <w:sz w:val="20"/>
          <w:szCs w:val="20"/>
        </w:rPr>
        <w:t>omprendono minerali da costruzione</w:t>
      </w:r>
      <w:r w:rsidRPr="00A35518">
        <w:rPr>
          <w:rFonts w:ascii="Arial" w:hAnsi="Arial" w:cs="Arial"/>
          <w:color w:val="000000"/>
          <w:sz w:val="20"/>
          <w:szCs w:val="20"/>
        </w:rPr>
        <w:t xml:space="preserve">, minerali industriali e </w:t>
      </w:r>
      <w:r w:rsidRPr="00A35518">
        <w:rPr>
          <w:rFonts w:ascii="Arial" w:hAnsi="Arial" w:cs="Arial"/>
          <w:sz w:val="20"/>
          <w:szCs w:val="20"/>
        </w:rPr>
        <w:t xml:space="preserve">altri prodotti costituiti prevalentemente da </w:t>
      </w:r>
      <w:r w:rsidRPr="00A35518">
        <w:rPr>
          <w:rFonts w:ascii="Arial" w:hAnsi="Arial" w:cs="Arial"/>
          <w:color w:val="000000"/>
          <w:sz w:val="20"/>
          <w:szCs w:val="20"/>
        </w:rPr>
        <w:t>minerali non metalliferi.</w:t>
      </w:r>
    </w:p>
    <w:p w14:paraId="5630B969" w14:textId="6AB0D7D3" w:rsidR="00A014B9" w:rsidRPr="009536BA" w:rsidRDefault="00A014B9" w:rsidP="005267D1">
      <w:pPr>
        <w:pStyle w:val="Nessunaspaziatura"/>
      </w:pPr>
      <w:r w:rsidRPr="009536BA">
        <w:rPr>
          <w:b/>
          <w:color w:val="1F497D" w:themeColor="text2"/>
        </w:rPr>
        <w:t>Prezzo base</w:t>
      </w:r>
      <w:r w:rsidRPr="009536BA">
        <w:rPr>
          <w:rFonts w:eastAsia="Arial"/>
          <w:b/>
        </w:rPr>
        <w:t>:</w:t>
      </w:r>
      <w:r w:rsidRPr="00A35518">
        <w:rPr>
          <w:b/>
        </w:rPr>
        <w:t xml:space="preserve"> </w:t>
      </w:r>
      <w:r w:rsidR="00504CEB">
        <w:t>i</w:t>
      </w:r>
      <w:r w:rsidR="00504CEB" w:rsidRPr="00504CEB">
        <w:t xml:space="preserve">l prezzo che il produttore può ricevere dall’acquirente per una unità di bene o servizio prodotta, dedotte le eventuali imposte da pagare su quella unità quale conseguenza della sua produzione e della sua vendita (ossia le imposte sui prodotti), ma compreso ogni eventuale contributo da ricevere su quella unità quale </w:t>
      </w:r>
      <w:r w:rsidR="00504CEB" w:rsidRPr="00504CEB">
        <w:lastRenderedPageBreak/>
        <w:t>conseguenza della sua produzione o della sua vendita (ossia i contributi ai prodotti). Sono escluse le spese di trasporto fatturate separatamente dal produttore mentre sono inclusi i margini di trasporto addebitati dal produttore sulla stessa fattura, anche se indicati come voce distinta</w:t>
      </w:r>
      <w:r w:rsidRPr="009536BA">
        <w:t xml:space="preserve">. </w:t>
      </w:r>
    </w:p>
    <w:p w14:paraId="2645CE0F" w14:textId="0EC23CD1" w:rsidR="00A014B9" w:rsidRPr="009536BA" w:rsidRDefault="00A014B9" w:rsidP="005267D1">
      <w:pPr>
        <w:pStyle w:val="Nessunaspaziatura"/>
      </w:pPr>
      <w:r w:rsidRPr="009536BA">
        <w:rPr>
          <w:b/>
          <w:color w:val="1F497D" w:themeColor="text2"/>
        </w:rPr>
        <w:t>Prodotto interno lordo ai prezzi di mercato (Pil):</w:t>
      </w:r>
      <w:r w:rsidRPr="009536BA">
        <w:t xml:space="preserve"> </w:t>
      </w:r>
      <w:r w:rsidR="00D02126">
        <w:t>r</w:t>
      </w:r>
      <w:r w:rsidRPr="009536BA">
        <w:t>appresenta il risultato finale dell’attività di produzione delle unità produttrici residenti. Corrisponde alla produzione totale di beni e servizi dell’economia, diminuita dei consumi intermedi e aumentata dell’Iva gravante e delle imposte indirette sulle importazioni. È altresì pari alla somma del valore aggiunto a prezzi base delle varie branche di attività economica, aumentata delle imposte sui prodotti (compresa l’Iva e le imposte sulle importazioni), al netto dei contributi ai prodotti.</w:t>
      </w:r>
    </w:p>
    <w:p w14:paraId="5EFEDD61" w14:textId="4BB10ADB" w:rsidR="00A014B9" w:rsidRPr="009536BA" w:rsidRDefault="00A014B9" w:rsidP="006A503F">
      <w:pPr>
        <w:pStyle w:val="Nessunaspaziatura"/>
      </w:pPr>
      <w:r w:rsidRPr="009536BA">
        <w:rPr>
          <w:b/>
          <w:color w:val="1F497D" w:themeColor="text2"/>
        </w:rPr>
        <w:t>Produzione</w:t>
      </w:r>
      <w:r w:rsidRPr="009536BA">
        <w:rPr>
          <w:rFonts w:eastAsia="Arial"/>
          <w:b/>
        </w:rPr>
        <w:t>:</w:t>
      </w:r>
      <w:r w:rsidRPr="00A35518">
        <w:t xml:space="preserve"> </w:t>
      </w:r>
      <w:r w:rsidR="00D02126">
        <w:t>r</w:t>
      </w:r>
      <w:r w:rsidRPr="009536BA">
        <w:t xml:space="preserve">isultato dell’attività economica svolta nel </w:t>
      </w:r>
      <w:r w:rsidR="00CB6DA0">
        <w:t>P</w:t>
      </w:r>
      <w:r w:rsidRPr="009536BA">
        <w:t xml:space="preserve">aese dalle unità residenti in un arco temporale determinato. Esistono diverse nozioni di produzione. Gli schemi standardizzati di contabilità nazionale prevedono la distinzione fra produzione </w:t>
      </w:r>
      <w:r w:rsidRPr="00A35518">
        <w:rPr>
          <w:i/>
          <w:iCs/>
        </w:rPr>
        <w:t>market</w:t>
      </w:r>
      <w:r w:rsidRPr="009536BA">
        <w:t xml:space="preserve"> di beni e servizi destinata alla vendita, che è oggetto di scambio e che dà quindi origine alla formazione di un prezzo di mercato, e produzione non </w:t>
      </w:r>
      <w:r w:rsidRPr="00A35518">
        <w:rPr>
          <w:i/>
          <w:iCs/>
        </w:rPr>
        <w:t>market</w:t>
      </w:r>
      <w:r w:rsidRPr="009536BA">
        <w:t xml:space="preserve"> che non è oggetto di scambio (la produzione per uso finale proprio, i servizi collettivi forniti dalla </w:t>
      </w:r>
      <w:r w:rsidR="007F3CCA">
        <w:t>Pubblica amministrazione</w:t>
      </w:r>
      <w:r w:rsidRPr="009536BA">
        <w:t xml:space="preserve"> e dalle Istituzioni senza scopo di lucro al servizio delle famiglie). </w:t>
      </w:r>
    </w:p>
    <w:p w14:paraId="727FBA76" w14:textId="46E3CBD2" w:rsidR="00A014B9" w:rsidRPr="009536BA" w:rsidRDefault="00A014B9" w:rsidP="006A503F">
      <w:pPr>
        <w:pStyle w:val="Nessunaspaziatura"/>
      </w:pPr>
      <w:r w:rsidRPr="009536BA">
        <w:rPr>
          <w:b/>
          <w:color w:val="1F497D" w:themeColor="text2"/>
        </w:rPr>
        <w:t>Settore istituzionale</w:t>
      </w:r>
      <w:r w:rsidR="00D02126">
        <w:rPr>
          <w:b/>
          <w:color w:val="1F497D" w:themeColor="text2"/>
        </w:rPr>
        <w:t>:</w:t>
      </w:r>
      <w:r w:rsidRPr="009536BA">
        <w:t xml:space="preserve"> raggruppa le unità istituzionali che hanno un comportamento economico simile. I settori istituzionali sono: Società non finanziarie, Societ</w:t>
      </w:r>
      <w:r w:rsidR="00107A68">
        <w:t>à finanziarie, Amministrazione p</w:t>
      </w:r>
      <w:r w:rsidRPr="009536BA">
        <w:t>ubblica, Famiglie, Istituzioni senza scopo di lucro al servi</w:t>
      </w:r>
      <w:r w:rsidR="00107A68">
        <w:t>zio delle famiglie e Resto del m</w:t>
      </w:r>
      <w:r w:rsidRPr="009536BA">
        <w:t>ondo. In Italia le Famiglie sono distinte in Famiglie consumatrici e Famiglie produttrici.</w:t>
      </w:r>
    </w:p>
    <w:p w14:paraId="2921341C" w14:textId="7E9F664C" w:rsidR="00A014B9" w:rsidRPr="009536BA" w:rsidRDefault="00A014B9" w:rsidP="006A503F">
      <w:pPr>
        <w:pStyle w:val="Nessunaspaziatura"/>
      </w:pPr>
      <w:r w:rsidRPr="009536BA">
        <w:rPr>
          <w:b/>
          <w:color w:val="1F497D" w:themeColor="text2"/>
        </w:rPr>
        <w:t>Spesa per consumi finali delle famiglie:</w:t>
      </w:r>
      <w:r w:rsidRPr="009536BA">
        <w:t xml:space="preserve"> </w:t>
      </w:r>
      <w:r w:rsidR="00D02126">
        <w:t>v</w:t>
      </w:r>
      <w:r w:rsidRPr="009536BA">
        <w:t>alore della spesa delle famiglie per l’insieme di beni e servizi acquisiti per il soddisfacimento dei propri bisogni individuali. Nel caso del settore Famiglie nel suo complesso include la spesa per consumi delle istituzioni senza scopo di lucro al servizio delle famiglie.</w:t>
      </w:r>
    </w:p>
    <w:p w14:paraId="79D8D7BB" w14:textId="5D53871E" w:rsidR="00A014B9" w:rsidRPr="009536BA" w:rsidRDefault="00A014B9" w:rsidP="00D02126">
      <w:pPr>
        <w:pStyle w:val="Nessunaspaziatura"/>
      </w:pPr>
      <w:r w:rsidRPr="009536BA">
        <w:rPr>
          <w:b/>
          <w:color w:val="1F497D" w:themeColor="text2"/>
        </w:rPr>
        <w:t xml:space="preserve">Spesa nazionale per la protezione dell’ambiente: </w:t>
      </w:r>
      <w:r w:rsidR="00D02126">
        <w:t>m</w:t>
      </w:r>
      <w:r w:rsidRPr="009536BA">
        <w:t xml:space="preserve">isura le risorse destinate alla prevenzione, riduzione e eliminazione dell’inquinamento e di ogni altra forma di degrado ambientale da operatori residenti (al netto, cioè dei finanziamenti ricevuti dal Resto del </w:t>
      </w:r>
      <w:r w:rsidR="007565EF">
        <w:t>m</w:t>
      </w:r>
      <w:r w:rsidRPr="009536BA">
        <w:t>ondo). L’aggregato è il risultato della somma di quattro principali tipologie di spesa dei soggetti economici: spesa per l’acquisto di servizi di protezione dell’ambiente (quali ad esempio la gestione dei rifiuti o la depurazione delle acque reflue) di famig</w:t>
      </w:r>
      <w:r w:rsidR="00107A68">
        <w:t>lie, imprese e Amministrazioni p</w:t>
      </w:r>
      <w:r w:rsidRPr="009536BA">
        <w:t>ubbliche; investimenti sostenuti da operatori che producono servizi di protezione ambientale venduti a terzi; spese per l’acquisto di apparecchi e macchinari, di beni e servizi e per il pagamento del personale addetto alle attività di protezione ambientale da parte delle imprese che le svolgono in proprio e spese destinate all’estero, ad esempio nell’ambito di accordi internazionali per la tutela ambientale.</w:t>
      </w:r>
    </w:p>
    <w:p w14:paraId="0ED91EAB" w14:textId="49FC3B99" w:rsidR="00A014B9" w:rsidRPr="00A35518" w:rsidRDefault="00A014B9" w:rsidP="00A35518">
      <w:pPr>
        <w:spacing w:after="120"/>
        <w:jc w:val="both"/>
        <w:rPr>
          <w:rFonts w:ascii="Arial" w:hAnsi="Arial" w:cs="Arial"/>
          <w:color w:val="000000"/>
          <w:sz w:val="20"/>
          <w:szCs w:val="20"/>
        </w:rPr>
      </w:pPr>
      <w:r w:rsidRPr="00A35518">
        <w:rPr>
          <w:rFonts w:ascii="Arial" w:hAnsi="Arial" w:cs="Arial"/>
          <w:b/>
          <w:bCs/>
          <w:color w:val="1F497D" w:themeColor="text2"/>
          <w:sz w:val="20"/>
          <w:szCs w:val="20"/>
        </w:rPr>
        <w:t>Unità non Residenti (imposte ambientali):</w:t>
      </w:r>
      <w:r w:rsidRPr="00A35518">
        <w:rPr>
          <w:rFonts w:ascii="Arial" w:hAnsi="Arial" w:cs="Arial"/>
          <w:color w:val="002060"/>
          <w:sz w:val="20"/>
          <w:szCs w:val="20"/>
        </w:rPr>
        <w:t xml:space="preserve"> </w:t>
      </w:r>
      <w:r w:rsidRPr="00A35518">
        <w:rPr>
          <w:rFonts w:ascii="Arial" w:hAnsi="Arial" w:cs="Arial"/>
          <w:sz w:val="20"/>
          <w:szCs w:val="20"/>
        </w:rPr>
        <w:t xml:space="preserve">categoria </w:t>
      </w:r>
      <w:r w:rsidR="00D02126">
        <w:rPr>
          <w:rFonts w:ascii="Arial" w:hAnsi="Arial" w:cs="Arial"/>
          <w:sz w:val="20"/>
          <w:szCs w:val="20"/>
        </w:rPr>
        <w:t xml:space="preserve">che </w:t>
      </w:r>
      <w:r w:rsidRPr="00A35518">
        <w:rPr>
          <w:rFonts w:ascii="Arial" w:hAnsi="Arial" w:cs="Arial"/>
          <w:sz w:val="20"/>
          <w:szCs w:val="20"/>
        </w:rPr>
        <w:t xml:space="preserve">include </w:t>
      </w:r>
      <w:r w:rsidRPr="00A35518">
        <w:rPr>
          <w:rFonts w:ascii="Arial" w:hAnsi="Arial" w:cs="Arial"/>
          <w:color w:val="000000"/>
          <w:sz w:val="20"/>
          <w:szCs w:val="20"/>
        </w:rPr>
        <w:t xml:space="preserve">sia famiglie consumatrici residenti all’estero sia attività economiche non residenti nel Paese di riferimento. Entrambe sono soggette al pagamento di </w:t>
      </w:r>
      <w:r w:rsidR="00563815" w:rsidRPr="00A35518">
        <w:rPr>
          <w:rFonts w:ascii="Arial" w:hAnsi="Arial" w:cs="Arial"/>
          <w:color w:val="000000"/>
          <w:sz w:val="20"/>
          <w:szCs w:val="20"/>
        </w:rPr>
        <w:t>imposte, ad esempio,</w:t>
      </w:r>
      <w:r w:rsidRPr="00A35518">
        <w:rPr>
          <w:rFonts w:ascii="Arial" w:hAnsi="Arial" w:cs="Arial"/>
          <w:color w:val="000000"/>
          <w:sz w:val="20"/>
          <w:szCs w:val="20"/>
        </w:rPr>
        <w:t xml:space="preserve"> acquistando in Italia prodotti energetici per il trasporto. </w:t>
      </w:r>
    </w:p>
    <w:p w14:paraId="3A7A31CE" w14:textId="6C87373E" w:rsidR="00A014B9" w:rsidRPr="009536BA" w:rsidRDefault="00A014B9" w:rsidP="00A027C8">
      <w:pPr>
        <w:pStyle w:val="Nessunaspaziatura"/>
        <w:spacing w:after="0"/>
        <w:rPr>
          <w:b/>
        </w:rPr>
      </w:pPr>
      <w:r w:rsidRPr="009536BA">
        <w:rPr>
          <w:b/>
          <w:color w:val="1F497D" w:themeColor="text2"/>
        </w:rPr>
        <w:t>Valore aggiunto ai prezzi base:</w:t>
      </w:r>
      <w:r w:rsidRPr="009536BA">
        <w:t xml:space="preserve"> </w:t>
      </w:r>
      <w:r w:rsidR="00A35518">
        <w:t>d</w:t>
      </w:r>
      <w:r w:rsidR="00A35518" w:rsidRPr="009536BA">
        <w:t xml:space="preserve">ifferenza </w:t>
      </w:r>
      <w:r w:rsidRPr="009536BA">
        <w:t>tra il valore della produzione di beni e servizi e il valore dei costi intermedi sostenuti a fronte di tale produzione. La produzione è valutata ai prezzi base, cioè al netto delle imposte sui prodotti e al lordo dei contributi ai prodotti e i costi intermedi ai prezzi di acquisto. Corrisponde alla somma delle retribuzioni dei fattori produttivi e degli ammortamenti.</w:t>
      </w:r>
    </w:p>
    <w:p w14:paraId="538A1EA9" w14:textId="6BD41BF2" w:rsidR="00C65C01" w:rsidRPr="00A027C8" w:rsidRDefault="00C65C01" w:rsidP="00A027C8">
      <w:pPr>
        <w:rPr>
          <w:rFonts w:ascii="Georgia" w:hAnsi="Georgia" w:cs="Arial"/>
          <w:color w:val="1F497D" w:themeColor="text2"/>
          <w:sz w:val="28"/>
          <w:szCs w:val="48"/>
        </w:rPr>
      </w:pPr>
    </w:p>
    <w:p w14:paraId="349B19A4" w14:textId="1293AF5C" w:rsidR="00015D71" w:rsidRPr="00281114" w:rsidRDefault="00015D71" w:rsidP="00281114">
      <w:pPr>
        <w:autoSpaceDE w:val="0"/>
        <w:autoSpaceDN w:val="0"/>
        <w:adjustRightInd w:val="0"/>
        <w:spacing w:after="120"/>
        <w:jc w:val="both"/>
        <w:outlineLvl w:val="0"/>
        <w:rPr>
          <w:rFonts w:ascii="Georgia" w:hAnsi="Georgia" w:cs="Arial"/>
          <w:color w:val="1F497D"/>
          <w:sz w:val="48"/>
          <w:szCs w:val="48"/>
        </w:rPr>
      </w:pPr>
      <w:r w:rsidRPr="00281114">
        <w:rPr>
          <w:rFonts w:ascii="Georgia" w:hAnsi="Georgia" w:cs="Arial"/>
          <w:color w:val="1F497D"/>
          <w:sz w:val="48"/>
          <w:szCs w:val="48"/>
        </w:rPr>
        <w:t>Nota metodologica</w:t>
      </w:r>
    </w:p>
    <w:p w14:paraId="02F8AEEA" w14:textId="77777777" w:rsidR="00A014B9" w:rsidRPr="00B669DE" w:rsidRDefault="00A014B9" w:rsidP="006A503F">
      <w:pPr>
        <w:pStyle w:val="Titolo2"/>
        <w:rPr>
          <w:rFonts w:ascii="Arial" w:hAnsi="Arial" w:cs="Arial"/>
          <w:b/>
          <w:i w:val="0"/>
          <w:color w:val="1F497D" w:themeColor="text2"/>
          <w:sz w:val="22"/>
          <w:szCs w:val="20"/>
        </w:rPr>
      </w:pPr>
      <w:bookmarkStart w:id="5" w:name="_Hlk119667390"/>
      <w:r w:rsidRPr="00B669DE">
        <w:rPr>
          <w:rFonts w:ascii="Arial" w:hAnsi="Arial" w:cs="Arial"/>
          <w:b/>
          <w:i w:val="0"/>
          <w:color w:val="1F497D" w:themeColor="text2"/>
          <w:sz w:val="22"/>
          <w:szCs w:val="20"/>
        </w:rPr>
        <w:t>Introduzione: I conti ambientali: una lettura integrata di economia e ambiente</w:t>
      </w:r>
    </w:p>
    <w:p w14:paraId="195AF59E" w14:textId="77777777" w:rsidR="00A014B9" w:rsidRDefault="00A014B9" w:rsidP="006A503F">
      <w:pPr>
        <w:pStyle w:val="Nessunaspaziatura"/>
      </w:pPr>
      <w:r>
        <w:t>La contabilità ambientale descrive le relazioni</w:t>
      </w:r>
      <w:r w:rsidRPr="006F389D">
        <w:t xml:space="preserve"> tra economia e ambiente in</w:t>
      </w:r>
      <w:r>
        <w:t>tegrando</w:t>
      </w:r>
      <w:r w:rsidRPr="006F389D">
        <w:t xml:space="preserve"> le categorie concettuali e le classificazioni del Sistema dei conti nazionali (</w:t>
      </w:r>
      <w:r w:rsidRPr="00CE7D0F">
        <w:rPr>
          <w:i/>
          <w:iCs/>
        </w:rPr>
        <w:t>System of national accounts</w:t>
      </w:r>
      <w:r w:rsidRPr="006F389D">
        <w:t xml:space="preserve"> – Sna e Sistema europeo dei conti - Sec) con quelle della scienza ecologica. </w:t>
      </w:r>
    </w:p>
    <w:p w14:paraId="518D6120" w14:textId="77777777" w:rsidR="00A014B9" w:rsidRPr="006F389D" w:rsidRDefault="00A014B9" w:rsidP="006A503F">
      <w:pPr>
        <w:pStyle w:val="Nessunaspaziatura"/>
      </w:pPr>
      <w:r w:rsidRPr="006F389D">
        <w:t>Tale integrazione è r</w:t>
      </w:r>
      <w:r>
        <w:t xml:space="preserve">appresentata </w:t>
      </w:r>
      <w:r w:rsidRPr="006F389D">
        <w:t xml:space="preserve">attraverso: </w:t>
      </w:r>
    </w:p>
    <w:p w14:paraId="37D3F858" w14:textId="77777777" w:rsidR="00A014B9" w:rsidRPr="006F389D" w:rsidRDefault="00A014B9" w:rsidP="006A503F">
      <w:pPr>
        <w:pStyle w:val="Nessunaspaziatura"/>
        <w:numPr>
          <w:ilvl w:val="0"/>
          <w:numId w:val="38"/>
        </w:numPr>
      </w:pPr>
      <w:r w:rsidRPr="006F389D">
        <w:t xml:space="preserve">descrizioni della dimensione fisica del sistema socioeconomico, </w:t>
      </w:r>
      <w:r>
        <w:t xml:space="preserve">ovvero della sua struttura, </w:t>
      </w:r>
      <w:r w:rsidRPr="006F389D">
        <w:t xml:space="preserve">funzionamento </w:t>
      </w:r>
      <w:r>
        <w:t>e relazione con l’ambiente naturale, in termini</w:t>
      </w:r>
      <w:r w:rsidRPr="006F389D">
        <w:t xml:space="preserve"> </w:t>
      </w:r>
      <w:r>
        <w:t xml:space="preserve">di stock </w:t>
      </w:r>
      <w:r w:rsidRPr="006F389D">
        <w:t>di materia ed energia</w:t>
      </w:r>
      <w:r>
        <w:t xml:space="preserve">, di occupazione dello spazio, di </w:t>
      </w:r>
      <w:r w:rsidRPr="006F389D">
        <w:t>flussi</w:t>
      </w:r>
      <w:r>
        <w:t xml:space="preserve"> </w:t>
      </w:r>
      <w:r w:rsidRPr="006F389D">
        <w:t xml:space="preserve">da e verso la natura </w:t>
      </w:r>
      <w:r>
        <w:t>di risorse e residui nonché</w:t>
      </w:r>
      <w:r w:rsidRPr="006F389D">
        <w:t xml:space="preserve"> </w:t>
      </w:r>
      <w:r>
        <w:t xml:space="preserve">di flussi di prodotti </w:t>
      </w:r>
      <w:r w:rsidRPr="006F389D">
        <w:t xml:space="preserve">tra le unità economiche. </w:t>
      </w:r>
      <w:r>
        <w:t xml:space="preserve">Tali descrizioni sono basate su conoscenze </w:t>
      </w:r>
      <w:r w:rsidRPr="006F389D">
        <w:t>scien</w:t>
      </w:r>
      <w:r>
        <w:t>tifiche,</w:t>
      </w:r>
      <w:r w:rsidRPr="006F389D">
        <w:t xml:space="preserve"> </w:t>
      </w:r>
      <w:r>
        <w:t xml:space="preserve">e interessano le </w:t>
      </w:r>
      <w:r w:rsidRPr="006F389D">
        <w:t>determinanti d</w:t>
      </w:r>
      <w:r>
        <w:t>elle</w:t>
      </w:r>
      <w:r w:rsidRPr="006F389D">
        <w:t xml:space="preserve"> pressioni sull’ambiente</w:t>
      </w:r>
      <w:r>
        <w:t>, le pressioni stesse, lo stato del sistema naturale (risorse ed ecosistemi) e i cambiamenti di questo</w:t>
      </w:r>
      <w:r w:rsidRPr="006F389D">
        <w:t>. Le unità economiche interessate dai flussi fisici sono definite ed aggregate come nei Conti economici nazionali. Ciò permette la rappresentazione congiunta dei contributi che le diverse attività danno alle pressioni e ai flussi economici;</w:t>
      </w:r>
    </w:p>
    <w:p w14:paraId="59EB1B23" w14:textId="77777777" w:rsidR="00A014B9" w:rsidRPr="006F389D" w:rsidRDefault="00A014B9" w:rsidP="006A503F">
      <w:pPr>
        <w:pStyle w:val="Nessunaspaziatura"/>
        <w:numPr>
          <w:ilvl w:val="0"/>
          <w:numId w:val="38"/>
        </w:numPr>
      </w:pPr>
      <w:r w:rsidRPr="006F389D">
        <w:t>descrizioni dei flussi economici, già inclusi nei conti nazionali - quali valore della produzione, valore aggiunto, input di lavoro, importazioni, esportazioni, consumi intermedi e finali, investimenti, imposte - a livelli di dettaglio funzionali all’analisi delle relazioni tra ambiente naturale e sistema antropico. Ciò consente ad esempio di individuare i flussi monetari che il sistema economico attiva come misure di prevenzione del danno ambientale o di gestione delle risorse naturali, quali risposte del sistema socioeconomico alle sfide ambientali.</w:t>
      </w:r>
    </w:p>
    <w:p w14:paraId="2B7CFF62" w14:textId="1691F0BB" w:rsidR="00A014B9" w:rsidRPr="006F389D" w:rsidRDefault="00A014B9" w:rsidP="006A503F">
      <w:pPr>
        <w:pStyle w:val="Nessunaspaziatura"/>
      </w:pPr>
      <w:r>
        <w:lastRenderedPageBreak/>
        <w:t>I</w:t>
      </w:r>
      <w:r w:rsidRPr="00A83649">
        <w:t xml:space="preserve"> conti satellite dell’ambiente </w:t>
      </w:r>
      <w:r>
        <w:t xml:space="preserve">sono </w:t>
      </w:r>
      <w:r w:rsidRPr="00A83649">
        <w:t xml:space="preserve">prodotti dall’Istat secondo i principi definiti dallo standard statistico internazionale “Sistema di contabilità integrata ambientale ed economica” (Seea 2012). </w:t>
      </w:r>
      <w:r w:rsidRPr="0095604B">
        <w:t xml:space="preserve">Il Seea è a sua volta coerente con i concetti, gli standard e le classificazioni dei </w:t>
      </w:r>
      <w:r w:rsidR="00AB1F6E">
        <w:t>C</w:t>
      </w:r>
      <w:r w:rsidRPr="0095604B">
        <w:t>onti economici nazionali, definiti dal</w:t>
      </w:r>
      <w:r>
        <w:t xml:space="preserve">lo </w:t>
      </w:r>
      <w:r w:rsidRPr="0095604B">
        <w:t>Sna 2008</w:t>
      </w:r>
      <w:r>
        <w:t xml:space="preserve"> </w:t>
      </w:r>
      <w:r w:rsidRPr="0095604B">
        <w:t>e dal Sec 2010</w:t>
      </w:r>
      <w:r w:rsidRPr="00A83649">
        <w:t>.</w:t>
      </w:r>
      <w:r w:rsidRPr="001775ED">
        <w:t xml:space="preserve"> </w:t>
      </w:r>
      <w:r>
        <w:t xml:space="preserve">Non tutti i conti previsti dal Seea sono oggetto di effettiva realizzazione, in Italia e negli altri </w:t>
      </w:r>
      <w:r w:rsidR="00C76EBF">
        <w:t>P</w:t>
      </w:r>
      <w:r>
        <w:t xml:space="preserve">aesi. La </w:t>
      </w:r>
      <w:r w:rsidR="00A8174A">
        <w:t>F</w:t>
      </w:r>
      <w:r>
        <w:t xml:space="preserve">igura </w:t>
      </w:r>
      <w:r w:rsidR="00A35518">
        <w:t>7</w:t>
      </w:r>
      <w:r>
        <w:t xml:space="preserve"> esemplifica i </w:t>
      </w:r>
      <w:r w:rsidRPr="006F389D">
        <w:t xml:space="preserve">principali tipi di flusso </w:t>
      </w:r>
      <w:r>
        <w:t xml:space="preserve">oggetto dei conti ambientali che l’Istat produce regolarmente. Si tratta di </w:t>
      </w:r>
      <w:r w:rsidRPr="006F389D">
        <w:t xml:space="preserve">sei conti integrati economici e ambientali </w:t>
      </w:r>
      <w:r>
        <w:t xml:space="preserve">previsti dal </w:t>
      </w:r>
      <w:r w:rsidRPr="006F389D">
        <w:t xml:space="preserve">Regolamento europeo sui </w:t>
      </w:r>
      <w:r w:rsidR="00AB1F6E" w:rsidRPr="006F389D">
        <w:t xml:space="preserve">Conti </w:t>
      </w:r>
      <w:r w:rsidRPr="006F389D">
        <w:t>economici ambientali</w:t>
      </w:r>
      <w:r>
        <w:t xml:space="preserve"> </w:t>
      </w:r>
      <w:r w:rsidDel="007E69B2">
        <w:t>europei</w:t>
      </w:r>
      <w:r>
        <w:t xml:space="preserve"> (R</w:t>
      </w:r>
      <w:r w:rsidDel="007E69B2">
        <w:t xml:space="preserve">egolamento Ue n. 691/2011, </w:t>
      </w:r>
      <w:r w:rsidR="00767A2C">
        <w:t>e successivi emendamenti</w:t>
      </w:r>
      <w:r w:rsidR="006C1868">
        <w:rPr>
          <w:rStyle w:val="Rimandonotaapidipagina"/>
        </w:rPr>
        <w:footnoteReference w:id="1"/>
      </w:r>
      <w:r>
        <w:t>)</w:t>
      </w:r>
      <w:r w:rsidDel="007E69B2">
        <w:t>.</w:t>
      </w:r>
      <w:r>
        <w:t xml:space="preserve"> Tre di questi conti hanno per oggetto grandezze fisiche (massa, energia, </w:t>
      </w:r>
      <w:r w:rsidRPr="00147E0F">
        <w:t>potenziali d’impatto</w:t>
      </w:r>
      <w:r>
        <w:t xml:space="preserve"> sul clima e sulla qualità dell’aria), tre riguardano transazioni economiche e sono quindi espressi principalmente in unità monetarie. Oltre che al Seea e tale regolamento, l’Istat fa riferimento, da un punto di vista operativo, alla manualistica specializzata prodotta da Eurostat, relativa a ciascuno specifico conto, nonché alle indicazioni emergenti dai gruppi di lavoro attivi nell’ambito del Sistema Statistico Europeo, ai quali l’Istat contribuisce regolarmente.</w:t>
      </w:r>
    </w:p>
    <w:p w14:paraId="755E1B21" w14:textId="5293C9EE" w:rsidR="00A014B9" w:rsidRPr="00A35518" w:rsidRDefault="00A8174A" w:rsidP="00A014B9">
      <w:pPr>
        <w:pStyle w:val="Didascalia"/>
        <w:rPr>
          <w:rFonts w:ascii="Arial Narrow" w:hAnsi="Arial Narrow" w:cs="Arial"/>
          <w:bCs/>
          <w:iCs/>
          <w:noProof/>
          <w:color w:val="1F497D" w:themeColor="text2"/>
          <w:sz w:val="22"/>
          <w:szCs w:val="22"/>
        </w:rPr>
      </w:pPr>
      <w:r w:rsidRPr="00A8174A">
        <w:rPr>
          <w:rFonts w:ascii="Arial Narrow" w:hAnsi="Arial Narrow" w:cs="Arial"/>
          <w:bCs/>
          <w:iCs/>
          <w:noProof/>
          <w:color w:val="1F497D" w:themeColor="text2"/>
          <w:sz w:val="22"/>
          <w:szCs w:val="22"/>
        </w:rPr>
        <w:t xml:space="preserve">FIGURA </w:t>
      </w:r>
      <w:r w:rsidR="00A35518">
        <w:rPr>
          <w:rFonts w:ascii="Arial Narrow" w:hAnsi="Arial Narrow" w:cs="Arial"/>
          <w:bCs/>
          <w:iCs/>
          <w:noProof/>
          <w:color w:val="1F497D" w:themeColor="text2"/>
          <w:sz w:val="22"/>
          <w:szCs w:val="22"/>
        </w:rPr>
        <w:t>7</w:t>
      </w:r>
      <w:r w:rsidRPr="00A8174A">
        <w:rPr>
          <w:rFonts w:ascii="Arial Narrow" w:hAnsi="Arial Narrow" w:cs="Arial"/>
          <w:bCs/>
          <w:iCs/>
          <w:noProof/>
          <w:color w:val="1F497D" w:themeColor="text2"/>
          <w:sz w:val="22"/>
          <w:szCs w:val="22"/>
        </w:rPr>
        <w:t xml:space="preserve">. </w:t>
      </w:r>
      <w:r w:rsidRPr="006A503F">
        <w:rPr>
          <w:rFonts w:ascii="Arial Narrow" w:hAnsi="Arial Narrow" w:cs="Arial"/>
          <w:bCs/>
          <w:iCs/>
          <w:noProof/>
          <w:color w:val="1F497D" w:themeColor="text2"/>
          <w:sz w:val="22"/>
          <w:szCs w:val="22"/>
        </w:rPr>
        <w:t xml:space="preserve">IL SISTEMA ECONOMIA-NATURA E I CONTI AMBIENTALI </w:t>
      </w:r>
    </w:p>
    <w:p w14:paraId="3643BA99" w14:textId="58FF1B44" w:rsidR="00A014B9" w:rsidRDefault="00A014B9" w:rsidP="00A8174A">
      <w:pPr>
        <w:pStyle w:val="Nessunaspaziatura"/>
      </w:pPr>
    </w:p>
    <w:p w14:paraId="5F5A51ED" w14:textId="590E6926" w:rsidR="00A014B9" w:rsidRPr="006F389D" w:rsidRDefault="00910E56" w:rsidP="00A8174A">
      <w:pPr>
        <w:pStyle w:val="Nessunaspaziatura"/>
      </w:pPr>
      <w:r>
        <w:rPr>
          <w:noProof/>
          <w:lang w:eastAsia="it-IT"/>
        </w:rPr>
        <w:drawing>
          <wp:inline distT="0" distB="0" distL="0" distR="0" wp14:anchorId="2CFB8AC1" wp14:editId="547F8000">
            <wp:extent cx="6276975" cy="3786189"/>
            <wp:effectExtent l="0" t="0" r="0" b="508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921" cy="3798220"/>
                    </a:xfrm>
                    <a:prstGeom prst="rect">
                      <a:avLst/>
                    </a:prstGeom>
                    <a:noFill/>
                  </pic:spPr>
                </pic:pic>
              </a:graphicData>
            </a:graphic>
          </wp:inline>
        </w:drawing>
      </w:r>
    </w:p>
    <w:p w14:paraId="2705E2D7" w14:textId="69A0BAF6" w:rsidR="00A014B9" w:rsidRPr="00CE7D0F" w:rsidRDefault="00A014B9" w:rsidP="00CE7D0F">
      <w:pPr>
        <w:pStyle w:val="Titolo2"/>
        <w:autoSpaceDE w:val="0"/>
        <w:autoSpaceDN w:val="0"/>
        <w:adjustRightInd w:val="0"/>
        <w:jc w:val="both"/>
        <w:rPr>
          <w:rFonts w:ascii="Arial" w:hAnsi="Arial" w:cs="Arial"/>
          <w:b/>
          <w:bCs w:val="0"/>
          <w:i w:val="0"/>
          <w:color w:val="1F497D" w:themeColor="text2"/>
          <w:sz w:val="22"/>
          <w:szCs w:val="22"/>
        </w:rPr>
      </w:pPr>
      <w:r w:rsidRPr="00CE7D0F">
        <w:rPr>
          <w:rFonts w:ascii="Arial" w:hAnsi="Arial" w:cs="Arial"/>
          <w:b/>
          <w:bCs w:val="0"/>
          <w:i w:val="0"/>
          <w:color w:val="1F497D" w:themeColor="text2"/>
          <w:sz w:val="22"/>
          <w:szCs w:val="22"/>
        </w:rPr>
        <w:t>La contabilità ambientale fisica prodotta dall’Istat</w:t>
      </w:r>
    </w:p>
    <w:p w14:paraId="27DC219B" w14:textId="056BB2A4" w:rsidR="00A014B9" w:rsidRDefault="00A014B9" w:rsidP="00A8174A">
      <w:pPr>
        <w:pStyle w:val="Nessunaspaziatura"/>
      </w:pPr>
      <w:r>
        <w:t xml:space="preserve">I </w:t>
      </w:r>
      <w:r w:rsidRPr="00E728C3">
        <w:rPr>
          <w:b/>
        </w:rPr>
        <w:t>conti ambientali</w:t>
      </w:r>
      <w:r>
        <w:rPr>
          <w:b/>
        </w:rPr>
        <w:t xml:space="preserve"> dei flussi</w:t>
      </w:r>
      <w:r>
        <w:t xml:space="preserve"> </w:t>
      </w:r>
      <w:r w:rsidRPr="007B5C94">
        <w:rPr>
          <w:b/>
        </w:rPr>
        <w:t>fisici</w:t>
      </w:r>
      <w:r w:rsidRPr="00204B2F" w:rsidDel="00835A54">
        <w:rPr>
          <w:b/>
        </w:rPr>
        <w:t xml:space="preserve"> </w:t>
      </w:r>
      <w:r w:rsidRPr="006F389D">
        <w:t xml:space="preserve">sono dedicati </w:t>
      </w:r>
      <w:r>
        <w:t>a</w:t>
      </w:r>
      <w:r w:rsidRPr="006F389D">
        <w:t xml:space="preserve">lla misurazione del </w:t>
      </w:r>
      <w:r>
        <w:t>“</w:t>
      </w:r>
      <w:r w:rsidRPr="006F389D">
        <w:t>metabolismo socio-economico</w:t>
      </w:r>
      <w:r>
        <w:t xml:space="preserve">” del </w:t>
      </w:r>
      <w:r w:rsidRPr="006F389D">
        <w:t xml:space="preserve">sistema </w:t>
      </w:r>
      <w:r>
        <w:t>antrop</w:t>
      </w:r>
      <w:r w:rsidRPr="006F389D">
        <w:t>ico nazionale</w:t>
      </w:r>
      <w:r>
        <w:t>,</w:t>
      </w:r>
      <w:r w:rsidRPr="006F389D">
        <w:t xml:space="preserve"> </w:t>
      </w:r>
      <w:r>
        <w:t xml:space="preserve">ovvero delle trasformazioni e della circolazione di materia ed energia, in termini di scambi delle attività economiche con </w:t>
      </w:r>
      <w:r w:rsidRPr="006F389D">
        <w:t>il sistema naturale</w:t>
      </w:r>
      <w:r>
        <w:t>,</w:t>
      </w:r>
      <w:r w:rsidR="007565EF">
        <w:t xml:space="preserve"> con il R</w:t>
      </w:r>
      <w:r w:rsidRPr="006F389D">
        <w:t xml:space="preserve">esto del mondo </w:t>
      </w:r>
      <w:r>
        <w:t xml:space="preserve">e tra di esse. </w:t>
      </w:r>
      <w:r w:rsidRPr="006F389D">
        <w:t xml:space="preserve">Gli scambi con il sistema naturale consistono in prelievi di risorse naturali (trasformate in prodotti) e in restituzioni all’ambiente di materia degradata, </w:t>
      </w:r>
      <w:r w:rsidR="007565EF">
        <w:t>mentre quelli con il R</w:t>
      </w:r>
      <w:r w:rsidRPr="006F389D">
        <w:t xml:space="preserve">esto del mondo </w:t>
      </w:r>
      <w:r>
        <w:t xml:space="preserve">e tra le attività economiche </w:t>
      </w:r>
      <w:r w:rsidRPr="006F389D">
        <w:t>riguardano l’intera gamma dei prodotti materiali</w:t>
      </w:r>
      <w:r>
        <w:t xml:space="preserve"> e dell’energia</w:t>
      </w:r>
      <w:r w:rsidRPr="006F389D">
        <w:t xml:space="preserve">, dalle materie prime ai prodotti finiti più compositi. </w:t>
      </w:r>
      <w:r>
        <w:t>I flussi registrati sono tutti quelli connessi alle attività delle unità residenti, indipendentemente dal luogo geografico in cui avvengono. La partizione del sistema antropico risponde a criteri di natura economica, e si realizza attraverso l’utilizzo delle definizioni e classificazioni proprie della Contabilità nazionale e con la rappresentazione dei flussi basata sull’architettura delle tavole delle risorse e degli impieghi proprie dei conti monetari, estese come necessario per allocare i flussi tra ambiente ed economia. Per questo, i</w:t>
      </w:r>
      <w:r w:rsidRPr="00EE329A">
        <w:t xml:space="preserve"> </w:t>
      </w:r>
      <w:r w:rsidRPr="001F74C8">
        <w:t>conti ambientali dei flussi</w:t>
      </w:r>
      <w:r w:rsidRPr="00EE329A">
        <w:t xml:space="preserve"> </w:t>
      </w:r>
      <w:r w:rsidRPr="001F74C8">
        <w:t>fisici</w:t>
      </w:r>
      <w:r w:rsidRPr="00204B2F" w:rsidDel="00835A54">
        <w:rPr>
          <w:b/>
        </w:rPr>
        <w:t xml:space="preserve"> </w:t>
      </w:r>
      <w:r>
        <w:t xml:space="preserve">sono particolarmente idonei all’utilizzo nell’analisi integrata ambientale, energetica ed economica. </w:t>
      </w:r>
      <w:r w:rsidRPr="006F389D">
        <w:t>I flussi descritti, misuran</w:t>
      </w:r>
      <w:r>
        <w:t>d</w:t>
      </w:r>
      <w:r w:rsidRPr="006F389D">
        <w:t>o grand</w:t>
      </w:r>
      <w:r>
        <w:t>ezze espresse in termini fisici,</w:t>
      </w:r>
      <w:r w:rsidRPr="006F389D">
        <w:t xml:space="preserve"> forniscono informazioni supplementari a quelle dei conti economici nazionali, con i quali mantengono la coerenza riguardo a concetti, definizioni, princìpi contabili e classificazioni. Tale approccio costituisce la peculiarità dei conti ambientali e li differenzia dalle altre fonti di dati </w:t>
      </w:r>
      <w:r>
        <w:t xml:space="preserve">sull’ambiente – </w:t>
      </w:r>
      <w:r w:rsidRPr="006F389D">
        <w:t>a partire dai qu</w:t>
      </w:r>
      <w:r>
        <w:t xml:space="preserve">ali i conti vengono elaborati, soprattutto per quanto riguarda le statistiche </w:t>
      </w:r>
      <w:r w:rsidRPr="006F389D">
        <w:t>sull’energia e sulle emissioni</w:t>
      </w:r>
      <w:r>
        <w:t xml:space="preserve"> –</w:t>
      </w:r>
      <w:r w:rsidRPr="0048428A">
        <w:t xml:space="preserve"> </w:t>
      </w:r>
      <w:r>
        <w:t xml:space="preserve">che generalmente rispondono al principio del territorio geografico e utilizzano classificazioni diverse da quelle utilizzate nell’analisi </w:t>
      </w:r>
      <w:r>
        <w:lastRenderedPageBreak/>
        <w:t>economica</w:t>
      </w:r>
      <w:r w:rsidRPr="006F389D">
        <w:t xml:space="preserve">. </w:t>
      </w:r>
      <w:r>
        <w:t xml:space="preserve">Nell’ambito dei conti ambientali dei flussi fisici, l’Istat produce regolarmente i </w:t>
      </w:r>
      <w:r w:rsidRPr="006F389D">
        <w:t>Conti dei flussi di materia, dei flussi fisici di energia e delle emissioni</w:t>
      </w:r>
      <w:r>
        <w:t>.</w:t>
      </w:r>
    </w:p>
    <w:p w14:paraId="4302066F" w14:textId="4ADB8C2F" w:rsidR="00A014B9" w:rsidRPr="006F389D" w:rsidRDefault="00A014B9" w:rsidP="00A8174A">
      <w:pPr>
        <w:pStyle w:val="Nessunaspaziatura"/>
      </w:pPr>
      <w:r w:rsidRPr="006F389D">
        <w:t xml:space="preserve">Determinando il peso complessivo </w:t>
      </w:r>
      <w:r>
        <w:t xml:space="preserve">– con l’esclusione di aria e acqua – </w:t>
      </w:r>
      <w:r w:rsidRPr="006F389D">
        <w:t>dei</w:t>
      </w:r>
      <w:r>
        <w:t xml:space="preserve"> </w:t>
      </w:r>
      <w:r w:rsidRPr="006F389D">
        <w:t xml:space="preserve">materiali utilizzati nel processo produttivo di un </w:t>
      </w:r>
      <w:r w:rsidR="00CB6DA0" w:rsidRPr="006F389D">
        <w:t>Paese</w:t>
      </w:r>
      <w:r w:rsidRPr="006F389D">
        <w:t xml:space="preserve">, </w:t>
      </w:r>
      <w:r w:rsidRPr="0037304E">
        <w:rPr>
          <w:b/>
        </w:rPr>
        <w:t>i Conti dei flussi di materia</w:t>
      </w:r>
      <w:r>
        <w:rPr>
          <w:b/>
        </w:rPr>
        <w:t xml:space="preserve"> </w:t>
      </w:r>
      <w:r>
        <w:t>(</w:t>
      </w:r>
      <w:r w:rsidR="00992CA6">
        <w:t>Mfa</w:t>
      </w:r>
      <w:r>
        <w:t xml:space="preserve"> – </w:t>
      </w:r>
      <w:r w:rsidRPr="00CE7D0F">
        <w:rPr>
          <w:i/>
          <w:iCs/>
        </w:rPr>
        <w:t xml:space="preserve">Material </w:t>
      </w:r>
      <w:r w:rsidR="00992CA6" w:rsidRPr="00CE7D0F">
        <w:rPr>
          <w:i/>
          <w:iCs/>
        </w:rPr>
        <w:t>flow accounts</w:t>
      </w:r>
      <w:r>
        <w:t>)</w:t>
      </w:r>
      <w:r w:rsidRPr="006F389D">
        <w:t xml:space="preserve"> rimanda</w:t>
      </w:r>
      <w:r>
        <w:t>no</w:t>
      </w:r>
      <w:r w:rsidRPr="006F389D">
        <w:t xml:space="preserve"> alla pressione antropica </w:t>
      </w:r>
      <w:r>
        <w:t xml:space="preserve">esercitata </w:t>
      </w:r>
      <w:r w:rsidRPr="006F389D">
        <w:t>sull’ambiente</w:t>
      </w:r>
      <w:r>
        <w:t xml:space="preserve"> in una prospettiva olistica</w:t>
      </w:r>
      <w:r w:rsidRPr="006F389D">
        <w:t xml:space="preserve">. </w:t>
      </w:r>
      <w:r>
        <w:t xml:space="preserve">I </w:t>
      </w:r>
      <w:r w:rsidRPr="006F389D">
        <w:t xml:space="preserve">materiali </w:t>
      </w:r>
      <w:r>
        <w:t xml:space="preserve">contabilizzati provengono dall’ambiente naturale nazionale (estrazione </w:t>
      </w:r>
      <w:r w:rsidRPr="006F389D">
        <w:t>interna</w:t>
      </w:r>
      <w:r>
        <w:t xml:space="preserve">) oppure dall’estero (importazioni, per definizione costituite da prodotti). Tutti i flussi sono classificati per tipologia merceologica (biomasse, minerali </w:t>
      </w:r>
      <w:r w:rsidRPr="006F389D">
        <w:t>e prodotti compositi</w:t>
      </w:r>
      <w:r>
        <w:t>,</w:t>
      </w:r>
      <w:r w:rsidRPr="006F389D">
        <w:t xml:space="preserve"> </w:t>
      </w:r>
      <w:r>
        <w:t xml:space="preserve">per tipo). Le esportazioni (unico flusso contabilizzato dal </w:t>
      </w:r>
      <w:r w:rsidRPr="002C0DEA">
        <w:t xml:space="preserve">lato </w:t>
      </w:r>
      <w:r>
        <w:t xml:space="preserve">della destinazione di quanto risulta dalle trasformazioni che avvengono nell’economia nazionale) e le importazioni, sono classificate anche secondo il </w:t>
      </w:r>
      <w:r w:rsidRPr="0037304E">
        <w:t>grado di lavorazione</w:t>
      </w:r>
      <w:r>
        <w:t xml:space="preserve"> mentre per definizione i materiali di estrazione interna sono quelli incorporati in prodotti primari. </w:t>
      </w:r>
      <w:r w:rsidRPr="006F389D">
        <w:t>I dati elaborati non coprono direttamente le restituzioni all’ambiente naturale</w:t>
      </w:r>
      <w:r>
        <w:t xml:space="preserve"> ma, </w:t>
      </w:r>
      <w:r w:rsidRPr="006F389D">
        <w:t>in virtù del principio di conservazione della materia</w:t>
      </w:r>
      <w:r>
        <w:t xml:space="preserve"> – in base al quale i materiali utilizzati come input si trasformano necessariamente in output come emissioni, reflui, accumulo di rifiuti, capitale e beni durevoli – </w:t>
      </w:r>
      <w:r w:rsidRPr="006F389D">
        <w:t>forniscono indica</w:t>
      </w:r>
      <w:r>
        <w:t>zioni significative anche sulle pressioni esercitate sull’atmosfera, le acque, il suolo e gli ecosistemi</w:t>
      </w:r>
      <w:r w:rsidRPr="006F389D">
        <w:t xml:space="preserve">. </w:t>
      </w:r>
      <w:r>
        <w:t xml:space="preserve">Inoltre, l’evoluzione nel tempo dei flussi di materia aiuta a comprendere le </w:t>
      </w:r>
      <w:r w:rsidRPr="006F389D">
        <w:t xml:space="preserve">caratteristiche </w:t>
      </w:r>
      <w:r>
        <w:t xml:space="preserve">salienti </w:t>
      </w:r>
      <w:r w:rsidRPr="006F389D">
        <w:t xml:space="preserve">dello sviluppo economico di un </w:t>
      </w:r>
      <w:r w:rsidR="00CB6DA0" w:rsidRPr="006F389D">
        <w:t>Paese</w:t>
      </w:r>
      <w:r w:rsidRPr="006F389D">
        <w:t>.</w:t>
      </w:r>
      <w:r>
        <w:t xml:space="preserve"> </w:t>
      </w:r>
      <w:r w:rsidRPr="006F389D">
        <w:t>I dati sono disponibili su scala nazionale, come previsto dal Regolam</w:t>
      </w:r>
      <w:r>
        <w:t>ento europeo, nonché su scala regionale</w:t>
      </w:r>
      <w:r w:rsidRPr="006F389D">
        <w:t>.</w:t>
      </w:r>
      <w:r>
        <w:t xml:space="preserve"> </w:t>
      </w:r>
    </w:p>
    <w:p w14:paraId="66183B72" w14:textId="3DDC5FCF" w:rsidR="00B93CB2" w:rsidRDefault="00A014B9" w:rsidP="00A8174A">
      <w:pPr>
        <w:pStyle w:val="Nessunaspaziatura"/>
      </w:pPr>
      <w:r w:rsidRPr="006F389D">
        <w:t xml:space="preserve">Per la specifica categoria dei materiali energetici, i </w:t>
      </w:r>
      <w:r w:rsidRPr="007E69B2">
        <w:rPr>
          <w:b/>
        </w:rPr>
        <w:t>Conti dei flussi fisici di energia</w:t>
      </w:r>
      <w:r w:rsidRPr="006F389D">
        <w:t xml:space="preserve"> </w:t>
      </w:r>
      <w:r>
        <w:t>(</w:t>
      </w:r>
      <w:r w:rsidR="00992CA6" w:rsidRPr="00A027C8">
        <w:rPr>
          <w:i/>
        </w:rPr>
        <w:t>Pefa</w:t>
      </w:r>
      <w:r>
        <w:t xml:space="preserve"> – </w:t>
      </w:r>
      <w:r w:rsidRPr="00A35518">
        <w:rPr>
          <w:i/>
          <w:iCs/>
        </w:rPr>
        <w:t xml:space="preserve">Physical </w:t>
      </w:r>
      <w:r w:rsidR="00992CA6" w:rsidRPr="00A35518">
        <w:rPr>
          <w:i/>
          <w:iCs/>
        </w:rPr>
        <w:t>energy flow accounts</w:t>
      </w:r>
      <w:r>
        <w:t>) consentono di analizzare in maniera dettagliata il metabolismo energetico del sistema socioeconomico e le interazioni tra sistema naturale e sistema antropico connesse all’approvvigionamento, alla trasformazione e all’utilizzo dell’energia, forne</w:t>
      </w:r>
      <w:r w:rsidRPr="006F389D">
        <w:t>n</w:t>
      </w:r>
      <w:r>
        <w:t>d</w:t>
      </w:r>
      <w:r w:rsidRPr="006F389D">
        <w:t xml:space="preserve">o una descrizione completa </w:t>
      </w:r>
      <w:r>
        <w:t xml:space="preserve">non soltanto </w:t>
      </w:r>
      <w:r w:rsidRPr="006F389D">
        <w:t>delle interazioni tra sistema naturale e sistema antropico</w:t>
      </w:r>
      <w:r>
        <w:t>, ma anche dei flussi interni al sistema economico (prodotti energetici e alcuni prodotti non energetici utilizzati per finalità energetiche)</w:t>
      </w:r>
      <w:r w:rsidRPr="006F389D">
        <w:t xml:space="preserve">. </w:t>
      </w:r>
      <w:r>
        <w:t xml:space="preserve">I flussi sono misurati </w:t>
      </w:r>
      <w:r w:rsidRPr="006F389D">
        <w:t>in unità energetiche</w:t>
      </w:r>
      <w:r>
        <w:t xml:space="preserve"> (</w:t>
      </w:r>
      <w:r w:rsidR="00766656">
        <w:t>t</w:t>
      </w:r>
      <w:r>
        <w:t xml:space="preserve">erajoule). </w:t>
      </w:r>
    </w:p>
    <w:p w14:paraId="5F74C679" w14:textId="77777777" w:rsidR="00B93CB2" w:rsidRDefault="00A014B9" w:rsidP="00A8174A">
      <w:pPr>
        <w:pStyle w:val="Nessunaspaziatura"/>
      </w:pPr>
      <w:r>
        <w:t xml:space="preserve">Essi sono distinti in primo luogo </w:t>
      </w:r>
      <w:r w:rsidRPr="006F389D">
        <w:t xml:space="preserve">secondo l’origine (prelievi dall’ambiente </w:t>
      </w:r>
      <w:r>
        <w:t xml:space="preserve">di risorse energetiche naturali o </w:t>
      </w:r>
      <w:r w:rsidRPr="006F389D">
        <w:t>importazioni) e la destinazione (residui verso l’ambiente, esportazioni e accumul</w:t>
      </w:r>
      <w:r>
        <w:t>azione all’interno dell’economia</w:t>
      </w:r>
      <w:r w:rsidRPr="006F389D">
        <w:t>.</w:t>
      </w:r>
      <w:r>
        <w:t xml:space="preserve"> I flussi sono classificati, più nel dettaglio, in 31 diverse categorie (7 per le risorse energetiche naturali, 20 per i prodotti energetici, 2 per i prodotti non energetici utilizzati per finalità energetiche e 2 per le perdite di energia e per gli altri residui energetici), che tengono conto delle specifiche caratteristiche fisiche e merceologiche dell’energia o dei materiali in cui è incorporata. </w:t>
      </w:r>
    </w:p>
    <w:p w14:paraId="3FBDA2F8" w14:textId="46053FFD" w:rsidR="00A014B9" w:rsidRPr="0079732B" w:rsidRDefault="00A014B9" w:rsidP="00A8174A">
      <w:pPr>
        <w:pStyle w:val="Nessunaspaziatura"/>
      </w:pPr>
      <w:r>
        <w:t>Per ognuna delle modalità di flusso si riporta l’origine e la destinazione distinte per attività produt</w:t>
      </w:r>
      <w:r w:rsidR="007565EF">
        <w:t>tive, famiglie, accumulazione, R</w:t>
      </w:r>
      <w:r>
        <w:t xml:space="preserve">esto del mondo, ambiente. Le attività di produzione sono classificate in 63 branche di attività economica (secondo la classificazione Ateco), mentre le attività di consumo delle famiglie sono ripartite in tre categorie secondo lo scopo dell’impiego (riscaldamento/raffrescamento, trasporti, altro). L’insieme dei conti </w:t>
      </w:r>
      <w:r w:rsidR="00992CA6" w:rsidRPr="00A027C8">
        <w:rPr>
          <w:i/>
        </w:rPr>
        <w:t>Pefa</w:t>
      </w:r>
      <w:r w:rsidR="00992CA6">
        <w:t xml:space="preserve"> </w:t>
      </w:r>
      <w:r>
        <w:t xml:space="preserve">consente inoltre il calcolo di indicatori, tra i quali il “Consumo di energia delle unità residenti” (anche noto come </w:t>
      </w:r>
      <w:r w:rsidRPr="00A027C8">
        <w:rPr>
          <w:i/>
        </w:rPr>
        <w:t>N</w:t>
      </w:r>
      <w:r w:rsidR="00992CA6" w:rsidRPr="00A027C8">
        <w:rPr>
          <w:i/>
        </w:rPr>
        <w:t>deu</w:t>
      </w:r>
      <w:r>
        <w:t xml:space="preserve"> - </w:t>
      </w:r>
      <w:r w:rsidRPr="00CE7D0F">
        <w:rPr>
          <w:i/>
          <w:iCs/>
        </w:rPr>
        <w:t xml:space="preserve">Net </w:t>
      </w:r>
      <w:r w:rsidR="00992CA6" w:rsidRPr="00CE7D0F">
        <w:rPr>
          <w:i/>
          <w:iCs/>
        </w:rPr>
        <w:t>domestic energy use</w:t>
      </w:r>
      <w:r>
        <w:t>) utilizzato nei dati diffusi in questa Statistica Report nonché il raccordo tra quest’ultimo e l’indicatore “</w:t>
      </w:r>
      <w:r w:rsidRPr="00CE7D0F">
        <w:rPr>
          <w:i/>
          <w:iCs/>
        </w:rPr>
        <w:t>Gross inland energy consumption</w:t>
      </w:r>
      <w:r>
        <w:t xml:space="preserve"> (Giec)” desunto dal Bilancio </w:t>
      </w:r>
      <w:r w:rsidRPr="0079732B">
        <w:t xml:space="preserve">Energetico Nazionale (rispondente al principio del territorio geografico). I dati sono disponibili a livello nazionale. </w:t>
      </w:r>
    </w:p>
    <w:p w14:paraId="6921EB58" w14:textId="180A4469" w:rsidR="00A014B9" w:rsidRPr="00CE7D0F" w:rsidRDefault="00A014B9" w:rsidP="00CE7D0F">
      <w:pPr>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 xml:space="preserve">La materia prelevata per l’utilizzo dell’economia viene restituita all’ambiente naturale in diverse forme. I </w:t>
      </w:r>
      <w:r w:rsidRPr="00CE7D0F">
        <w:rPr>
          <w:rFonts w:ascii="Arial" w:eastAsiaTheme="minorHAnsi" w:hAnsi="Arial" w:cs="Arial"/>
          <w:b/>
          <w:sz w:val="20"/>
          <w:szCs w:val="20"/>
          <w:lang w:eastAsia="en-US"/>
        </w:rPr>
        <w:t>Conti delle emissioni atmosferiche</w:t>
      </w:r>
      <w:r w:rsidRPr="00CE7D0F">
        <w:rPr>
          <w:rFonts w:ascii="Arial" w:eastAsiaTheme="minorHAnsi" w:hAnsi="Arial" w:cs="Arial"/>
          <w:sz w:val="20"/>
          <w:szCs w:val="20"/>
          <w:lang w:eastAsia="en-US"/>
        </w:rPr>
        <w:t xml:space="preserve"> (</w:t>
      </w:r>
      <w:r w:rsidR="003D1CA8" w:rsidRPr="00CE7D0F">
        <w:rPr>
          <w:rFonts w:ascii="Arial" w:eastAsiaTheme="minorHAnsi" w:hAnsi="Arial" w:cs="Arial"/>
          <w:sz w:val="20"/>
          <w:szCs w:val="20"/>
          <w:lang w:eastAsia="en-US"/>
        </w:rPr>
        <w:t>Aea</w:t>
      </w:r>
      <w:r w:rsidRPr="00CE7D0F">
        <w:rPr>
          <w:rFonts w:ascii="Arial" w:eastAsiaTheme="minorHAnsi" w:hAnsi="Arial" w:cs="Arial"/>
          <w:sz w:val="20"/>
          <w:szCs w:val="20"/>
          <w:lang w:eastAsia="en-US"/>
        </w:rPr>
        <w:t xml:space="preserve"> - </w:t>
      </w:r>
      <w:r w:rsidRPr="00CE7D0F">
        <w:rPr>
          <w:rFonts w:ascii="Arial" w:eastAsiaTheme="minorHAnsi" w:hAnsi="Arial" w:cs="Arial"/>
          <w:i/>
          <w:iCs/>
          <w:sz w:val="20"/>
          <w:szCs w:val="20"/>
          <w:lang w:eastAsia="en-US"/>
        </w:rPr>
        <w:t>Air emissions accounts</w:t>
      </w:r>
      <w:r w:rsidRPr="00CE7D0F">
        <w:rPr>
          <w:rFonts w:ascii="Arial" w:eastAsiaTheme="minorHAnsi" w:hAnsi="Arial" w:cs="Arial"/>
          <w:sz w:val="20"/>
          <w:szCs w:val="20"/>
          <w:lang w:eastAsia="en-US"/>
        </w:rPr>
        <w:t>, già noti come “Conti di tipo Namea”), descrivono una specifica modalità di restituzione della materia all’ambiente naturale, e precisamente il suo rilascio in atmosfera sotto forma di sostanza volatile, individuandone l’origine nelle attività produttive, articolate secondo la classificazione Ateco, o nelle attività delle famiglie (di riscaldamento, trasporto e altro). I dati sono disponibili a livello nazionale per 24 tipi di sostanze e tre aggregati derivati per i principali “temi ambientali”. Sono escluse le emissioni direttamente riconducibili a fenomeni naturali e al funzionamento degli ecosistemi, anche quando indotte da trasformazioni dell’ambiente dovute all’azione antropica (ad esempio dal cambiamento climatico). Le attività produttive generano direttamente emissioni attraverso i processi caratteristici dell’attività principale e di eventuali attività secondarie e ausiliarie come il riscaldamento e il trasporto in conto proprio</w:t>
      </w:r>
      <w:r w:rsidRPr="00CE7D0F">
        <w:rPr>
          <w:rStyle w:val="Rimandonotaapidipagina"/>
          <w:rFonts w:ascii="Arial" w:eastAsiaTheme="minorHAnsi" w:hAnsi="Arial" w:cs="Arial"/>
          <w:sz w:val="20"/>
          <w:szCs w:val="20"/>
          <w:lang w:eastAsia="en-US"/>
        </w:rPr>
        <w:footnoteReference w:id="2"/>
      </w:r>
      <w:r w:rsidRPr="00CE7D0F">
        <w:rPr>
          <w:rFonts w:ascii="Arial" w:eastAsiaTheme="minorHAnsi" w:hAnsi="Arial" w:cs="Arial"/>
          <w:sz w:val="20"/>
          <w:szCs w:val="20"/>
          <w:lang w:eastAsia="en-US"/>
        </w:rPr>
        <w:t xml:space="preserve">. Le imprese generano emissioni attraverso i processi produttivi che trasformano materiali e prodotti, in gran parte per via della combustione di prodotti energetici. Le famiglie generano emissioni atmosferiche utilizzando combustibili per il trasporto privato, il giardinaggio, il riscaldamento e gli usi di cucina e mediante l’uso di solventi e vernici. </w:t>
      </w:r>
    </w:p>
    <w:p w14:paraId="554E7459" w14:textId="1DF4DB47" w:rsidR="00A014B9" w:rsidRPr="00A35518" w:rsidRDefault="00A014B9" w:rsidP="00A35518">
      <w:pPr>
        <w:spacing w:after="120"/>
        <w:jc w:val="both"/>
        <w:rPr>
          <w:rFonts w:ascii="Arial" w:hAnsi="Arial" w:cs="Arial"/>
          <w:highlight w:val="yellow"/>
        </w:rPr>
      </w:pPr>
      <w:r w:rsidRPr="00CE7D0F">
        <w:rPr>
          <w:rFonts w:ascii="Arial" w:eastAsiaTheme="minorHAnsi" w:hAnsi="Arial" w:cs="Arial"/>
          <w:sz w:val="20"/>
          <w:szCs w:val="20"/>
          <w:lang w:eastAsia="en-US"/>
        </w:rPr>
        <w:t xml:space="preserve">Grazie alla coerenza metodologica dei dati del </w:t>
      </w:r>
      <w:r w:rsidR="003D1CA8" w:rsidRPr="00A027C8">
        <w:rPr>
          <w:rFonts w:ascii="Arial" w:eastAsiaTheme="minorHAnsi" w:hAnsi="Arial" w:cs="Arial"/>
          <w:i/>
          <w:sz w:val="20"/>
          <w:szCs w:val="20"/>
          <w:lang w:eastAsia="en-US"/>
        </w:rPr>
        <w:t>Pefa</w:t>
      </w:r>
      <w:r w:rsidRPr="00CE7D0F">
        <w:rPr>
          <w:rFonts w:ascii="Arial" w:eastAsiaTheme="minorHAnsi" w:hAnsi="Arial" w:cs="Arial"/>
          <w:sz w:val="20"/>
          <w:szCs w:val="20"/>
          <w:lang w:eastAsia="en-US"/>
        </w:rPr>
        <w:t xml:space="preserve"> e dell’</w:t>
      </w:r>
      <w:r w:rsidR="003D1CA8">
        <w:rPr>
          <w:rFonts w:ascii="Arial" w:eastAsiaTheme="minorHAnsi" w:hAnsi="Arial" w:cs="Arial"/>
          <w:sz w:val="20"/>
          <w:szCs w:val="20"/>
          <w:lang w:eastAsia="en-US"/>
        </w:rPr>
        <w:t>A</w:t>
      </w:r>
      <w:r w:rsidR="003D1CA8" w:rsidRPr="00CE7D0F">
        <w:rPr>
          <w:rFonts w:ascii="Arial" w:eastAsiaTheme="minorHAnsi" w:hAnsi="Arial" w:cs="Arial"/>
          <w:sz w:val="20"/>
          <w:szCs w:val="20"/>
          <w:lang w:eastAsia="en-US"/>
        </w:rPr>
        <w:t>ea</w:t>
      </w:r>
      <w:r w:rsidRPr="00CE7D0F">
        <w:rPr>
          <w:rFonts w:ascii="Arial" w:eastAsiaTheme="minorHAnsi" w:hAnsi="Arial" w:cs="Arial"/>
          <w:sz w:val="20"/>
          <w:szCs w:val="20"/>
          <w:lang w:eastAsia="en-US"/>
        </w:rPr>
        <w:t xml:space="preserve"> con i principi dei conti economici nazionali, è possibile confrontare il contributo delle attività produttive alla realizzazione di aggregati socio-economici </w:t>
      </w:r>
      <w:r w:rsidRPr="00A35518">
        <w:rPr>
          <w:rFonts w:ascii="Arial" w:eastAsiaTheme="minorHAnsi" w:hAnsi="Arial" w:cs="Arial"/>
          <w:sz w:val="20"/>
          <w:szCs w:val="20"/>
          <w:lang w:eastAsia="en-US"/>
        </w:rPr>
        <w:t xml:space="preserve">(produzione, valore aggiunto, occupazione) con il contributo alla generazione flussi energetici e di emissione, che rappresentano importanti pressioni potenziali ed effettive delle attività antropiche sull’ambiente naturale. I dati dei conti consentono inoltre il calcolo di indicatori rappresentativi dell’efficienza delle attività produttive come l’intensità energetica e quella di emissione (ad esempio consumo di energia/produzione, emissioni/unità di lavoro a tempo pieno); quanto più elevato è il valore dell’indicatore tanto meno efficiente risulta l’attività produttiva. </w:t>
      </w:r>
    </w:p>
    <w:p w14:paraId="3DD24AF5" w14:textId="5C416FCE" w:rsidR="00A014B9" w:rsidRPr="0079732B" w:rsidRDefault="00A014B9" w:rsidP="00A8174A">
      <w:pPr>
        <w:pStyle w:val="Nessunaspaziatura"/>
      </w:pPr>
      <w:r w:rsidRPr="0079732B">
        <w:lastRenderedPageBreak/>
        <w:t>La lettura basata sui conti ambientali espressi in unità di misura fisiche abbraccia sia la sfera ambientale sia quella economica, cogliendo i flussi nelle due direzioni (prelievi dall’ambiente e restituzioni all’ambiente</w:t>
      </w:r>
      <w:r w:rsidR="00A8174A">
        <w:t>,</w:t>
      </w:r>
      <w:r w:rsidRPr="0079732B">
        <w:t xml:space="preserve"> Figura </w:t>
      </w:r>
      <w:r w:rsidR="00A35518">
        <w:t>7</w:t>
      </w:r>
      <w:r w:rsidRPr="0079732B">
        <w:t xml:space="preserve">) e, nel caso dei flussi di energia, anche quelli interni (trasformazioni e consumi). </w:t>
      </w:r>
    </w:p>
    <w:p w14:paraId="47925D90" w14:textId="77777777" w:rsidR="00A014B9" w:rsidRPr="00CE7D0F" w:rsidRDefault="00A014B9" w:rsidP="00CE7D0F">
      <w:pPr>
        <w:pStyle w:val="Titolo2"/>
        <w:autoSpaceDE w:val="0"/>
        <w:autoSpaceDN w:val="0"/>
        <w:adjustRightInd w:val="0"/>
        <w:jc w:val="both"/>
        <w:rPr>
          <w:rFonts w:ascii="Arial" w:hAnsi="Arial" w:cs="Arial"/>
          <w:b/>
          <w:bCs w:val="0"/>
          <w:i w:val="0"/>
          <w:color w:val="1F497D" w:themeColor="text2"/>
          <w:sz w:val="22"/>
          <w:szCs w:val="22"/>
        </w:rPr>
      </w:pPr>
      <w:r w:rsidRPr="00CE7D0F">
        <w:rPr>
          <w:rFonts w:ascii="Arial" w:hAnsi="Arial" w:cs="Arial"/>
          <w:b/>
          <w:bCs w:val="0"/>
          <w:i w:val="0"/>
          <w:color w:val="1F497D" w:themeColor="text2"/>
          <w:sz w:val="22"/>
          <w:szCs w:val="22"/>
        </w:rPr>
        <w:t>La contabilità ambientale monetaria prodotta dall’Istat</w:t>
      </w:r>
    </w:p>
    <w:p w14:paraId="551C3EDE" w14:textId="54065691" w:rsidR="00A014B9" w:rsidRPr="00A83649" w:rsidRDefault="00A014B9" w:rsidP="00A8174A">
      <w:pPr>
        <w:pStyle w:val="Nessunaspaziatura"/>
      </w:pPr>
      <w:r>
        <w:t xml:space="preserve">Diversamente da quelli fisici, </w:t>
      </w:r>
      <w:r w:rsidRPr="006F389D">
        <w:t xml:space="preserve">i flussi descritti dai </w:t>
      </w:r>
      <w:r w:rsidR="00AB1F6E" w:rsidRPr="00214848">
        <w:rPr>
          <w:b/>
        </w:rPr>
        <w:t xml:space="preserve">Conti </w:t>
      </w:r>
      <w:r w:rsidRPr="00214848">
        <w:rPr>
          <w:b/>
        </w:rPr>
        <w:t>ambientali monetari</w:t>
      </w:r>
      <w:r w:rsidRPr="006F389D">
        <w:t xml:space="preserve">, </w:t>
      </w:r>
      <w:r>
        <w:t>s</w:t>
      </w:r>
      <w:r w:rsidRPr="006F389D">
        <w:t xml:space="preserve">i collocano interamente all’interno della sfera economica. </w:t>
      </w:r>
      <w:r>
        <w:t xml:space="preserve">Essi </w:t>
      </w:r>
      <w:r w:rsidRPr="006F389D">
        <w:t>descriv</w:t>
      </w:r>
      <w:r>
        <w:t>ono</w:t>
      </w:r>
      <w:r w:rsidRPr="006F389D">
        <w:t xml:space="preserve"> le azioni che il sistema economico attiva per la protezione ambientale o la </w:t>
      </w:r>
      <w:r w:rsidRPr="00B06AFD">
        <w:t>gestione</w:t>
      </w:r>
      <w:r w:rsidRPr="006F389D">
        <w:t xml:space="preserve"> delle risorse naturali, producendo beni e servizi utili a questi scopi e sostenendo costi per le medesime finalità. La lettura della relazione tra ambiente naturale e sistema antropico, in questo caso consiste</w:t>
      </w:r>
      <w:r>
        <w:t xml:space="preserve"> </w:t>
      </w:r>
      <w:r w:rsidRPr="006F389D">
        <w:t xml:space="preserve">nell’enucleare dai conti economici nazionali la componente di input di lavoro, produzione, valore aggiunto, consumi, investimenti, scambi con l’estero, che risponde a finalità ambientali. </w:t>
      </w:r>
      <w:r>
        <w:t xml:space="preserve">Costituiscono finalità ambientali la conservazione della natura e la riduzione e prevenzione delle pressioni del sistema antropico sull’ambiente naturale </w:t>
      </w:r>
      <w:r w:rsidRPr="00F640D3">
        <w:t xml:space="preserve">(ad esempio la </w:t>
      </w:r>
      <w:r>
        <w:t xml:space="preserve">tutela della biodiversità, la </w:t>
      </w:r>
      <w:r w:rsidRPr="00F640D3">
        <w:t>depurazione delle acque reflue</w:t>
      </w:r>
      <w:r>
        <w:t xml:space="preserve"> e la gestione dei rifiuti) – o la gestione delle risorse naturali attraverso la loro </w:t>
      </w:r>
      <w:r w:rsidRPr="00CF3497">
        <w:t>conservazione,</w:t>
      </w:r>
      <w:r>
        <w:t xml:space="preserve"> </w:t>
      </w:r>
      <w:r w:rsidRPr="00CF3497">
        <w:t xml:space="preserve">mantenimento e tutela </w:t>
      </w:r>
      <w:r>
        <w:t>(ad esempio le attività di recupero dei materiali, gli interventi per l’efficienza energetica o la produzione di energia da fonti rinnovabili). Nel dettaglio, l</w:t>
      </w:r>
      <w:r w:rsidRPr="00A83649">
        <w:t xml:space="preserve">e due principali finalità ambientali </w:t>
      </w:r>
      <w:r>
        <w:t xml:space="preserve">contemplate dai conti </w:t>
      </w:r>
      <w:r w:rsidRPr="00A83649">
        <w:t xml:space="preserve">sono descritte dalle due classificazioni di riferimento: </w:t>
      </w:r>
    </w:p>
    <w:p w14:paraId="37A4B785" w14:textId="35E5D068" w:rsidR="00A014B9" w:rsidRPr="00A83649" w:rsidRDefault="00A014B9" w:rsidP="00A8174A">
      <w:pPr>
        <w:pStyle w:val="Nessunaspaziatura"/>
        <w:numPr>
          <w:ilvl w:val="0"/>
          <w:numId w:val="39"/>
        </w:numPr>
      </w:pPr>
      <w:r w:rsidRPr="00CE7D0F">
        <w:rPr>
          <w:rFonts w:eastAsia="Arial"/>
          <w:b/>
          <w:bCs/>
          <w:iCs/>
        </w:rPr>
        <w:t>protezione dell'ambiente</w:t>
      </w:r>
      <w:r w:rsidRPr="00CE7D0F">
        <w:rPr>
          <w:b/>
          <w:bCs/>
        </w:rPr>
        <w:t>,</w:t>
      </w:r>
      <w:r w:rsidRPr="009618C4">
        <w:t xml:space="preserve"> </w:t>
      </w:r>
      <w:r w:rsidRPr="00A83649">
        <w:t>articola</w:t>
      </w:r>
      <w:r>
        <w:t>ta</w:t>
      </w:r>
      <w:r w:rsidRPr="00A83649">
        <w:t xml:space="preserve"> secondo le classi (o raggruppamenti di classi) della Classificazione delle attività per la protezione dell’ambiente (</w:t>
      </w:r>
      <w:r w:rsidR="0020267C" w:rsidRPr="00A83649">
        <w:t>Cepa</w:t>
      </w:r>
      <w:r w:rsidRPr="00A83649">
        <w:t xml:space="preserve">): 1. protezione dell’aria e del clima; 2. gestione delle acque reflue; 3. gestione dei rifiuti; 4. protezione del suolo e delle acque del sottosuolo; 5. abbattimento del rumore e delle vibrazioni; 6. protezione della biodiversità e del paesaggio; 7. protezione dalle radiazioni; 8. ricerca e sviluppo per la protezione dell’ambiente; 9. altre attività di protezione dell’ambiente. Sono escluse le attività che, pur esercitando un impatto favorevole sull’ambiente, rispondono in primo luogo a esigenze tecniche o a requisiti interni di igiene o di protezione e sicurezza di un'impresa o di un'altra istituzione; sono inoltre escluse la prevenzione dei rischi naturali (frane, inondazioni, ecc.) e attività quali il risparmio energetico o il risparmio di materie prime che appartengono al campo della gestione delle risorse naturali; </w:t>
      </w:r>
    </w:p>
    <w:p w14:paraId="4521403C" w14:textId="23542180" w:rsidR="00A014B9" w:rsidRPr="00A83649" w:rsidRDefault="00A014B9" w:rsidP="00A8174A">
      <w:pPr>
        <w:pStyle w:val="Nessunaspaziatura"/>
        <w:numPr>
          <w:ilvl w:val="0"/>
          <w:numId w:val="39"/>
        </w:numPr>
      </w:pPr>
      <w:r w:rsidRPr="00CE7D0F">
        <w:rPr>
          <w:rFonts w:eastAsia="Arial"/>
          <w:b/>
          <w:bCs/>
          <w:iCs/>
        </w:rPr>
        <w:t>gestione delle risorse</w:t>
      </w:r>
      <w:r w:rsidRPr="00CE7D0F">
        <w:rPr>
          <w:rFonts w:eastAsia="Arial"/>
          <w:b/>
          <w:bCs/>
          <w:i/>
        </w:rPr>
        <w:t xml:space="preserve">, </w:t>
      </w:r>
      <w:r w:rsidRPr="00A83649">
        <w:t>articola</w:t>
      </w:r>
      <w:r>
        <w:t>ta</w:t>
      </w:r>
      <w:r w:rsidRPr="00A83649">
        <w:t xml:space="preserve"> secondo le classi (o raggruppamenti di classi) della Classificazione delle attività per la gestione delle risorse naturali (</w:t>
      </w:r>
      <w:r w:rsidR="00EF0247" w:rsidRPr="00A83649">
        <w:t>Crema</w:t>
      </w:r>
      <w:r w:rsidRPr="00A83649">
        <w:t xml:space="preserve">): 10. Gestione delle acque; 11. Gestione delle risorse forestali; 12. Gestione della fauna e della flora selvatiche; 13. Gestione delle risorse energetiche (13A. Produzione di energia da fonti rinnovabili; 13B. Gestione e risparmio di energia/calore; </w:t>
      </w:r>
      <w:r w:rsidR="00AB1F6E">
        <w:br/>
      </w:r>
      <w:r w:rsidRPr="00A83649">
        <w:t xml:space="preserve">13C. Riduzione dell'utilizzo delle energie fossili come materie prime); 14. Gestione dei minerali; 15. Attività di ricerca e sviluppo in materia di gestione delle risorse; 16. Altre attività di gestione delle risorse. </w:t>
      </w:r>
    </w:p>
    <w:p w14:paraId="27AA0C40" w14:textId="1352D595" w:rsidR="00A014B9" w:rsidRPr="006F389D" w:rsidRDefault="00A014B9" w:rsidP="00A8174A">
      <w:pPr>
        <w:pStyle w:val="Nessunaspaziatura"/>
      </w:pPr>
      <w:r>
        <w:t>Nel caso dei flussi connessi alla fiscalità, le</w:t>
      </w:r>
      <w:r w:rsidRPr="006F389D">
        <w:t xml:space="preserve"> imposte</w:t>
      </w:r>
      <w:r>
        <w:t xml:space="preserve"> ambientali non sono individuate in base alla eventuale finalità ambientale di utilizzo del gettito; il criterio di selezione riguarda invece le </w:t>
      </w:r>
      <w:r w:rsidRPr="006F389D">
        <w:t xml:space="preserve">basi impositive </w:t>
      </w:r>
      <w:r>
        <w:t xml:space="preserve">e contempla quelle </w:t>
      </w:r>
      <w:r w:rsidRPr="006F389D">
        <w:t>che hanno un impatto negativo sull’ambiente</w:t>
      </w:r>
      <w:r>
        <w:t>, come ad esempio i prodotti energetici. Attraverso l’effetto sui costi dei prodotti</w:t>
      </w:r>
      <w:r w:rsidRPr="006F389D">
        <w:t xml:space="preserve">, </w:t>
      </w:r>
      <w:r>
        <w:t xml:space="preserve">strumenti fiscali di questo tipo sono potenzialmente in grado di </w:t>
      </w:r>
      <w:r w:rsidRPr="006F389D">
        <w:t xml:space="preserve">orientare le scelte le scelte di produttori e consumatori in senso </w:t>
      </w:r>
      <w:r>
        <w:t xml:space="preserve">meno dannoso per </w:t>
      </w:r>
      <w:r w:rsidRPr="006F389D">
        <w:t xml:space="preserve">l’ambiente. </w:t>
      </w:r>
      <w:r w:rsidR="00EF0247">
        <w:t>Nell’ambito dei C</w:t>
      </w:r>
      <w:r>
        <w:t xml:space="preserve">onti ambientali monetari, l’Istat produce regolarmente i </w:t>
      </w:r>
      <w:r w:rsidRPr="006F389D">
        <w:t xml:space="preserve">Conti dei </w:t>
      </w:r>
      <w:r>
        <w:t>beni e servizi ambientali, delle spese per la protezione dell’ambiente</w:t>
      </w:r>
      <w:r w:rsidRPr="006F389D">
        <w:t>, de</w:t>
      </w:r>
      <w:r>
        <w:t>lle imposte ambientali per attività economica.</w:t>
      </w:r>
    </w:p>
    <w:p w14:paraId="41A4AD8B" w14:textId="77777777" w:rsidR="00A014B9" w:rsidRPr="002150FB" w:rsidRDefault="00A014B9" w:rsidP="00A8174A">
      <w:pPr>
        <w:pStyle w:val="Nessunaspaziatura"/>
      </w:pPr>
      <w:r>
        <w:t xml:space="preserve">Il </w:t>
      </w:r>
      <w:r>
        <w:rPr>
          <w:b/>
        </w:rPr>
        <w:t>C</w:t>
      </w:r>
      <w:r w:rsidRPr="009679BA">
        <w:rPr>
          <w:b/>
        </w:rPr>
        <w:t>onto dei beni e servizi ambientali</w:t>
      </w:r>
      <w:r>
        <w:t xml:space="preserve"> </w:t>
      </w:r>
      <w:r w:rsidRPr="007329F6">
        <w:t>registra e presenta</w:t>
      </w:r>
      <w:r>
        <w:t xml:space="preserve"> </w:t>
      </w:r>
      <w:r w:rsidRPr="007329F6">
        <w:t xml:space="preserve">dati sulle attività di produzione che generano prodotti ambientali. </w:t>
      </w:r>
      <w:r>
        <w:t>Noto anche come conto delle ecoindustrie, a dispetto di tale denominazione, il conto n</w:t>
      </w:r>
      <w:r w:rsidRPr="002150FB">
        <w:t xml:space="preserve">on identifica solo </w:t>
      </w:r>
      <w:r>
        <w:t xml:space="preserve">i </w:t>
      </w:r>
      <w:r w:rsidRPr="002150FB">
        <w:t xml:space="preserve">produttori specializzati in produzioni </w:t>
      </w:r>
      <w:r>
        <w:t>ambientali bensì si concentra su tutti i beni e servizi con finalità ambientale indipendentemente da chi li produce.</w:t>
      </w:r>
    </w:p>
    <w:p w14:paraId="65A29379" w14:textId="0A87FCF5" w:rsidR="00A014B9" w:rsidRPr="00A83649" w:rsidRDefault="00A014B9" w:rsidP="00A8174A">
      <w:pPr>
        <w:pStyle w:val="Nessunaspaziatura"/>
      </w:pPr>
      <w:r>
        <w:t>U</w:t>
      </w:r>
      <w:r w:rsidRPr="00A83649">
        <w:t>n</w:t>
      </w:r>
      <w:r w:rsidR="009618C4">
        <w:t>’</w:t>
      </w:r>
      <w:r w:rsidRPr="00A83649">
        <w:t xml:space="preserve">attività </w:t>
      </w:r>
      <w:r>
        <w:t>è considerata “</w:t>
      </w:r>
      <w:r w:rsidRPr="00A83649">
        <w:t>ambientale</w:t>
      </w:r>
      <w:r>
        <w:t>”</w:t>
      </w:r>
      <w:r w:rsidRPr="00A83649">
        <w:t xml:space="preserve"> quando dà luogo alla produzione di </w:t>
      </w:r>
      <w:r w:rsidRPr="00A35518">
        <w:rPr>
          <w:rFonts w:eastAsia="Arial"/>
          <w:b/>
          <w:bCs/>
          <w:iCs/>
        </w:rPr>
        <w:t>prodotti ambientali</w:t>
      </w:r>
      <w:r w:rsidRPr="00A83649">
        <w:rPr>
          <w:rFonts w:eastAsia="Arial"/>
          <w:i/>
        </w:rPr>
        <w:t>,</w:t>
      </w:r>
      <w:r w:rsidRPr="00A83649">
        <w:t xml:space="preserve"> ovvero di beni e servizi che direttamente contribuiscono alla finalità di protezione dell’ambiente o di gestione delle risorse. </w:t>
      </w:r>
    </w:p>
    <w:p w14:paraId="29006AF7" w14:textId="7F0ED226" w:rsidR="00A014B9" w:rsidRPr="00A83649" w:rsidRDefault="00A014B9" w:rsidP="00A8174A">
      <w:pPr>
        <w:pStyle w:val="Nessunaspaziatura"/>
      </w:pPr>
      <w:r w:rsidRPr="00A83649">
        <w:t xml:space="preserve">Per circoscrivere e uniformare il perimetro del conto, Eurostat ha predisposto un </w:t>
      </w:r>
      <w:r w:rsidRPr="00A83649">
        <w:rPr>
          <w:rFonts w:eastAsia="Arial"/>
          <w:i/>
        </w:rPr>
        <w:t>Indicative Compendium</w:t>
      </w:r>
      <w:r w:rsidRPr="00A83649">
        <w:rPr>
          <w:vertAlign w:val="superscript"/>
        </w:rPr>
        <w:footnoteReference w:id="3"/>
      </w:r>
      <w:r w:rsidRPr="00A83649">
        <w:t xml:space="preserve">, costituito da un elenco di beni e servizi ambientali e di attività economiche che li producono. Si tratta di una lista indicativa in quanto non esclude che alcuni dei prodotti elencati non siano rilevanti in alcuni </w:t>
      </w:r>
      <w:r w:rsidR="00ED6E64" w:rsidRPr="00A83649">
        <w:t xml:space="preserve">Paesi </w:t>
      </w:r>
      <w:r w:rsidRPr="00A83649">
        <w:t>come pure che esistano altri beni, servizi e attività economiche ambientali rilevanti a livello nazionale.</w:t>
      </w:r>
      <w:r>
        <w:t xml:space="preserve"> </w:t>
      </w:r>
    </w:p>
    <w:p w14:paraId="195CA478" w14:textId="3F2F8B18" w:rsidR="00C36831" w:rsidRDefault="00A014B9" w:rsidP="00A8174A">
      <w:pPr>
        <w:pStyle w:val="Nessunaspaziatura"/>
      </w:pPr>
      <w:r w:rsidRPr="00A83649">
        <w:t>Dal criterio enunciato, secondo il quale i prodotti e le attività ambientali devono essere specificamente finalizzati alla protezione delle risorse o alla gestione delle risorse naturali, deriva l’esclusione dal perimetro del conto dei beni e servizi</w:t>
      </w:r>
      <w:r>
        <w:t xml:space="preserve"> ambientali</w:t>
      </w:r>
      <w:r w:rsidRPr="00A83649">
        <w:t xml:space="preserve">, delle attività di produzione che utilizzano come materia prima prodotti derivati da materiali di recupero, quali la carta prodotta da carta riciclata o l’alluminio prodotto da materiale di recupero. In questi casi la produzione realizzata non contribuisce di per sé alla riduzione dell’uso delle risorse naturali, che si realizza </w:t>
      </w:r>
      <w:r>
        <w:t xml:space="preserve">a monte </w:t>
      </w:r>
      <w:r w:rsidRPr="00A83649">
        <w:t xml:space="preserve">nella fase del recupero del materiale e nella produzione delle materie prime seconde. </w:t>
      </w:r>
      <w:r>
        <w:t xml:space="preserve">I dati sono disponibili a livello nazionale per le seguenti variabili: </w:t>
      </w:r>
      <w:r w:rsidRPr="007329F6">
        <w:t xml:space="preserve">produzione, esportazioni di origine </w:t>
      </w:r>
      <w:r w:rsidR="000154DA" w:rsidRPr="007329F6">
        <w:t>interna,</w:t>
      </w:r>
      <w:r w:rsidRPr="007329F6">
        <w:t xml:space="preserve"> cioè di prodotti realizzati sul territorio economico (di cui della produzione), valore aggiunto, occupazione. Per tutte le variabili è prevista la disaggregazione secondo la classificazione delle attività economiche N</w:t>
      </w:r>
      <w:r>
        <w:t>ace</w:t>
      </w:r>
      <w:r w:rsidRPr="007329F6">
        <w:t xml:space="preserve"> Rev. 2 (livello di </w:t>
      </w:r>
      <w:r w:rsidRPr="007329F6">
        <w:lastRenderedPageBreak/>
        <w:t>aggrega</w:t>
      </w:r>
      <w:r w:rsidR="00BB5668">
        <w:t>zione A*21 come definito nel Sec</w:t>
      </w:r>
      <w:r w:rsidRPr="007329F6">
        <w:t xml:space="preserve">2010) e secondo le classi o </w:t>
      </w:r>
      <w:r>
        <w:t xml:space="preserve">i </w:t>
      </w:r>
      <w:r w:rsidRPr="007329F6">
        <w:t>raggruppamenti di classi della classificazione delle attività per la protezione dell'ambiente (</w:t>
      </w:r>
      <w:r w:rsidR="00BB5668" w:rsidRPr="007329F6">
        <w:t>Cepa</w:t>
      </w:r>
      <w:r w:rsidRPr="007329F6">
        <w:t>) e della classificazione delle attività di gestione delle risorse (</w:t>
      </w:r>
      <w:r w:rsidR="00BB5668" w:rsidRPr="007329F6">
        <w:t>Crema</w:t>
      </w:r>
      <w:r w:rsidRPr="007329F6">
        <w:t>)</w:t>
      </w:r>
      <w:r>
        <w:t xml:space="preserve">. </w:t>
      </w:r>
    </w:p>
    <w:p w14:paraId="10144FB0" w14:textId="7BAD4A39" w:rsidR="00A014B9" w:rsidRPr="00A83649" w:rsidRDefault="00A014B9" w:rsidP="00A8174A">
      <w:pPr>
        <w:pStyle w:val="Nessunaspaziatura"/>
      </w:pPr>
      <w:r>
        <w:t xml:space="preserve">Le stime diffuse nella presente Statistica Report, </w:t>
      </w:r>
      <w:r w:rsidRPr="007329F6">
        <w:t xml:space="preserve">sono riferite all’intera economia, includendo non solo la componente della produzione scambiata sul mercato (componente </w:t>
      </w:r>
      <w:r w:rsidRPr="00A35518">
        <w:rPr>
          <w:i/>
          <w:iCs/>
        </w:rPr>
        <w:t>market</w:t>
      </w:r>
      <w:r w:rsidRPr="007329F6">
        <w:t xml:space="preserve">), ma anche quella realizzata da operatori non </w:t>
      </w:r>
      <w:r w:rsidRPr="00A35518">
        <w:rPr>
          <w:i/>
          <w:iCs/>
        </w:rPr>
        <w:t>market</w:t>
      </w:r>
      <w:r w:rsidRPr="007329F6">
        <w:t xml:space="preserve"> (</w:t>
      </w:r>
      <w:r w:rsidR="007F3CCA">
        <w:t>Pubblica amministrazione</w:t>
      </w:r>
      <w:r w:rsidRPr="007329F6">
        <w:t xml:space="preserve"> e istituzioni sociali al servizio delle famiglie) e la produzione realizzata in proprio dagli operatori economici (incluse le famiglie nel loro ruolo di produttori) e destinata a essere reimpiegata nel processo produttivo (ad esempio attività di recupero di materiali da reimmettere nel processo di produzione) o al proprio consumo finale (ad esempio l’energia solare prodotta e consumata all’interno delle famiglie).</w:t>
      </w:r>
    </w:p>
    <w:p w14:paraId="7641D120" w14:textId="328E9805" w:rsidR="00A014B9" w:rsidRDefault="00A014B9" w:rsidP="00A8174A">
      <w:pPr>
        <w:pStyle w:val="Nessunaspaziatura"/>
      </w:pPr>
      <w:r w:rsidRPr="00513480">
        <w:t>I</w:t>
      </w:r>
      <w:r>
        <w:rPr>
          <w:b/>
        </w:rPr>
        <w:t xml:space="preserve"> </w:t>
      </w:r>
      <w:r w:rsidRPr="00162913">
        <w:rPr>
          <w:b/>
        </w:rPr>
        <w:t>Conti delle spese per la protezione dell’ambiente</w:t>
      </w:r>
      <w:r>
        <w:t xml:space="preserve"> (</w:t>
      </w:r>
      <w:r w:rsidRPr="00A35518">
        <w:rPr>
          <w:i/>
          <w:iCs/>
        </w:rPr>
        <w:t xml:space="preserve">Environmental </w:t>
      </w:r>
      <w:r w:rsidR="00BB5668" w:rsidRPr="00A35518">
        <w:rPr>
          <w:i/>
          <w:iCs/>
        </w:rPr>
        <w:t>protection expenditure accounts</w:t>
      </w:r>
      <w:r w:rsidR="00BB5668">
        <w:t xml:space="preserve"> </w:t>
      </w:r>
      <w:r>
        <w:t xml:space="preserve">- </w:t>
      </w:r>
      <w:r w:rsidRPr="00A027C8">
        <w:rPr>
          <w:i/>
        </w:rPr>
        <w:t>Epea</w:t>
      </w:r>
      <w:r>
        <w:t xml:space="preserve">), misurano le risorse economiche messe in campo per le finalità di protezione dell’ambiente come definite dalla </w:t>
      </w:r>
      <w:r w:rsidRPr="00097F53">
        <w:t>Classificazione delle attività per la protezione dell’ambiente (</w:t>
      </w:r>
      <w:r w:rsidR="00BB5668" w:rsidRPr="007329F6">
        <w:t>Cepa</w:t>
      </w:r>
      <w:r w:rsidRPr="00097F53">
        <w:t>)</w:t>
      </w:r>
      <w:r>
        <w:t xml:space="preserve">. A oggi, i dati disponibili in Italia e nella Ue non includono le spese sostenute per le finalità di gestione delle risorse naturali, ambito che è invece coperto dalle stime sulla produzione. I conti </w:t>
      </w:r>
      <w:r w:rsidRPr="00A027C8">
        <w:rPr>
          <w:i/>
        </w:rPr>
        <w:t>Epea</w:t>
      </w:r>
      <w:r>
        <w:t xml:space="preserve"> descrivono le principali fasi del circuito della spesa ambientale, che comprendono la formazione dell’offerta e la domanda dei diversi servizi ambientali, gli investimenti per la realizzazione di tali servizi, nonché i trasferimenti attraverso i quali </w:t>
      </w:r>
      <w:r w:rsidR="007F3CCA">
        <w:t>Pubblica amministrazione</w:t>
      </w:r>
      <w:r w:rsidR="007565EF">
        <w:t xml:space="preserve"> e Resto del m</w:t>
      </w:r>
      <w:r>
        <w:t xml:space="preserve">ondo finanziano le spese ambientali di altri soggetti. Le transazioni sono </w:t>
      </w:r>
      <w:r w:rsidRPr="00097F53">
        <w:t>articola</w:t>
      </w:r>
      <w:r>
        <w:t>te</w:t>
      </w:r>
      <w:r w:rsidRPr="00097F53">
        <w:t xml:space="preserve"> secondo le classi (o raggruppamenti di classi) della Classificazione </w:t>
      </w:r>
      <w:r w:rsidR="00BB5668" w:rsidRPr="007329F6">
        <w:t>Cepa</w:t>
      </w:r>
      <w:r>
        <w:t xml:space="preserve"> e distinguono inoltre sia il settore istituzionale che le effettua - </w:t>
      </w:r>
      <w:r w:rsidR="007F3CCA">
        <w:t>Pubblica amministrazione</w:t>
      </w:r>
      <w:r w:rsidRPr="00097F53">
        <w:t xml:space="preserve"> </w:t>
      </w:r>
      <w:r>
        <w:t>e Istituzioni sociali senza scopo di lucro, Imprese, Famiglie - sia il ruolo da esso rivestito nel campo della salvaguardia ambientale: produttore di servizi ambientali, utilizzatore di beni e servizi ambientali, finanziatore delle spese ambientali sostenute da altri operatori (solo per la Pubbli</w:t>
      </w:r>
      <w:r w:rsidR="007565EF">
        <w:t>ca amministrazione e Resto del m</w:t>
      </w:r>
      <w:r>
        <w:t>ondo) o beneficiario di trasferimenti connessi alla tutela dell’ambiente. Dai conti Epea si ricava l’aggregato della ‘spesa nazionale per la protezione dell’ambiente’ diffuso in questa Statistica Report e definito come somma di: consumi finali di servizi di protezione dell'ambiente delle unità residenti, consumi intermedi di servizi di protezione dell'ambiente delle unità residenti con esclusione dei produttori specializzati, investimenti fissi lordi per la realizzazione delle attività di protezione dell'ambiente, trasferimenti per la protezione dell'ambiente che non sono la contropartita dei precedenti aggregati, men</w:t>
      </w:r>
      <w:r w:rsidR="007565EF">
        <w:t>o i finanziamenti da parte del R</w:t>
      </w:r>
      <w:r>
        <w:t>esto del mondo.</w:t>
      </w:r>
    </w:p>
    <w:p w14:paraId="42285BBA" w14:textId="77777777" w:rsidR="006865B0" w:rsidRDefault="00A014B9" w:rsidP="00A8174A">
      <w:pPr>
        <w:pStyle w:val="Nessunaspaziatura"/>
      </w:pPr>
      <w:r>
        <w:t xml:space="preserve">Gli strumenti fiscali, attraverso l’effetto esercitato sul costo dei prodotti, possono indirizzare i consumatori verso comportamenti meno dannosi per l’ambiente, indipendentemente da esplicite finalità ambientali del legislatore. Per questo i conti ambientali misurano il gettito corrisposto dai vari soggetti economici in relazione agli strumenti fiscali che gravano su basi impositive dannose per l’ambiente nell’ambito delle risposte del sistema socioeconomico alle sfide ambientali. Le </w:t>
      </w:r>
      <w:r w:rsidRPr="00781005">
        <w:rPr>
          <w:b/>
        </w:rPr>
        <w:t>imposte ambientali</w:t>
      </w:r>
      <w:r>
        <w:t xml:space="preserve">, in quanto appartenenti all’insieme più generale delle imposte, costituiscono prelievi obbligatori non commisurati ai benefici che il singolo riceve dalla Pubblica Amministrazione. Secondo le linee guida internazionali, un’imposta è ambientale se la sua base impositiva è ‘costituita da una grandezza fisica (eventualmente sostituita da una proxy) che ha un impatto negativo provato e specifico sull’ambiente’. Le basi impositive comprendono ad esempio l’uso di prodotti energetici o le emissioni di sostanze inquinanti. Poiché nella identificazione delle imposte ambientali non è determinante l’obiettivo dell’imposta espresso nella norma che introduce lo strumento fiscale, nel novero delle imposte ambientali sono incluse sia imposte introdotte con esplicite finalità di tipo ambientale, sia imposte in cui una tale finalità non si ravvisa nella formulazione normativa. I dati diffusi dall’Istat distinguono il gettito delle imposte ambientali secondo il soggetto economico che lo corrisponde e la categoria dell’imposta (in base ad una classificazione definita in linee guida europee). I soggetti economici comprendono le attività residenti che producono beni e servizi (articolate in base alla classificazione delle attività economiche Nace Rev. 2), le famiglie consumatrici e le unità non residenti (che comprendono famiglie straniere e attività produttive non residenti che operano sul territorio italiano). Le categorie comprendono energia, trasporti e inquinamento. </w:t>
      </w:r>
    </w:p>
    <w:p w14:paraId="5600AFAF" w14:textId="0194BD21" w:rsidR="00A014B9" w:rsidRDefault="00A014B9" w:rsidP="00A8174A">
      <w:pPr>
        <w:pStyle w:val="Nessunaspaziatura"/>
      </w:pPr>
      <w:r>
        <w:t>Le imposte sull’energia includono tutte le imposte sui prodotti energetici utilizzati sia per finalità di trasporto (si tratta soprattutto di benzina e gasolio) sia per usi stazionari (soprattutto oli combustibili, gas naturale, carbone ed elettricità). Tra le imposte sui trasporti rientrano principalmente le imposte legate alla proprietà e all’utilizzo di veicoli. Sono comprese inoltre le imposte relative ad altri mezzi di trasporto e servizi di trasporto (ad esempio aerei) purché coerenti con la definizione generale di imposte ambientali. Le imposte sull’inquinamento includono le imposte sulle emissioni atmosferiche o sui reflui, sulla gestione dei rifiuti e sul rumore; fa eccezione l’imposta sulla CO</w:t>
      </w:r>
      <w:r w:rsidRPr="00AE3E1A">
        <w:rPr>
          <w:vertAlign w:val="subscript"/>
        </w:rPr>
        <w:t>2</w:t>
      </w:r>
      <w:r>
        <w:t xml:space="preserve"> che rientra nel gruppo delle imposte sull’energia. Non si riscontrano in Italia imposte ambientali per la quarta categoria contemplata dalle linee guida europee, che riguarda le imposte che gravano sul prelievo di risorse naturali. </w:t>
      </w:r>
    </w:p>
    <w:p w14:paraId="7360BE8A" w14:textId="77777777" w:rsidR="00A014B9" w:rsidRPr="00CE7D0F" w:rsidRDefault="00A014B9" w:rsidP="00CE7D0F">
      <w:pPr>
        <w:pStyle w:val="Titolo2"/>
        <w:autoSpaceDE w:val="0"/>
        <w:autoSpaceDN w:val="0"/>
        <w:adjustRightInd w:val="0"/>
        <w:jc w:val="both"/>
        <w:rPr>
          <w:rFonts w:ascii="Arial" w:hAnsi="Arial" w:cs="Arial"/>
          <w:b/>
          <w:bCs w:val="0"/>
          <w:i w:val="0"/>
          <w:color w:val="1F497D" w:themeColor="text2"/>
          <w:sz w:val="22"/>
          <w:szCs w:val="22"/>
        </w:rPr>
      </w:pPr>
      <w:r w:rsidRPr="00CE7D0F">
        <w:rPr>
          <w:rFonts w:ascii="Arial" w:hAnsi="Arial" w:cs="Arial"/>
          <w:b/>
          <w:bCs w:val="0"/>
          <w:i w:val="0"/>
          <w:color w:val="1F497D" w:themeColor="text2"/>
          <w:sz w:val="22"/>
          <w:szCs w:val="22"/>
        </w:rPr>
        <w:t xml:space="preserve">Popolazione di riferimento </w:t>
      </w:r>
    </w:p>
    <w:p w14:paraId="617A9889" w14:textId="3AF6E797" w:rsidR="00A014B9" w:rsidRDefault="00A014B9" w:rsidP="00A8174A">
      <w:pPr>
        <w:pStyle w:val="Nessunaspaziatura"/>
      </w:pPr>
      <w:r>
        <w:t>I conti ambientali sono riferiti alle attività di produzione e</w:t>
      </w:r>
      <w:r w:rsidR="00910E56">
        <w:t>sercitate dalle unità residenti definite,</w:t>
      </w:r>
      <w:r>
        <w:t xml:space="preserve"> </w:t>
      </w:r>
      <w:r w:rsidR="00910E56">
        <w:t>i</w:t>
      </w:r>
      <w:r>
        <w:t xml:space="preserve">n coerenza con il sistema dei conti nazionali, come le unità che hanno il proprio centro di interesse economico prevalente nel territorio economico del </w:t>
      </w:r>
      <w:r w:rsidR="00CB6DA0">
        <w:t xml:space="preserve">Paese </w:t>
      </w:r>
      <w:r>
        <w:t>— ossia allorquando esercitano per un lungo periodo (un anno o più) attività economiche su tale territorio. (S</w:t>
      </w:r>
      <w:r w:rsidR="00BB5668">
        <w:t>ec</w:t>
      </w:r>
      <w:r>
        <w:t xml:space="preserve">2010 § 1.61). </w:t>
      </w:r>
    </w:p>
    <w:p w14:paraId="373AA8E5" w14:textId="398442E7" w:rsidR="00A014B9" w:rsidRDefault="00A014B9" w:rsidP="00A8174A">
      <w:pPr>
        <w:pStyle w:val="Nessunaspaziatura"/>
      </w:pPr>
      <w:r>
        <w:t xml:space="preserve">Fanno eccezione a tale principio i conti dei flussi di materia, per gli aggregati relativi agli scambi con l’estero, per i quali non è sufficiente il trasferimento della proprietà economica ma è necessario l’attraversamento delle </w:t>
      </w:r>
      <w:r>
        <w:lastRenderedPageBreak/>
        <w:t xml:space="preserve">frontiere. </w:t>
      </w:r>
      <w:r w:rsidR="000154DA">
        <w:t>Inoltre,</w:t>
      </w:r>
      <w:r>
        <w:t xml:space="preserve"> questi conti adottano, per la contabilizzazione delle biomasse coltivate prelevate, il cosiddetto “harvest approach”, laddove una applicazione stretta dei principi del S</w:t>
      </w:r>
      <w:r w:rsidR="00BB5668">
        <w:t>ec</w:t>
      </w:r>
      <w:r>
        <w:t xml:space="preserve"> </w:t>
      </w:r>
      <w:r w:rsidR="00CF7B94">
        <w:t xml:space="preserve">comporterebbe </w:t>
      </w:r>
      <w:r>
        <w:t xml:space="preserve">la contabilizzazione dei flussi di sostanze in entrata e in uscita dalle piante coltivate, essendo queste parte degli stock antropici. </w:t>
      </w:r>
    </w:p>
    <w:p w14:paraId="606E2CF6" w14:textId="77777777" w:rsidR="00A014B9" w:rsidRPr="009A10FC" w:rsidRDefault="00A014B9" w:rsidP="00CE7D0F">
      <w:pPr>
        <w:pStyle w:val="Titolo2"/>
        <w:autoSpaceDE w:val="0"/>
        <w:autoSpaceDN w:val="0"/>
        <w:adjustRightInd w:val="0"/>
        <w:jc w:val="both"/>
        <w:rPr>
          <w:rFonts w:ascii="Arial" w:hAnsi="Arial" w:cs="Arial"/>
          <w:bCs w:val="0"/>
          <w:i w:val="0"/>
          <w:color w:val="1F497D" w:themeColor="text2"/>
          <w:sz w:val="22"/>
          <w:szCs w:val="26"/>
        </w:rPr>
      </w:pPr>
      <w:r w:rsidRPr="009A10FC">
        <w:rPr>
          <w:rFonts w:ascii="Arial" w:hAnsi="Arial" w:cs="Arial"/>
          <w:b/>
          <w:bCs w:val="0"/>
          <w:i w:val="0"/>
          <w:color w:val="1F497D" w:themeColor="text2"/>
          <w:sz w:val="22"/>
          <w:szCs w:val="26"/>
        </w:rPr>
        <w:t>Principali fonti informative</w:t>
      </w:r>
    </w:p>
    <w:p w14:paraId="7DBFB60D" w14:textId="4FEE8384" w:rsidR="00A014B9" w:rsidRDefault="00A014B9" w:rsidP="00CE7D0F">
      <w:pPr>
        <w:pStyle w:val="Titolo3"/>
        <w:spacing w:before="0" w:beforeAutospacing="0" w:after="120" w:afterAutospacing="0"/>
        <w:jc w:val="both"/>
        <w:rPr>
          <w:rFonts w:ascii="Arial" w:eastAsiaTheme="minorHAnsi" w:hAnsi="Arial" w:cs="Arial"/>
          <w:b w:val="0"/>
          <w:sz w:val="20"/>
          <w:lang w:eastAsia="en-US"/>
        </w:rPr>
      </w:pPr>
      <w:r w:rsidRPr="006A503F">
        <w:rPr>
          <w:rFonts w:ascii="Arial" w:eastAsia="Calibri" w:hAnsi="Arial" w:cs="Arial"/>
          <w:b w:val="0"/>
          <w:bCs w:val="0"/>
          <w:color w:val="1F497D"/>
          <w:sz w:val="22"/>
          <w:szCs w:val="20"/>
        </w:rPr>
        <w:t>Conti dei flussi di materia.</w:t>
      </w:r>
      <w:r w:rsidRPr="00CE7D0F">
        <w:rPr>
          <w:rFonts w:ascii="Arial" w:hAnsi="Arial" w:cs="Arial"/>
          <w:b w:val="0"/>
        </w:rPr>
        <w:t xml:space="preserve"> </w:t>
      </w:r>
      <w:r w:rsidRPr="00CE7D0F">
        <w:rPr>
          <w:rFonts w:ascii="Arial" w:eastAsiaTheme="minorHAnsi" w:hAnsi="Arial" w:cs="Arial"/>
          <w:b w:val="0"/>
          <w:sz w:val="20"/>
          <w:lang w:eastAsia="en-US"/>
        </w:rPr>
        <w:t xml:space="preserve">Le principali fonti utilizzate sono: Stima delle superfici e produzioni delle coltivazioni agrarie; Indagine sulla struttura e produzione delle aziende agricole; Struttura e produzioni delle principali coltivazioni legnose agrarie; superfici </w:t>
      </w:r>
      <w:r w:rsidRPr="00CE7D0F">
        <w:rPr>
          <w:rFonts w:ascii="Arial" w:eastAsiaTheme="minorHAnsi" w:hAnsi="Arial" w:cs="Arial"/>
          <w:b w:val="0"/>
          <w:i/>
          <w:iCs/>
          <w:sz w:val="20"/>
          <w:lang w:eastAsia="en-US"/>
        </w:rPr>
        <w:t>Farm Register</w:t>
      </w:r>
      <w:r w:rsidRPr="00CE7D0F">
        <w:rPr>
          <w:rFonts w:ascii="Arial" w:eastAsiaTheme="minorHAnsi" w:hAnsi="Arial" w:cs="Arial"/>
          <w:b w:val="0"/>
          <w:sz w:val="20"/>
          <w:lang w:eastAsia="en-US"/>
        </w:rPr>
        <w:t>; parametri specifici a livello provinciale desunti da studi E</w:t>
      </w:r>
      <w:r w:rsidR="00065D19">
        <w:rPr>
          <w:rFonts w:ascii="Arial" w:eastAsiaTheme="minorHAnsi" w:hAnsi="Arial" w:cs="Arial"/>
          <w:b w:val="0"/>
          <w:sz w:val="20"/>
          <w:lang w:eastAsia="en-US"/>
        </w:rPr>
        <w:t>nea</w:t>
      </w:r>
      <w:r w:rsidRPr="00CE7D0F">
        <w:rPr>
          <w:rFonts w:ascii="Arial" w:eastAsiaTheme="minorHAnsi" w:hAnsi="Arial" w:cs="Arial"/>
          <w:b w:val="0"/>
          <w:sz w:val="20"/>
          <w:lang w:eastAsia="en-US"/>
        </w:rPr>
        <w:t xml:space="preserve"> e I</w:t>
      </w:r>
      <w:r w:rsidR="00065D19">
        <w:rPr>
          <w:rFonts w:ascii="Arial" w:eastAsiaTheme="minorHAnsi" w:hAnsi="Arial" w:cs="Arial"/>
          <w:b w:val="0"/>
          <w:sz w:val="20"/>
          <w:lang w:eastAsia="en-US"/>
        </w:rPr>
        <w:t>spra</w:t>
      </w:r>
      <w:r w:rsidRPr="00CE7D0F">
        <w:rPr>
          <w:rFonts w:ascii="Arial" w:eastAsiaTheme="minorHAnsi" w:hAnsi="Arial" w:cs="Arial"/>
          <w:b w:val="0"/>
          <w:sz w:val="20"/>
          <w:lang w:eastAsia="en-US"/>
        </w:rPr>
        <w:t xml:space="preserve"> e dalle citate indagini Istat (per i residui utilizzati delle coltivazioni); conti economici dell’agricoltura; dati sul pescato del Ministero delle Politiche Agricole e Forestali; dati provinciali dall’anagrafe apistica del Ministero della Salute; dati amministrativi regionali; Rilevazione Istat “Pressioni antropiche e rischi naturali - Le attività estrattive da cave e miniere”; </w:t>
      </w:r>
      <w:r w:rsidR="00C14913">
        <w:rPr>
          <w:rFonts w:ascii="Arial" w:eastAsiaTheme="minorHAnsi" w:hAnsi="Arial" w:cs="Arial"/>
          <w:b w:val="0"/>
          <w:sz w:val="20"/>
          <w:lang w:eastAsia="en-US"/>
        </w:rPr>
        <w:t xml:space="preserve">indici della produzione industriale; </w:t>
      </w:r>
      <w:r w:rsidRPr="00CE7D0F">
        <w:rPr>
          <w:rFonts w:ascii="Arial" w:eastAsiaTheme="minorHAnsi" w:hAnsi="Arial" w:cs="Arial"/>
          <w:b w:val="0"/>
          <w:sz w:val="20"/>
          <w:lang w:eastAsia="en-US"/>
        </w:rPr>
        <w:t>stime Istat sull’occupazione irregolare; dati amministrativi dell’agenzia delle entrate relativi agli studi di s</w:t>
      </w:r>
      <w:r w:rsidR="00065D19">
        <w:rPr>
          <w:rFonts w:ascii="Arial" w:eastAsiaTheme="minorHAnsi" w:hAnsi="Arial" w:cs="Arial"/>
          <w:b w:val="0"/>
          <w:sz w:val="20"/>
          <w:lang w:eastAsia="en-US"/>
        </w:rPr>
        <w:t>ettore; dati amministrativi Mise</w:t>
      </w:r>
      <w:r w:rsidRPr="00CE7D0F">
        <w:rPr>
          <w:rFonts w:ascii="Arial" w:eastAsiaTheme="minorHAnsi" w:hAnsi="Arial" w:cs="Arial"/>
          <w:b w:val="0"/>
          <w:sz w:val="20"/>
          <w:lang w:eastAsia="en-US"/>
        </w:rPr>
        <w:t xml:space="preserve"> Direzione generale per le risorse minerarie ed energetiche; Bilanci energetici regionali E</w:t>
      </w:r>
      <w:r w:rsidR="00065D19">
        <w:rPr>
          <w:rFonts w:ascii="Arial" w:eastAsiaTheme="minorHAnsi" w:hAnsi="Arial" w:cs="Arial"/>
          <w:b w:val="0"/>
          <w:sz w:val="20"/>
          <w:lang w:eastAsia="en-US"/>
        </w:rPr>
        <w:t>nea</w:t>
      </w:r>
      <w:r w:rsidRPr="00CE7D0F">
        <w:rPr>
          <w:rFonts w:ascii="Arial" w:eastAsiaTheme="minorHAnsi" w:hAnsi="Arial" w:cs="Arial"/>
          <w:b w:val="0"/>
          <w:sz w:val="20"/>
          <w:lang w:eastAsia="en-US"/>
        </w:rPr>
        <w:t>; microdati del commercio con l’estero; microdati del trasporto merci.</w:t>
      </w:r>
    </w:p>
    <w:p w14:paraId="3EB80503" w14:textId="554FD743" w:rsidR="00A014B9" w:rsidRPr="00CE7D0F" w:rsidRDefault="00A014B9" w:rsidP="00CE7D0F">
      <w:pPr>
        <w:pStyle w:val="Titolo3"/>
        <w:spacing w:before="0" w:beforeAutospacing="0" w:after="120" w:afterAutospacing="0"/>
        <w:jc w:val="both"/>
        <w:rPr>
          <w:rFonts w:ascii="Arial" w:eastAsiaTheme="minorHAnsi" w:hAnsi="Arial" w:cs="Arial"/>
          <w:b w:val="0"/>
          <w:sz w:val="20"/>
          <w:lang w:eastAsia="en-US"/>
        </w:rPr>
      </w:pPr>
      <w:r w:rsidRPr="006A503F">
        <w:rPr>
          <w:rFonts w:ascii="Arial" w:eastAsia="Calibri" w:hAnsi="Arial" w:cs="Arial"/>
          <w:b w:val="0"/>
          <w:bCs w:val="0"/>
          <w:color w:val="1F497D"/>
          <w:sz w:val="22"/>
          <w:szCs w:val="20"/>
        </w:rPr>
        <w:t>Conti dei flussi fisici di energia.</w:t>
      </w:r>
      <w:r w:rsidRPr="00CE7D0F">
        <w:rPr>
          <w:rFonts w:ascii="Arial" w:hAnsi="Arial" w:cs="Arial"/>
          <w:b w:val="0"/>
        </w:rPr>
        <w:t xml:space="preserve"> </w:t>
      </w:r>
      <w:r w:rsidRPr="00CE7D0F">
        <w:rPr>
          <w:rFonts w:ascii="Arial" w:eastAsiaTheme="minorHAnsi" w:hAnsi="Arial" w:cs="Arial"/>
          <w:b w:val="0"/>
          <w:sz w:val="20"/>
          <w:lang w:eastAsia="en-US"/>
        </w:rPr>
        <w:t xml:space="preserve">L’informazione di base per la costruzione del </w:t>
      </w:r>
      <w:r w:rsidRPr="00A027C8">
        <w:rPr>
          <w:rFonts w:ascii="Arial" w:eastAsiaTheme="minorHAnsi" w:hAnsi="Arial" w:cs="Arial"/>
          <w:b w:val="0"/>
          <w:i/>
          <w:sz w:val="20"/>
          <w:lang w:eastAsia="en-US"/>
        </w:rPr>
        <w:t>P</w:t>
      </w:r>
      <w:r w:rsidR="00065D19" w:rsidRPr="00A027C8">
        <w:rPr>
          <w:rFonts w:ascii="Arial" w:eastAsiaTheme="minorHAnsi" w:hAnsi="Arial" w:cs="Arial"/>
          <w:b w:val="0"/>
          <w:i/>
          <w:sz w:val="20"/>
          <w:lang w:eastAsia="en-US"/>
        </w:rPr>
        <w:t>efa</w:t>
      </w:r>
      <w:r w:rsidRPr="00CE7D0F">
        <w:rPr>
          <w:rFonts w:ascii="Arial" w:eastAsiaTheme="minorHAnsi" w:hAnsi="Arial" w:cs="Arial"/>
          <w:b w:val="0"/>
          <w:sz w:val="20"/>
          <w:lang w:eastAsia="en-US"/>
        </w:rPr>
        <w:t xml:space="preserve"> proviene principalmente da due fonti, utilizzate congiuntamente: il Bilancio energetico nazionale (B</w:t>
      </w:r>
      <w:r w:rsidR="00065D19">
        <w:rPr>
          <w:rFonts w:ascii="Arial" w:eastAsiaTheme="minorHAnsi" w:hAnsi="Arial" w:cs="Arial"/>
          <w:b w:val="0"/>
          <w:sz w:val="20"/>
          <w:lang w:eastAsia="en-US"/>
        </w:rPr>
        <w:t>en</w:t>
      </w:r>
      <w:r w:rsidRPr="00CE7D0F">
        <w:rPr>
          <w:rFonts w:ascii="Arial" w:eastAsiaTheme="minorHAnsi" w:hAnsi="Arial" w:cs="Arial"/>
          <w:b w:val="0"/>
          <w:sz w:val="20"/>
          <w:lang w:eastAsia="en-US"/>
        </w:rPr>
        <w:t>) e i Questionari IEA/UNECE/Eurostat sull’energia. Il B</w:t>
      </w:r>
      <w:r w:rsidR="00065D19">
        <w:rPr>
          <w:rFonts w:ascii="Arial" w:eastAsiaTheme="minorHAnsi" w:hAnsi="Arial" w:cs="Arial"/>
          <w:b w:val="0"/>
          <w:sz w:val="20"/>
          <w:lang w:eastAsia="en-US"/>
        </w:rPr>
        <w:t>en</w:t>
      </w:r>
      <w:r w:rsidRPr="00CE7D0F">
        <w:rPr>
          <w:rFonts w:ascii="Arial" w:eastAsiaTheme="minorHAnsi" w:hAnsi="Arial" w:cs="Arial"/>
          <w:b w:val="0"/>
          <w:sz w:val="20"/>
          <w:lang w:eastAsia="en-US"/>
        </w:rPr>
        <w:t xml:space="preserve"> e i Questionari sono integrati con altre fonti al fine di garantire la coerenza con i Conti economici nazionali e di fornire stime più accurate di alcuni aggregati, assicurando al contempo il rispetto del principio della residenza, nonché di permettere la ripartizione per branca di attività economica e per tipo di utilizzo dei flussi di energia misurati dal </w:t>
      </w:r>
      <w:r w:rsidRPr="00A027C8">
        <w:rPr>
          <w:rFonts w:ascii="Arial" w:eastAsiaTheme="minorHAnsi" w:hAnsi="Arial" w:cs="Arial"/>
          <w:b w:val="0"/>
          <w:i/>
          <w:sz w:val="20"/>
          <w:lang w:eastAsia="en-US"/>
        </w:rPr>
        <w:t>P</w:t>
      </w:r>
      <w:r w:rsidR="00065D19" w:rsidRPr="00A027C8">
        <w:rPr>
          <w:rFonts w:ascii="Arial" w:eastAsiaTheme="minorHAnsi" w:hAnsi="Arial" w:cs="Arial"/>
          <w:b w:val="0"/>
          <w:i/>
          <w:sz w:val="20"/>
          <w:lang w:eastAsia="en-US"/>
        </w:rPr>
        <w:t>efa</w:t>
      </w:r>
      <w:r w:rsidRPr="00CE7D0F">
        <w:rPr>
          <w:rFonts w:ascii="Arial" w:eastAsiaTheme="minorHAnsi" w:hAnsi="Arial" w:cs="Arial"/>
          <w:b w:val="0"/>
          <w:sz w:val="20"/>
          <w:lang w:eastAsia="en-US"/>
        </w:rPr>
        <w:t>. Si tratta in particolare delle seguenti fonti:</w:t>
      </w:r>
    </w:p>
    <w:p w14:paraId="34A51A55" w14:textId="6B90F379"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 xml:space="preserve">l’Indagine sugli scambi con l’estero di beni e servizi (Coe), la Rilevazione sul trasporto aereo, le tavole </w:t>
      </w:r>
      <w:r w:rsidRPr="00504CEB">
        <w:rPr>
          <w:rFonts w:ascii="Arial" w:eastAsiaTheme="minorHAnsi" w:hAnsi="Arial" w:cs="Arial"/>
          <w:i/>
          <w:iCs/>
          <w:sz w:val="20"/>
          <w:szCs w:val="20"/>
          <w:lang w:eastAsia="en-US"/>
        </w:rPr>
        <w:t>Supply and Use</w:t>
      </w:r>
      <w:r w:rsidRPr="00CE7D0F">
        <w:rPr>
          <w:rFonts w:ascii="Arial" w:eastAsiaTheme="minorHAnsi" w:hAnsi="Arial" w:cs="Arial"/>
          <w:sz w:val="20"/>
          <w:szCs w:val="20"/>
          <w:lang w:eastAsia="en-US"/>
        </w:rPr>
        <w:t xml:space="preserve">, i Conti economici dell’agricoltura (componenti dei Conti </w:t>
      </w:r>
      <w:r w:rsidR="00BA4C10" w:rsidRPr="00CE7D0F">
        <w:rPr>
          <w:rFonts w:ascii="Arial" w:eastAsiaTheme="minorHAnsi" w:hAnsi="Arial" w:cs="Arial"/>
          <w:sz w:val="20"/>
          <w:szCs w:val="20"/>
          <w:lang w:eastAsia="en-US"/>
        </w:rPr>
        <w:t>economici nazionali</w:t>
      </w:r>
      <w:r w:rsidRPr="00CE7D0F">
        <w:rPr>
          <w:rFonts w:ascii="Arial" w:eastAsiaTheme="minorHAnsi" w:hAnsi="Arial" w:cs="Arial"/>
          <w:sz w:val="20"/>
          <w:szCs w:val="20"/>
          <w:lang w:eastAsia="en-US"/>
        </w:rPr>
        <w:t>), realizzati dall’Istat;</w:t>
      </w:r>
    </w:p>
    <w:p w14:paraId="3CF00B57" w14:textId="77777777"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l’Indagine sul turismo internazionale in Italia e l’Indagine sui trasporti internazionali di merci, di Banca d’Italia;</w:t>
      </w:r>
    </w:p>
    <w:p w14:paraId="5FEFE7FD" w14:textId="07CFEB4F"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la Rilevazione sui Consumi finali di prodotti energetici delle imprese (Coen), condotta con riferimento ai consumi del 2011;</w:t>
      </w:r>
    </w:p>
    <w:p w14:paraId="11A3B785" w14:textId="71E6BBB9"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il Bilancio dell’energia elettrica, i dati sui Consumi di energia elettrica per settore merceologico, forniti da T</w:t>
      </w:r>
      <w:r w:rsidR="00065D19">
        <w:rPr>
          <w:rFonts w:ascii="Arial" w:eastAsiaTheme="minorHAnsi" w:hAnsi="Arial" w:cs="Arial"/>
          <w:sz w:val="20"/>
          <w:szCs w:val="20"/>
          <w:lang w:eastAsia="en-US"/>
        </w:rPr>
        <w:t>erna</w:t>
      </w:r>
      <w:r w:rsidRPr="00CE7D0F">
        <w:rPr>
          <w:rFonts w:ascii="Arial" w:eastAsiaTheme="minorHAnsi" w:hAnsi="Arial" w:cs="Arial"/>
          <w:sz w:val="20"/>
          <w:szCs w:val="20"/>
          <w:lang w:eastAsia="en-US"/>
        </w:rPr>
        <w:t>;</w:t>
      </w:r>
    </w:p>
    <w:p w14:paraId="50C41E4A" w14:textId="5A46326F"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il Registro del parco veicoli, fornito da A</w:t>
      </w:r>
      <w:r w:rsidR="00065D19">
        <w:rPr>
          <w:rFonts w:ascii="Arial" w:eastAsiaTheme="minorHAnsi" w:hAnsi="Arial" w:cs="Arial"/>
          <w:sz w:val="20"/>
          <w:szCs w:val="20"/>
          <w:lang w:eastAsia="en-US"/>
        </w:rPr>
        <w:t>ci</w:t>
      </w:r>
      <w:r w:rsidRPr="00CE7D0F">
        <w:rPr>
          <w:rFonts w:ascii="Arial" w:eastAsiaTheme="minorHAnsi" w:hAnsi="Arial" w:cs="Arial"/>
          <w:sz w:val="20"/>
          <w:szCs w:val="20"/>
          <w:lang w:eastAsia="en-US"/>
        </w:rPr>
        <w:t xml:space="preserve"> (Automobile Club d'Italia);</w:t>
      </w:r>
    </w:p>
    <w:p w14:paraId="0ECAE6D6" w14:textId="77777777"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l’Archivio delle Revisioni dei veicoli, del Ministero delle Infrastrutture e dei Trasporti;</w:t>
      </w:r>
    </w:p>
    <w:p w14:paraId="19064D14" w14:textId="4E75951C"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 xml:space="preserve">Il Registro delle immatricolazioni dei veicoli, fornito da </w:t>
      </w:r>
      <w:r w:rsidR="00463FD7">
        <w:rPr>
          <w:rFonts w:ascii="Arial" w:eastAsiaTheme="minorHAnsi" w:hAnsi="Arial" w:cs="Arial"/>
          <w:sz w:val="20"/>
          <w:szCs w:val="20"/>
          <w:lang w:eastAsia="en-US"/>
        </w:rPr>
        <w:t>U</w:t>
      </w:r>
      <w:r w:rsidR="00463FD7" w:rsidRPr="00CE7D0F">
        <w:rPr>
          <w:rFonts w:ascii="Arial" w:eastAsiaTheme="minorHAnsi" w:hAnsi="Arial" w:cs="Arial"/>
          <w:sz w:val="20"/>
          <w:szCs w:val="20"/>
          <w:lang w:eastAsia="en-US"/>
        </w:rPr>
        <w:t>nrae</w:t>
      </w:r>
      <w:r w:rsidRPr="00CE7D0F">
        <w:rPr>
          <w:rFonts w:ascii="Arial" w:eastAsiaTheme="minorHAnsi" w:hAnsi="Arial" w:cs="Arial"/>
          <w:sz w:val="20"/>
          <w:szCs w:val="20"/>
          <w:lang w:eastAsia="en-US"/>
        </w:rPr>
        <w:t xml:space="preserve"> (Unione </w:t>
      </w:r>
      <w:r w:rsidR="00BA4C10" w:rsidRPr="00CE7D0F">
        <w:rPr>
          <w:rFonts w:ascii="Arial" w:eastAsiaTheme="minorHAnsi" w:hAnsi="Arial" w:cs="Arial"/>
          <w:sz w:val="20"/>
          <w:szCs w:val="20"/>
          <w:lang w:eastAsia="en-US"/>
        </w:rPr>
        <w:t>nazionale rappresentanti autoveicoli esteri</w:t>
      </w:r>
      <w:r w:rsidR="00BA4C10">
        <w:rPr>
          <w:rFonts w:ascii="Arial" w:eastAsiaTheme="minorHAnsi" w:hAnsi="Arial" w:cs="Arial"/>
          <w:sz w:val="20"/>
          <w:szCs w:val="20"/>
          <w:lang w:eastAsia="en-US"/>
        </w:rPr>
        <w:t>)</w:t>
      </w:r>
    </w:p>
    <w:p w14:paraId="21C7A79F" w14:textId="77777777"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la pubblicazione “Statistiche economiche, energetiche e petrolifere” dell’Unione Petrolifera;</w:t>
      </w:r>
    </w:p>
    <w:p w14:paraId="037650D0" w14:textId="79AFE0B7" w:rsidR="00A014B9" w:rsidRPr="00CE7D0F" w:rsidRDefault="00A014B9" w:rsidP="006865B0">
      <w:pPr>
        <w:pStyle w:val="Paragrafoelenco"/>
        <w:numPr>
          <w:ilvl w:val="0"/>
          <w:numId w:val="43"/>
        </w:numPr>
        <w:autoSpaceDE w:val="0"/>
        <w:autoSpaceDN w:val="0"/>
        <w:adjustRightInd w:val="0"/>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l'Inventario nazionale delle emissioni dell'</w:t>
      </w:r>
      <w:r w:rsidR="00463FD7">
        <w:rPr>
          <w:rFonts w:ascii="Arial" w:eastAsiaTheme="minorHAnsi" w:hAnsi="Arial" w:cs="Arial"/>
          <w:sz w:val="20"/>
          <w:szCs w:val="20"/>
          <w:lang w:eastAsia="en-US"/>
        </w:rPr>
        <w:t>I</w:t>
      </w:r>
      <w:r w:rsidR="00463FD7" w:rsidRPr="00CE7D0F">
        <w:rPr>
          <w:rFonts w:ascii="Arial" w:eastAsiaTheme="minorHAnsi" w:hAnsi="Arial" w:cs="Arial"/>
          <w:sz w:val="20"/>
          <w:szCs w:val="20"/>
          <w:lang w:eastAsia="en-US"/>
        </w:rPr>
        <w:t>spra</w:t>
      </w:r>
      <w:r w:rsidRPr="00CE7D0F">
        <w:rPr>
          <w:rFonts w:ascii="Arial" w:eastAsiaTheme="minorHAnsi" w:hAnsi="Arial" w:cs="Arial"/>
          <w:sz w:val="20"/>
          <w:szCs w:val="20"/>
          <w:lang w:eastAsia="en-US"/>
        </w:rPr>
        <w:t xml:space="preserve"> (Istituto </w:t>
      </w:r>
      <w:r w:rsidR="00463FD7" w:rsidRPr="00CE7D0F">
        <w:rPr>
          <w:rFonts w:ascii="Arial" w:eastAsiaTheme="minorHAnsi" w:hAnsi="Arial" w:cs="Arial"/>
          <w:sz w:val="20"/>
          <w:szCs w:val="20"/>
          <w:lang w:eastAsia="en-US"/>
        </w:rPr>
        <w:t>superiore per la ricerca e la protezione ambientale</w:t>
      </w:r>
      <w:r w:rsidRPr="00CE7D0F">
        <w:rPr>
          <w:rFonts w:ascii="Arial" w:eastAsiaTheme="minorHAnsi" w:hAnsi="Arial" w:cs="Arial"/>
          <w:sz w:val="20"/>
          <w:szCs w:val="20"/>
          <w:lang w:eastAsia="en-US"/>
        </w:rPr>
        <w:t xml:space="preserve">). </w:t>
      </w:r>
    </w:p>
    <w:p w14:paraId="6D06EB11" w14:textId="2718935E" w:rsidR="00A014B9" w:rsidRPr="00CE7D0F" w:rsidRDefault="00A014B9" w:rsidP="00CE7D0F">
      <w:pPr>
        <w:pStyle w:val="Titolo3"/>
        <w:spacing w:before="0" w:beforeAutospacing="0" w:after="120" w:afterAutospacing="0"/>
        <w:jc w:val="both"/>
        <w:rPr>
          <w:rFonts w:ascii="Arial" w:eastAsiaTheme="minorHAnsi" w:hAnsi="Arial" w:cs="Arial"/>
          <w:b w:val="0"/>
          <w:sz w:val="20"/>
          <w:lang w:eastAsia="en-US"/>
        </w:rPr>
      </w:pPr>
      <w:r w:rsidRPr="006A503F">
        <w:rPr>
          <w:rFonts w:ascii="Arial" w:eastAsia="Calibri" w:hAnsi="Arial" w:cs="Arial"/>
          <w:b w:val="0"/>
          <w:bCs w:val="0"/>
          <w:color w:val="1F497D"/>
          <w:sz w:val="22"/>
          <w:szCs w:val="20"/>
        </w:rPr>
        <w:t xml:space="preserve">Conti delle emissioni </w:t>
      </w:r>
      <w:r w:rsidR="00F71FB5">
        <w:rPr>
          <w:rFonts w:ascii="Arial" w:eastAsia="Calibri" w:hAnsi="Arial" w:cs="Arial"/>
          <w:b w:val="0"/>
          <w:bCs w:val="0"/>
          <w:color w:val="1F497D"/>
          <w:sz w:val="22"/>
          <w:szCs w:val="20"/>
        </w:rPr>
        <w:t>atmosferiche</w:t>
      </w:r>
      <w:r w:rsidRPr="006A503F">
        <w:rPr>
          <w:rFonts w:ascii="Arial" w:eastAsia="Calibri" w:hAnsi="Arial" w:cs="Arial"/>
          <w:b w:val="0"/>
          <w:bCs w:val="0"/>
          <w:color w:val="1F497D"/>
          <w:sz w:val="22"/>
          <w:szCs w:val="20"/>
        </w:rPr>
        <w:t xml:space="preserve"> (A</w:t>
      </w:r>
      <w:r w:rsidR="00463FD7">
        <w:rPr>
          <w:rFonts w:ascii="Arial" w:eastAsia="Calibri" w:hAnsi="Arial" w:cs="Arial"/>
          <w:b w:val="0"/>
          <w:bCs w:val="0"/>
          <w:color w:val="1F497D"/>
          <w:sz w:val="22"/>
          <w:szCs w:val="20"/>
        </w:rPr>
        <w:t>ea</w:t>
      </w:r>
      <w:r w:rsidRPr="006A503F">
        <w:rPr>
          <w:rFonts w:ascii="Arial" w:eastAsia="Calibri" w:hAnsi="Arial" w:cs="Arial"/>
          <w:b w:val="0"/>
          <w:bCs w:val="0"/>
          <w:color w:val="1F497D"/>
          <w:sz w:val="22"/>
          <w:szCs w:val="20"/>
        </w:rPr>
        <w:t>),</w:t>
      </w:r>
      <w:r w:rsidRPr="00CE7D0F">
        <w:rPr>
          <w:rFonts w:ascii="Arial" w:eastAsiaTheme="minorHAnsi" w:hAnsi="Arial" w:cs="Arial"/>
          <w:sz w:val="20"/>
          <w:lang w:eastAsia="en-US"/>
        </w:rPr>
        <w:t xml:space="preserve"> </w:t>
      </w:r>
      <w:r w:rsidRPr="00CE7D0F">
        <w:rPr>
          <w:rFonts w:ascii="Arial" w:eastAsiaTheme="minorHAnsi" w:hAnsi="Arial" w:cs="Arial"/>
          <w:b w:val="0"/>
          <w:sz w:val="20"/>
          <w:lang w:eastAsia="en-US"/>
        </w:rPr>
        <w:t>già noti come conti di tipo N</w:t>
      </w:r>
      <w:r w:rsidR="00463FD7">
        <w:rPr>
          <w:rFonts w:ascii="Arial" w:eastAsiaTheme="minorHAnsi" w:hAnsi="Arial" w:cs="Arial"/>
          <w:b w:val="0"/>
          <w:sz w:val="20"/>
          <w:lang w:eastAsia="en-US"/>
        </w:rPr>
        <w:t>amea</w:t>
      </w:r>
      <w:r w:rsidRPr="00CE7D0F">
        <w:rPr>
          <w:rFonts w:ascii="Arial" w:eastAsiaTheme="minorHAnsi" w:hAnsi="Arial" w:cs="Arial"/>
          <w:b w:val="0"/>
          <w:sz w:val="20"/>
          <w:lang w:eastAsia="en-US"/>
        </w:rPr>
        <w:t xml:space="preserve">, sono compilati a partire principalmente dall’inventario nazionale delle emissioni atmosferiche, realizzato annualmente dall’Istituto </w:t>
      </w:r>
      <w:r w:rsidR="00463FD7" w:rsidRPr="00CE7D0F">
        <w:rPr>
          <w:rFonts w:ascii="Arial" w:eastAsiaTheme="minorHAnsi" w:hAnsi="Arial" w:cs="Arial"/>
          <w:b w:val="0"/>
          <w:sz w:val="20"/>
          <w:lang w:eastAsia="en-US"/>
        </w:rPr>
        <w:t xml:space="preserve">superiore per la ricerca e la protezione ambientale </w:t>
      </w:r>
      <w:r w:rsidRPr="00CE7D0F">
        <w:rPr>
          <w:rFonts w:ascii="Arial" w:eastAsiaTheme="minorHAnsi" w:hAnsi="Arial" w:cs="Arial"/>
          <w:b w:val="0"/>
          <w:sz w:val="20"/>
          <w:lang w:eastAsia="en-US"/>
        </w:rPr>
        <w:t>(Ispra), dal quale scaturiscono i dati comunicati dall’Italia in sede internazionale nell’ambito della convenzione quadro delle Nazioni Unite sui cambiamenti climatici (</w:t>
      </w:r>
      <w:r w:rsidRPr="00CE7D0F">
        <w:rPr>
          <w:rFonts w:ascii="Arial" w:eastAsiaTheme="minorHAnsi" w:hAnsi="Arial" w:cs="Arial"/>
          <w:b w:val="0"/>
          <w:i/>
          <w:iCs/>
          <w:sz w:val="20"/>
          <w:lang w:eastAsia="en-US"/>
        </w:rPr>
        <w:t xml:space="preserve">United </w:t>
      </w:r>
      <w:r w:rsidR="00463FD7" w:rsidRPr="00CE7D0F">
        <w:rPr>
          <w:rFonts w:ascii="Arial" w:eastAsiaTheme="minorHAnsi" w:hAnsi="Arial" w:cs="Arial"/>
          <w:b w:val="0"/>
          <w:i/>
          <w:iCs/>
          <w:sz w:val="20"/>
          <w:lang w:eastAsia="en-US"/>
        </w:rPr>
        <w:t>nations convention on climate change</w:t>
      </w:r>
      <w:r w:rsidR="00463FD7" w:rsidRPr="00CE7D0F">
        <w:rPr>
          <w:rFonts w:ascii="Arial" w:eastAsiaTheme="minorHAnsi" w:hAnsi="Arial" w:cs="Arial"/>
          <w:b w:val="0"/>
          <w:sz w:val="20"/>
          <w:lang w:eastAsia="en-US"/>
        </w:rPr>
        <w:t xml:space="preserve"> </w:t>
      </w:r>
      <w:r w:rsidRPr="00CE7D0F">
        <w:rPr>
          <w:rFonts w:ascii="Arial" w:eastAsiaTheme="minorHAnsi" w:hAnsi="Arial" w:cs="Arial"/>
          <w:b w:val="0"/>
          <w:sz w:val="20"/>
          <w:lang w:eastAsia="en-US"/>
        </w:rPr>
        <w:t>- Unfccc) e della Convenzione sull'inquinamento atmosferico transfrontaliero (</w:t>
      </w:r>
      <w:r w:rsidRPr="00CE7D0F">
        <w:rPr>
          <w:rFonts w:ascii="Arial" w:eastAsiaTheme="minorHAnsi" w:hAnsi="Arial" w:cs="Arial"/>
          <w:b w:val="0"/>
          <w:i/>
          <w:iCs/>
          <w:sz w:val="20"/>
          <w:lang w:eastAsia="en-US"/>
        </w:rPr>
        <w:t>Convention on long range transboundary air pollution</w:t>
      </w:r>
      <w:r w:rsidRPr="00CE7D0F">
        <w:rPr>
          <w:rFonts w:ascii="Arial" w:eastAsiaTheme="minorHAnsi" w:hAnsi="Arial" w:cs="Arial"/>
          <w:b w:val="0"/>
          <w:sz w:val="20"/>
          <w:lang w:eastAsia="en-US"/>
        </w:rPr>
        <w:t xml:space="preserve"> - Clrtap). La relazione esistente fra le emissioni dei Conti A</w:t>
      </w:r>
      <w:r w:rsidR="00463FD7">
        <w:rPr>
          <w:rFonts w:ascii="Arial" w:eastAsiaTheme="minorHAnsi" w:hAnsi="Arial" w:cs="Arial"/>
          <w:b w:val="0"/>
          <w:sz w:val="20"/>
          <w:lang w:eastAsia="en-US"/>
        </w:rPr>
        <w:t>ea</w:t>
      </w:r>
      <w:r w:rsidRPr="00CE7D0F">
        <w:rPr>
          <w:rFonts w:ascii="Arial" w:eastAsiaTheme="minorHAnsi" w:hAnsi="Arial" w:cs="Arial"/>
          <w:b w:val="0"/>
          <w:sz w:val="20"/>
          <w:lang w:eastAsia="en-US"/>
        </w:rPr>
        <w:t xml:space="preserve"> e quelle calcolate dall’Ispra nell’ambito delle due citate convenzioni è illustrata nelle presenti note e quantificata nel 'Raccordo tra totale N</w:t>
      </w:r>
      <w:r w:rsidR="00463FD7">
        <w:rPr>
          <w:rFonts w:ascii="Arial" w:eastAsiaTheme="minorHAnsi" w:hAnsi="Arial" w:cs="Arial"/>
          <w:b w:val="0"/>
          <w:sz w:val="20"/>
          <w:lang w:eastAsia="en-US"/>
        </w:rPr>
        <w:t>amea</w:t>
      </w:r>
      <w:r w:rsidRPr="00CE7D0F">
        <w:rPr>
          <w:rFonts w:ascii="Arial" w:eastAsiaTheme="minorHAnsi" w:hAnsi="Arial" w:cs="Arial"/>
          <w:b w:val="0"/>
          <w:sz w:val="20"/>
          <w:lang w:eastAsia="en-US"/>
        </w:rPr>
        <w:t xml:space="preserve"> e totale Unfccc/Clrtap’. Le rimanenti discrepanze statistiche sono per lo più dovute all'utilizzo dei dati più recenti, gentilmente forniti da </w:t>
      </w:r>
      <w:r w:rsidR="00463FD7" w:rsidRPr="00CE7D0F">
        <w:rPr>
          <w:rFonts w:ascii="Arial" w:eastAsiaTheme="minorHAnsi" w:hAnsi="Arial" w:cs="Arial"/>
          <w:b w:val="0"/>
          <w:sz w:val="20"/>
          <w:lang w:eastAsia="en-US"/>
        </w:rPr>
        <w:t>Ispra</w:t>
      </w:r>
      <w:r w:rsidRPr="00CE7D0F">
        <w:rPr>
          <w:rFonts w:ascii="Arial" w:eastAsiaTheme="minorHAnsi" w:hAnsi="Arial" w:cs="Arial"/>
          <w:b w:val="0"/>
          <w:sz w:val="20"/>
          <w:lang w:eastAsia="en-US"/>
        </w:rPr>
        <w:t xml:space="preserve">, aggiornati successivamente alle ultime comunicazioni ufficiali. </w:t>
      </w:r>
    </w:p>
    <w:p w14:paraId="3D74CB29" w14:textId="13D0F565" w:rsidR="00A014B9" w:rsidRPr="006A503F" w:rsidRDefault="00A014B9" w:rsidP="00A8174A">
      <w:pPr>
        <w:pStyle w:val="Nessunaspaziatura"/>
      </w:pPr>
      <w:r w:rsidRPr="006A503F">
        <w:t>Ulteriori fonti di dati sono rappresentate dalle informazioni annuali correntemente prodotte dall’Istat nell’ambito dei conti economici nazionali e dei conti economici ambientali, e in particolare dal conto dei flussi fisici dell’energia (</w:t>
      </w:r>
      <w:r w:rsidR="00463FD7" w:rsidRPr="00A027C8">
        <w:rPr>
          <w:i/>
        </w:rPr>
        <w:t>Pefa</w:t>
      </w:r>
      <w:r w:rsidRPr="006A503F">
        <w:t xml:space="preserve">). </w:t>
      </w:r>
    </w:p>
    <w:p w14:paraId="44A2B198" w14:textId="77777777" w:rsidR="00A014B9" w:rsidRPr="00A35518" w:rsidRDefault="00A014B9" w:rsidP="00A35518">
      <w:pPr>
        <w:pStyle w:val="Titolo3"/>
        <w:spacing w:before="0" w:beforeAutospacing="0" w:after="120" w:afterAutospacing="0"/>
        <w:jc w:val="both"/>
        <w:rPr>
          <w:rFonts w:ascii="Arial" w:hAnsi="Arial" w:cs="Arial"/>
          <w:b w:val="0"/>
        </w:rPr>
      </w:pPr>
      <w:r w:rsidRPr="006A503F">
        <w:rPr>
          <w:rFonts w:ascii="Arial" w:eastAsia="Calibri" w:hAnsi="Arial" w:cs="Arial"/>
          <w:b w:val="0"/>
          <w:bCs w:val="0"/>
          <w:color w:val="1F497D"/>
          <w:sz w:val="22"/>
          <w:szCs w:val="20"/>
        </w:rPr>
        <w:t>Conti del settore dei beni e dei servizi ambientali.</w:t>
      </w:r>
      <w:r w:rsidRPr="00CE7D0F">
        <w:rPr>
          <w:rFonts w:ascii="Arial" w:hAnsi="Arial" w:cs="Arial"/>
          <w:b w:val="0"/>
        </w:rPr>
        <w:t xml:space="preserve"> </w:t>
      </w:r>
      <w:r w:rsidRPr="00CE7D0F">
        <w:rPr>
          <w:rFonts w:ascii="Arial" w:eastAsiaTheme="minorHAnsi" w:hAnsi="Arial" w:cs="Arial"/>
          <w:b w:val="0"/>
          <w:sz w:val="20"/>
          <w:lang w:eastAsia="en-US"/>
        </w:rPr>
        <w:t xml:space="preserve">Le principali fonti informative utilizzate per la stima degli </w:t>
      </w:r>
      <w:r w:rsidRPr="00A35518">
        <w:rPr>
          <w:rFonts w:ascii="Arial" w:eastAsiaTheme="minorHAnsi" w:hAnsi="Arial" w:cs="Arial"/>
          <w:b w:val="0"/>
          <w:sz w:val="20"/>
          <w:lang w:eastAsia="en-US"/>
        </w:rPr>
        <w:t xml:space="preserve">aggregati dei conti del settore dei beni e dei servizi ambientali sono sia di natura statistica sia amministrativa: </w:t>
      </w:r>
    </w:p>
    <w:p w14:paraId="3083FBEC" w14:textId="5F71E38B" w:rsidR="00A014B9" w:rsidRPr="006A503F" w:rsidRDefault="00A014B9" w:rsidP="00A8174A">
      <w:pPr>
        <w:pStyle w:val="Nessunaspaziatura"/>
        <w:numPr>
          <w:ilvl w:val="0"/>
          <w:numId w:val="40"/>
        </w:numPr>
      </w:pPr>
      <w:r w:rsidRPr="006A503F">
        <w:t xml:space="preserve">dati di indagine: </w:t>
      </w:r>
      <w:r w:rsidR="00463FD7" w:rsidRPr="006A503F">
        <w:t>Prodcom</w:t>
      </w:r>
      <w:r w:rsidRPr="006A503F">
        <w:t>, statistiche strutturali sulle imprese (investimenti e spese correnti per la protezione dell’ambiente rilevate dalle indagini S</w:t>
      </w:r>
      <w:r w:rsidR="00B314AD">
        <w:t>ci</w:t>
      </w:r>
      <w:r w:rsidRPr="006A503F">
        <w:t xml:space="preserve"> - Sistema dei </w:t>
      </w:r>
      <w:r w:rsidR="00B314AD" w:rsidRPr="006A503F">
        <w:t>conti delle imprese</w:t>
      </w:r>
      <w:r w:rsidRPr="006A503F">
        <w:t xml:space="preserve"> e </w:t>
      </w:r>
      <w:r w:rsidR="00463FD7" w:rsidRPr="006A503F">
        <w:t>Pmi</w:t>
      </w:r>
      <w:r w:rsidRPr="006A503F">
        <w:t xml:space="preserve"> - Piccole e </w:t>
      </w:r>
      <w:r w:rsidR="00B314AD" w:rsidRPr="006A503F">
        <w:t xml:space="preserve">medie imprese </w:t>
      </w:r>
      <w:r w:rsidRPr="006A503F">
        <w:t xml:space="preserve">ed esercizio di arti e professioni); </w:t>
      </w:r>
    </w:p>
    <w:p w14:paraId="52644F32" w14:textId="7B054E9D" w:rsidR="00A014B9" w:rsidRPr="006A503F" w:rsidRDefault="00A014B9" w:rsidP="00A8174A">
      <w:pPr>
        <w:pStyle w:val="Nessunaspaziatura"/>
        <w:numPr>
          <w:ilvl w:val="0"/>
          <w:numId w:val="40"/>
        </w:numPr>
      </w:pPr>
      <w:r w:rsidRPr="006A503F">
        <w:t>dati amministrativi: archivio delle revisioni, archivio A</w:t>
      </w:r>
      <w:r w:rsidR="00B314AD">
        <w:t>ci</w:t>
      </w:r>
      <w:r w:rsidRPr="006A503F">
        <w:t xml:space="preserve"> sul parco circolante, archivio </w:t>
      </w:r>
      <w:r w:rsidR="00463FD7" w:rsidRPr="006A503F">
        <w:t>Ispra</w:t>
      </w:r>
      <w:r w:rsidRPr="006A503F">
        <w:t xml:space="preserve"> delle certificazioni E</w:t>
      </w:r>
      <w:r w:rsidR="00B314AD">
        <w:t>mas</w:t>
      </w:r>
      <w:r w:rsidRPr="006A503F">
        <w:t xml:space="preserve"> (</w:t>
      </w:r>
      <w:r w:rsidRPr="006A503F">
        <w:rPr>
          <w:i/>
        </w:rPr>
        <w:t>Eco-</w:t>
      </w:r>
      <w:r w:rsidR="00B314AD" w:rsidRPr="006A503F">
        <w:rPr>
          <w:i/>
        </w:rPr>
        <w:t>management and audit scheme</w:t>
      </w:r>
      <w:r w:rsidRPr="006A503F">
        <w:t>);</w:t>
      </w:r>
    </w:p>
    <w:p w14:paraId="6D3F0F6C" w14:textId="6B96878C" w:rsidR="00A014B9" w:rsidRPr="006A503F" w:rsidRDefault="00A014B9" w:rsidP="00A8174A">
      <w:pPr>
        <w:pStyle w:val="Nessunaspaziatura"/>
        <w:numPr>
          <w:ilvl w:val="0"/>
          <w:numId w:val="40"/>
        </w:numPr>
      </w:pPr>
      <w:r w:rsidRPr="006A503F">
        <w:t>altri dati statistici: bilanci economici, finanziari e ambientali di specifiche aziende; rapporti e dati statistici per il settore delle energie da fonti rinnovabili prodotti dal G</w:t>
      </w:r>
      <w:r w:rsidR="00B314AD">
        <w:t>se</w:t>
      </w:r>
      <w:r w:rsidRPr="006A503F">
        <w:t xml:space="preserve">, da associazioni di categoria e altri enti. </w:t>
      </w:r>
    </w:p>
    <w:p w14:paraId="273F8F68" w14:textId="255EDB56" w:rsidR="00A014B9" w:rsidRPr="006A503F" w:rsidRDefault="00A014B9" w:rsidP="00A8174A">
      <w:pPr>
        <w:pStyle w:val="Nessunaspaziatura"/>
      </w:pPr>
      <w:r w:rsidRPr="006A503F">
        <w:lastRenderedPageBreak/>
        <w:t xml:space="preserve">Ulteriori fonti di dati sono rappresentate dalle informazioni annuali correntemente prodotte dall’Istat nell’ambito dei conti economici nazionali e dei conti economici ambientali: </w:t>
      </w:r>
    </w:p>
    <w:p w14:paraId="4C6D5548" w14:textId="77777777" w:rsidR="00A014B9" w:rsidRPr="006A503F" w:rsidRDefault="00A014B9" w:rsidP="00A8174A">
      <w:pPr>
        <w:pStyle w:val="Nessunaspaziatura"/>
        <w:numPr>
          <w:ilvl w:val="0"/>
          <w:numId w:val="41"/>
        </w:numPr>
      </w:pPr>
      <w:r w:rsidRPr="006A503F">
        <w:t xml:space="preserve">gli investimenti per branca, i conti economici dell’agricoltura, le esportazioni per prodotto, il valore aggiunto e le unità di lavoro per branca, le tavole supply and use; </w:t>
      </w:r>
    </w:p>
    <w:p w14:paraId="196D9675" w14:textId="4319F2D3" w:rsidR="00A014B9" w:rsidRPr="006A503F" w:rsidRDefault="00A014B9" w:rsidP="00A8174A">
      <w:pPr>
        <w:pStyle w:val="Nessunaspaziatura"/>
        <w:numPr>
          <w:ilvl w:val="0"/>
          <w:numId w:val="41"/>
        </w:numPr>
      </w:pPr>
      <w:r w:rsidRPr="006A503F">
        <w:t xml:space="preserve">il conto dei </w:t>
      </w:r>
      <w:r w:rsidR="00F0457F">
        <w:t>flussi fisici dell’energia (</w:t>
      </w:r>
      <w:r w:rsidR="00F0457F" w:rsidRPr="00A027C8">
        <w:rPr>
          <w:i/>
        </w:rPr>
        <w:t>Pefa</w:t>
      </w:r>
      <w:r w:rsidRPr="006A503F">
        <w:t xml:space="preserve">). </w:t>
      </w:r>
    </w:p>
    <w:p w14:paraId="1C31BE2E" w14:textId="77777777" w:rsidR="00A014B9" w:rsidRPr="00A35518" w:rsidRDefault="00A014B9" w:rsidP="00A35518">
      <w:pPr>
        <w:pStyle w:val="Titolo3"/>
        <w:spacing w:before="0" w:beforeAutospacing="0" w:after="120" w:afterAutospacing="0"/>
        <w:jc w:val="both"/>
        <w:rPr>
          <w:rFonts w:ascii="Arial" w:eastAsiaTheme="minorHAnsi" w:hAnsi="Arial" w:cs="Arial"/>
          <w:b w:val="0"/>
          <w:sz w:val="20"/>
          <w:lang w:eastAsia="en-US"/>
        </w:rPr>
      </w:pPr>
      <w:r w:rsidRPr="006A503F">
        <w:rPr>
          <w:rFonts w:ascii="Arial" w:eastAsia="Calibri" w:hAnsi="Arial" w:cs="Arial"/>
          <w:b w:val="0"/>
          <w:bCs w:val="0"/>
          <w:color w:val="1F497D"/>
          <w:sz w:val="22"/>
          <w:szCs w:val="20"/>
        </w:rPr>
        <w:t xml:space="preserve">Conti della spesa per la protezione dell’ambiente. </w:t>
      </w:r>
      <w:r w:rsidRPr="00A35518">
        <w:rPr>
          <w:rFonts w:ascii="Arial" w:eastAsiaTheme="minorHAnsi" w:hAnsi="Arial" w:cs="Arial"/>
          <w:b w:val="0"/>
          <w:sz w:val="20"/>
          <w:lang w:eastAsia="en-US"/>
        </w:rPr>
        <w:t xml:space="preserve">Le principali fonti informative utilizzate per la stima degli aggregati dei conti della spesa per la protezione dell’ambiente sono: </w:t>
      </w:r>
    </w:p>
    <w:p w14:paraId="3B599C9D" w14:textId="562B08EB" w:rsidR="00A014B9" w:rsidRPr="006A503F" w:rsidRDefault="00A014B9" w:rsidP="00A8174A">
      <w:pPr>
        <w:pStyle w:val="Nessunaspaziatura"/>
        <w:numPr>
          <w:ilvl w:val="0"/>
          <w:numId w:val="40"/>
        </w:numPr>
      </w:pPr>
      <w:r w:rsidRPr="006A503F">
        <w:t xml:space="preserve">i conti economici nazionali - principalmente le tavole risorse e impieghi, i conti della </w:t>
      </w:r>
      <w:r w:rsidR="007F3CCA">
        <w:t>Pubblica amministrazione</w:t>
      </w:r>
      <w:r w:rsidRPr="006A503F">
        <w:t xml:space="preserve"> per funzione (C</w:t>
      </w:r>
      <w:r w:rsidR="00F0457F">
        <w:t>ofog</w:t>
      </w:r>
      <w:r w:rsidRPr="006A503F">
        <w:t xml:space="preserve">), investimenti per branca proprietaria; </w:t>
      </w:r>
    </w:p>
    <w:p w14:paraId="77DA0BD2" w14:textId="2104355C" w:rsidR="00A014B9" w:rsidRPr="006A503F" w:rsidRDefault="00A014B9" w:rsidP="00A8174A">
      <w:pPr>
        <w:pStyle w:val="Nessunaspaziatura"/>
        <w:numPr>
          <w:ilvl w:val="0"/>
          <w:numId w:val="40"/>
        </w:numPr>
      </w:pPr>
      <w:r w:rsidRPr="006A503F">
        <w:t>dati di indagine: investimenti e spese correnti per la protezione dell’ambiente rilevate dalle indagini S</w:t>
      </w:r>
      <w:r w:rsidR="00F0457F">
        <w:t>ci</w:t>
      </w:r>
      <w:r w:rsidRPr="006A503F">
        <w:t xml:space="preserve"> - Sistema dei </w:t>
      </w:r>
      <w:r w:rsidR="00F0457F" w:rsidRPr="006A503F">
        <w:t>conti delle imprese</w:t>
      </w:r>
      <w:r w:rsidRPr="006A503F">
        <w:t xml:space="preserve"> e P</w:t>
      </w:r>
      <w:r w:rsidR="00F0457F">
        <w:t>mi</w:t>
      </w:r>
      <w:r w:rsidRPr="006A503F">
        <w:t xml:space="preserve"> - Piccole e </w:t>
      </w:r>
      <w:r w:rsidR="00F0457F">
        <w:t>medie i</w:t>
      </w:r>
      <w:r w:rsidRPr="006A503F">
        <w:t>mprese ed esercizio di arti e professioni; per la stima di alcuni aggregati di spesa per la protezione dell’ambiente, vengono implementate metodologie ad hoc al fine di garantire la coerenza dei dati di indagine con i dati dei conti economici nazionali.</w:t>
      </w:r>
    </w:p>
    <w:p w14:paraId="030480DD" w14:textId="0F88FD14" w:rsidR="00A014B9" w:rsidRDefault="00A014B9" w:rsidP="00A35518">
      <w:pPr>
        <w:pStyle w:val="Titolo3"/>
        <w:spacing w:before="0" w:beforeAutospacing="0" w:after="120" w:afterAutospacing="0"/>
        <w:jc w:val="both"/>
        <w:rPr>
          <w:rFonts w:ascii="Arial" w:eastAsiaTheme="minorHAnsi" w:hAnsi="Arial" w:cs="Arial"/>
          <w:b w:val="0"/>
          <w:sz w:val="20"/>
          <w:lang w:eastAsia="en-US"/>
        </w:rPr>
      </w:pPr>
      <w:r w:rsidRPr="006A503F">
        <w:rPr>
          <w:rFonts w:ascii="Arial" w:eastAsia="Calibri" w:hAnsi="Arial" w:cs="Arial"/>
          <w:b w:val="0"/>
          <w:bCs w:val="0"/>
          <w:color w:val="1F497D"/>
          <w:sz w:val="22"/>
          <w:szCs w:val="20"/>
        </w:rPr>
        <w:t>Conti delle imposte ambientali.</w:t>
      </w:r>
      <w:r w:rsidRPr="00A35518">
        <w:rPr>
          <w:rFonts w:ascii="Arial" w:hAnsi="Arial" w:cs="Arial"/>
          <w:b w:val="0"/>
        </w:rPr>
        <w:t xml:space="preserve"> </w:t>
      </w:r>
      <w:r w:rsidRPr="00A35518">
        <w:rPr>
          <w:rFonts w:ascii="Arial" w:eastAsiaTheme="minorHAnsi" w:hAnsi="Arial" w:cs="Arial"/>
          <w:b w:val="0"/>
          <w:sz w:val="20"/>
          <w:lang w:eastAsia="en-US"/>
        </w:rPr>
        <w:t>I dati sulle imposte ambientali originano dalle elaborazioni effettuate nel contesto della contabilità nazionale per la costruzione dei Conti ed aggregati economici delle Amministrazioni pubbliche. In alcuni casi il gettito della singola imposta è individuabile singolarmente nei conti, in altri è parte di aggregati più ampi.</w:t>
      </w:r>
    </w:p>
    <w:p w14:paraId="1561A4A9" w14:textId="77777777" w:rsidR="00393BB7" w:rsidRPr="00A35518" w:rsidRDefault="00393BB7" w:rsidP="00A35518">
      <w:pPr>
        <w:pStyle w:val="Titolo3"/>
        <w:spacing w:before="0" w:beforeAutospacing="0" w:after="120" w:afterAutospacing="0"/>
        <w:jc w:val="both"/>
        <w:rPr>
          <w:rFonts w:ascii="Arial" w:eastAsiaTheme="minorHAnsi" w:hAnsi="Arial" w:cs="Arial"/>
          <w:b w:val="0"/>
          <w:sz w:val="20"/>
          <w:lang w:eastAsia="en-US"/>
        </w:rPr>
      </w:pPr>
    </w:p>
    <w:p w14:paraId="5ED03E47" w14:textId="77777777" w:rsidR="00A014B9" w:rsidRPr="00CE7D0F" w:rsidRDefault="00A014B9" w:rsidP="00CE7D0F">
      <w:pPr>
        <w:pStyle w:val="Titolo2"/>
        <w:autoSpaceDE w:val="0"/>
        <w:autoSpaceDN w:val="0"/>
        <w:adjustRightInd w:val="0"/>
        <w:jc w:val="both"/>
        <w:rPr>
          <w:rFonts w:ascii="Arial" w:hAnsi="Arial" w:cs="Arial"/>
          <w:b/>
          <w:bCs w:val="0"/>
          <w:i w:val="0"/>
          <w:color w:val="1F497D" w:themeColor="text2"/>
          <w:sz w:val="22"/>
          <w:szCs w:val="22"/>
        </w:rPr>
      </w:pPr>
      <w:r w:rsidRPr="00CE7D0F">
        <w:rPr>
          <w:rFonts w:ascii="Arial" w:hAnsi="Arial" w:cs="Arial"/>
          <w:b/>
          <w:bCs w:val="0"/>
          <w:i w:val="0"/>
          <w:color w:val="1F497D" w:themeColor="text2"/>
          <w:sz w:val="22"/>
          <w:szCs w:val="22"/>
        </w:rPr>
        <w:t>Le politiche di diffusione e revisione</w:t>
      </w:r>
    </w:p>
    <w:p w14:paraId="1CA1F3E3" w14:textId="77777777" w:rsidR="006C1868" w:rsidRDefault="00A014B9" w:rsidP="00CE7D0F">
      <w:pPr>
        <w:spacing w:after="120"/>
        <w:jc w:val="both"/>
        <w:rPr>
          <w:rFonts w:ascii="Arial" w:eastAsiaTheme="minorHAnsi" w:hAnsi="Arial" w:cs="Arial"/>
          <w:sz w:val="20"/>
          <w:szCs w:val="20"/>
          <w:lang w:eastAsia="en-US"/>
        </w:rPr>
      </w:pPr>
      <w:r w:rsidRPr="00CE7D0F">
        <w:rPr>
          <w:rFonts w:ascii="Arial" w:eastAsiaTheme="minorHAnsi" w:hAnsi="Arial" w:cs="Arial"/>
          <w:sz w:val="20"/>
          <w:szCs w:val="20"/>
          <w:lang w:eastAsia="en-US"/>
        </w:rPr>
        <w:t xml:space="preserve">Le stime </w:t>
      </w:r>
      <w:r w:rsidR="00A05241">
        <w:rPr>
          <w:rFonts w:ascii="Arial" w:eastAsiaTheme="minorHAnsi" w:hAnsi="Arial" w:cs="Arial"/>
          <w:sz w:val="20"/>
          <w:szCs w:val="20"/>
          <w:lang w:eastAsia="en-US"/>
        </w:rPr>
        <w:t xml:space="preserve">di dettaglio </w:t>
      </w:r>
      <w:r w:rsidRPr="00CE7D0F">
        <w:rPr>
          <w:rFonts w:ascii="Arial" w:eastAsiaTheme="minorHAnsi" w:hAnsi="Arial" w:cs="Arial"/>
          <w:sz w:val="20"/>
          <w:szCs w:val="20"/>
          <w:lang w:eastAsia="en-US"/>
        </w:rPr>
        <w:t>dei conti ambientali vengono diffuse una volta l’anno (denominato t)</w:t>
      </w:r>
      <w:r w:rsidR="00A05241">
        <w:rPr>
          <w:rFonts w:ascii="Arial" w:eastAsiaTheme="minorHAnsi" w:hAnsi="Arial" w:cs="Arial"/>
          <w:sz w:val="20"/>
          <w:szCs w:val="20"/>
          <w:lang w:eastAsia="en-US"/>
        </w:rPr>
        <w:t xml:space="preserve"> tramite la banca dati </w:t>
      </w:r>
      <w:r w:rsidR="00A05241">
        <w:rPr>
          <w:rFonts w:ascii="Arial" w:eastAsiaTheme="minorHAnsi" w:hAnsi="Arial" w:cs="Arial"/>
          <w:i/>
          <w:sz w:val="20"/>
          <w:szCs w:val="20"/>
          <w:lang w:eastAsia="en-US"/>
        </w:rPr>
        <w:t>IstatD</w:t>
      </w:r>
      <w:r w:rsidR="00A05241" w:rsidRPr="00A05241">
        <w:rPr>
          <w:rFonts w:ascii="Arial" w:eastAsiaTheme="minorHAnsi" w:hAnsi="Arial" w:cs="Arial"/>
          <w:i/>
          <w:sz w:val="20"/>
          <w:szCs w:val="20"/>
          <w:lang w:eastAsia="en-US"/>
        </w:rPr>
        <w:t>ata</w:t>
      </w:r>
      <w:r w:rsidRPr="00CE7D0F">
        <w:rPr>
          <w:rFonts w:ascii="Arial" w:eastAsiaTheme="minorHAnsi" w:hAnsi="Arial" w:cs="Arial"/>
          <w:sz w:val="20"/>
          <w:szCs w:val="20"/>
          <w:lang w:eastAsia="en-US"/>
        </w:rPr>
        <w:t xml:space="preserve">, ad eccezione degli aggregati delle imposte ambientali per i quali sono previste due uscite, secondo il seguente calendario: nel mese di febbraio i conti delle spese per la protezione dell’ambiente (serie storica fino all’anno t-3), a maggio le imposte ambientali e i flussi di materia (serie storica fino all’anno t-2), a ottobre/novembre i flussi energetici fisici e le emissioni atmosferiche (serie storica fino all’anno t-2)  e l’aggiornamento della serie delle imposte ambientali diffusa a maggio, a dicembre gli aggregati del settore dei beni e servizi ambientali (serie storica fino all’anno t-2). Le serie storiche vengono aggiornate annualmente per recepire aggiornamenti degli input e rivisti in occasione di revisioni metodologiche, incluse le revisioni generali dei conti nazionali. </w:t>
      </w:r>
    </w:p>
    <w:p w14:paraId="63BB4168" w14:textId="78A98651" w:rsidR="00A014B9" w:rsidRPr="00CE7D0F" w:rsidRDefault="00C3109E" w:rsidP="00CE7D0F">
      <w:pPr>
        <w:spacing w:after="120"/>
        <w:jc w:val="both"/>
        <w:rPr>
          <w:rFonts w:ascii="Arial" w:eastAsia="Calibri" w:hAnsi="Arial" w:cs="Arial"/>
        </w:rPr>
      </w:pPr>
      <w:r w:rsidRPr="00C3109E">
        <w:rPr>
          <w:rFonts w:ascii="Arial" w:eastAsiaTheme="minorHAnsi" w:hAnsi="Arial" w:cs="Arial"/>
          <w:sz w:val="20"/>
          <w:szCs w:val="20"/>
          <w:lang w:eastAsia="en-US"/>
        </w:rPr>
        <w:t xml:space="preserve">Gli indicatori dei conti ambientali </w:t>
      </w:r>
      <w:r>
        <w:rPr>
          <w:rFonts w:ascii="Arial" w:eastAsiaTheme="minorHAnsi" w:hAnsi="Arial" w:cs="Arial"/>
          <w:sz w:val="20"/>
          <w:szCs w:val="20"/>
          <w:lang w:eastAsia="en-US"/>
        </w:rPr>
        <w:t xml:space="preserve">diffusi in questa Statistica Report </w:t>
      </w:r>
      <w:r w:rsidRPr="00C3109E">
        <w:rPr>
          <w:rFonts w:ascii="Arial" w:eastAsiaTheme="minorHAnsi" w:hAnsi="Arial" w:cs="Arial"/>
          <w:sz w:val="20"/>
          <w:szCs w:val="20"/>
          <w:lang w:eastAsia="en-US"/>
        </w:rPr>
        <w:t>sono coerenti con la revisione generale dei conti nazionali del 2024. Per i flussi di materia l’aggiornamento della serie è previsto per maggio 2025.</w:t>
      </w:r>
      <w:r w:rsidR="00A014B9" w:rsidRPr="00CE7D0F">
        <w:rPr>
          <w:rFonts w:ascii="Arial" w:eastAsia="Calibri" w:hAnsi="Arial" w:cs="Arial"/>
        </w:rPr>
        <w:br w:type="page"/>
      </w:r>
    </w:p>
    <w:p w14:paraId="21C92FFD" w14:textId="77777777" w:rsidR="00A014B9" w:rsidRPr="00CE7D0F" w:rsidRDefault="00A014B9" w:rsidP="00D548C8">
      <w:pPr>
        <w:pStyle w:val="Titolo2"/>
        <w:autoSpaceDE w:val="0"/>
        <w:autoSpaceDN w:val="0"/>
        <w:adjustRightInd w:val="0"/>
        <w:spacing w:before="240"/>
        <w:jc w:val="both"/>
        <w:rPr>
          <w:rFonts w:ascii="Arial" w:hAnsi="Arial" w:cs="Arial"/>
          <w:b/>
          <w:bCs w:val="0"/>
          <w:i w:val="0"/>
          <w:color w:val="1F497D" w:themeColor="text2"/>
          <w:sz w:val="22"/>
          <w:szCs w:val="22"/>
        </w:rPr>
      </w:pPr>
      <w:r w:rsidRPr="00CE7D0F">
        <w:rPr>
          <w:rFonts w:ascii="Arial" w:hAnsi="Arial" w:cs="Arial"/>
          <w:b/>
          <w:bCs w:val="0"/>
          <w:i w:val="0"/>
          <w:color w:val="1F497D" w:themeColor="text2"/>
          <w:sz w:val="22"/>
          <w:szCs w:val="22"/>
        </w:rPr>
        <w:lastRenderedPageBreak/>
        <w:t xml:space="preserve">Aggregazioni di attività economiche utilizzate nella Statistica Report: </w:t>
      </w:r>
    </w:p>
    <w:p w14:paraId="3E42C464" w14:textId="7E73B95F" w:rsidR="00A014B9" w:rsidRPr="00CE7D0F" w:rsidRDefault="00A014B9" w:rsidP="00A014B9">
      <w:pPr>
        <w:pStyle w:val="Paragrafoelenco"/>
        <w:numPr>
          <w:ilvl w:val="0"/>
          <w:numId w:val="42"/>
        </w:numPr>
        <w:autoSpaceDE w:val="0"/>
        <w:autoSpaceDN w:val="0"/>
        <w:adjustRightInd w:val="0"/>
        <w:spacing w:after="120"/>
        <w:jc w:val="both"/>
        <w:rPr>
          <w:rFonts w:ascii="Arial Narrow" w:eastAsia="Calibri" w:hAnsi="Arial Narrow"/>
          <w:sz w:val="18"/>
          <w:szCs w:val="18"/>
        </w:rPr>
      </w:pPr>
      <w:r w:rsidRPr="00CE7D0F">
        <w:rPr>
          <w:rFonts w:ascii="Arial Narrow" w:eastAsia="Calibri" w:hAnsi="Arial Narrow"/>
          <w:sz w:val="18"/>
          <w:szCs w:val="18"/>
        </w:rPr>
        <w:t>Aggregazione A*3 (secondo il programma di trasmissione del S</w:t>
      </w:r>
      <w:r w:rsidR="00E33844">
        <w:rPr>
          <w:rFonts w:ascii="Arial Narrow" w:eastAsia="Calibri" w:hAnsi="Arial Narrow"/>
          <w:sz w:val="18"/>
          <w:szCs w:val="18"/>
        </w:rPr>
        <w:t>ec</w:t>
      </w:r>
      <w:r w:rsidRPr="00CE7D0F">
        <w:rPr>
          <w:rFonts w:ascii="Arial Narrow" w:eastAsia="Calibri" w:hAnsi="Arial Narrow"/>
          <w:sz w:val="18"/>
          <w:szCs w:val="18"/>
        </w:rPr>
        <w:t>2010) e raccordo con le sezioni della classificazione Ateco (N</w:t>
      </w:r>
      <w:r w:rsidR="00E33844">
        <w:rPr>
          <w:rFonts w:ascii="Arial Narrow" w:eastAsia="Calibri" w:hAnsi="Arial Narrow"/>
          <w:sz w:val="18"/>
          <w:szCs w:val="18"/>
        </w:rPr>
        <w:t>ace</w:t>
      </w:r>
      <w:r w:rsidRPr="00CE7D0F">
        <w:rPr>
          <w:rFonts w:ascii="Arial Narrow" w:eastAsia="Calibri" w:hAnsi="Arial Narrow"/>
          <w:sz w:val="18"/>
          <w:szCs w:val="18"/>
        </w:rPr>
        <w:t xml:space="preserve"> Rev.2)</w:t>
      </w:r>
    </w:p>
    <w:tbl>
      <w:tblPr>
        <w:tblStyle w:val="Grigliatabella"/>
        <w:tblW w:w="10201" w:type="dxa"/>
        <w:tblLook w:val="04A0" w:firstRow="1" w:lastRow="0" w:firstColumn="1" w:lastColumn="0" w:noHBand="0" w:noVBand="1"/>
      </w:tblPr>
      <w:tblGrid>
        <w:gridCol w:w="1726"/>
        <w:gridCol w:w="1366"/>
        <w:gridCol w:w="7109"/>
      </w:tblGrid>
      <w:tr w:rsidR="00A014B9" w:rsidRPr="00673EB2" w14:paraId="395EC40C" w14:textId="77777777" w:rsidTr="00CE7D0F">
        <w:tc>
          <w:tcPr>
            <w:tcW w:w="1726" w:type="dxa"/>
            <w:shd w:val="clear" w:color="auto" w:fill="D9D9D9" w:themeFill="background1" w:themeFillShade="D9"/>
          </w:tcPr>
          <w:p w14:paraId="2275151C" w14:textId="77777777" w:rsidR="00A014B9" w:rsidRPr="00CE7D0F" w:rsidRDefault="00A014B9" w:rsidP="00C27B86">
            <w:pPr>
              <w:jc w:val="center"/>
              <w:rPr>
                <w:rFonts w:ascii="Arial Narrow" w:eastAsia="Calibri" w:hAnsi="Arial Narrow"/>
                <w:sz w:val="18"/>
                <w:szCs w:val="18"/>
              </w:rPr>
            </w:pPr>
            <w:r w:rsidRPr="00CE7D0F">
              <w:rPr>
                <w:rFonts w:ascii="Arial Narrow" w:eastAsia="Calibri" w:hAnsi="Arial Narrow"/>
                <w:sz w:val="18"/>
                <w:szCs w:val="18"/>
              </w:rPr>
              <w:t xml:space="preserve">Denominazione </w:t>
            </w:r>
          </w:p>
        </w:tc>
        <w:tc>
          <w:tcPr>
            <w:tcW w:w="1366" w:type="dxa"/>
            <w:shd w:val="clear" w:color="auto" w:fill="D9D9D9" w:themeFill="background1" w:themeFillShade="D9"/>
          </w:tcPr>
          <w:p w14:paraId="00B7926A" w14:textId="77777777" w:rsidR="00A014B9" w:rsidRPr="00CE7D0F" w:rsidRDefault="00A014B9" w:rsidP="00C27B86">
            <w:pPr>
              <w:jc w:val="center"/>
              <w:rPr>
                <w:rFonts w:ascii="Arial Narrow" w:eastAsia="Calibri" w:hAnsi="Arial Narrow"/>
                <w:sz w:val="18"/>
                <w:szCs w:val="18"/>
              </w:rPr>
            </w:pPr>
            <w:r w:rsidRPr="00CE7D0F">
              <w:rPr>
                <w:rFonts w:ascii="Arial Narrow" w:eastAsia="Calibri" w:hAnsi="Arial Narrow"/>
                <w:sz w:val="18"/>
                <w:szCs w:val="18"/>
              </w:rPr>
              <w:t>Sezione Ateco</w:t>
            </w:r>
          </w:p>
        </w:tc>
        <w:tc>
          <w:tcPr>
            <w:tcW w:w="7109" w:type="dxa"/>
            <w:shd w:val="clear" w:color="auto" w:fill="D9D9D9" w:themeFill="background1" w:themeFillShade="D9"/>
          </w:tcPr>
          <w:p w14:paraId="1D78ABAD" w14:textId="77777777" w:rsidR="00A014B9" w:rsidRPr="00CE7D0F" w:rsidRDefault="00A014B9" w:rsidP="00C27B86">
            <w:pPr>
              <w:jc w:val="center"/>
              <w:rPr>
                <w:rFonts w:ascii="Arial Narrow" w:eastAsia="Calibri" w:hAnsi="Arial Narrow"/>
                <w:sz w:val="18"/>
                <w:szCs w:val="18"/>
              </w:rPr>
            </w:pPr>
            <w:r w:rsidRPr="00CE7D0F">
              <w:rPr>
                <w:rFonts w:ascii="Arial Narrow" w:eastAsia="Calibri" w:hAnsi="Arial Narrow"/>
                <w:sz w:val="18"/>
                <w:szCs w:val="18"/>
              </w:rPr>
              <w:t>DESCRIZIONE</w:t>
            </w:r>
          </w:p>
        </w:tc>
      </w:tr>
      <w:tr w:rsidR="00A014B9" w:rsidRPr="00673EB2" w14:paraId="048332C8" w14:textId="77777777" w:rsidTr="00CE7D0F">
        <w:tc>
          <w:tcPr>
            <w:tcW w:w="1726" w:type="dxa"/>
          </w:tcPr>
          <w:p w14:paraId="0393C82F"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Agricoltura</w:t>
            </w:r>
          </w:p>
        </w:tc>
        <w:tc>
          <w:tcPr>
            <w:tcW w:w="1366" w:type="dxa"/>
          </w:tcPr>
          <w:p w14:paraId="57735757"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A</w:t>
            </w:r>
          </w:p>
        </w:tc>
        <w:tc>
          <w:tcPr>
            <w:tcW w:w="7109" w:type="dxa"/>
          </w:tcPr>
          <w:p w14:paraId="7EEA7B25"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Agricoltura, silvicoltura e pesca</w:t>
            </w:r>
          </w:p>
        </w:tc>
      </w:tr>
      <w:tr w:rsidR="00A014B9" w:rsidRPr="00673EB2" w14:paraId="09CFDD12" w14:textId="77777777" w:rsidTr="00CE7D0F">
        <w:tc>
          <w:tcPr>
            <w:tcW w:w="1726" w:type="dxa"/>
          </w:tcPr>
          <w:p w14:paraId="383FCB58"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Industria</w:t>
            </w:r>
          </w:p>
        </w:tc>
        <w:tc>
          <w:tcPr>
            <w:tcW w:w="1366" w:type="dxa"/>
          </w:tcPr>
          <w:p w14:paraId="0268BAA7"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B, C, D, E e F</w:t>
            </w:r>
          </w:p>
        </w:tc>
        <w:tc>
          <w:tcPr>
            <w:tcW w:w="7109" w:type="dxa"/>
          </w:tcPr>
          <w:p w14:paraId="06CD3751"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Attività estrattiva; attività manifatturiere; fornitura di energia elettrica, gas, vapore e aria condizionata; fornitura di acqua; reti fognarie, attività di trattamento dei rifiuti e risanamento; costruzioni</w:t>
            </w:r>
          </w:p>
        </w:tc>
      </w:tr>
      <w:tr w:rsidR="00A014B9" w:rsidRPr="00673EB2" w14:paraId="188A9B77" w14:textId="77777777" w:rsidTr="00CE7D0F">
        <w:tc>
          <w:tcPr>
            <w:tcW w:w="1726" w:type="dxa"/>
          </w:tcPr>
          <w:p w14:paraId="0660C051"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Servizi</w:t>
            </w:r>
          </w:p>
        </w:tc>
        <w:tc>
          <w:tcPr>
            <w:tcW w:w="1366" w:type="dxa"/>
          </w:tcPr>
          <w:p w14:paraId="48BEA444"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G, H, I, J, K, L, M, N, O, P, Q, R, S, T e U</w:t>
            </w:r>
          </w:p>
        </w:tc>
        <w:tc>
          <w:tcPr>
            <w:tcW w:w="7109" w:type="dxa"/>
          </w:tcPr>
          <w:p w14:paraId="54B0AA85" w14:textId="77777777" w:rsidR="00A014B9" w:rsidRPr="00CE7D0F" w:rsidRDefault="00A014B9" w:rsidP="00C27B86">
            <w:pPr>
              <w:rPr>
                <w:rFonts w:ascii="Arial Narrow" w:eastAsia="Calibri" w:hAnsi="Arial Narrow"/>
                <w:sz w:val="18"/>
                <w:szCs w:val="18"/>
              </w:rPr>
            </w:pPr>
            <w:r w:rsidRPr="00CE7D0F">
              <w:rPr>
                <w:rFonts w:ascii="Arial Narrow" w:eastAsia="Calibri" w:hAnsi="Arial Narrow"/>
                <w:sz w:val="18"/>
                <w:szCs w:val="18"/>
              </w:rPr>
              <w:t>Servizi</w:t>
            </w:r>
          </w:p>
        </w:tc>
      </w:tr>
    </w:tbl>
    <w:p w14:paraId="187AF455" w14:textId="77777777" w:rsidR="00A014B9" w:rsidRPr="00CE7D0F" w:rsidRDefault="00A014B9" w:rsidP="00A014B9">
      <w:pPr>
        <w:tabs>
          <w:tab w:val="left" w:pos="1858"/>
          <w:tab w:val="left" w:pos="3249"/>
        </w:tabs>
        <w:ind w:left="113"/>
        <w:rPr>
          <w:rFonts w:ascii="Arial Narrow" w:eastAsia="Calibri" w:hAnsi="Arial Narrow"/>
          <w:sz w:val="18"/>
          <w:szCs w:val="18"/>
        </w:rPr>
      </w:pPr>
      <w:r w:rsidRPr="00CE7D0F">
        <w:rPr>
          <w:rFonts w:ascii="Arial Narrow" w:eastAsia="Calibri" w:hAnsi="Arial Narrow"/>
          <w:sz w:val="18"/>
          <w:szCs w:val="18"/>
        </w:rPr>
        <w:tab/>
      </w:r>
      <w:r w:rsidRPr="00CE7D0F">
        <w:rPr>
          <w:rFonts w:ascii="Arial Narrow" w:eastAsia="Calibri" w:hAnsi="Arial Narrow"/>
          <w:sz w:val="18"/>
          <w:szCs w:val="18"/>
        </w:rPr>
        <w:tab/>
      </w:r>
    </w:p>
    <w:p w14:paraId="3FFC1B06" w14:textId="73998933" w:rsidR="00A014B9" w:rsidRPr="00CE7D0F" w:rsidRDefault="00A014B9" w:rsidP="00A014B9">
      <w:pPr>
        <w:pStyle w:val="Paragrafoelenco"/>
        <w:numPr>
          <w:ilvl w:val="0"/>
          <w:numId w:val="42"/>
        </w:numPr>
        <w:autoSpaceDE w:val="0"/>
        <w:autoSpaceDN w:val="0"/>
        <w:adjustRightInd w:val="0"/>
        <w:spacing w:after="120"/>
        <w:jc w:val="both"/>
        <w:rPr>
          <w:rFonts w:ascii="Arial Narrow" w:eastAsia="Calibri" w:hAnsi="Arial Narrow"/>
          <w:sz w:val="18"/>
          <w:szCs w:val="18"/>
        </w:rPr>
      </w:pPr>
      <w:r w:rsidRPr="00CE7D0F">
        <w:rPr>
          <w:rFonts w:ascii="Arial Narrow" w:eastAsia="Calibri" w:hAnsi="Arial Narrow"/>
          <w:sz w:val="18"/>
          <w:szCs w:val="18"/>
        </w:rPr>
        <w:t>Aggregazione A*21 (secondo il programma di trasmissione del S</w:t>
      </w:r>
      <w:r w:rsidR="00E33844">
        <w:rPr>
          <w:rFonts w:ascii="Arial Narrow" w:eastAsia="Calibri" w:hAnsi="Arial Narrow"/>
          <w:sz w:val="18"/>
          <w:szCs w:val="18"/>
        </w:rPr>
        <w:t>ec</w:t>
      </w:r>
      <w:r w:rsidRPr="00CE7D0F">
        <w:rPr>
          <w:rFonts w:ascii="Arial Narrow" w:eastAsia="Calibri" w:hAnsi="Arial Narrow"/>
          <w:sz w:val="18"/>
          <w:szCs w:val="18"/>
        </w:rPr>
        <w:t>2010): sezioni della classificazione Ateco (N</w:t>
      </w:r>
      <w:r w:rsidR="00E33844">
        <w:rPr>
          <w:rFonts w:ascii="Arial Narrow" w:eastAsia="Calibri" w:hAnsi="Arial Narrow"/>
          <w:sz w:val="18"/>
          <w:szCs w:val="18"/>
        </w:rPr>
        <w:t>ace</w:t>
      </w:r>
      <w:r w:rsidRPr="00CE7D0F">
        <w:rPr>
          <w:rFonts w:ascii="Arial Narrow" w:eastAsia="Calibri" w:hAnsi="Arial Narrow"/>
          <w:sz w:val="18"/>
          <w:szCs w:val="18"/>
        </w:rPr>
        <w:t xml:space="preserve"> Rev.2) e raccordo con le divisioni</w:t>
      </w:r>
    </w:p>
    <w:tbl>
      <w:tblPr>
        <w:tblStyle w:val="Grigliatabella"/>
        <w:tblW w:w="10025" w:type="dxa"/>
        <w:tblLook w:val="04A0" w:firstRow="1" w:lastRow="0" w:firstColumn="1" w:lastColumn="0" w:noHBand="0" w:noVBand="1"/>
      </w:tblPr>
      <w:tblGrid>
        <w:gridCol w:w="783"/>
        <w:gridCol w:w="848"/>
        <w:gridCol w:w="8394"/>
      </w:tblGrid>
      <w:tr w:rsidR="00A014B9" w:rsidRPr="00673EB2" w14:paraId="581C69E8" w14:textId="77777777" w:rsidTr="00D25660">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A58D38" w14:textId="77777777" w:rsidR="00A014B9" w:rsidRPr="00CE7D0F" w:rsidRDefault="00A014B9" w:rsidP="00C27B86">
            <w:pPr>
              <w:jc w:val="center"/>
              <w:rPr>
                <w:rFonts w:ascii="Arial Narrow" w:eastAsia="Calibri" w:hAnsi="Arial Narrow"/>
                <w:sz w:val="18"/>
                <w:szCs w:val="18"/>
                <w:lang w:eastAsia="en-US"/>
              </w:rPr>
            </w:pPr>
            <w:r w:rsidRPr="00CE7D0F">
              <w:rPr>
                <w:rFonts w:ascii="Arial Narrow" w:eastAsia="Calibri" w:hAnsi="Arial Narrow"/>
                <w:sz w:val="18"/>
                <w:szCs w:val="18"/>
                <w:lang w:eastAsia="en-US"/>
              </w:rPr>
              <w:t>Sezioni</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78797" w14:textId="77777777" w:rsidR="00A014B9" w:rsidRPr="00CE7D0F" w:rsidRDefault="00A014B9" w:rsidP="00C27B86">
            <w:pPr>
              <w:jc w:val="center"/>
              <w:rPr>
                <w:rFonts w:ascii="Arial Narrow" w:eastAsia="Calibri" w:hAnsi="Arial Narrow"/>
                <w:sz w:val="18"/>
                <w:szCs w:val="18"/>
                <w:lang w:eastAsia="en-US"/>
              </w:rPr>
            </w:pPr>
            <w:r w:rsidRPr="00CE7D0F">
              <w:rPr>
                <w:rFonts w:ascii="Arial Narrow" w:eastAsia="Calibri" w:hAnsi="Arial Narrow"/>
                <w:sz w:val="18"/>
                <w:szCs w:val="18"/>
                <w:lang w:eastAsia="en-US"/>
              </w:rPr>
              <w:t>Divisioni</w:t>
            </w:r>
          </w:p>
        </w:tc>
        <w:tc>
          <w:tcPr>
            <w:tcW w:w="8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899B6D" w14:textId="77777777" w:rsidR="00A014B9" w:rsidRPr="00CE7D0F" w:rsidRDefault="00A014B9" w:rsidP="00C27B86">
            <w:pPr>
              <w:jc w:val="center"/>
              <w:rPr>
                <w:rFonts w:ascii="Arial Narrow" w:eastAsia="Calibri" w:hAnsi="Arial Narrow"/>
                <w:sz w:val="18"/>
                <w:szCs w:val="18"/>
                <w:lang w:eastAsia="en-US"/>
              </w:rPr>
            </w:pPr>
            <w:r w:rsidRPr="00CE7D0F">
              <w:rPr>
                <w:rFonts w:ascii="Arial Narrow" w:eastAsia="Calibri" w:hAnsi="Arial Narrow"/>
                <w:sz w:val="18"/>
                <w:szCs w:val="18"/>
                <w:lang w:eastAsia="en-US"/>
              </w:rPr>
              <w:t>DESCRIZIONE</w:t>
            </w:r>
          </w:p>
        </w:tc>
      </w:tr>
      <w:tr w:rsidR="00A014B9" w:rsidRPr="00673EB2" w14:paraId="74501507"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5517C3CB"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A</w:t>
            </w:r>
          </w:p>
        </w:tc>
        <w:tc>
          <w:tcPr>
            <w:tcW w:w="848" w:type="dxa"/>
            <w:tcBorders>
              <w:top w:val="single" w:sz="4" w:space="0" w:color="auto"/>
              <w:left w:val="single" w:sz="4" w:space="0" w:color="auto"/>
              <w:bottom w:val="single" w:sz="4" w:space="0" w:color="auto"/>
              <w:right w:val="single" w:sz="4" w:space="0" w:color="auto"/>
            </w:tcBorders>
          </w:tcPr>
          <w:p w14:paraId="0BBF2CC6"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01-03</w:t>
            </w:r>
          </w:p>
        </w:tc>
        <w:tc>
          <w:tcPr>
            <w:tcW w:w="8394" w:type="dxa"/>
            <w:tcBorders>
              <w:top w:val="single" w:sz="4" w:space="0" w:color="auto"/>
              <w:left w:val="single" w:sz="4" w:space="0" w:color="auto"/>
              <w:bottom w:val="single" w:sz="4" w:space="0" w:color="auto"/>
              <w:right w:val="single" w:sz="4" w:space="0" w:color="auto"/>
            </w:tcBorders>
          </w:tcPr>
          <w:p w14:paraId="40255C3B"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Agricoltura, silvicoltura e pesca</w:t>
            </w:r>
          </w:p>
        </w:tc>
      </w:tr>
      <w:tr w:rsidR="00A014B9" w:rsidRPr="00673EB2" w14:paraId="5426D441"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3F43A654"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B</w:t>
            </w:r>
          </w:p>
        </w:tc>
        <w:tc>
          <w:tcPr>
            <w:tcW w:w="848" w:type="dxa"/>
            <w:tcBorders>
              <w:top w:val="single" w:sz="4" w:space="0" w:color="auto"/>
              <w:left w:val="single" w:sz="4" w:space="0" w:color="auto"/>
              <w:bottom w:val="single" w:sz="4" w:space="0" w:color="auto"/>
              <w:right w:val="single" w:sz="4" w:space="0" w:color="auto"/>
            </w:tcBorders>
          </w:tcPr>
          <w:p w14:paraId="2150B6DD"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05-09</w:t>
            </w:r>
          </w:p>
        </w:tc>
        <w:tc>
          <w:tcPr>
            <w:tcW w:w="8394" w:type="dxa"/>
            <w:tcBorders>
              <w:top w:val="single" w:sz="4" w:space="0" w:color="auto"/>
              <w:left w:val="single" w:sz="4" w:space="0" w:color="auto"/>
              <w:bottom w:val="single" w:sz="4" w:space="0" w:color="auto"/>
              <w:right w:val="single" w:sz="4" w:space="0" w:color="auto"/>
            </w:tcBorders>
          </w:tcPr>
          <w:p w14:paraId="308407AA"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estrattiva</w:t>
            </w:r>
          </w:p>
        </w:tc>
      </w:tr>
      <w:tr w:rsidR="00A014B9" w:rsidRPr="00673EB2" w14:paraId="5C8E5F8E"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70A9B719"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C</w:t>
            </w:r>
          </w:p>
        </w:tc>
        <w:tc>
          <w:tcPr>
            <w:tcW w:w="848" w:type="dxa"/>
            <w:tcBorders>
              <w:top w:val="single" w:sz="4" w:space="0" w:color="auto"/>
              <w:left w:val="single" w:sz="4" w:space="0" w:color="auto"/>
              <w:bottom w:val="single" w:sz="4" w:space="0" w:color="auto"/>
              <w:right w:val="single" w:sz="4" w:space="0" w:color="auto"/>
            </w:tcBorders>
          </w:tcPr>
          <w:p w14:paraId="39E23318"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10-33</w:t>
            </w:r>
          </w:p>
        </w:tc>
        <w:tc>
          <w:tcPr>
            <w:tcW w:w="8394" w:type="dxa"/>
            <w:tcBorders>
              <w:top w:val="single" w:sz="4" w:space="0" w:color="auto"/>
              <w:left w:val="single" w:sz="4" w:space="0" w:color="auto"/>
              <w:bottom w:val="single" w:sz="4" w:space="0" w:color="auto"/>
              <w:right w:val="single" w:sz="4" w:space="0" w:color="auto"/>
            </w:tcBorders>
          </w:tcPr>
          <w:p w14:paraId="35CEE0AF"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manifatturiere</w:t>
            </w:r>
          </w:p>
        </w:tc>
      </w:tr>
      <w:tr w:rsidR="00A014B9" w:rsidRPr="00673EB2" w14:paraId="36D13D74"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5CF4BD73"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D</w:t>
            </w:r>
          </w:p>
        </w:tc>
        <w:tc>
          <w:tcPr>
            <w:tcW w:w="848" w:type="dxa"/>
            <w:tcBorders>
              <w:top w:val="single" w:sz="4" w:space="0" w:color="auto"/>
              <w:left w:val="single" w:sz="4" w:space="0" w:color="auto"/>
              <w:bottom w:val="single" w:sz="4" w:space="0" w:color="auto"/>
              <w:right w:val="single" w:sz="4" w:space="0" w:color="auto"/>
            </w:tcBorders>
          </w:tcPr>
          <w:p w14:paraId="3414D013"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35</w:t>
            </w:r>
          </w:p>
        </w:tc>
        <w:tc>
          <w:tcPr>
            <w:tcW w:w="8394" w:type="dxa"/>
            <w:tcBorders>
              <w:top w:val="single" w:sz="4" w:space="0" w:color="auto"/>
              <w:left w:val="single" w:sz="4" w:space="0" w:color="auto"/>
              <w:bottom w:val="single" w:sz="4" w:space="0" w:color="auto"/>
              <w:right w:val="single" w:sz="4" w:space="0" w:color="auto"/>
            </w:tcBorders>
          </w:tcPr>
          <w:p w14:paraId="1D7F46F1"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Fornitura di energia elettrica, gas, vapore e aria condizionata</w:t>
            </w:r>
          </w:p>
        </w:tc>
      </w:tr>
      <w:tr w:rsidR="00A014B9" w:rsidRPr="00673EB2" w14:paraId="12B2E9BE"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142F63EF"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E</w:t>
            </w:r>
          </w:p>
        </w:tc>
        <w:tc>
          <w:tcPr>
            <w:tcW w:w="848" w:type="dxa"/>
            <w:tcBorders>
              <w:top w:val="single" w:sz="4" w:space="0" w:color="auto"/>
              <w:left w:val="single" w:sz="4" w:space="0" w:color="auto"/>
              <w:bottom w:val="single" w:sz="4" w:space="0" w:color="auto"/>
              <w:right w:val="single" w:sz="4" w:space="0" w:color="auto"/>
            </w:tcBorders>
          </w:tcPr>
          <w:p w14:paraId="791984AA"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36-39</w:t>
            </w:r>
          </w:p>
        </w:tc>
        <w:tc>
          <w:tcPr>
            <w:tcW w:w="8394" w:type="dxa"/>
            <w:tcBorders>
              <w:top w:val="single" w:sz="4" w:space="0" w:color="auto"/>
              <w:left w:val="single" w:sz="4" w:space="0" w:color="auto"/>
              <w:bottom w:val="single" w:sz="4" w:space="0" w:color="auto"/>
              <w:right w:val="single" w:sz="4" w:space="0" w:color="auto"/>
            </w:tcBorders>
          </w:tcPr>
          <w:p w14:paraId="63035A7A"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Fornitura di acqua; reti fognarie, attività di trattamento dei rifiuti e risanamento</w:t>
            </w:r>
          </w:p>
        </w:tc>
      </w:tr>
      <w:tr w:rsidR="00A014B9" w:rsidRPr="00673EB2" w14:paraId="3E452D50"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74BDD551"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F</w:t>
            </w:r>
          </w:p>
        </w:tc>
        <w:tc>
          <w:tcPr>
            <w:tcW w:w="848" w:type="dxa"/>
            <w:tcBorders>
              <w:top w:val="single" w:sz="4" w:space="0" w:color="auto"/>
              <w:left w:val="single" w:sz="4" w:space="0" w:color="auto"/>
              <w:bottom w:val="single" w:sz="4" w:space="0" w:color="auto"/>
              <w:right w:val="single" w:sz="4" w:space="0" w:color="auto"/>
            </w:tcBorders>
          </w:tcPr>
          <w:p w14:paraId="31AD8694"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41-43</w:t>
            </w:r>
          </w:p>
        </w:tc>
        <w:tc>
          <w:tcPr>
            <w:tcW w:w="8394" w:type="dxa"/>
            <w:tcBorders>
              <w:top w:val="single" w:sz="4" w:space="0" w:color="auto"/>
              <w:left w:val="single" w:sz="4" w:space="0" w:color="auto"/>
              <w:bottom w:val="single" w:sz="4" w:space="0" w:color="auto"/>
              <w:right w:val="single" w:sz="4" w:space="0" w:color="auto"/>
            </w:tcBorders>
          </w:tcPr>
          <w:p w14:paraId="6910A2DF"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Costruzioni</w:t>
            </w:r>
          </w:p>
        </w:tc>
      </w:tr>
      <w:tr w:rsidR="00A014B9" w:rsidRPr="00673EB2" w14:paraId="7DB452A1"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7EE829E7"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G</w:t>
            </w:r>
          </w:p>
        </w:tc>
        <w:tc>
          <w:tcPr>
            <w:tcW w:w="848" w:type="dxa"/>
            <w:tcBorders>
              <w:top w:val="single" w:sz="4" w:space="0" w:color="auto"/>
              <w:left w:val="single" w:sz="4" w:space="0" w:color="auto"/>
              <w:bottom w:val="single" w:sz="4" w:space="0" w:color="auto"/>
              <w:right w:val="single" w:sz="4" w:space="0" w:color="auto"/>
            </w:tcBorders>
          </w:tcPr>
          <w:p w14:paraId="2B9C8CF0"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45-47</w:t>
            </w:r>
          </w:p>
        </w:tc>
        <w:tc>
          <w:tcPr>
            <w:tcW w:w="8394" w:type="dxa"/>
            <w:tcBorders>
              <w:top w:val="single" w:sz="4" w:space="0" w:color="auto"/>
              <w:left w:val="single" w:sz="4" w:space="0" w:color="auto"/>
              <w:bottom w:val="single" w:sz="4" w:space="0" w:color="auto"/>
              <w:right w:val="single" w:sz="4" w:space="0" w:color="auto"/>
            </w:tcBorders>
          </w:tcPr>
          <w:p w14:paraId="2FD79D25"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Commercio all’ingrosso e al dettaglio; riparazione di autoveicoli e motocicli</w:t>
            </w:r>
          </w:p>
        </w:tc>
      </w:tr>
      <w:tr w:rsidR="00A014B9" w:rsidRPr="00673EB2" w14:paraId="66714A35"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09D2E18E"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H</w:t>
            </w:r>
          </w:p>
        </w:tc>
        <w:tc>
          <w:tcPr>
            <w:tcW w:w="848" w:type="dxa"/>
            <w:tcBorders>
              <w:top w:val="single" w:sz="4" w:space="0" w:color="auto"/>
              <w:left w:val="single" w:sz="4" w:space="0" w:color="auto"/>
              <w:bottom w:val="single" w:sz="4" w:space="0" w:color="auto"/>
              <w:right w:val="single" w:sz="4" w:space="0" w:color="auto"/>
            </w:tcBorders>
          </w:tcPr>
          <w:p w14:paraId="7A23A9D2"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49-53</w:t>
            </w:r>
          </w:p>
        </w:tc>
        <w:tc>
          <w:tcPr>
            <w:tcW w:w="8394" w:type="dxa"/>
            <w:tcBorders>
              <w:top w:val="single" w:sz="4" w:space="0" w:color="auto"/>
              <w:left w:val="single" w:sz="4" w:space="0" w:color="auto"/>
              <w:bottom w:val="single" w:sz="4" w:space="0" w:color="auto"/>
              <w:right w:val="single" w:sz="4" w:space="0" w:color="auto"/>
            </w:tcBorders>
          </w:tcPr>
          <w:p w14:paraId="4536E80E"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Trasporto e magazzinaggio</w:t>
            </w:r>
          </w:p>
        </w:tc>
      </w:tr>
      <w:tr w:rsidR="00A014B9" w:rsidRPr="00673EB2" w14:paraId="25C66477"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2338CD64"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I</w:t>
            </w:r>
          </w:p>
        </w:tc>
        <w:tc>
          <w:tcPr>
            <w:tcW w:w="848" w:type="dxa"/>
            <w:tcBorders>
              <w:top w:val="single" w:sz="4" w:space="0" w:color="auto"/>
              <w:left w:val="single" w:sz="4" w:space="0" w:color="auto"/>
              <w:bottom w:val="single" w:sz="4" w:space="0" w:color="auto"/>
              <w:right w:val="single" w:sz="4" w:space="0" w:color="auto"/>
            </w:tcBorders>
          </w:tcPr>
          <w:p w14:paraId="552C2BA6"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55-56</w:t>
            </w:r>
          </w:p>
        </w:tc>
        <w:tc>
          <w:tcPr>
            <w:tcW w:w="8394" w:type="dxa"/>
            <w:tcBorders>
              <w:top w:val="single" w:sz="4" w:space="0" w:color="auto"/>
              <w:left w:val="single" w:sz="4" w:space="0" w:color="auto"/>
              <w:bottom w:val="single" w:sz="4" w:space="0" w:color="auto"/>
              <w:right w:val="single" w:sz="4" w:space="0" w:color="auto"/>
            </w:tcBorders>
          </w:tcPr>
          <w:p w14:paraId="1A937399"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Servizi di alloggio e di ristorazione</w:t>
            </w:r>
          </w:p>
        </w:tc>
      </w:tr>
      <w:tr w:rsidR="00A014B9" w:rsidRPr="00673EB2" w14:paraId="7E64EA3B"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4708DF54"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J</w:t>
            </w:r>
          </w:p>
        </w:tc>
        <w:tc>
          <w:tcPr>
            <w:tcW w:w="848" w:type="dxa"/>
            <w:tcBorders>
              <w:top w:val="single" w:sz="4" w:space="0" w:color="auto"/>
              <w:left w:val="single" w:sz="4" w:space="0" w:color="auto"/>
              <w:bottom w:val="single" w:sz="4" w:space="0" w:color="auto"/>
              <w:right w:val="single" w:sz="4" w:space="0" w:color="auto"/>
            </w:tcBorders>
          </w:tcPr>
          <w:p w14:paraId="3A6C78E6"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58-63</w:t>
            </w:r>
          </w:p>
        </w:tc>
        <w:tc>
          <w:tcPr>
            <w:tcW w:w="8394" w:type="dxa"/>
            <w:tcBorders>
              <w:top w:val="single" w:sz="4" w:space="0" w:color="auto"/>
              <w:left w:val="single" w:sz="4" w:space="0" w:color="auto"/>
              <w:bottom w:val="single" w:sz="4" w:space="0" w:color="auto"/>
              <w:right w:val="single" w:sz="4" w:space="0" w:color="auto"/>
            </w:tcBorders>
          </w:tcPr>
          <w:p w14:paraId="6E66F228"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Servizi di informazione e comunicazione</w:t>
            </w:r>
          </w:p>
        </w:tc>
      </w:tr>
      <w:tr w:rsidR="00A014B9" w:rsidRPr="00673EB2" w14:paraId="75FD8D27"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007AC376"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K</w:t>
            </w:r>
          </w:p>
        </w:tc>
        <w:tc>
          <w:tcPr>
            <w:tcW w:w="848" w:type="dxa"/>
            <w:tcBorders>
              <w:top w:val="single" w:sz="4" w:space="0" w:color="auto"/>
              <w:left w:val="single" w:sz="4" w:space="0" w:color="auto"/>
              <w:bottom w:val="single" w:sz="4" w:space="0" w:color="auto"/>
              <w:right w:val="single" w:sz="4" w:space="0" w:color="auto"/>
            </w:tcBorders>
          </w:tcPr>
          <w:p w14:paraId="00A93A3F"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64-66</w:t>
            </w:r>
          </w:p>
        </w:tc>
        <w:tc>
          <w:tcPr>
            <w:tcW w:w="8394" w:type="dxa"/>
            <w:tcBorders>
              <w:top w:val="single" w:sz="4" w:space="0" w:color="auto"/>
              <w:left w:val="single" w:sz="4" w:space="0" w:color="auto"/>
              <w:bottom w:val="single" w:sz="4" w:space="0" w:color="auto"/>
              <w:right w:val="single" w:sz="4" w:space="0" w:color="auto"/>
            </w:tcBorders>
          </w:tcPr>
          <w:p w14:paraId="772C3516"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finanziarie e assicurative</w:t>
            </w:r>
          </w:p>
        </w:tc>
      </w:tr>
      <w:tr w:rsidR="00A014B9" w:rsidRPr="00673EB2" w14:paraId="1F7BAA94"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1B1D01F0"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L</w:t>
            </w:r>
          </w:p>
        </w:tc>
        <w:tc>
          <w:tcPr>
            <w:tcW w:w="848" w:type="dxa"/>
            <w:tcBorders>
              <w:top w:val="single" w:sz="4" w:space="0" w:color="auto"/>
              <w:left w:val="single" w:sz="4" w:space="0" w:color="auto"/>
              <w:bottom w:val="single" w:sz="4" w:space="0" w:color="auto"/>
              <w:right w:val="single" w:sz="4" w:space="0" w:color="auto"/>
            </w:tcBorders>
          </w:tcPr>
          <w:p w14:paraId="42E015E6"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68</w:t>
            </w:r>
          </w:p>
        </w:tc>
        <w:tc>
          <w:tcPr>
            <w:tcW w:w="8394" w:type="dxa"/>
            <w:tcBorders>
              <w:top w:val="single" w:sz="4" w:space="0" w:color="auto"/>
              <w:left w:val="single" w:sz="4" w:space="0" w:color="auto"/>
              <w:bottom w:val="single" w:sz="4" w:space="0" w:color="auto"/>
              <w:right w:val="single" w:sz="4" w:space="0" w:color="auto"/>
            </w:tcBorders>
          </w:tcPr>
          <w:p w14:paraId="29B4FDD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immobiliari</w:t>
            </w:r>
          </w:p>
        </w:tc>
      </w:tr>
      <w:tr w:rsidR="00A014B9" w:rsidRPr="00673EB2" w14:paraId="06A68533"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664BB872"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M</w:t>
            </w:r>
          </w:p>
        </w:tc>
        <w:tc>
          <w:tcPr>
            <w:tcW w:w="848" w:type="dxa"/>
            <w:tcBorders>
              <w:top w:val="single" w:sz="4" w:space="0" w:color="auto"/>
              <w:left w:val="single" w:sz="4" w:space="0" w:color="auto"/>
              <w:bottom w:val="single" w:sz="4" w:space="0" w:color="auto"/>
              <w:right w:val="single" w:sz="4" w:space="0" w:color="auto"/>
            </w:tcBorders>
          </w:tcPr>
          <w:p w14:paraId="01EFCE9A"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69-75</w:t>
            </w:r>
          </w:p>
        </w:tc>
        <w:tc>
          <w:tcPr>
            <w:tcW w:w="8394" w:type="dxa"/>
            <w:tcBorders>
              <w:top w:val="single" w:sz="4" w:space="0" w:color="auto"/>
              <w:left w:val="single" w:sz="4" w:space="0" w:color="auto"/>
              <w:bottom w:val="single" w:sz="4" w:space="0" w:color="auto"/>
              <w:right w:val="single" w:sz="4" w:space="0" w:color="auto"/>
            </w:tcBorders>
          </w:tcPr>
          <w:p w14:paraId="67D58D9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professionali, scientifiche e tecniche</w:t>
            </w:r>
          </w:p>
        </w:tc>
      </w:tr>
      <w:tr w:rsidR="00A014B9" w:rsidRPr="00673EB2" w14:paraId="115D0AFC"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3D50B2BF"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N</w:t>
            </w:r>
          </w:p>
        </w:tc>
        <w:tc>
          <w:tcPr>
            <w:tcW w:w="848" w:type="dxa"/>
            <w:tcBorders>
              <w:top w:val="single" w:sz="4" w:space="0" w:color="auto"/>
              <w:left w:val="single" w:sz="4" w:space="0" w:color="auto"/>
              <w:bottom w:val="single" w:sz="4" w:space="0" w:color="auto"/>
              <w:right w:val="single" w:sz="4" w:space="0" w:color="auto"/>
            </w:tcBorders>
          </w:tcPr>
          <w:p w14:paraId="5BE60C39"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77-82</w:t>
            </w:r>
          </w:p>
        </w:tc>
        <w:tc>
          <w:tcPr>
            <w:tcW w:w="8394" w:type="dxa"/>
            <w:tcBorders>
              <w:top w:val="single" w:sz="4" w:space="0" w:color="auto"/>
              <w:left w:val="single" w:sz="4" w:space="0" w:color="auto"/>
              <w:bottom w:val="single" w:sz="4" w:space="0" w:color="auto"/>
              <w:right w:val="single" w:sz="4" w:space="0" w:color="auto"/>
            </w:tcBorders>
          </w:tcPr>
          <w:p w14:paraId="236FC172"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amministrative e di servizi di supporto</w:t>
            </w:r>
          </w:p>
        </w:tc>
      </w:tr>
      <w:tr w:rsidR="00A014B9" w:rsidRPr="00673EB2" w14:paraId="0D2B297F"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397B0D7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O</w:t>
            </w:r>
          </w:p>
        </w:tc>
        <w:tc>
          <w:tcPr>
            <w:tcW w:w="848" w:type="dxa"/>
            <w:tcBorders>
              <w:top w:val="single" w:sz="4" w:space="0" w:color="auto"/>
              <w:left w:val="single" w:sz="4" w:space="0" w:color="auto"/>
              <w:bottom w:val="single" w:sz="4" w:space="0" w:color="auto"/>
              <w:right w:val="single" w:sz="4" w:space="0" w:color="auto"/>
            </w:tcBorders>
          </w:tcPr>
          <w:p w14:paraId="40C120C5"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84</w:t>
            </w:r>
          </w:p>
        </w:tc>
        <w:tc>
          <w:tcPr>
            <w:tcW w:w="8394" w:type="dxa"/>
            <w:tcBorders>
              <w:top w:val="single" w:sz="4" w:space="0" w:color="auto"/>
              <w:left w:val="single" w:sz="4" w:space="0" w:color="auto"/>
              <w:bottom w:val="single" w:sz="4" w:space="0" w:color="auto"/>
              <w:right w:val="single" w:sz="4" w:space="0" w:color="auto"/>
            </w:tcBorders>
          </w:tcPr>
          <w:p w14:paraId="4C12ED6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Amministrazione pubblica e difesa; assicurazione sociale obbligatoria</w:t>
            </w:r>
          </w:p>
        </w:tc>
      </w:tr>
      <w:tr w:rsidR="00A014B9" w:rsidRPr="00673EB2" w14:paraId="5F540ED0"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4BE397C5"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P</w:t>
            </w:r>
          </w:p>
        </w:tc>
        <w:tc>
          <w:tcPr>
            <w:tcW w:w="848" w:type="dxa"/>
            <w:tcBorders>
              <w:top w:val="single" w:sz="4" w:space="0" w:color="auto"/>
              <w:left w:val="single" w:sz="4" w:space="0" w:color="auto"/>
              <w:bottom w:val="single" w:sz="4" w:space="0" w:color="auto"/>
              <w:right w:val="single" w:sz="4" w:space="0" w:color="auto"/>
            </w:tcBorders>
          </w:tcPr>
          <w:p w14:paraId="754247F7"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85</w:t>
            </w:r>
          </w:p>
        </w:tc>
        <w:tc>
          <w:tcPr>
            <w:tcW w:w="8394" w:type="dxa"/>
            <w:tcBorders>
              <w:top w:val="single" w:sz="4" w:space="0" w:color="auto"/>
              <w:left w:val="single" w:sz="4" w:space="0" w:color="auto"/>
              <w:bottom w:val="single" w:sz="4" w:space="0" w:color="auto"/>
              <w:right w:val="single" w:sz="4" w:space="0" w:color="auto"/>
            </w:tcBorders>
          </w:tcPr>
          <w:p w14:paraId="0ACFC20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Istruzione</w:t>
            </w:r>
          </w:p>
        </w:tc>
      </w:tr>
      <w:tr w:rsidR="00A014B9" w:rsidRPr="00673EB2" w14:paraId="3313EFBB"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36C93434"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Q</w:t>
            </w:r>
          </w:p>
        </w:tc>
        <w:tc>
          <w:tcPr>
            <w:tcW w:w="848" w:type="dxa"/>
            <w:tcBorders>
              <w:top w:val="single" w:sz="4" w:space="0" w:color="auto"/>
              <w:left w:val="single" w:sz="4" w:space="0" w:color="auto"/>
              <w:bottom w:val="single" w:sz="4" w:space="0" w:color="auto"/>
              <w:right w:val="single" w:sz="4" w:space="0" w:color="auto"/>
            </w:tcBorders>
          </w:tcPr>
          <w:p w14:paraId="5FE48548"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86-88</w:t>
            </w:r>
          </w:p>
        </w:tc>
        <w:tc>
          <w:tcPr>
            <w:tcW w:w="8394" w:type="dxa"/>
            <w:tcBorders>
              <w:top w:val="single" w:sz="4" w:space="0" w:color="auto"/>
              <w:left w:val="single" w:sz="4" w:space="0" w:color="auto"/>
              <w:bottom w:val="single" w:sz="4" w:space="0" w:color="auto"/>
              <w:right w:val="single" w:sz="4" w:space="0" w:color="auto"/>
            </w:tcBorders>
          </w:tcPr>
          <w:p w14:paraId="5CDA058E"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Sanità e assistenza sociale</w:t>
            </w:r>
          </w:p>
        </w:tc>
      </w:tr>
      <w:tr w:rsidR="00A014B9" w:rsidRPr="00673EB2" w14:paraId="27A8CB67"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1EE095ED"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R</w:t>
            </w:r>
          </w:p>
        </w:tc>
        <w:tc>
          <w:tcPr>
            <w:tcW w:w="848" w:type="dxa"/>
            <w:tcBorders>
              <w:top w:val="single" w:sz="4" w:space="0" w:color="auto"/>
              <w:left w:val="single" w:sz="4" w:space="0" w:color="auto"/>
              <w:bottom w:val="single" w:sz="4" w:space="0" w:color="auto"/>
              <w:right w:val="single" w:sz="4" w:space="0" w:color="auto"/>
            </w:tcBorders>
          </w:tcPr>
          <w:p w14:paraId="28E47965"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90-93</w:t>
            </w:r>
          </w:p>
        </w:tc>
        <w:tc>
          <w:tcPr>
            <w:tcW w:w="8394" w:type="dxa"/>
            <w:tcBorders>
              <w:top w:val="single" w:sz="4" w:space="0" w:color="auto"/>
              <w:left w:val="single" w:sz="4" w:space="0" w:color="auto"/>
              <w:bottom w:val="single" w:sz="4" w:space="0" w:color="auto"/>
              <w:right w:val="single" w:sz="4" w:space="0" w:color="auto"/>
            </w:tcBorders>
          </w:tcPr>
          <w:p w14:paraId="6011D86E"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artistiche, di intrattenimento e divertimento</w:t>
            </w:r>
          </w:p>
        </w:tc>
      </w:tr>
      <w:tr w:rsidR="00A014B9" w:rsidRPr="00673EB2" w14:paraId="6FF6E240"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11900749"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S</w:t>
            </w:r>
          </w:p>
        </w:tc>
        <w:tc>
          <w:tcPr>
            <w:tcW w:w="848" w:type="dxa"/>
            <w:tcBorders>
              <w:top w:val="single" w:sz="4" w:space="0" w:color="auto"/>
              <w:left w:val="single" w:sz="4" w:space="0" w:color="auto"/>
              <w:bottom w:val="single" w:sz="4" w:space="0" w:color="auto"/>
              <w:right w:val="single" w:sz="4" w:space="0" w:color="auto"/>
            </w:tcBorders>
          </w:tcPr>
          <w:p w14:paraId="5D743F54"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94-96</w:t>
            </w:r>
          </w:p>
        </w:tc>
        <w:tc>
          <w:tcPr>
            <w:tcW w:w="8394" w:type="dxa"/>
            <w:tcBorders>
              <w:top w:val="single" w:sz="4" w:space="0" w:color="auto"/>
              <w:left w:val="single" w:sz="4" w:space="0" w:color="auto"/>
              <w:bottom w:val="single" w:sz="4" w:space="0" w:color="auto"/>
              <w:right w:val="single" w:sz="4" w:space="0" w:color="auto"/>
            </w:tcBorders>
          </w:tcPr>
          <w:p w14:paraId="4FAE621D"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Altre attività di servizi</w:t>
            </w:r>
          </w:p>
        </w:tc>
      </w:tr>
      <w:tr w:rsidR="00A014B9" w:rsidRPr="00673EB2" w14:paraId="7D112478"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6D52AAC8"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T</w:t>
            </w:r>
          </w:p>
        </w:tc>
        <w:tc>
          <w:tcPr>
            <w:tcW w:w="848" w:type="dxa"/>
            <w:tcBorders>
              <w:top w:val="single" w:sz="4" w:space="0" w:color="auto"/>
              <w:left w:val="single" w:sz="4" w:space="0" w:color="auto"/>
              <w:bottom w:val="single" w:sz="4" w:space="0" w:color="auto"/>
              <w:right w:val="single" w:sz="4" w:space="0" w:color="auto"/>
            </w:tcBorders>
          </w:tcPr>
          <w:p w14:paraId="176EAC7A"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97-98</w:t>
            </w:r>
          </w:p>
        </w:tc>
        <w:tc>
          <w:tcPr>
            <w:tcW w:w="8394" w:type="dxa"/>
            <w:tcBorders>
              <w:top w:val="single" w:sz="4" w:space="0" w:color="auto"/>
              <w:left w:val="single" w:sz="4" w:space="0" w:color="auto"/>
              <w:bottom w:val="single" w:sz="4" w:space="0" w:color="auto"/>
              <w:right w:val="single" w:sz="4" w:space="0" w:color="auto"/>
            </w:tcBorders>
          </w:tcPr>
          <w:p w14:paraId="0BDB7481"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 xml:space="preserve"> Attività di famiglie e convivenze come datori di lavoro per personale domestico; produzione di beni e servizi indifferenziati per uso proprio da parte di famiglie e convivenze</w:t>
            </w:r>
          </w:p>
        </w:tc>
      </w:tr>
      <w:tr w:rsidR="00A014B9" w:rsidRPr="00673EB2" w14:paraId="38DE96DF" w14:textId="77777777" w:rsidTr="00D25660">
        <w:tc>
          <w:tcPr>
            <w:tcW w:w="783" w:type="dxa"/>
            <w:tcBorders>
              <w:top w:val="single" w:sz="4" w:space="0" w:color="auto"/>
              <w:left w:val="single" w:sz="4" w:space="0" w:color="auto"/>
              <w:bottom w:val="single" w:sz="4" w:space="0" w:color="auto"/>
              <w:right w:val="single" w:sz="4" w:space="0" w:color="auto"/>
            </w:tcBorders>
            <w:hideMark/>
          </w:tcPr>
          <w:p w14:paraId="15B104DC"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U</w:t>
            </w:r>
          </w:p>
        </w:tc>
        <w:tc>
          <w:tcPr>
            <w:tcW w:w="848" w:type="dxa"/>
            <w:tcBorders>
              <w:top w:val="single" w:sz="4" w:space="0" w:color="auto"/>
              <w:left w:val="single" w:sz="4" w:space="0" w:color="auto"/>
              <w:bottom w:val="single" w:sz="4" w:space="0" w:color="auto"/>
              <w:right w:val="single" w:sz="4" w:space="0" w:color="auto"/>
            </w:tcBorders>
          </w:tcPr>
          <w:p w14:paraId="431429BD" w14:textId="77777777" w:rsidR="00A014B9" w:rsidRPr="00CE7D0F" w:rsidRDefault="00A014B9" w:rsidP="00C27B86">
            <w:pPr>
              <w:rPr>
                <w:rFonts w:ascii="Arial Narrow" w:eastAsia="Calibri" w:hAnsi="Arial Narrow"/>
                <w:sz w:val="18"/>
                <w:szCs w:val="18"/>
                <w:lang w:eastAsia="en-US"/>
              </w:rPr>
            </w:pPr>
            <w:r w:rsidRPr="00CE7D0F">
              <w:rPr>
                <w:rFonts w:ascii="Arial Narrow" w:hAnsi="Arial Narrow"/>
                <w:color w:val="19161A"/>
                <w:sz w:val="18"/>
                <w:szCs w:val="18"/>
              </w:rPr>
              <w:t>99</w:t>
            </w:r>
          </w:p>
        </w:tc>
        <w:tc>
          <w:tcPr>
            <w:tcW w:w="8394" w:type="dxa"/>
            <w:tcBorders>
              <w:top w:val="single" w:sz="4" w:space="0" w:color="auto"/>
              <w:left w:val="single" w:sz="4" w:space="0" w:color="auto"/>
              <w:bottom w:val="single" w:sz="4" w:space="0" w:color="auto"/>
              <w:right w:val="single" w:sz="4" w:space="0" w:color="auto"/>
            </w:tcBorders>
          </w:tcPr>
          <w:p w14:paraId="77920BE0" w14:textId="77777777" w:rsidR="00A014B9" w:rsidRPr="00CE7D0F" w:rsidRDefault="00A014B9" w:rsidP="00C27B86">
            <w:pPr>
              <w:rPr>
                <w:rFonts w:ascii="Arial Narrow" w:eastAsia="Calibri" w:hAnsi="Arial Narrow"/>
                <w:sz w:val="18"/>
                <w:szCs w:val="18"/>
                <w:lang w:eastAsia="en-US"/>
              </w:rPr>
            </w:pPr>
            <w:r w:rsidRPr="00CE7D0F">
              <w:rPr>
                <w:rFonts w:ascii="Arial Narrow" w:eastAsia="Calibri" w:hAnsi="Arial Narrow"/>
                <w:sz w:val="18"/>
                <w:szCs w:val="18"/>
                <w:lang w:eastAsia="en-US"/>
              </w:rPr>
              <w:t>Attività di organizzazioni e organismi extraterritoriali</w:t>
            </w:r>
          </w:p>
        </w:tc>
      </w:tr>
    </w:tbl>
    <w:p w14:paraId="4E4EC4A6" w14:textId="77777777" w:rsidR="00A014B9" w:rsidRPr="00CE7D0F" w:rsidRDefault="00A014B9" w:rsidP="00A014B9">
      <w:pPr>
        <w:rPr>
          <w:rFonts w:ascii="Arial Narrow" w:eastAsia="Calibri" w:hAnsi="Arial Narrow"/>
          <w:sz w:val="18"/>
          <w:szCs w:val="18"/>
        </w:rPr>
      </w:pPr>
    </w:p>
    <w:p w14:paraId="3EDAF3C4" w14:textId="77777777" w:rsidR="00A014B9" w:rsidRPr="00CE7D0F" w:rsidRDefault="00A014B9" w:rsidP="00A014B9">
      <w:pPr>
        <w:rPr>
          <w:rFonts w:ascii="Arial Narrow" w:hAnsi="Arial Narrow"/>
          <w:sz w:val="18"/>
          <w:szCs w:val="18"/>
        </w:rPr>
      </w:pPr>
    </w:p>
    <w:bookmarkEnd w:id="5"/>
    <w:p w14:paraId="2CC97D48" w14:textId="77777777" w:rsidR="00EE524A" w:rsidRDefault="00EE524A" w:rsidP="002A4B9C"/>
    <w:p w14:paraId="3076EEA4" w14:textId="77777777" w:rsidR="000154DA" w:rsidRPr="00CE7D0F" w:rsidRDefault="000154DA" w:rsidP="002A4B9C"/>
    <w:p w14:paraId="052F0CF6" w14:textId="77777777" w:rsidR="006D09C7" w:rsidRPr="00281114" w:rsidRDefault="006D09C7" w:rsidP="006D09C7">
      <w:pPr>
        <w:autoSpaceDE w:val="0"/>
        <w:autoSpaceDN w:val="0"/>
        <w:adjustRightInd w:val="0"/>
        <w:spacing w:after="120"/>
        <w:jc w:val="both"/>
        <w:outlineLvl w:val="0"/>
        <w:rPr>
          <w:rFonts w:ascii="Georgia" w:hAnsi="Georgia" w:cs="Arial"/>
          <w:color w:val="1F497D"/>
          <w:sz w:val="48"/>
          <w:szCs w:val="48"/>
        </w:rPr>
      </w:pPr>
      <w:r w:rsidRPr="00281114">
        <w:rPr>
          <w:rFonts w:ascii="Georgia" w:hAnsi="Georgia" w:cs="Arial"/>
          <w:color w:val="1F497D"/>
          <w:sz w:val="48"/>
          <w:szCs w:val="48"/>
        </w:rPr>
        <w:t xml:space="preserve">Per chiarimenti tecnici </w:t>
      </w:r>
    </w:p>
    <w:p w14:paraId="7910E0C7" w14:textId="77777777" w:rsidR="006D09C7" w:rsidRPr="00281114" w:rsidRDefault="006D09C7" w:rsidP="006D09C7">
      <w:pPr>
        <w:rPr>
          <w:sz w:val="48"/>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9"/>
        <w:gridCol w:w="3494"/>
        <w:gridCol w:w="2929"/>
      </w:tblGrid>
      <w:tr w:rsidR="006D09C7" w14:paraId="18F4C56A" w14:textId="77777777" w:rsidTr="000E47B1">
        <w:tc>
          <w:tcPr>
            <w:tcW w:w="3499" w:type="dxa"/>
          </w:tcPr>
          <w:p w14:paraId="178C20F7" w14:textId="77777777" w:rsidR="006D09C7" w:rsidRPr="007E6DFA" w:rsidRDefault="006D09C7" w:rsidP="000E47B1">
            <w:pPr>
              <w:outlineLvl w:val="2"/>
              <w:rPr>
                <w:rFonts w:ascii="Arial" w:hAnsi="Arial" w:cs="Arial"/>
                <w:b/>
                <w:color w:val="1F497D"/>
                <w:sz w:val="22"/>
                <w:szCs w:val="22"/>
              </w:rPr>
            </w:pPr>
            <w:r w:rsidRPr="007E6DFA">
              <w:rPr>
                <w:rFonts w:ascii="Arial" w:hAnsi="Arial" w:cs="Arial"/>
                <w:b/>
                <w:color w:val="1F497D"/>
                <w:sz w:val="22"/>
                <w:szCs w:val="22"/>
              </w:rPr>
              <w:t>Aldo Femia</w:t>
            </w:r>
          </w:p>
          <w:p w14:paraId="75D96225" w14:textId="77777777" w:rsidR="006D09C7" w:rsidRDefault="00000000" w:rsidP="000E47B1">
            <w:pPr>
              <w:outlineLvl w:val="2"/>
              <w:rPr>
                <w:rFonts w:ascii="Georgia" w:hAnsi="Georgia" w:cs="Arial"/>
                <w:bCs/>
                <w:color w:val="1F497D"/>
                <w:sz w:val="48"/>
                <w:szCs w:val="48"/>
              </w:rPr>
            </w:pPr>
            <w:hyperlink r:id="rId26" w:history="1">
              <w:r w:rsidR="006D09C7" w:rsidRPr="007E6DFA">
                <w:rPr>
                  <w:rStyle w:val="Collegamentoipertestuale"/>
                  <w:rFonts w:ascii="Arial" w:hAnsi="Arial" w:cs="Arial"/>
                  <w:color w:val="1F497D"/>
                  <w:sz w:val="22"/>
                  <w:szCs w:val="22"/>
                </w:rPr>
                <w:t>femia@istat.it</w:t>
              </w:r>
            </w:hyperlink>
          </w:p>
        </w:tc>
        <w:tc>
          <w:tcPr>
            <w:tcW w:w="3494" w:type="dxa"/>
          </w:tcPr>
          <w:p w14:paraId="2F970B0C" w14:textId="77777777" w:rsidR="006D09C7" w:rsidRPr="007E6DFA" w:rsidRDefault="006D09C7" w:rsidP="000E47B1">
            <w:pPr>
              <w:outlineLvl w:val="2"/>
              <w:rPr>
                <w:rFonts w:ascii="Arial" w:hAnsi="Arial" w:cs="Arial"/>
                <w:b/>
                <w:color w:val="1F497D"/>
                <w:sz w:val="22"/>
                <w:szCs w:val="22"/>
              </w:rPr>
            </w:pPr>
            <w:r w:rsidRPr="007E6DFA">
              <w:rPr>
                <w:rFonts w:ascii="Arial" w:hAnsi="Arial" w:cs="Arial"/>
                <w:b/>
                <w:color w:val="1F497D"/>
                <w:sz w:val="22"/>
                <w:szCs w:val="22"/>
              </w:rPr>
              <w:t>Angelica Tudini</w:t>
            </w:r>
          </w:p>
          <w:p w14:paraId="508F8A86" w14:textId="77777777" w:rsidR="006D09C7" w:rsidRDefault="00000000" w:rsidP="000E47B1">
            <w:pPr>
              <w:outlineLvl w:val="2"/>
              <w:rPr>
                <w:rFonts w:ascii="Georgia" w:hAnsi="Georgia" w:cs="Arial"/>
                <w:bCs/>
                <w:color w:val="1F497D"/>
                <w:sz w:val="48"/>
                <w:szCs w:val="48"/>
              </w:rPr>
            </w:pPr>
            <w:hyperlink r:id="rId27" w:history="1">
              <w:r w:rsidR="006D09C7" w:rsidRPr="007E6DFA">
                <w:rPr>
                  <w:rStyle w:val="Collegamentoipertestuale"/>
                  <w:rFonts w:ascii="Arial" w:hAnsi="Arial" w:cs="Arial"/>
                  <w:color w:val="1F497D"/>
                  <w:sz w:val="22"/>
                  <w:szCs w:val="22"/>
                </w:rPr>
                <w:t>tudini@istat.it</w:t>
              </w:r>
            </w:hyperlink>
          </w:p>
        </w:tc>
        <w:tc>
          <w:tcPr>
            <w:tcW w:w="2929" w:type="dxa"/>
          </w:tcPr>
          <w:p w14:paraId="2DC2153E" w14:textId="77777777" w:rsidR="006D09C7" w:rsidRPr="007E6DFA" w:rsidRDefault="006D09C7" w:rsidP="000E47B1">
            <w:pPr>
              <w:outlineLvl w:val="2"/>
              <w:rPr>
                <w:rFonts w:ascii="Arial" w:hAnsi="Arial" w:cs="Arial"/>
                <w:b/>
                <w:color w:val="1F497D"/>
                <w:sz w:val="22"/>
                <w:szCs w:val="22"/>
              </w:rPr>
            </w:pPr>
            <w:r>
              <w:rPr>
                <w:rFonts w:ascii="Arial" w:hAnsi="Arial" w:cs="Arial"/>
                <w:b/>
                <w:color w:val="1F497D"/>
                <w:sz w:val="22"/>
                <w:szCs w:val="22"/>
              </w:rPr>
              <w:t>Giusy Vetrella</w:t>
            </w:r>
          </w:p>
          <w:p w14:paraId="09B5A7D8" w14:textId="77777777" w:rsidR="006D09C7" w:rsidRPr="007E6DFA" w:rsidRDefault="00000000" w:rsidP="000E47B1">
            <w:pPr>
              <w:outlineLvl w:val="2"/>
              <w:rPr>
                <w:rFonts w:ascii="Arial" w:hAnsi="Arial" w:cs="Arial"/>
                <w:b/>
                <w:color w:val="1F497D"/>
                <w:sz w:val="22"/>
                <w:szCs w:val="22"/>
              </w:rPr>
            </w:pPr>
            <w:hyperlink r:id="rId28" w:history="1">
              <w:r w:rsidR="006D09C7" w:rsidRPr="00455133">
                <w:rPr>
                  <w:rStyle w:val="Collegamentoipertestuale"/>
                  <w:rFonts w:ascii="Arial" w:hAnsi="Arial" w:cs="Arial"/>
                  <w:color w:val="1F497D"/>
                  <w:sz w:val="22"/>
                  <w:szCs w:val="22"/>
                </w:rPr>
                <w:t>vetrella@istat.it</w:t>
              </w:r>
            </w:hyperlink>
          </w:p>
        </w:tc>
      </w:tr>
    </w:tbl>
    <w:p w14:paraId="73BAF376" w14:textId="77777777" w:rsidR="00704C87" w:rsidRDefault="00704C87" w:rsidP="00704C87">
      <w:pPr>
        <w:spacing w:after="120"/>
        <w:jc w:val="both"/>
        <w:rPr>
          <w:rFonts w:ascii="Arial" w:hAnsi="Arial" w:cs="Arial"/>
          <w:sz w:val="22"/>
          <w:szCs w:val="22"/>
        </w:rPr>
      </w:pPr>
    </w:p>
    <w:bookmarkEnd w:id="0"/>
    <w:bookmarkEnd w:id="1"/>
    <w:bookmarkEnd w:id="2"/>
    <w:p w14:paraId="21C552B0" w14:textId="77777777" w:rsidR="002C4EE0" w:rsidRPr="00F61932" w:rsidRDefault="002C4EE0" w:rsidP="00704C87">
      <w:pPr>
        <w:spacing w:after="120"/>
        <w:jc w:val="both"/>
        <w:rPr>
          <w:rFonts w:ascii="Arial" w:hAnsi="Arial" w:cs="Arial"/>
          <w:bCs/>
          <w:sz w:val="20"/>
          <w:szCs w:val="20"/>
        </w:rPr>
      </w:pPr>
    </w:p>
    <w:sectPr w:rsidR="002C4EE0" w:rsidRPr="00F61932" w:rsidSect="002261D9">
      <w:footerReference w:type="default" r:id="rId29"/>
      <w:pgSz w:w="11906" w:h="16838" w:code="9"/>
      <w:pgMar w:top="567" w:right="992" w:bottom="714" w:left="992" w:header="0" w:footer="0" w:gutter="0"/>
      <w:cols w:space="4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72E64" w14:textId="77777777" w:rsidR="00076923" w:rsidRDefault="00076923">
      <w:r>
        <w:separator/>
      </w:r>
    </w:p>
    <w:p w14:paraId="6FABACE9" w14:textId="77777777" w:rsidR="00076923" w:rsidRDefault="00076923"/>
  </w:endnote>
  <w:endnote w:type="continuationSeparator" w:id="0">
    <w:p w14:paraId="53491BEE" w14:textId="77777777" w:rsidR="00076923" w:rsidRDefault="00076923">
      <w:r>
        <w:continuationSeparator/>
      </w:r>
    </w:p>
    <w:p w14:paraId="36C158EC" w14:textId="77777777" w:rsidR="00076923" w:rsidRDefault="00076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3DD7" w14:textId="5E1B6AD6" w:rsidR="00E108F4" w:rsidRDefault="00E108F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76B4523" w14:textId="77777777" w:rsidR="00E108F4" w:rsidRDefault="00E108F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335918"/>
      <w:docPartObj>
        <w:docPartGallery w:val="Page Numbers (Bottom of Page)"/>
        <w:docPartUnique/>
      </w:docPartObj>
    </w:sdtPr>
    <w:sdtContent>
      <w:p w14:paraId="4D80C003" w14:textId="788ADF12" w:rsidR="00E108F4" w:rsidRDefault="00E108F4">
        <w:pPr>
          <w:pStyle w:val="Pidipagina"/>
        </w:pPr>
        <w:r>
          <w:fldChar w:fldCharType="begin"/>
        </w:r>
        <w:r>
          <w:instrText>PAGE   \* MERGEFORMAT</w:instrText>
        </w:r>
        <w:r>
          <w:fldChar w:fldCharType="separate"/>
        </w:r>
        <w:r w:rsidR="004A169B">
          <w:rPr>
            <w:noProof/>
          </w:rPr>
          <w:t>2</w:t>
        </w:r>
        <w:r>
          <w:fldChar w:fldCharType="end"/>
        </w:r>
      </w:p>
    </w:sdtContent>
  </w:sdt>
  <w:p w14:paraId="5F530DE7" w14:textId="77777777" w:rsidR="00E108F4" w:rsidRDefault="00E108F4" w:rsidP="00842757">
    <w:pPr>
      <w:pStyle w:val="Pidipagina"/>
      <w:tabs>
        <w:tab w:val="clear" w:pos="4819"/>
        <w:tab w:val="clear" w:pos="9638"/>
        <w:tab w:val="left" w:pos="777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8ECD" w14:textId="6F5A8521" w:rsidR="00E108F4" w:rsidRPr="00C469C4" w:rsidRDefault="00E108F4" w:rsidP="00C469C4">
    <w:pPr>
      <w:pStyle w:val="Pidipagina"/>
      <w:ind w:left="-851"/>
      <w:rPr>
        <w:sz w:val="18"/>
      </w:rPr>
    </w:pPr>
    <w:r w:rsidRPr="00613DD6">
      <w:rPr>
        <w:noProof/>
        <w:sz w:val="18"/>
      </w:rPr>
      <mc:AlternateContent>
        <mc:Choice Requires="wps">
          <w:drawing>
            <wp:anchor distT="0" distB="0" distL="114300" distR="114300" simplePos="0" relativeHeight="251702784" behindDoc="0" locked="0" layoutInCell="1" allowOverlap="1" wp14:anchorId="7EB22DFB" wp14:editId="6B7591B3">
              <wp:simplePos x="0" y="0"/>
              <wp:positionH relativeFrom="column">
                <wp:posOffset>-92710</wp:posOffset>
              </wp:positionH>
              <wp:positionV relativeFrom="paragraph">
                <wp:posOffset>598170</wp:posOffset>
              </wp:positionV>
              <wp:extent cx="3648883" cy="762000"/>
              <wp:effectExtent l="0" t="0" r="8890" b="0"/>
              <wp:wrapNone/>
              <wp:docPr id="51" name="Casella di testo 51"/>
              <wp:cNvGraphicFramePr/>
              <a:graphic xmlns:a="http://schemas.openxmlformats.org/drawingml/2006/main">
                <a:graphicData uri="http://schemas.microsoft.com/office/word/2010/wordprocessingShape">
                  <wps:wsp>
                    <wps:cNvSpPr txBox="1"/>
                    <wps:spPr>
                      <a:xfrm>
                        <a:off x="0" y="0"/>
                        <a:ext cx="3648883" cy="762000"/>
                      </a:xfrm>
                      <a:prstGeom prst="rect">
                        <a:avLst/>
                      </a:prstGeom>
                      <a:solidFill>
                        <a:schemeClr val="bg1"/>
                      </a:solidFill>
                      <a:ln w="6350">
                        <a:noFill/>
                      </a:ln>
                    </wps:spPr>
                    <wps:txbx>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E108F4" w:rsidRPr="00C36991" w14:paraId="25B9CDE4" w14:textId="77777777" w:rsidTr="007927AE">
                            <w:trPr>
                              <w:trHeight w:val="1195"/>
                            </w:trPr>
                            <w:tc>
                              <w:tcPr>
                                <w:tcW w:w="3544" w:type="dxa"/>
                              </w:tcPr>
                              <w:p w14:paraId="1AF6FD2C" w14:textId="77777777" w:rsidR="00E108F4" w:rsidRPr="004649F8" w:rsidRDefault="00E108F4" w:rsidP="007927AE">
                                <w:pPr>
                                  <w:rPr>
                                    <w:rFonts w:ascii="Arial Narrow" w:hAnsi="Arial Narrow"/>
                                    <w:b/>
                                    <w:bCs/>
                                    <w:color w:val="1F497D"/>
                                  </w:rPr>
                                </w:pPr>
                                <w:r w:rsidRPr="004649F8">
                                  <w:rPr>
                                    <w:rFonts w:ascii="Arial Narrow" w:hAnsi="Arial Narrow"/>
                                    <w:b/>
                                    <w:bCs/>
                                    <w:color w:val="1F497D"/>
                                  </w:rPr>
                                  <w:t>UFFICIO STAMPA</w:t>
                                </w:r>
                              </w:p>
                              <w:p w14:paraId="105B3643" w14:textId="77777777" w:rsidR="00E108F4" w:rsidRPr="004649F8" w:rsidRDefault="00E108F4" w:rsidP="007927AE">
                                <w:pPr>
                                  <w:rPr>
                                    <w:rFonts w:ascii="Arial Narrow" w:hAnsi="Arial Narrow"/>
                                    <w:color w:val="1F497D"/>
                                  </w:rPr>
                                </w:pPr>
                                <w:r w:rsidRPr="004649F8">
                                  <w:rPr>
                                    <w:rFonts w:ascii="Arial Narrow" w:hAnsi="Arial Narrow"/>
                                    <w:color w:val="1F497D"/>
                                  </w:rPr>
                                  <w:t>tel. +39 06 4673.2243/44</w:t>
                                </w:r>
                              </w:p>
                              <w:p w14:paraId="163D6170" w14:textId="77777777" w:rsidR="00E108F4" w:rsidRPr="004649F8" w:rsidRDefault="00000000" w:rsidP="007927AE">
                                <w:pPr>
                                  <w:rPr>
                                    <w:rFonts w:ascii="Arial Narrow" w:hAnsi="Arial Narrow"/>
                                    <w:color w:val="1F497D"/>
                                  </w:rPr>
                                </w:pPr>
                                <w:hyperlink r:id="rId1" w:history="1">
                                  <w:r w:rsidR="00E108F4" w:rsidRPr="002E68C4">
                                    <w:rPr>
                                      <w:rStyle w:val="Collegamentoipertestuale"/>
                                      <w:rFonts w:ascii="Arial Narrow" w:hAnsi="Arial Narrow"/>
                                      <w:color w:val="023859"/>
                                    </w:rPr>
                                    <w:t>ufficiostampa@istat.it</w:t>
                                  </w:r>
                                </w:hyperlink>
                              </w:p>
                            </w:tc>
                            <w:tc>
                              <w:tcPr>
                                <w:tcW w:w="2126" w:type="dxa"/>
                              </w:tcPr>
                              <w:p w14:paraId="4BCFC8E6" w14:textId="61B52BA4" w:rsidR="00E108F4" w:rsidRPr="00F47D79" w:rsidRDefault="00E108F4" w:rsidP="007927AE">
                                <w:pPr>
                                  <w:rPr>
                                    <w:rFonts w:ascii="Arial Narrow" w:hAnsi="Arial Narrow" w:cs="Arial"/>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r>
                                <w:r w:rsidRPr="00F75555">
                                  <w:rPr>
                                    <w:rStyle w:val="Collegamentoipertestuale"/>
                                    <w:rFonts w:ascii="Arial Narrow" w:hAnsi="Arial Narrow" w:cs="Arial"/>
                                    <w:color w:val="023859"/>
                                    <w:lang w:val="en-US"/>
                                  </w:rPr>
                                  <w:t>contact.istat.it</w:t>
                                </w:r>
                              </w:p>
                              <w:p w14:paraId="7D5AF6C5" w14:textId="77777777" w:rsidR="00E108F4" w:rsidRPr="002E68C4" w:rsidRDefault="00E108F4" w:rsidP="007927AE">
                                <w:pPr>
                                  <w:rPr>
                                    <w:rFonts w:ascii="Arial Narrow" w:hAnsi="Arial Narrow"/>
                                    <w:color w:val="1F497D"/>
                                    <w:lang w:val="en-US"/>
                                  </w:rPr>
                                </w:pPr>
                              </w:p>
                            </w:tc>
                          </w:tr>
                        </w:tbl>
                        <w:p w14:paraId="641C7413" w14:textId="77777777" w:rsidR="00E108F4" w:rsidRPr="004649F8" w:rsidRDefault="00E108F4" w:rsidP="00591C61">
                          <w:pPr>
                            <w:rPr>
                              <w:rFonts w:ascii="Arial Narrow" w:hAnsi="Arial Narrow"/>
                              <w:color w:val="1F497D"/>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22DFB" id="_x0000_t202" coordsize="21600,21600" o:spt="202" path="m,l,21600r21600,l21600,xe">
              <v:stroke joinstyle="miter"/>
              <v:path gradientshapeok="t" o:connecttype="rect"/>
            </v:shapetype>
            <v:shape id="Casella di testo 51" o:spid="_x0000_s1029" type="#_x0000_t202" style="position:absolute;left:0;text-align:left;margin-left:-7.3pt;margin-top:47.1pt;width:287.3pt;height:6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" fillcolor="white [3212]" stroked="f" strokeweight=".5pt">
              <v:textbox inset="0,0,0,0">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E108F4" w:rsidRPr="00C36991" w14:paraId="25B9CDE4" w14:textId="77777777" w:rsidTr="007927AE">
                      <w:trPr>
                        <w:trHeight w:val="1195"/>
                      </w:trPr>
                      <w:tc>
                        <w:tcPr>
                          <w:tcW w:w="3544" w:type="dxa"/>
                        </w:tcPr>
                        <w:p w14:paraId="1AF6FD2C" w14:textId="77777777" w:rsidR="00E108F4" w:rsidRPr="004649F8" w:rsidRDefault="00E108F4" w:rsidP="007927AE">
                          <w:pPr>
                            <w:rPr>
                              <w:rFonts w:ascii="Arial Narrow" w:hAnsi="Arial Narrow"/>
                              <w:b/>
                              <w:bCs/>
                              <w:color w:val="1F497D"/>
                            </w:rPr>
                          </w:pPr>
                          <w:r w:rsidRPr="004649F8">
                            <w:rPr>
                              <w:rFonts w:ascii="Arial Narrow" w:hAnsi="Arial Narrow"/>
                              <w:b/>
                              <w:bCs/>
                              <w:color w:val="1F497D"/>
                            </w:rPr>
                            <w:t>UFFICIO STAMPA</w:t>
                          </w:r>
                        </w:p>
                        <w:p w14:paraId="105B3643" w14:textId="77777777" w:rsidR="00E108F4" w:rsidRPr="004649F8" w:rsidRDefault="00E108F4" w:rsidP="007927AE">
                          <w:pPr>
                            <w:rPr>
                              <w:rFonts w:ascii="Arial Narrow" w:hAnsi="Arial Narrow"/>
                              <w:color w:val="1F497D"/>
                            </w:rPr>
                          </w:pPr>
                          <w:r w:rsidRPr="004649F8">
                            <w:rPr>
                              <w:rFonts w:ascii="Arial Narrow" w:hAnsi="Arial Narrow"/>
                              <w:color w:val="1F497D"/>
                            </w:rPr>
                            <w:t>tel. +39 06 4673.2243/44</w:t>
                          </w:r>
                        </w:p>
                        <w:p w14:paraId="163D6170" w14:textId="77777777" w:rsidR="00E108F4" w:rsidRPr="004649F8" w:rsidRDefault="00000000" w:rsidP="007927AE">
                          <w:pPr>
                            <w:rPr>
                              <w:rFonts w:ascii="Arial Narrow" w:hAnsi="Arial Narrow"/>
                              <w:color w:val="1F497D"/>
                            </w:rPr>
                          </w:pPr>
                          <w:hyperlink r:id="rId2" w:history="1">
                            <w:r w:rsidR="00E108F4" w:rsidRPr="002E68C4">
                              <w:rPr>
                                <w:rStyle w:val="Collegamentoipertestuale"/>
                                <w:rFonts w:ascii="Arial Narrow" w:hAnsi="Arial Narrow"/>
                                <w:color w:val="023859"/>
                              </w:rPr>
                              <w:t>ufficiostampa@istat.it</w:t>
                            </w:r>
                          </w:hyperlink>
                        </w:p>
                      </w:tc>
                      <w:tc>
                        <w:tcPr>
                          <w:tcW w:w="2126" w:type="dxa"/>
                        </w:tcPr>
                        <w:p w14:paraId="4BCFC8E6" w14:textId="61B52BA4" w:rsidR="00E108F4" w:rsidRPr="00F47D79" w:rsidRDefault="00E108F4" w:rsidP="007927AE">
                          <w:pPr>
                            <w:rPr>
                              <w:rFonts w:ascii="Arial Narrow" w:hAnsi="Arial Narrow" w:cs="Arial"/>
                              <w:color w:val="1F497D"/>
                              <w:lang w:val="en-US"/>
                            </w:rPr>
                          </w:pPr>
                          <w:r w:rsidRPr="002E68C4">
                            <w:rPr>
                              <w:rFonts w:ascii="Arial Narrow" w:hAnsi="Arial Narrow"/>
                              <w:b/>
                              <w:bCs/>
                              <w:color w:val="1F497D"/>
                              <w:lang w:val="en-US"/>
                            </w:rPr>
                            <w:t>CONTACT CENTRE</w:t>
                          </w:r>
                          <w:r w:rsidRPr="002E68C4">
                            <w:rPr>
                              <w:rFonts w:ascii="Arial Narrow" w:hAnsi="Arial Narrow"/>
                              <w:color w:val="1F497D"/>
                              <w:lang w:val="en-US"/>
                            </w:rPr>
                            <w:br/>
                          </w:r>
                          <w:r w:rsidRPr="00F75555">
                            <w:rPr>
                              <w:rStyle w:val="Collegamentoipertestuale"/>
                              <w:rFonts w:ascii="Arial Narrow" w:hAnsi="Arial Narrow" w:cs="Arial"/>
                              <w:color w:val="023859"/>
                              <w:lang w:val="en-US"/>
                            </w:rPr>
                            <w:t>contact.istat.it</w:t>
                          </w:r>
                        </w:p>
                        <w:p w14:paraId="7D5AF6C5" w14:textId="77777777" w:rsidR="00E108F4" w:rsidRPr="002E68C4" w:rsidRDefault="00E108F4" w:rsidP="007927AE">
                          <w:pPr>
                            <w:rPr>
                              <w:rFonts w:ascii="Arial Narrow" w:hAnsi="Arial Narrow"/>
                              <w:color w:val="1F497D"/>
                              <w:lang w:val="en-US"/>
                            </w:rPr>
                          </w:pPr>
                        </w:p>
                      </w:tc>
                    </w:tr>
                  </w:tbl>
                  <w:p w14:paraId="641C7413" w14:textId="77777777" w:rsidR="00E108F4" w:rsidRPr="004649F8" w:rsidRDefault="00E108F4" w:rsidP="00591C61">
                    <w:pPr>
                      <w:rPr>
                        <w:rFonts w:ascii="Arial Narrow" w:hAnsi="Arial Narrow"/>
                        <w:color w:val="1F497D"/>
                        <w:lang w:val="en-US"/>
                      </w:rPr>
                    </w:pPr>
                  </w:p>
                </w:txbxContent>
              </v:textbox>
            </v:shape>
          </w:pict>
        </mc:Fallback>
      </mc:AlternateContent>
    </w:r>
    <w:r>
      <w:rPr>
        <w:noProof/>
        <w:sz w:val="18"/>
      </w:rPr>
      <w:drawing>
        <wp:inline distT="0" distB="0" distL="0" distR="0" wp14:anchorId="233B79CA" wp14:editId="3BBBEF5C">
          <wp:extent cx="7560000" cy="1645200"/>
          <wp:effectExtent l="0" t="0" r="0" b="635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3"/>
                  <a:stretch>
                    <a:fillRect/>
                  </a:stretch>
                </pic:blipFill>
                <pic:spPr>
                  <a:xfrm>
                    <a:off x="0" y="0"/>
                    <a:ext cx="7560000" cy="1645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highlight w:val="lightGray"/>
      </w:rPr>
      <w:id w:val="-556555701"/>
      <w:docPartObj>
        <w:docPartGallery w:val="Page Numbers (Bottom of Page)"/>
        <w:docPartUnique/>
      </w:docPartObj>
    </w:sdtPr>
    <w:sdtContent>
      <w:p w14:paraId="55A09726" w14:textId="77777777" w:rsidR="00E108F4" w:rsidRDefault="00E108F4">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700736" behindDoc="0" locked="0" layoutInCell="1" allowOverlap="1" wp14:anchorId="70F704F3" wp14:editId="4F85D6B0">
                  <wp:simplePos x="0" y="0"/>
                  <wp:positionH relativeFrom="column">
                    <wp:posOffset>-10160</wp:posOffset>
                  </wp:positionH>
                  <wp:positionV relativeFrom="paragraph">
                    <wp:posOffset>-2532381</wp:posOffset>
                  </wp:positionV>
                  <wp:extent cx="6299835" cy="0"/>
                  <wp:effectExtent l="0" t="0" r="24765" b="19050"/>
                  <wp:wrapNone/>
                  <wp:docPr id="18"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noFill/>
                          <a:ln w="15875"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2355367" id="Connettore 1 12" o:spid="_x0000_s1026" style="position:absolute;z-index:25170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" strokecolor="window" strokeweight="1.25pt">
                  <o:lock v:ext="edit" shapetype="f"/>
                </v:line>
              </w:pict>
            </mc:Fallback>
          </mc:AlternateContent>
        </w:r>
        <w:r>
          <w:rPr>
            <w:noProof/>
            <w:sz w:val="28"/>
            <w:szCs w:val="28"/>
          </w:rPr>
          <mc:AlternateContent>
            <mc:Choice Requires="wps">
              <w:drawing>
                <wp:anchor distT="4294967294" distB="4294967294" distL="114300" distR="114300" simplePos="0" relativeHeight="251698688" behindDoc="0" locked="0" layoutInCell="1" allowOverlap="1" wp14:anchorId="5C89F3E1" wp14:editId="335DE5B1">
                  <wp:simplePos x="0" y="0"/>
                  <wp:positionH relativeFrom="column">
                    <wp:posOffset>-10160</wp:posOffset>
                  </wp:positionH>
                  <wp:positionV relativeFrom="paragraph">
                    <wp:posOffset>-127636</wp:posOffset>
                  </wp:positionV>
                  <wp:extent cx="6299835" cy="0"/>
                  <wp:effectExtent l="0" t="0" r="24765" b="19050"/>
                  <wp:wrapNone/>
                  <wp:docPr id="17"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noFill/>
                          <a:ln w="15875"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117668C2" id="Connettore 1 28" o:spid="_x0000_s1026" style="position:absolute;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" strokecolor="window" strokeweight="1.25pt">
                  <o:lock v:ext="edit" shapetype="f"/>
                </v:line>
              </w:pict>
            </mc:Fallback>
          </mc:AlternateContent>
        </w:r>
        <w:r w:rsidRPr="00A17739">
          <w:rPr>
            <w:rFonts w:ascii="Arial" w:hAnsi="Arial" w:cs="Arial"/>
            <w:noProof/>
            <w:sz w:val="22"/>
            <w:szCs w:val="22"/>
          </w:rPr>
          <w:drawing>
            <wp:anchor distT="0" distB="0" distL="114300" distR="114300" simplePos="0" relativeHeight="251697664" behindDoc="0" locked="0" layoutInCell="1" allowOverlap="1" wp14:anchorId="344180CE" wp14:editId="4FF73FF1">
              <wp:simplePos x="0" y="0"/>
              <wp:positionH relativeFrom="column">
                <wp:posOffset>-545465</wp:posOffset>
              </wp:positionH>
              <wp:positionV relativeFrom="paragraph">
                <wp:posOffset>-3345505</wp:posOffset>
              </wp:positionV>
              <wp:extent cx="466725" cy="483235"/>
              <wp:effectExtent l="0" t="0" r="9525" b="0"/>
              <wp:wrapNone/>
              <wp:docPr id="26" name="Immag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anchor>
          </w:drawing>
        </w:r>
        <w:sdt>
          <w:sdtPr>
            <w:rPr>
              <w:rFonts w:asciiTheme="majorHAnsi" w:eastAsiaTheme="majorEastAsia" w:hAnsiTheme="majorHAnsi" w:cstheme="majorBidi"/>
              <w:highlight w:val="lightGray"/>
            </w:rPr>
            <w:id w:val="2142457867"/>
            <w:docPartObj>
              <w:docPartGallery w:val="Page Numbers (Margins)"/>
              <w:docPartUnique/>
            </w:docPartObj>
          </w:sdtPr>
          <w:sdtContent>
            <w:r>
              <w:rPr>
                <w:rFonts w:ascii="Arial Narrow" w:hAnsi="Arial Narrow"/>
                <w:noProof/>
                <w:color w:val="FFFFFF" w:themeColor="background1"/>
              </w:rPr>
              <mc:AlternateContent>
                <mc:Choice Requires="wps">
                  <w:drawing>
                    <wp:anchor distT="0" distB="0" distL="114300" distR="114300" simplePos="0" relativeHeight="251695616" behindDoc="0" locked="0" layoutInCell="0" allowOverlap="1" wp14:anchorId="5B5CE9F9" wp14:editId="1688E51A">
                      <wp:simplePos x="0" y="0"/>
                      <wp:positionH relativeFrom="rightMargin">
                        <wp:posOffset>179070</wp:posOffset>
                      </wp:positionH>
                      <wp:positionV relativeFrom="margin">
                        <wp:posOffset>9758045</wp:posOffset>
                      </wp:positionV>
                      <wp:extent cx="398780" cy="329565"/>
                      <wp:effectExtent l="0" t="0" r="0" b="0"/>
                      <wp:wrapNone/>
                      <wp:docPr id="16"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61ABF330" w14:textId="1F6A12F2" w:rsidR="00E108F4" w:rsidRPr="001B745D" w:rsidRDefault="00E108F4"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C16553">
                                    <w:rPr>
                                      <w:rFonts w:ascii="Arial" w:hAnsi="Arial" w:cs="Arial"/>
                                      <w:b/>
                                      <w:noProof/>
                                      <w:color w:val="244061" w:themeColor="accent1" w:themeShade="80"/>
                                      <w:sz w:val="20"/>
                                      <w:szCs w:val="20"/>
                                    </w:rPr>
                                    <w:t>8</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B5CE9F9" id="Rettangolo 4" o:spid="_x0000_s1030" style="position:absolute;margin-left:14.1pt;margin-top:768.35pt;width:31.4pt;height:25.95pt;z-index:251695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" o:allowincell="f" filled="f" stroked="f">
                      <v:textbox>
                        <w:txbxContent>
                          <w:p w14:paraId="61ABF330" w14:textId="1F6A12F2" w:rsidR="00E108F4" w:rsidRPr="001B745D" w:rsidRDefault="00E108F4"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C16553">
                              <w:rPr>
                                <w:rFonts w:ascii="Arial" w:hAnsi="Arial" w:cs="Arial"/>
                                <w:b/>
                                <w:noProof/>
                                <w:color w:val="244061" w:themeColor="accent1" w:themeShade="80"/>
                                <w:sz w:val="20"/>
                                <w:szCs w:val="20"/>
                              </w:rPr>
                              <w:t>8</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96640" behindDoc="0" locked="0" layoutInCell="1" allowOverlap="1" wp14:anchorId="1CC9E2A6" wp14:editId="0808C9BB">
                  <wp:simplePos x="0" y="0"/>
                  <wp:positionH relativeFrom="column">
                    <wp:posOffset>5678170</wp:posOffset>
                  </wp:positionH>
                  <wp:positionV relativeFrom="paragraph">
                    <wp:posOffset>-263525</wp:posOffset>
                  </wp:positionV>
                  <wp:extent cx="1256030" cy="788035"/>
                  <wp:effectExtent l="0" t="0" r="127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94592" behindDoc="0" locked="0" layoutInCell="1" allowOverlap="1" wp14:anchorId="542FD317" wp14:editId="49C1F01F">
                      <wp:simplePos x="0" y="0"/>
                      <wp:positionH relativeFrom="column">
                        <wp:posOffset>-620395</wp:posOffset>
                      </wp:positionH>
                      <wp:positionV relativeFrom="paragraph">
                        <wp:posOffset>-3084195</wp:posOffset>
                      </wp:positionV>
                      <wp:extent cx="7553325" cy="3476625"/>
                      <wp:effectExtent l="0" t="0" r="9525" b="9525"/>
                      <wp:wrapNone/>
                      <wp:docPr id="15"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47662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013C57B" id="Rettangolo 10" o:spid="_x0000_s1026" style="position:absolute;margin-left:-48.85pt;margin-top:-242.85pt;width:594.75pt;height:27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" fillcolor="#d9d9d9" stroked="f" strokeweight="2pt">
                      <v:path arrowok="t"/>
                    </v:rect>
                  </w:pict>
                </mc:Fallback>
              </mc:AlternateContent>
            </w:r>
          </w:sdtContent>
        </w:sdt>
      </w:p>
    </w:sdtContent>
  </w:sdt>
  <w:p w14:paraId="0CD37B67" w14:textId="77777777" w:rsidR="00E108F4" w:rsidRDefault="00E108F4" w:rsidP="00842757">
    <w:pPr>
      <w:pStyle w:val="Pidipagina"/>
      <w:tabs>
        <w:tab w:val="clear" w:pos="4819"/>
        <w:tab w:val="clear" w:pos="9638"/>
        <w:tab w:val="left" w:pos="777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highlight w:val="lightGray"/>
      </w:rPr>
      <w:id w:val="-1552604650"/>
      <w:docPartObj>
        <w:docPartGallery w:val="Page Numbers (Bottom of Page)"/>
        <w:docPartUnique/>
      </w:docPartObj>
    </w:sdtPr>
    <w:sdtContent>
      <w:p w14:paraId="1AE38924" w14:textId="77777777" w:rsidR="00E108F4" w:rsidRDefault="00E108F4">
        <w:pPr>
          <w:rPr>
            <w:rFonts w:asciiTheme="majorHAnsi" w:eastAsiaTheme="majorEastAsia" w:hAnsiTheme="majorHAnsi" w:cstheme="majorBidi"/>
          </w:rPr>
        </w:pPr>
        <w:r>
          <w:rPr>
            <w:noProof/>
            <w:sz w:val="28"/>
            <w:szCs w:val="28"/>
          </w:rPr>
          <mc:AlternateContent>
            <mc:Choice Requires="wps">
              <w:drawing>
                <wp:anchor distT="4294967294" distB="4294967294" distL="114300" distR="114300" simplePos="0" relativeHeight="251692544" behindDoc="0" locked="0" layoutInCell="1" allowOverlap="1" wp14:anchorId="3025BC24" wp14:editId="32AF739E">
                  <wp:simplePos x="0" y="0"/>
                  <wp:positionH relativeFrom="column">
                    <wp:posOffset>-10160</wp:posOffset>
                  </wp:positionH>
                  <wp:positionV relativeFrom="paragraph">
                    <wp:posOffset>-2532381</wp:posOffset>
                  </wp:positionV>
                  <wp:extent cx="6299835" cy="0"/>
                  <wp:effectExtent l="0" t="0" r="24765" b="19050"/>
                  <wp:wrapNone/>
                  <wp:docPr id="14"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ACFB459" id="Connettore 1 12" o:spid="_x0000_s1026" style="position:absolute;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" strokecolor="white [3212]" strokeweight="1.25pt">
                  <o:lock v:ext="edit" shapetype="f"/>
                </v:line>
              </w:pict>
            </mc:Fallback>
          </mc:AlternateContent>
        </w:r>
        <w:r>
          <w:rPr>
            <w:noProof/>
            <w:sz w:val="28"/>
            <w:szCs w:val="28"/>
          </w:rPr>
          <mc:AlternateContent>
            <mc:Choice Requires="wps">
              <w:drawing>
                <wp:anchor distT="4294967294" distB="4294967294" distL="114300" distR="114300" simplePos="0" relativeHeight="251691520" behindDoc="0" locked="0" layoutInCell="1" allowOverlap="1" wp14:anchorId="0FF33344" wp14:editId="00027A65">
                  <wp:simplePos x="0" y="0"/>
                  <wp:positionH relativeFrom="column">
                    <wp:posOffset>-10160</wp:posOffset>
                  </wp:positionH>
                  <wp:positionV relativeFrom="paragraph">
                    <wp:posOffset>-127636</wp:posOffset>
                  </wp:positionV>
                  <wp:extent cx="6299835" cy="0"/>
                  <wp:effectExtent l="0" t="0" r="24765" b="1905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63C6B8E" id="Connettore 1 28" o:spid="_x0000_s1026" style="position:absolute;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e4w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tuFLeiknLL3R&#10;Dp2DlDAAWzAKk0edjzWV7tw+ZJWyd0/+EeXXSLnqh2S+RD+U9SrYXE4yWV88v0yeQ5+YpODN8vZ2&#10;/XbFmRxzlahHoA8xvQe0LH803GiX7RC1OD/GlFuLeizJYeNYR0u4Wr9blbKIRrcP2picLCsFOxPY&#10;WdAyHI6LLIwYXlTRzbirokFEkZMuBgb+T6DILBp7MTTIa/rMKaQEl0Ze46g6wxRNMAHnfwZe6zMU&#10;ygr/DXhClM7o0gS22mH4XffUjyOroX50YNCdLThge9mH8bFpF4tz1/8mL/vLe4E//93b7wA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NSIgp7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sdt>
          <w:sdtPr>
            <w:rPr>
              <w:rFonts w:asciiTheme="majorHAnsi" w:eastAsiaTheme="majorEastAsia" w:hAnsiTheme="majorHAnsi" w:cstheme="majorBidi"/>
              <w:highlight w:val="lightGray"/>
            </w:rPr>
            <w:id w:val="-156538668"/>
            <w:docPartObj>
              <w:docPartGallery w:val="Page Numbers (Margins)"/>
              <w:docPartUnique/>
            </w:docPartObj>
          </w:sdtPr>
          <w:sdtContent>
            <w:r>
              <w:rPr>
                <w:rFonts w:ascii="Arial Narrow" w:hAnsi="Arial Narrow"/>
                <w:noProof/>
                <w:color w:val="FFFFFF" w:themeColor="background1"/>
              </w:rPr>
              <mc:AlternateContent>
                <mc:Choice Requires="wps">
                  <w:drawing>
                    <wp:anchor distT="0" distB="0" distL="114300" distR="114300" simplePos="0" relativeHeight="251689472" behindDoc="0" locked="0" layoutInCell="0" allowOverlap="1" wp14:anchorId="7A1E1B20" wp14:editId="7003A1CB">
                      <wp:simplePos x="0" y="0"/>
                      <wp:positionH relativeFrom="rightMargin">
                        <wp:posOffset>179070</wp:posOffset>
                      </wp:positionH>
                      <wp:positionV relativeFrom="margin">
                        <wp:posOffset>9758045</wp:posOffset>
                      </wp:positionV>
                      <wp:extent cx="398780" cy="329565"/>
                      <wp:effectExtent l="0" t="0" r="0" b="0"/>
                      <wp:wrapNone/>
                      <wp:docPr id="5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5F0D6A0D" w14:textId="4463579C" w:rsidR="00E108F4" w:rsidRPr="001B745D" w:rsidRDefault="00E108F4"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C16553">
                                    <w:rPr>
                                      <w:rFonts w:ascii="Arial" w:hAnsi="Arial" w:cs="Arial"/>
                                      <w:b/>
                                      <w:noProof/>
                                      <w:color w:val="244061" w:themeColor="accent1" w:themeShade="80"/>
                                      <w:sz w:val="20"/>
                                      <w:szCs w:val="20"/>
                                    </w:rPr>
                                    <w:t>17</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A1E1B20" id="_x0000_s1031" style="position:absolute;margin-left:14.1pt;margin-top:768.35pt;width:31.4pt;height:25.95pt;z-index:251689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" o:allowincell="f" filled="f" stroked="f">
                      <v:textbox>
                        <w:txbxContent>
                          <w:p w14:paraId="5F0D6A0D" w14:textId="4463579C" w:rsidR="00E108F4" w:rsidRPr="001B745D" w:rsidRDefault="00E108F4"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C16553">
                              <w:rPr>
                                <w:rFonts w:ascii="Arial" w:hAnsi="Arial" w:cs="Arial"/>
                                <w:b/>
                                <w:noProof/>
                                <w:color w:val="244061" w:themeColor="accent1" w:themeShade="80"/>
                                <w:sz w:val="20"/>
                                <w:szCs w:val="20"/>
                              </w:rPr>
                              <w:t>17</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88448" behindDoc="0" locked="0" layoutInCell="1" allowOverlap="1" wp14:anchorId="5662EA99" wp14:editId="2BCEC12E">
                  <wp:simplePos x="0" y="0"/>
                  <wp:positionH relativeFrom="column">
                    <wp:posOffset>5678170</wp:posOffset>
                  </wp:positionH>
                  <wp:positionV relativeFrom="paragraph">
                    <wp:posOffset>-263525</wp:posOffset>
                  </wp:positionV>
                  <wp:extent cx="1256030" cy="788035"/>
                  <wp:effectExtent l="0" t="0" r="127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sdtContent>
        </w:sdt>
      </w:p>
    </w:sdtContent>
  </w:sdt>
  <w:p w14:paraId="2610ECFE" w14:textId="77777777" w:rsidR="00E108F4" w:rsidRDefault="00E108F4" w:rsidP="00842757">
    <w:pPr>
      <w:pStyle w:val="Pidipagina"/>
      <w:tabs>
        <w:tab w:val="clear" w:pos="4819"/>
        <w:tab w:val="clear" w:pos="9638"/>
        <w:tab w:val="left" w:pos="777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01AFE" w14:textId="77777777" w:rsidR="00076923" w:rsidRDefault="00076923">
      <w:r>
        <w:separator/>
      </w:r>
    </w:p>
    <w:p w14:paraId="1C4847A9" w14:textId="77777777" w:rsidR="00076923" w:rsidRDefault="00076923"/>
  </w:footnote>
  <w:footnote w:type="continuationSeparator" w:id="0">
    <w:p w14:paraId="28325C7E" w14:textId="77777777" w:rsidR="00076923" w:rsidRDefault="00076923">
      <w:r>
        <w:continuationSeparator/>
      </w:r>
    </w:p>
    <w:p w14:paraId="2F1328D0" w14:textId="77777777" w:rsidR="00076923" w:rsidRDefault="00076923"/>
  </w:footnote>
  <w:footnote w:id="1">
    <w:p w14:paraId="62A9F296" w14:textId="1AB1B6C7" w:rsidR="00E108F4" w:rsidRPr="006C1868" w:rsidRDefault="00E108F4">
      <w:pPr>
        <w:pStyle w:val="Testonotaapidipagina"/>
        <w:rPr>
          <w:rFonts w:ascii="Arial" w:eastAsia="Arial" w:hAnsi="Arial" w:cs="Arial"/>
          <w:color w:val="000000"/>
          <w:sz w:val="16"/>
          <w:szCs w:val="16"/>
        </w:rPr>
      </w:pPr>
      <w:r>
        <w:rPr>
          <w:rStyle w:val="Rimandonotaapidipagina"/>
        </w:rPr>
        <w:footnoteRef/>
      </w:r>
      <w:r>
        <w:t xml:space="preserve"> </w:t>
      </w:r>
      <w:r w:rsidRPr="006C1868">
        <w:rPr>
          <w:rFonts w:ascii="Arial" w:eastAsia="Arial" w:hAnsi="Arial" w:cs="Arial"/>
          <w:color w:val="000000"/>
          <w:sz w:val="16"/>
          <w:szCs w:val="16"/>
        </w:rPr>
        <w:t>Si veda la voce “Conti economici dell’ambiente/contabilità ambientale” nel Glossario per ulteriori dettagli.</w:t>
      </w:r>
    </w:p>
  </w:footnote>
  <w:footnote w:id="2">
    <w:p w14:paraId="4720B694" w14:textId="77777777" w:rsidR="00E108F4" w:rsidRPr="00CE7D0F" w:rsidRDefault="00E108F4" w:rsidP="00CE7D0F">
      <w:pPr>
        <w:pStyle w:val="Testonotaapidipagina"/>
        <w:jc w:val="both"/>
        <w:rPr>
          <w:rFonts w:ascii="Arial" w:hAnsi="Arial" w:cs="Arial"/>
          <w:sz w:val="16"/>
          <w:szCs w:val="16"/>
        </w:rPr>
      </w:pPr>
      <w:r w:rsidRPr="00CE7D0F">
        <w:rPr>
          <w:rStyle w:val="Rimandonotaapidipagina"/>
          <w:rFonts w:ascii="Arial" w:hAnsi="Arial" w:cs="Arial"/>
          <w:sz w:val="16"/>
          <w:szCs w:val="16"/>
        </w:rPr>
        <w:footnoteRef/>
      </w:r>
      <w:r w:rsidRPr="00CE7D0F">
        <w:rPr>
          <w:rFonts w:ascii="Arial" w:hAnsi="Arial" w:cs="Arial"/>
          <w:sz w:val="16"/>
          <w:szCs w:val="16"/>
        </w:rPr>
        <w:t xml:space="preserve"> </w:t>
      </w:r>
      <w:r w:rsidRPr="00CE7D0F">
        <w:rPr>
          <w:rFonts w:ascii="Arial" w:eastAsia="Arial" w:hAnsi="Arial" w:cs="Arial"/>
          <w:color w:val="000000"/>
          <w:sz w:val="16"/>
          <w:szCs w:val="16"/>
        </w:rPr>
        <w:t xml:space="preserve">Per una data unità produttiva, l’attività principale è quella il cui valore aggiunto supera quello di qualsiasi altra attività esercitata nella stessa unità, l’attività secondaria è una attività esercitata in aggiunta all’attività principale e l’attività ausiliaria consiste in una attività di supporto (acquisto, vendita, </w:t>
      </w:r>
      <w:r w:rsidRPr="00CE7D0F">
        <w:rPr>
          <w:rFonts w:ascii="Arial" w:eastAsia="Arial" w:hAnsi="Arial" w:cs="Arial"/>
          <w:i/>
          <w:iCs/>
          <w:color w:val="000000"/>
          <w:sz w:val="16"/>
          <w:szCs w:val="16"/>
        </w:rPr>
        <w:t>marketing</w:t>
      </w:r>
      <w:r w:rsidRPr="00CE7D0F">
        <w:rPr>
          <w:rFonts w:ascii="Arial" w:eastAsia="Arial" w:hAnsi="Arial" w:cs="Arial"/>
          <w:color w:val="000000"/>
          <w:sz w:val="16"/>
          <w:szCs w:val="16"/>
        </w:rPr>
        <w:t>, elaborazione dati, trasporto, immagazzinamento ecc.) esercitata al fine di creare le condizioni idonee all’esercizio delle attività principali o secondarie.</w:t>
      </w:r>
    </w:p>
  </w:footnote>
  <w:footnote w:id="3">
    <w:p w14:paraId="4D09333E" w14:textId="2391AED0" w:rsidR="00E108F4" w:rsidRPr="009618C4" w:rsidRDefault="00E108F4" w:rsidP="00CE7D0F">
      <w:pPr>
        <w:pStyle w:val="footnotedescription"/>
        <w:spacing w:line="252" w:lineRule="auto"/>
        <w:ind w:left="0"/>
        <w:jc w:val="both"/>
      </w:pPr>
      <w:r w:rsidRPr="009618C4">
        <w:rPr>
          <w:rStyle w:val="footnotemark"/>
        </w:rPr>
        <w:footnoteRef/>
      </w:r>
      <w:r w:rsidRPr="009618C4">
        <w:t xml:space="preserve"> Cfr. </w:t>
      </w:r>
      <w:r w:rsidRPr="00CE7D0F">
        <w:t xml:space="preserve">Regolamento di esecuzione (Ue) </w:t>
      </w:r>
      <w:r w:rsidRPr="006C1868">
        <w:t xml:space="preserve">2024/1769 </w:t>
      </w:r>
      <w:r w:rsidRPr="00CE7D0F">
        <w:t xml:space="preserve">della Commissione del </w:t>
      </w:r>
      <w:r w:rsidRPr="006C1868">
        <w:t xml:space="preserve">26 giugno 2024 </w:t>
      </w:r>
      <w:r w:rsidRPr="00CE7D0F">
        <w:t>relativo al compendio indicativo dei beni e servizi ambientali</w:t>
      </w:r>
      <w:hyperlink r:id="rId1">
        <w:r>
          <w:t>.</w:t>
        </w:r>
      </w:hyperlink>
      <w:r w:rsidRPr="009618C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CA51" w14:textId="77777777" w:rsidR="00E108F4" w:rsidRDefault="00E108F4" w:rsidP="00DF2FE2">
    <w:pPr>
      <w:pStyle w:val="Intestazione"/>
      <w:tabs>
        <w:tab w:val="left" w:pos="0"/>
      </w:tabs>
      <w:ind w:left="-851"/>
    </w:pPr>
    <w:r>
      <w:rPr>
        <w:noProof/>
      </w:rPr>
      <mc:AlternateContent>
        <mc:Choice Requires="wps">
          <w:drawing>
            <wp:anchor distT="0" distB="0" distL="114300" distR="114300" simplePos="0" relativeHeight="251657216" behindDoc="0" locked="0" layoutInCell="1" allowOverlap="1" wp14:anchorId="2D0B0938" wp14:editId="1B6D7F97">
              <wp:simplePos x="0" y="0"/>
              <wp:positionH relativeFrom="column">
                <wp:posOffset>5397500</wp:posOffset>
              </wp:positionH>
              <wp:positionV relativeFrom="paragraph">
                <wp:posOffset>1270</wp:posOffset>
              </wp:positionV>
              <wp:extent cx="1625600" cy="39624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6240"/>
                      </a:xfrm>
                      <a:prstGeom prst="rect">
                        <a:avLst/>
                      </a:prstGeom>
                      <a:solidFill>
                        <a:schemeClr val="tx2"/>
                      </a:solidFill>
                      <a:ln>
                        <a:noFill/>
                      </a:ln>
                    </wps:spPr>
                    <wps:txbx>
                      <w:txbxContent>
                        <w:p w14:paraId="62290EA0" w14:textId="77777777" w:rsidR="00E108F4" w:rsidRPr="00A804E3" w:rsidRDefault="00E108F4" w:rsidP="00DF2FE2">
                          <w:pPr>
                            <w:autoSpaceDE w:val="0"/>
                            <w:autoSpaceDN w:val="0"/>
                            <w:adjustRightInd w:val="0"/>
                            <w:jc w:val="center"/>
                            <w:rPr>
                              <w:rFonts w:ascii="Arial Narrow" w:hAnsi="Arial Narrow" w:cs="Arial"/>
                              <w:b/>
                              <w:bCs/>
                              <w:color w:val="FFFFFF" w:themeColor="background1"/>
                              <w:sz w:val="8"/>
                              <w:szCs w:val="26"/>
                            </w:rPr>
                          </w:pPr>
                        </w:p>
                        <w:p w14:paraId="5C22FA26" w14:textId="4BE84158" w:rsidR="00E108F4" w:rsidRPr="00690C34" w:rsidRDefault="00E108F4"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24 FEBBRAIO</w:t>
                          </w:r>
                          <w:r w:rsidRPr="00123E17">
                            <w:rPr>
                              <w:rFonts w:ascii="Arial Narrow" w:hAnsi="Arial Narrow" w:cs="Arial"/>
                              <w:b/>
                              <w:bCs/>
                              <w:color w:val="FFFFFF" w:themeColor="background1"/>
                              <w:sz w:val="26"/>
                              <w:szCs w:val="26"/>
                            </w:rPr>
                            <w:t xml:space="preserve"> 20</w:t>
                          </w:r>
                          <w:r>
                            <w:rPr>
                              <w:rFonts w:ascii="Arial Narrow" w:hAnsi="Arial Narrow" w:cs="Arial"/>
                              <w:b/>
                              <w:bCs/>
                              <w:color w:val="FFFFFF" w:themeColor="background1"/>
                              <w:sz w:val="26"/>
                              <w:szCs w:val="26"/>
                            </w:rPr>
                            <w:t>25</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B0938" id="_x0000_t202" coordsize="21600,21600" o:spt="202" path="m,l,21600r21600,l21600,xe">
              <v:stroke joinstyle="miter"/>
              <v:path gradientshapeok="t" o:connecttype="rect"/>
            </v:shapetype>
            <v:shape id="Text Box 2" o:spid="_x0000_s1028" type="#_x0000_t202" style="position:absolute;left:0;text-align:left;margin-left:425pt;margin-top:.1pt;width:128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" fillcolor="#1f497d [3215]" stroked="f">
              <v:textbox inset="1.5mm,,1.5mm">
                <w:txbxContent>
                  <w:p w14:paraId="62290EA0" w14:textId="77777777" w:rsidR="00E108F4" w:rsidRPr="00A804E3" w:rsidRDefault="00E108F4" w:rsidP="00DF2FE2">
                    <w:pPr>
                      <w:autoSpaceDE w:val="0"/>
                      <w:autoSpaceDN w:val="0"/>
                      <w:adjustRightInd w:val="0"/>
                      <w:jc w:val="center"/>
                      <w:rPr>
                        <w:rFonts w:ascii="Arial Narrow" w:hAnsi="Arial Narrow" w:cs="Arial"/>
                        <w:b/>
                        <w:bCs/>
                        <w:color w:val="FFFFFF" w:themeColor="background1"/>
                        <w:sz w:val="8"/>
                        <w:szCs w:val="26"/>
                      </w:rPr>
                    </w:pPr>
                  </w:p>
                  <w:p w14:paraId="5C22FA26" w14:textId="4BE84158" w:rsidR="00E108F4" w:rsidRPr="00690C34" w:rsidRDefault="00E108F4"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24 FEBBRAIO</w:t>
                    </w:r>
                    <w:r w:rsidRPr="00123E17">
                      <w:rPr>
                        <w:rFonts w:ascii="Arial Narrow" w:hAnsi="Arial Narrow" w:cs="Arial"/>
                        <w:b/>
                        <w:bCs/>
                        <w:color w:val="FFFFFF" w:themeColor="background1"/>
                        <w:sz w:val="26"/>
                        <w:szCs w:val="26"/>
                      </w:rPr>
                      <w:t xml:space="preserve"> 20</w:t>
                    </w:r>
                    <w:r>
                      <w:rPr>
                        <w:rFonts w:ascii="Arial Narrow" w:hAnsi="Arial Narrow" w:cs="Arial"/>
                        <w:b/>
                        <w:bCs/>
                        <w:color w:val="FFFFFF" w:themeColor="background1"/>
                        <w:sz w:val="26"/>
                        <w:szCs w:val="26"/>
                      </w:rPr>
                      <w:t>25</w:t>
                    </w:r>
                  </w:p>
                </w:txbxContent>
              </v:textbox>
            </v:shape>
          </w:pict>
        </mc:Fallback>
      </mc:AlternateContent>
    </w:r>
    <w:r>
      <w:rPr>
        <w:noProof/>
      </w:rPr>
      <w:drawing>
        <wp:inline distT="0" distB="0" distL="0" distR="0" wp14:anchorId="52C479F4" wp14:editId="56876506">
          <wp:extent cx="7560000" cy="1645200"/>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E108F4" w:rsidRPr="00DD6CCE" w14:paraId="01AA2139" w14:textId="77777777" w:rsidTr="00C312B1">
      <w:trPr>
        <w:trHeight w:hRule="exact" w:val="567"/>
      </w:trPr>
      <w:tc>
        <w:tcPr>
          <w:tcW w:w="9323" w:type="dxa"/>
          <w:shd w:val="clear" w:color="auto" w:fill="1F497D" w:themeFill="text2"/>
          <w:vAlign w:val="center"/>
        </w:tcPr>
        <w:p w14:paraId="15246D80" w14:textId="22AC7A9C" w:rsidR="00E108F4" w:rsidRPr="005D6783" w:rsidRDefault="00E108F4" w:rsidP="00C312B1">
          <w:pPr>
            <w:pStyle w:val="Intestazione"/>
            <w:spacing w:before="120"/>
            <w:ind w:left="567"/>
            <w:jc w:val="left"/>
            <w:rPr>
              <w:rFonts w:ascii="Arial Narrow" w:hAnsi="Arial Narrow"/>
              <w:color w:val="FFFFFF" w:themeColor="background1"/>
              <w:sz w:val="24"/>
            </w:rPr>
          </w:pPr>
          <w:r>
            <w:rPr>
              <w:rFonts w:ascii="Arial Narrow" w:hAnsi="Arial Narrow"/>
              <w:color w:val="FFFFFF" w:themeColor="background1"/>
              <w:sz w:val="24"/>
            </w:rPr>
            <w:t>ECONOMIA E AMBIENTE: PRINCIPALI INDICATORI</w:t>
          </w:r>
        </w:p>
      </w:tc>
      <w:tc>
        <w:tcPr>
          <w:tcW w:w="3016" w:type="dxa"/>
          <w:shd w:val="clear" w:color="auto" w:fill="1F497D" w:themeFill="text2"/>
          <w:vAlign w:val="center"/>
        </w:tcPr>
        <w:p w14:paraId="31897715" w14:textId="77777777" w:rsidR="00E108F4" w:rsidRPr="00DD6CCE" w:rsidRDefault="00E108F4" w:rsidP="00C312B1">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99712" behindDoc="0" locked="0" layoutInCell="1" allowOverlap="1" wp14:anchorId="33DA6002" wp14:editId="5BA2006C">
                <wp:simplePos x="0" y="0"/>
                <wp:positionH relativeFrom="column">
                  <wp:posOffset>598805</wp:posOffset>
                </wp:positionH>
                <wp:positionV relativeFrom="paragraph">
                  <wp:posOffset>-1905</wp:posOffset>
                </wp:positionV>
                <wp:extent cx="695325" cy="198120"/>
                <wp:effectExtent l="0" t="0" r="9525" b="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anchor>
            </w:drawing>
          </w:r>
        </w:p>
      </w:tc>
    </w:tr>
  </w:tbl>
  <w:p w14:paraId="76C92AD8" w14:textId="77777777" w:rsidR="00E108F4" w:rsidRPr="007D0BF5" w:rsidRDefault="00E108F4" w:rsidP="00B15087">
    <w:pPr>
      <w:pStyle w:val="Intestazione"/>
      <w:tabs>
        <w:tab w:val="clear" w:pos="4819"/>
        <w:tab w:val="clear" w:pos="9638"/>
        <w:tab w:val="left" w:pos="595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DE24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66938"/>
    <w:multiLevelType w:val="hybridMultilevel"/>
    <w:tmpl w:val="F17483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1FC5803"/>
    <w:multiLevelType w:val="hybridMultilevel"/>
    <w:tmpl w:val="4232E8C6"/>
    <w:lvl w:ilvl="0" w:tplc="0C2EB14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4485E9A"/>
    <w:multiLevelType w:val="hybridMultilevel"/>
    <w:tmpl w:val="8A542CFA"/>
    <w:lvl w:ilvl="0" w:tplc="7092F3C6">
      <w:numFmt w:val="bullet"/>
      <w:lvlText w:val="-"/>
      <w:lvlJc w:val="left"/>
      <w:pPr>
        <w:ind w:left="720" w:hanging="360"/>
      </w:pPr>
      <w:rPr>
        <w:rFonts w:ascii="Arial" w:eastAsiaTheme="minorHAnsi"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EE5245"/>
    <w:multiLevelType w:val="hybridMultilevel"/>
    <w:tmpl w:val="D5F47FA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51D620F"/>
    <w:multiLevelType w:val="singleLevel"/>
    <w:tmpl w:val="6024B9BE"/>
    <w:lvl w:ilvl="0">
      <w:start w:val="1"/>
      <w:numFmt w:val="bullet"/>
      <w:lvlText w:val=""/>
      <w:lvlJc w:val="left"/>
      <w:pPr>
        <w:tabs>
          <w:tab w:val="num" w:pos="360"/>
        </w:tabs>
        <w:ind w:left="360" w:hanging="360"/>
      </w:pPr>
      <w:rPr>
        <w:rFonts w:ascii="Symbol" w:hAnsi="Symbol" w:hint="default"/>
        <w:sz w:val="16"/>
      </w:rPr>
    </w:lvl>
  </w:abstractNum>
  <w:abstractNum w:abstractNumId="6" w15:restartNumberingAfterBreak="0">
    <w:nsid w:val="05E01132"/>
    <w:multiLevelType w:val="hybridMultilevel"/>
    <w:tmpl w:val="186640FA"/>
    <w:lvl w:ilvl="0" w:tplc="B1F2399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DDC62A5"/>
    <w:multiLevelType w:val="hybridMultilevel"/>
    <w:tmpl w:val="8CA640CA"/>
    <w:lvl w:ilvl="0" w:tplc="EE8E6636">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8" w15:restartNumberingAfterBreak="0">
    <w:nsid w:val="0FA85625"/>
    <w:multiLevelType w:val="hybridMultilevel"/>
    <w:tmpl w:val="868E821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D31383"/>
    <w:multiLevelType w:val="hybridMultilevel"/>
    <w:tmpl w:val="4A4A6C0C"/>
    <w:lvl w:ilvl="0" w:tplc="AD2873D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B538A7"/>
    <w:multiLevelType w:val="hybridMultilevel"/>
    <w:tmpl w:val="6BE010C2"/>
    <w:lvl w:ilvl="0" w:tplc="B596D914">
      <w:numFmt w:val="bullet"/>
      <w:lvlText w:val="-"/>
      <w:lvlJc w:val="left"/>
      <w:pPr>
        <w:ind w:left="819" w:hanging="360"/>
      </w:pPr>
      <w:rPr>
        <w:rFonts w:ascii="Georgia" w:eastAsia="Times New Roman" w:hAnsi="Georgia" w:cs="Arial" w:hint="default"/>
      </w:rPr>
    </w:lvl>
    <w:lvl w:ilvl="1" w:tplc="04100003" w:tentative="1">
      <w:start w:val="1"/>
      <w:numFmt w:val="bullet"/>
      <w:lvlText w:val="o"/>
      <w:lvlJc w:val="left"/>
      <w:pPr>
        <w:ind w:left="1539" w:hanging="360"/>
      </w:pPr>
      <w:rPr>
        <w:rFonts w:ascii="Courier New" w:hAnsi="Courier New" w:cs="Courier New" w:hint="default"/>
      </w:rPr>
    </w:lvl>
    <w:lvl w:ilvl="2" w:tplc="04100005" w:tentative="1">
      <w:start w:val="1"/>
      <w:numFmt w:val="bullet"/>
      <w:lvlText w:val=""/>
      <w:lvlJc w:val="left"/>
      <w:pPr>
        <w:ind w:left="2259" w:hanging="360"/>
      </w:pPr>
      <w:rPr>
        <w:rFonts w:ascii="Wingdings" w:hAnsi="Wingdings" w:hint="default"/>
      </w:rPr>
    </w:lvl>
    <w:lvl w:ilvl="3" w:tplc="04100001" w:tentative="1">
      <w:start w:val="1"/>
      <w:numFmt w:val="bullet"/>
      <w:lvlText w:val=""/>
      <w:lvlJc w:val="left"/>
      <w:pPr>
        <w:ind w:left="2979" w:hanging="360"/>
      </w:pPr>
      <w:rPr>
        <w:rFonts w:ascii="Symbol" w:hAnsi="Symbol" w:hint="default"/>
      </w:rPr>
    </w:lvl>
    <w:lvl w:ilvl="4" w:tplc="04100003" w:tentative="1">
      <w:start w:val="1"/>
      <w:numFmt w:val="bullet"/>
      <w:lvlText w:val="o"/>
      <w:lvlJc w:val="left"/>
      <w:pPr>
        <w:ind w:left="3699" w:hanging="360"/>
      </w:pPr>
      <w:rPr>
        <w:rFonts w:ascii="Courier New" w:hAnsi="Courier New" w:cs="Courier New" w:hint="default"/>
      </w:rPr>
    </w:lvl>
    <w:lvl w:ilvl="5" w:tplc="04100005" w:tentative="1">
      <w:start w:val="1"/>
      <w:numFmt w:val="bullet"/>
      <w:lvlText w:val=""/>
      <w:lvlJc w:val="left"/>
      <w:pPr>
        <w:ind w:left="4419" w:hanging="360"/>
      </w:pPr>
      <w:rPr>
        <w:rFonts w:ascii="Wingdings" w:hAnsi="Wingdings" w:hint="default"/>
      </w:rPr>
    </w:lvl>
    <w:lvl w:ilvl="6" w:tplc="04100001" w:tentative="1">
      <w:start w:val="1"/>
      <w:numFmt w:val="bullet"/>
      <w:lvlText w:val=""/>
      <w:lvlJc w:val="left"/>
      <w:pPr>
        <w:ind w:left="5139" w:hanging="360"/>
      </w:pPr>
      <w:rPr>
        <w:rFonts w:ascii="Symbol" w:hAnsi="Symbol" w:hint="default"/>
      </w:rPr>
    </w:lvl>
    <w:lvl w:ilvl="7" w:tplc="04100003" w:tentative="1">
      <w:start w:val="1"/>
      <w:numFmt w:val="bullet"/>
      <w:lvlText w:val="o"/>
      <w:lvlJc w:val="left"/>
      <w:pPr>
        <w:ind w:left="5859" w:hanging="360"/>
      </w:pPr>
      <w:rPr>
        <w:rFonts w:ascii="Courier New" w:hAnsi="Courier New" w:cs="Courier New" w:hint="default"/>
      </w:rPr>
    </w:lvl>
    <w:lvl w:ilvl="8" w:tplc="04100005" w:tentative="1">
      <w:start w:val="1"/>
      <w:numFmt w:val="bullet"/>
      <w:lvlText w:val=""/>
      <w:lvlJc w:val="left"/>
      <w:pPr>
        <w:ind w:left="6579" w:hanging="360"/>
      </w:pPr>
      <w:rPr>
        <w:rFonts w:ascii="Wingdings" w:hAnsi="Wingdings" w:hint="default"/>
      </w:rPr>
    </w:lvl>
  </w:abstractNum>
  <w:abstractNum w:abstractNumId="11" w15:restartNumberingAfterBreak="0">
    <w:nsid w:val="19D10D11"/>
    <w:multiLevelType w:val="multilevel"/>
    <w:tmpl w:val="F808D8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AF25C5"/>
    <w:multiLevelType w:val="hybridMultilevel"/>
    <w:tmpl w:val="5434BEB4"/>
    <w:lvl w:ilvl="0" w:tplc="4348AD6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E3A58BA"/>
    <w:multiLevelType w:val="hybridMultilevel"/>
    <w:tmpl w:val="4524C4A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F4149C0"/>
    <w:multiLevelType w:val="hybridMultilevel"/>
    <w:tmpl w:val="86B8D4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02B54A6"/>
    <w:multiLevelType w:val="hybridMultilevel"/>
    <w:tmpl w:val="3FEA5EA8"/>
    <w:lvl w:ilvl="0" w:tplc="22BCD85C">
      <w:start w:val="1"/>
      <w:numFmt w:val="bullet"/>
      <w:lvlText w:val=""/>
      <w:lvlJc w:val="left"/>
      <w:pPr>
        <w:tabs>
          <w:tab w:val="num" w:pos="927"/>
        </w:tabs>
        <w:ind w:left="907" w:hanging="340"/>
      </w:pPr>
      <w:rPr>
        <w:rFonts w:ascii="Symbol" w:hAnsi="Symbol" w:hint="default"/>
        <w:color w:val="0000FF"/>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B5202F"/>
    <w:multiLevelType w:val="hybridMultilevel"/>
    <w:tmpl w:val="C7243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8656789"/>
    <w:multiLevelType w:val="hybridMultilevel"/>
    <w:tmpl w:val="86B0A0D4"/>
    <w:lvl w:ilvl="0" w:tplc="A5624EF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A425270"/>
    <w:multiLevelType w:val="hybridMultilevel"/>
    <w:tmpl w:val="D108C0A8"/>
    <w:lvl w:ilvl="0" w:tplc="7AFE041A">
      <w:start w:val="1"/>
      <w:numFmt w:val="lowerLetter"/>
      <w:lvlText w:val="(%1)"/>
      <w:lvlJc w:val="left"/>
      <w:pPr>
        <w:ind w:left="720" w:hanging="360"/>
      </w:pPr>
      <w:rPr>
        <w:rFonts w:ascii="Arial" w:hAnsi="Arial" w:cs="Arial" w:hint="default"/>
        <w:sz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BF63E77"/>
    <w:multiLevelType w:val="singleLevel"/>
    <w:tmpl w:val="420A0C84"/>
    <w:lvl w:ilvl="0">
      <w:start w:val="1"/>
      <w:numFmt w:val="upperLetter"/>
      <w:lvlText w:val="%1)"/>
      <w:lvlJc w:val="left"/>
      <w:pPr>
        <w:tabs>
          <w:tab w:val="num" w:pos="928"/>
        </w:tabs>
        <w:ind w:left="851" w:hanging="283"/>
      </w:pPr>
      <w:rPr>
        <w:caps w:val="0"/>
      </w:rPr>
    </w:lvl>
  </w:abstractNum>
  <w:abstractNum w:abstractNumId="20" w15:restartNumberingAfterBreak="0">
    <w:nsid w:val="2E150D0C"/>
    <w:multiLevelType w:val="hybridMultilevel"/>
    <w:tmpl w:val="6BB67F90"/>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2E273988"/>
    <w:multiLevelType w:val="multilevel"/>
    <w:tmpl w:val="9932B388"/>
    <w:lvl w:ilvl="0">
      <w:start w:val="3"/>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5A10F89"/>
    <w:multiLevelType w:val="hybridMultilevel"/>
    <w:tmpl w:val="88A831C6"/>
    <w:lvl w:ilvl="0" w:tplc="BC8246E8">
      <w:numFmt w:val="bullet"/>
      <w:lvlText w:val="-"/>
      <w:lvlJc w:val="left"/>
      <w:pPr>
        <w:ind w:left="720" w:hanging="360"/>
      </w:pPr>
      <w:rPr>
        <w:rFonts w:ascii="Arial" w:eastAsia="Times New Roman" w:hAnsi="Arial" w:cs="Arial" w:hint="default"/>
        <w:b/>
        <w:i/>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A8671C8"/>
    <w:multiLevelType w:val="singleLevel"/>
    <w:tmpl w:val="6024B9BE"/>
    <w:lvl w:ilvl="0">
      <w:start w:val="1"/>
      <w:numFmt w:val="bullet"/>
      <w:lvlText w:val=""/>
      <w:lvlJc w:val="left"/>
      <w:pPr>
        <w:tabs>
          <w:tab w:val="num" w:pos="360"/>
        </w:tabs>
        <w:ind w:left="360" w:hanging="360"/>
      </w:pPr>
      <w:rPr>
        <w:rFonts w:ascii="Symbol" w:hAnsi="Symbol" w:hint="default"/>
        <w:sz w:val="16"/>
      </w:rPr>
    </w:lvl>
  </w:abstractNum>
  <w:abstractNum w:abstractNumId="24" w15:restartNumberingAfterBreak="0">
    <w:nsid w:val="3D496AFD"/>
    <w:multiLevelType w:val="hybridMultilevel"/>
    <w:tmpl w:val="68C25B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086CA2"/>
    <w:multiLevelType w:val="singleLevel"/>
    <w:tmpl w:val="9F5AE01E"/>
    <w:lvl w:ilvl="0">
      <w:start w:val="1"/>
      <w:numFmt w:val="lowerLetter"/>
      <w:lvlText w:val="(%1)"/>
      <w:lvlJc w:val="left"/>
      <w:pPr>
        <w:tabs>
          <w:tab w:val="num" w:pos="360"/>
        </w:tabs>
        <w:ind w:left="360" w:hanging="360"/>
      </w:pPr>
      <w:rPr>
        <w:rFonts w:hint="default"/>
      </w:rPr>
    </w:lvl>
  </w:abstractNum>
  <w:abstractNum w:abstractNumId="26" w15:restartNumberingAfterBreak="0">
    <w:nsid w:val="4001217C"/>
    <w:multiLevelType w:val="hybridMultilevel"/>
    <w:tmpl w:val="4B3EFEC4"/>
    <w:lvl w:ilvl="0" w:tplc="05D2A2E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0D7281B"/>
    <w:multiLevelType w:val="singleLevel"/>
    <w:tmpl w:val="04100011"/>
    <w:lvl w:ilvl="0">
      <w:start w:val="2"/>
      <w:numFmt w:val="decimal"/>
      <w:lvlText w:val="%1)"/>
      <w:lvlJc w:val="left"/>
      <w:pPr>
        <w:tabs>
          <w:tab w:val="num" w:pos="360"/>
        </w:tabs>
        <w:ind w:left="360" w:hanging="360"/>
      </w:pPr>
      <w:rPr>
        <w:rFonts w:hint="default"/>
      </w:rPr>
    </w:lvl>
  </w:abstractNum>
  <w:abstractNum w:abstractNumId="28" w15:restartNumberingAfterBreak="0">
    <w:nsid w:val="45C01D52"/>
    <w:multiLevelType w:val="multilevel"/>
    <w:tmpl w:val="317CE4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62650C8"/>
    <w:multiLevelType w:val="hybridMultilevel"/>
    <w:tmpl w:val="77C2ACC6"/>
    <w:lvl w:ilvl="0" w:tplc="0D7A4188">
      <w:numFmt w:val="bullet"/>
      <w:lvlText w:val="-"/>
      <w:lvlJc w:val="left"/>
      <w:pPr>
        <w:ind w:left="720" w:hanging="360"/>
      </w:pPr>
      <w:rPr>
        <w:rFonts w:ascii="Calibri" w:eastAsia="Arial"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A2357D9"/>
    <w:multiLevelType w:val="hybridMultilevel"/>
    <w:tmpl w:val="9FE2225E"/>
    <w:lvl w:ilvl="0" w:tplc="A97C9A28">
      <w:numFmt w:val="bullet"/>
      <w:lvlText w:val="•"/>
      <w:lvlJc w:val="left"/>
      <w:pPr>
        <w:ind w:left="1065" w:hanging="705"/>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FD55255"/>
    <w:multiLevelType w:val="hybridMultilevel"/>
    <w:tmpl w:val="E9F29EC4"/>
    <w:lvl w:ilvl="0" w:tplc="6614960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5880CBF"/>
    <w:multiLevelType w:val="hybridMultilevel"/>
    <w:tmpl w:val="5FA2435A"/>
    <w:lvl w:ilvl="0" w:tplc="589A88D0">
      <w:numFmt w:val="bullet"/>
      <w:lvlText w:val=""/>
      <w:lvlJc w:val="left"/>
      <w:pPr>
        <w:tabs>
          <w:tab w:val="num" w:pos="357"/>
        </w:tabs>
        <w:ind w:left="0" w:firstLine="0"/>
      </w:pPr>
      <w:rPr>
        <w:rFonts w:ascii="Wingdings" w:eastAsia="Times New Roman" w:hAnsi="Wingdings" w:cs="Arial" w:hint="default"/>
        <w:color w:val="003366"/>
        <w:sz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BA32A8"/>
    <w:multiLevelType w:val="hybridMultilevel"/>
    <w:tmpl w:val="273EDA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DFC5A30"/>
    <w:multiLevelType w:val="hybridMultilevel"/>
    <w:tmpl w:val="58E49CD6"/>
    <w:lvl w:ilvl="0" w:tplc="C644C0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12167A3"/>
    <w:multiLevelType w:val="hybridMultilevel"/>
    <w:tmpl w:val="3BFEF492"/>
    <w:lvl w:ilvl="0" w:tplc="5A64052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5D7286F"/>
    <w:multiLevelType w:val="hybridMultilevel"/>
    <w:tmpl w:val="70F26E48"/>
    <w:lvl w:ilvl="0" w:tplc="49CEC01C">
      <w:start w:val="1"/>
      <w:numFmt w:val="lowerLetter"/>
      <w:lvlText w:val="(%1)"/>
      <w:lvlJc w:val="left"/>
      <w:pPr>
        <w:ind w:left="2345" w:hanging="360"/>
      </w:pPr>
      <w:rPr>
        <w:rFonts w:hint="default"/>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abstractNum w:abstractNumId="37" w15:restartNumberingAfterBreak="0">
    <w:nsid w:val="67811527"/>
    <w:multiLevelType w:val="hybridMultilevel"/>
    <w:tmpl w:val="3946BE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9647D7B"/>
    <w:multiLevelType w:val="hybridMultilevel"/>
    <w:tmpl w:val="79621420"/>
    <w:lvl w:ilvl="0" w:tplc="C63EB7B6">
      <w:numFmt w:val="bullet"/>
      <w:lvlText w:val="-"/>
      <w:lvlJc w:val="left"/>
      <w:pPr>
        <w:ind w:left="2628" w:hanging="501"/>
      </w:pPr>
      <w:rPr>
        <w:rFonts w:ascii="Arial" w:eastAsia="Times New Roman" w:hAnsi="Arial" w:cs="Arial"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39" w15:restartNumberingAfterBreak="0">
    <w:nsid w:val="70460762"/>
    <w:multiLevelType w:val="hybridMultilevel"/>
    <w:tmpl w:val="1BA4A700"/>
    <w:lvl w:ilvl="0" w:tplc="0D2465D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D2465D0">
      <w:start w:val="3"/>
      <w:numFmt w:val="bullet"/>
      <w:lvlText w:val="-"/>
      <w:lvlJc w:val="left"/>
      <w:pPr>
        <w:ind w:left="2880" w:hanging="360"/>
      </w:pPr>
      <w:rPr>
        <w:rFonts w:ascii="Arial" w:eastAsia="Times New Roman" w:hAnsi="Arial" w:cs="Aria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1F17F47"/>
    <w:multiLevelType w:val="hybridMultilevel"/>
    <w:tmpl w:val="7DBAAF3A"/>
    <w:lvl w:ilvl="0" w:tplc="0D2465D0">
      <w:start w:val="3"/>
      <w:numFmt w:val="bullet"/>
      <w:lvlText w:val="-"/>
      <w:lvlJc w:val="left"/>
      <w:pPr>
        <w:ind w:left="2203" w:hanging="360"/>
      </w:pPr>
      <w:rPr>
        <w:rFonts w:ascii="Arial" w:eastAsia="Times New Roman" w:hAnsi="Arial" w:cs="Arial" w:hint="default"/>
      </w:rPr>
    </w:lvl>
    <w:lvl w:ilvl="1" w:tplc="04100003" w:tentative="1">
      <w:start w:val="1"/>
      <w:numFmt w:val="bullet"/>
      <w:lvlText w:val="o"/>
      <w:lvlJc w:val="left"/>
      <w:pPr>
        <w:ind w:left="2923" w:hanging="360"/>
      </w:pPr>
      <w:rPr>
        <w:rFonts w:ascii="Courier New" w:hAnsi="Courier New" w:cs="Courier New" w:hint="default"/>
      </w:rPr>
    </w:lvl>
    <w:lvl w:ilvl="2" w:tplc="04100005" w:tentative="1">
      <w:start w:val="1"/>
      <w:numFmt w:val="bullet"/>
      <w:lvlText w:val=""/>
      <w:lvlJc w:val="left"/>
      <w:pPr>
        <w:ind w:left="3643" w:hanging="360"/>
      </w:pPr>
      <w:rPr>
        <w:rFonts w:ascii="Wingdings" w:hAnsi="Wingdings" w:hint="default"/>
      </w:rPr>
    </w:lvl>
    <w:lvl w:ilvl="3" w:tplc="04100001" w:tentative="1">
      <w:start w:val="1"/>
      <w:numFmt w:val="bullet"/>
      <w:lvlText w:val=""/>
      <w:lvlJc w:val="left"/>
      <w:pPr>
        <w:ind w:left="4363" w:hanging="360"/>
      </w:pPr>
      <w:rPr>
        <w:rFonts w:ascii="Symbol" w:hAnsi="Symbol" w:hint="default"/>
      </w:rPr>
    </w:lvl>
    <w:lvl w:ilvl="4" w:tplc="04100003" w:tentative="1">
      <w:start w:val="1"/>
      <w:numFmt w:val="bullet"/>
      <w:lvlText w:val="o"/>
      <w:lvlJc w:val="left"/>
      <w:pPr>
        <w:ind w:left="5083" w:hanging="360"/>
      </w:pPr>
      <w:rPr>
        <w:rFonts w:ascii="Courier New" w:hAnsi="Courier New" w:cs="Courier New" w:hint="default"/>
      </w:rPr>
    </w:lvl>
    <w:lvl w:ilvl="5" w:tplc="04100005" w:tentative="1">
      <w:start w:val="1"/>
      <w:numFmt w:val="bullet"/>
      <w:lvlText w:val=""/>
      <w:lvlJc w:val="left"/>
      <w:pPr>
        <w:ind w:left="5803" w:hanging="360"/>
      </w:pPr>
      <w:rPr>
        <w:rFonts w:ascii="Wingdings" w:hAnsi="Wingdings" w:hint="default"/>
      </w:rPr>
    </w:lvl>
    <w:lvl w:ilvl="6" w:tplc="04100001" w:tentative="1">
      <w:start w:val="1"/>
      <w:numFmt w:val="bullet"/>
      <w:lvlText w:val=""/>
      <w:lvlJc w:val="left"/>
      <w:pPr>
        <w:ind w:left="6523" w:hanging="360"/>
      </w:pPr>
      <w:rPr>
        <w:rFonts w:ascii="Symbol" w:hAnsi="Symbol" w:hint="default"/>
      </w:rPr>
    </w:lvl>
    <w:lvl w:ilvl="7" w:tplc="04100003" w:tentative="1">
      <w:start w:val="1"/>
      <w:numFmt w:val="bullet"/>
      <w:lvlText w:val="o"/>
      <w:lvlJc w:val="left"/>
      <w:pPr>
        <w:ind w:left="7243" w:hanging="360"/>
      </w:pPr>
      <w:rPr>
        <w:rFonts w:ascii="Courier New" w:hAnsi="Courier New" w:cs="Courier New" w:hint="default"/>
      </w:rPr>
    </w:lvl>
    <w:lvl w:ilvl="8" w:tplc="04100005" w:tentative="1">
      <w:start w:val="1"/>
      <w:numFmt w:val="bullet"/>
      <w:lvlText w:val=""/>
      <w:lvlJc w:val="left"/>
      <w:pPr>
        <w:ind w:left="7963" w:hanging="360"/>
      </w:pPr>
      <w:rPr>
        <w:rFonts w:ascii="Wingdings" w:hAnsi="Wingdings" w:hint="default"/>
      </w:rPr>
    </w:lvl>
  </w:abstractNum>
  <w:abstractNum w:abstractNumId="41" w15:restartNumberingAfterBreak="0">
    <w:nsid w:val="73EC7909"/>
    <w:multiLevelType w:val="hybridMultilevel"/>
    <w:tmpl w:val="64687A8A"/>
    <w:lvl w:ilvl="0" w:tplc="A21EE1FE">
      <w:numFmt w:val="bullet"/>
      <w:lvlText w:val="-"/>
      <w:lvlJc w:val="left"/>
      <w:pPr>
        <w:ind w:left="2487" w:hanging="360"/>
      </w:pPr>
      <w:rPr>
        <w:rFonts w:ascii="Arial" w:eastAsia="Times New Roman" w:hAnsi="Arial" w:cs="Arial"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42" w15:restartNumberingAfterBreak="0">
    <w:nsid w:val="771112DD"/>
    <w:multiLevelType w:val="singleLevel"/>
    <w:tmpl w:val="1F2E9C1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A3629A7"/>
    <w:multiLevelType w:val="multilevel"/>
    <w:tmpl w:val="DDE093A8"/>
    <w:lvl w:ilvl="0">
      <w:start w:val="1"/>
      <w:numFmt w:val="decimal"/>
      <w:lvlText w:val="%1."/>
      <w:lvlJc w:val="left"/>
      <w:pPr>
        <w:ind w:left="2174" w:hanging="360"/>
      </w:pPr>
      <w:rPr>
        <w:rFonts w:hint="default"/>
      </w:rPr>
    </w:lvl>
    <w:lvl w:ilvl="1">
      <w:start w:val="3"/>
      <w:numFmt w:val="decimal"/>
      <w:isLgl/>
      <w:lvlText w:val="%1.%2"/>
      <w:lvlJc w:val="left"/>
      <w:pPr>
        <w:ind w:left="2203" w:hanging="360"/>
      </w:pPr>
      <w:rPr>
        <w:rFonts w:hint="default"/>
      </w:rPr>
    </w:lvl>
    <w:lvl w:ilvl="2">
      <w:start w:val="1"/>
      <w:numFmt w:val="decimal"/>
      <w:isLgl/>
      <w:lvlText w:val="%1.%2.%3"/>
      <w:lvlJc w:val="left"/>
      <w:pPr>
        <w:ind w:left="2592" w:hanging="720"/>
      </w:pPr>
      <w:rPr>
        <w:rFonts w:hint="default"/>
      </w:rPr>
    </w:lvl>
    <w:lvl w:ilvl="3">
      <w:start w:val="1"/>
      <w:numFmt w:val="decimal"/>
      <w:isLgl/>
      <w:lvlText w:val="%1.%2.%3.%4"/>
      <w:lvlJc w:val="left"/>
      <w:pPr>
        <w:ind w:left="2621" w:hanging="720"/>
      </w:pPr>
      <w:rPr>
        <w:rFonts w:hint="default"/>
      </w:rPr>
    </w:lvl>
    <w:lvl w:ilvl="4">
      <w:start w:val="1"/>
      <w:numFmt w:val="decimal"/>
      <w:isLgl/>
      <w:lvlText w:val="%1.%2.%3.%4.%5"/>
      <w:lvlJc w:val="left"/>
      <w:pPr>
        <w:ind w:left="3010" w:hanging="1080"/>
      </w:pPr>
      <w:rPr>
        <w:rFonts w:hint="default"/>
      </w:rPr>
    </w:lvl>
    <w:lvl w:ilvl="5">
      <w:start w:val="1"/>
      <w:numFmt w:val="decimal"/>
      <w:isLgl/>
      <w:lvlText w:val="%1.%2.%3.%4.%5.%6"/>
      <w:lvlJc w:val="left"/>
      <w:pPr>
        <w:ind w:left="3039" w:hanging="1080"/>
      </w:pPr>
      <w:rPr>
        <w:rFonts w:hint="default"/>
      </w:rPr>
    </w:lvl>
    <w:lvl w:ilvl="6">
      <w:start w:val="1"/>
      <w:numFmt w:val="decimal"/>
      <w:isLgl/>
      <w:lvlText w:val="%1.%2.%3.%4.%5.%6.%7"/>
      <w:lvlJc w:val="left"/>
      <w:pPr>
        <w:ind w:left="3428" w:hanging="1440"/>
      </w:pPr>
      <w:rPr>
        <w:rFonts w:hint="default"/>
      </w:rPr>
    </w:lvl>
    <w:lvl w:ilvl="7">
      <w:start w:val="1"/>
      <w:numFmt w:val="decimal"/>
      <w:isLgl/>
      <w:lvlText w:val="%1.%2.%3.%4.%5.%6.%7.%8"/>
      <w:lvlJc w:val="left"/>
      <w:pPr>
        <w:ind w:left="3457" w:hanging="1440"/>
      </w:pPr>
      <w:rPr>
        <w:rFonts w:hint="default"/>
      </w:rPr>
    </w:lvl>
    <w:lvl w:ilvl="8">
      <w:start w:val="1"/>
      <w:numFmt w:val="decimal"/>
      <w:isLgl/>
      <w:lvlText w:val="%1.%2.%3.%4.%5.%6.%7.%8.%9"/>
      <w:lvlJc w:val="left"/>
      <w:pPr>
        <w:ind w:left="3846" w:hanging="1800"/>
      </w:pPr>
      <w:rPr>
        <w:rFonts w:hint="default"/>
      </w:rPr>
    </w:lvl>
  </w:abstractNum>
  <w:num w:numId="1" w16cid:durableId="19353765">
    <w:abstractNumId w:val="10"/>
  </w:num>
  <w:num w:numId="2" w16cid:durableId="1672179900">
    <w:abstractNumId w:val="34"/>
  </w:num>
  <w:num w:numId="3" w16cid:durableId="1772582872">
    <w:abstractNumId w:val="9"/>
  </w:num>
  <w:num w:numId="4" w16cid:durableId="711688108">
    <w:abstractNumId w:val="26"/>
  </w:num>
  <w:num w:numId="5" w16cid:durableId="1788767317">
    <w:abstractNumId w:val="31"/>
  </w:num>
  <w:num w:numId="6" w16cid:durableId="854419514">
    <w:abstractNumId w:val="28"/>
  </w:num>
  <w:num w:numId="7" w16cid:durableId="576942579">
    <w:abstractNumId w:val="11"/>
  </w:num>
  <w:num w:numId="8" w16cid:durableId="2108579370">
    <w:abstractNumId w:val="29"/>
  </w:num>
  <w:num w:numId="9" w16cid:durableId="885723996">
    <w:abstractNumId w:val="6"/>
  </w:num>
  <w:num w:numId="10" w16cid:durableId="2009939956">
    <w:abstractNumId w:val="17"/>
  </w:num>
  <w:num w:numId="11" w16cid:durableId="1804689046">
    <w:abstractNumId w:val="20"/>
  </w:num>
  <w:num w:numId="12" w16cid:durableId="1917788807">
    <w:abstractNumId w:val="15"/>
  </w:num>
  <w:num w:numId="13" w16cid:durableId="848447605">
    <w:abstractNumId w:val="32"/>
  </w:num>
  <w:num w:numId="14" w16cid:durableId="683898020">
    <w:abstractNumId w:val="0"/>
  </w:num>
  <w:num w:numId="15" w16cid:durableId="1131630135">
    <w:abstractNumId w:val="41"/>
  </w:num>
  <w:num w:numId="16" w16cid:durableId="134807747">
    <w:abstractNumId w:val="40"/>
  </w:num>
  <w:num w:numId="17" w16cid:durableId="638341226">
    <w:abstractNumId w:val="36"/>
  </w:num>
  <w:num w:numId="18" w16cid:durableId="1368917569">
    <w:abstractNumId w:val="19"/>
  </w:num>
  <w:num w:numId="19" w16cid:durableId="978804136">
    <w:abstractNumId w:val="23"/>
  </w:num>
  <w:num w:numId="20" w16cid:durableId="517233082">
    <w:abstractNumId w:val="5"/>
  </w:num>
  <w:num w:numId="21" w16cid:durableId="900556044">
    <w:abstractNumId w:val="42"/>
  </w:num>
  <w:num w:numId="22" w16cid:durableId="2001034742">
    <w:abstractNumId w:val="27"/>
  </w:num>
  <w:num w:numId="23" w16cid:durableId="1449546564">
    <w:abstractNumId w:val="25"/>
  </w:num>
  <w:num w:numId="24" w16cid:durableId="616985829">
    <w:abstractNumId w:val="21"/>
  </w:num>
  <w:num w:numId="25" w16cid:durableId="1390566710">
    <w:abstractNumId w:val="43"/>
  </w:num>
  <w:num w:numId="26" w16cid:durableId="1645891450">
    <w:abstractNumId w:val="7"/>
  </w:num>
  <w:num w:numId="27" w16cid:durableId="1961640375">
    <w:abstractNumId w:val="39"/>
  </w:num>
  <w:num w:numId="28" w16cid:durableId="513306723">
    <w:abstractNumId w:val="38"/>
  </w:num>
  <w:num w:numId="29" w16cid:durableId="1277638522">
    <w:abstractNumId w:val="33"/>
  </w:num>
  <w:num w:numId="30" w16cid:durableId="2141024367">
    <w:abstractNumId w:val="2"/>
  </w:num>
  <w:num w:numId="31" w16cid:durableId="1404722650">
    <w:abstractNumId w:val="8"/>
  </w:num>
  <w:num w:numId="32" w16cid:durableId="455954047">
    <w:abstractNumId w:val="22"/>
  </w:num>
  <w:num w:numId="33" w16cid:durableId="1051806492">
    <w:abstractNumId w:val="35"/>
  </w:num>
  <w:num w:numId="34" w16cid:durableId="475032715">
    <w:abstractNumId w:val="4"/>
  </w:num>
  <w:num w:numId="35" w16cid:durableId="583029969">
    <w:abstractNumId w:val="18"/>
  </w:num>
  <w:num w:numId="36" w16cid:durableId="1595287164">
    <w:abstractNumId w:val="12"/>
  </w:num>
  <w:num w:numId="37" w16cid:durableId="480510936">
    <w:abstractNumId w:val="3"/>
  </w:num>
  <w:num w:numId="38" w16cid:durableId="953974288">
    <w:abstractNumId w:val="30"/>
  </w:num>
  <w:num w:numId="39" w16cid:durableId="1315916687">
    <w:abstractNumId w:val="16"/>
  </w:num>
  <w:num w:numId="40" w16cid:durableId="875387034">
    <w:abstractNumId w:val="37"/>
  </w:num>
  <w:num w:numId="41" w16cid:durableId="1478305322">
    <w:abstractNumId w:val="24"/>
  </w:num>
  <w:num w:numId="42" w16cid:durableId="710421869">
    <w:abstractNumId w:val="14"/>
  </w:num>
  <w:num w:numId="43" w16cid:durableId="2021085644">
    <w:abstractNumId w:val="13"/>
  </w:num>
  <w:num w:numId="44" w16cid:durableId="849181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3"/>
  <w:activeWritingStyle w:appName="MSWord" w:lang="it-IT" w:vendorID="64" w:dllVersion="6" w:nlCheck="1" w:checkStyle="0"/>
  <w:activeWritingStyle w:appName="MSWord" w:lang="it-IT" w:vendorID="64" w:dllVersion="4096" w:nlCheck="1" w:checkStyle="0"/>
  <w:activeWritingStyle w:appName="MSWord" w:lang="it-IT" w:vendorID="64" w:dllVersion="0" w:nlCheck="1" w:checkStyle="0"/>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4FF"/>
    <w:rsid w:val="00000BB1"/>
    <w:rsid w:val="00000DE6"/>
    <w:rsid w:val="00001011"/>
    <w:rsid w:val="00001763"/>
    <w:rsid w:val="000020C7"/>
    <w:rsid w:val="00002177"/>
    <w:rsid w:val="00002AB5"/>
    <w:rsid w:val="00002F3C"/>
    <w:rsid w:val="0000351A"/>
    <w:rsid w:val="00003583"/>
    <w:rsid w:val="0000396F"/>
    <w:rsid w:val="000042EB"/>
    <w:rsid w:val="00004731"/>
    <w:rsid w:val="000052E6"/>
    <w:rsid w:val="00005B96"/>
    <w:rsid w:val="000061C4"/>
    <w:rsid w:val="00006699"/>
    <w:rsid w:val="00006D10"/>
    <w:rsid w:val="00007066"/>
    <w:rsid w:val="0000734C"/>
    <w:rsid w:val="000075FC"/>
    <w:rsid w:val="0000784B"/>
    <w:rsid w:val="00007F49"/>
    <w:rsid w:val="00010170"/>
    <w:rsid w:val="00011037"/>
    <w:rsid w:val="00011FFC"/>
    <w:rsid w:val="0001310F"/>
    <w:rsid w:val="00014112"/>
    <w:rsid w:val="00014299"/>
    <w:rsid w:val="000142CD"/>
    <w:rsid w:val="000143EB"/>
    <w:rsid w:val="00014F90"/>
    <w:rsid w:val="0001544F"/>
    <w:rsid w:val="000154DA"/>
    <w:rsid w:val="00015D71"/>
    <w:rsid w:val="00016F4D"/>
    <w:rsid w:val="0001738B"/>
    <w:rsid w:val="00022348"/>
    <w:rsid w:val="000226C0"/>
    <w:rsid w:val="00023B4F"/>
    <w:rsid w:val="0002402A"/>
    <w:rsid w:val="0002428F"/>
    <w:rsid w:val="00024CE2"/>
    <w:rsid w:val="0002505D"/>
    <w:rsid w:val="00025711"/>
    <w:rsid w:val="00025ED7"/>
    <w:rsid w:val="000263E8"/>
    <w:rsid w:val="00027BA3"/>
    <w:rsid w:val="000300A6"/>
    <w:rsid w:val="0003035B"/>
    <w:rsid w:val="00030D17"/>
    <w:rsid w:val="00031115"/>
    <w:rsid w:val="0003153A"/>
    <w:rsid w:val="00031EB6"/>
    <w:rsid w:val="0003264F"/>
    <w:rsid w:val="00032672"/>
    <w:rsid w:val="0003298F"/>
    <w:rsid w:val="00033F2B"/>
    <w:rsid w:val="000343A2"/>
    <w:rsid w:val="00034BE7"/>
    <w:rsid w:val="00035516"/>
    <w:rsid w:val="00036154"/>
    <w:rsid w:val="00036548"/>
    <w:rsid w:val="00037B49"/>
    <w:rsid w:val="00040A41"/>
    <w:rsid w:val="0004131D"/>
    <w:rsid w:val="00041DC5"/>
    <w:rsid w:val="000420B4"/>
    <w:rsid w:val="000425AA"/>
    <w:rsid w:val="000426E7"/>
    <w:rsid w:val="00042C40"/>
    <w:rsid w:val="00043696"/>
    <w:rsid w:val="000442BC"/>
    <w:rsid w:val="000444BF"/>
    <w:rsid w:val="00044BA7"/>
    <w:rsid w:val="0004526F"/>
    <w:rsid w:val="00045472"/>
    <w:rsid w:val="000463B5"/>
    <w:rsid w:val="0004673E"/>
    <w:rsid w:val="000467F2"/>
    <w:rsid w:val="00047479"/>
    <w:rsid w:val="0004769F"/>
    <w:rsid w:val="000476DC"/>
    <w:rsid w:val="00047A1F"/>
    <w:rsid w:val="0005041B"/>
    <w:rsid w:val="000507CF"/>
    <w:rsid w:val="0005109E"/>
    <w:rsid w:val="00051A73"/>
    <w:rsid w:val="00052379"/>
    <w:rsid w:val="000526A9"/>
    <w:rsid w:val="00053376"/>
    <w:rsid w:val="0005356B"/>
    <w:rsid w:val="00053608"/>
    <w:rsid w:val="000541C4"/>
    <w:rsid w:val="000541EC"/>
    <w:rsid w:val="0005451A"/>
    <w:rsid w:val="00055B88"/>
    <w:rsid w:val="00055D43"/>
    <w:rsid w:val="00056DB8"/>
    <w:rsid w:val="00057119"/>
    <w:rsid w:val="00057EFB"/>
    <w:rsid w:val="00060598"/>
    <w:rsid w:val="000607AA"/>
    <w:rsid w:val="0006099A"/>
    <w:rsid w:val="00060B68"/>
    <w:rsid w:val="00060DC6"/>
    <w:rsid w:val="00062A73"/>
    <w:rsid w:val="00063346"/>
    <w:rsid w:val="00063871"/>
    <w:rsid w:val="00063FE1"/>
    <w:rsid w:val="00064102"/>
    <w:rsid w:val="000646C1"/>
    <w:rsid w:val="00065701"/>
    <w:rsid w:val="00065D19"/>
    <w:rsid w:val="000665DC"/>
    <w:rsid w:val="00066F5C"/>
    <w:rsid w:val="000679B2"/>
    <w:rsid w:val="00067B77"/>
    <w:rsid w:val="00067DE8"/>
    <w:rsid w:val="00067E49"/>
    <w:rsid w:val="0007093C"/>
    <w:rsid w:val="00070EBE"/>
    <w:rsid w:val="00070FF7"/>
    <w:rsid w:val="000717CD"/>
    <w:rsid w:val="0007183B"/>
    <w:rsid w:val="000718B8"/>
    <w:rsid w:val="00071F99"/>
    <w:rsid w:val="00072EE8"/>
    <w:rsid w:val="0007346F"/>
    <w:rsid w:val="0007364E"/>
    <w:rsid w:val="000737C5"/>
    <w:rsid w:val="000737D4"/>
    <w:rsid w:val="000744F3"/>
    <w:rsid w:val="00074C5F"/>
    <w:rsid w:val="00074F21"/>
    <w:rsid w:val="00075049"/>
    <w:rsid w:val="00076923"/>
    <w:rsid w:val="00076B04"/>
    <w:rsid w:val="00077332"/>
    <w:rsid w:val="00080193"/>
    <w:rsid w:val="00080293"/>
    <w:rsid w:val="000809E5"/>
    <w:rsid w:val="00081681"/>
    <w:rsid w:val="00081D52"/>
    <w:rsid w:val="0008204E"/>
    <w:rsid w:val="0008206C"/>
    <w:rsid w:val="000824CF"/>
    <w:rsid w:val="000828F8"/>
    <w:rsid w:val="00082F25"/>
    <w:rsid w:val="00082F91"/>
    <w:rsid w:val="00083E13"/>
    <w:rsid w:val="00083EA8"/>
    <w:rsid w:val="0008427D"/>
    <w:rsid w:val="000843B1"/>
    <w:rsid w:val="0008459E"/>
    <w:rsid w:val="0008573D"/>
    <w:rsid w:val="00085D39"/>
    <w:rsid w:val="000860AB"/>
    <w:rsid w:val="000865CF"/>
    <w:rsid w:val="0008701E"/>
    <w:rsid w:val="00087F2B"/>
    <w:rsid w:val="00090BEB"/>
    <w:rsid w:val="0009103F"/>
    <w:rsid w:val="0009289A"/>
    <w:rsid w:val="000934B8"/>
    <w:rsid w:val="00093816"/>
    <w:rsid w:val="000940FB"/>
    <w:rsid w:val="000943A5"/>
    <w:rsid w:val="0009519B"/>
    <w:rsid w:val="00095707"/>
    <w:rsid w:val="00096098"/>
    <w:rsid w:val="00097FCF"/>
    <w:rsid w:val="000A0304"/>
    <w:rsid w:val="000A1A44"/>
    <w:rsid w:val="000A2B36"/>
    <w:rsid w:val="000A2B39"/>
    <w:rsid w:val="000A2C57"/>
    <w:rsid w:val="000A2CE3"/>
    <w:rsid w:val="000A35DD"/>
    <w:rsid w:val="000A3DA6"/>
    <w:rsid w:val="000A4055"/>
    <w:rsid w:val="000A4F3E"/>
    <w:rsid w:val="000A5479"/>
    <w:rsid w:val="000A5962"/>
    <w:rsid w:val="000A691D"/>
    <w:rsid w:val="000A6EC8"/>
    <w:rsid w:val="000B0188"/>
    <w:rsid w:val="000B084E"/>
    <w:rsid w:val="000B2771"/>
    <w:rsid w:val="000B33BB"/>
    <w:rsid w:val="000B3742"/>
    <w:rsid w:val="000B39E3"/>
    <w:rsid w:val="000B3F9B"/>
    <w:rsid w:val="000B4257"/>
    <w:rsid w:val="000B4826"/>
    <w:rsid w:val="000B54EA"/>
    <w:rsid w:val="000B5CF0"/>
    <w:rsid w:val="000B5F30"/>
    <w:rsid w:val="000B5F37"/>
    <w:rsid w:val="000B6060"/>
    <w:rsid w:val="000B6819"/>
    <w:rsid w:val="000B68CB"/>
    <w:rsid w:val="000B6E6E"/>
    <w:rsid w:val="000B78AF"/>
    <w:rsid w:val="000C0E96"/>
    <w:rsid w:val="000C18BE"/>
    <w:rsid w:val="000C23C8"/>
    <w:rsid w:val="000C24A9"/>
    <w:rsid w:val="000C2AF7"/>
    <w:rsid w:val="000C3ACA"/>
    <w:rsid w:val="000C3EDA"/>
    <w:rsid w:val="000C593E"/>
    <w:rsid w:val="000C5D95"/>
    <w:rsid w:val="000C5DC0"/>
    <w:rsid w:val="000C67C5"/>
    <w:rsid w:val="000C683D"/>
    <w:rsid w:val="000C6D3F"/>
    <w:rsid w:val="000C73ED"/>
    <w:rsid w:val="000C7AF6"/>
    <w:rsid w:val="000C7CB9"/>
    <w:rsid w:val="000C7E7F"/>
    <w:rsid w:val="000C7F54"/>
    <w:rsid w:val="000D01FA"/>
    <w:rsid w:val="000D058E"/>
    <w:rsid w:val="000D1063"/>
    <w:rsid w:val="000D1FF1"/>
    <w:rsid w:val="000D20C3"/>
    <w:rsid w:val="000D31ED"/>
    <w:rsid w:val="000D3343"/>
    <w:rsid w:val="000D3627"/>
    <w:rsid w:val="000D36F9"/>
    <w:rsid w:val="000D3BE3"/>
    <w:rsid w:val="000D3DE2"/>
    <w:rsid w:val="000D44D2"/>
    <w:rsid w:val="000D4700"/>
    <w:rsid w:val="000D49B6"/>
    <w:rsid w:val="000D4A65"/>
    <w:rsid w:val="000D57A2"/>
    <w:rsid w:val="000D5C1D"/>
    <w:rsid w:val="000D5E76"/>
    <w:rsid w:val="000D61A6"/>
    <w:rsid w:val="000D66CF"/>
    <w:rsid w:val="000D712F"/>
    <w:rsid w:val="000D758D"/>
    <w:rsid w:val="000D783E"/>
    <w:rsid w:val="000D7E0E"/>
    <w:rsid w:val="000E01E0"/>
    <w:rsid w:val="000E0F08"/>
    <w:rsid w:val="000E16C5"/>
    <w:rsid w:val="000E1CD4"/>
    <w:rsid w:val="000E2017"/>
    <w:rsid w:val="000E2097"/>
    <w:rsid w:val="000E270C"/>
    <w:rsid w:val="000E28C7"/>
    <w:rsid w:val="000E2C69"/>
    <w:rsid w:val="000E3177"/>
    <w:rsid w:val="000E3182"/>
    <w:rsid w:val="000E3289"/>
    <w:rsid w:val="000E330C"/>
    <w:rsid w:val="000E36FF"/>
    <w:rsid w:val="000E3EB2"/>
    <w:rsid w:val="000E40CC"/>
    <w:rsid w:val="000E475F"/>
    <w:rsid w:val="000E47B1"/>
    <w:rsid w:val="000E47B2"/>
    <w:rsid w:val="000E4C5D"/>
    <w:rsid w:val="000E61A2"/>
    <w:rsid w:val="000E7C5A"/>
    <w:rsid w:val="000F080C"/>
    <w:rsid w:val="000F0DE8"/>
    <w:rsid w:val="000F1742"/>
    <w:rsid w:val="000F174E"/>
    <w:rsid w:val="000F2103"/>
    <w:rsid w:val="000F3C4A"/>
    <w:rsid w:val="000F3EE9"/>
    <w:rsid w:val="000F440B"/>
    <w:rsid w:val="000F56AC"/>
    <w:rsid w:val="000F56B4"/>
    <w:rsid w:val="000F5E14"/>
    <w:rsid w:val="000F5F7E"/>
    <w:rsid w:val="000F6115"/>
    <w:rsid w:val="000F61BC"/>
    <w:rsid w:val="000F6B45"/>
    <w:rsid w:val="000F6BD7"/>
    <w:rsid w:val="000F6D28"/>
    <w:rsid w:val="000F7212"/>
    <w:rsid w:val="000F73C6"/>
    <w:rsid w:val="000F7425"/>
    <w:rsid w:val="000F793D"/>
    <w:rsid w:val="000F7DE6"/>
    <w:rsid w:val="00101A70"/>
    <w:rsid w:val="00101C21"/>
    <w:rsid w:val="00101EBD"/>
    <w:rsid w:val="00102064"/>
    <w:rsid w:val="00102103"/>
    <w:rsid w:val="00102185"/>
    <w:rsid w:val="00102284"/>
    <w:rsid w:val="001035E3"/>
    <w:rsid w:val="001038B2"/>
    <w:rsid w:val="001042B2"/>
    <w:rsid w:val="00104474"/>
    <w:rsid w:val="00104E17"/>
    <w:rsid w:val="001051FB"/>
    <w:rsid w:val="00105931"/>
    <w:rsid w:val="001059FA"/>
    <w:rsid w:val="001067B4"/>
    <w:rsid w:val="00107A68"/>
    <w:rsid w:val="00111A23"/>
    <w:rsid w:val="00111DB1"/>
    <w:rsid w:val="00112B06"/>
    <w:rsid w:val="00112D4E"/>
    <w:rsid w:val="00112DB1"/>
    <w:rsid w:val="00113041"/>
    <w:rsid w:val="00113587"/>
    <w:rsid w:val="00113C22"/>
    <w:rsid w:val="00115640"/>
    <w:rsid w:val="001171D3"/>
    <w:rsid w:val="00117291"/>
    <w:rsid w:val="00117539"/>
    <w:rsid w:val="0011761C"/>
    <w:rsid w:val="001178D5"/>
    <w:rsid w:val="00117C9A"/>
    <w:rsid w:val="00117FE2"/>
    <w:rsid w:val="0012282C"/>
    <w:rsid w:val="00123033"/>
    <w:rsid w:val="0012394C"/>
    <w:rsid w:val="00123CAE"/>
    <w:rsid w:val="00123E17"/>
    <w:rsid w:val="00124010"/>
    <w:rsid w:val="00124299"/>
    <w:rsid w:val="00124DF4"/>
    <w:rsid w:val="00125798"/>
    <w:rsid w:val="001258A0"/>
    <w:rsid w:val="001266B6"/>
    <w:rsid w:val="00126882"/>
    <w:rsid w:val="0012732D"/>
    <w:rsid w:val="00127A7C"/>
    <w:rsid w:val="00130F29"/>
    <w:rsid w:val="00131166"/>
    <w:rsid w:val="00131B50"/>
    <w:rsid w:val="0013234F"/>
    <w:rsid w:val="00132A50"/>
    <w:rsid w:val="00132E94"/>
    <w:rsid w:val="00133310"/>
    <w:rsid w:val="001349F8"/>
    <w:rsid w:val="001350C3"/>
    <w:rsid w:val="00135378"/>
    <w:rsid w:val="00135B50"/>
    <w:rsid w:val="00136280"/>
    <w:rsid w:val="001365DB"/>
    <w:rsid w:val="001365F6"/>
    <w:rsid w:val="001366D3"/>
    <w:rsid w:val="001369E5"/>
    <w:rsid w:val="00136A09"/>
    <w:rsid w:val="001374DB"/>
    <w:rsid w:val="00137585"/>
    <w:rsid w:val="001377E7"/>
    <w:rsid w:val="00137C1A"/>
    <w:rsid w:val="0014316F"/>
    <w:rsid w:val="0014327D"/>
    <w:rsid w:val="0014340B"/>
    <w:rsid w:val="0014440D"/>
    <w:rsid w:val="00144705"/>
    <w:rsid w:val="00145DB4"/>
    <w:rsid w:val="00146103"/>
    <w:rsid w:val="00146335"/>
    <w:rsid w:val="00146DD9"/>
    <w:rsid w:val="00146F06"/>
    <w:rsid w:val="001471E6"/>
    <w:rsid w:val="0014725B"/>
    <w:rsid w:val="00147573"/>
    <w:rsid w:val="00147D79"/>
    <w:rsid w:val="001502A1"/>
    <w:rsid w:val="0015093E"/>
    <w:rsid w:val="001512E9"/>
    <w:rsid w:val="001517D8"/>
    <w:rsid w:val="001523E8"/>
    <w:rsid w:val="00152C53"/>
    <w:rsid w:val="00152D3E"/>
    <w:rsid w:val="00153311"/>
    <w:rsid w:val="00154931"/>
    <w:rsid w:val="00156870"/>
    <w:rsid w:val="001569C5"/>
    <w:rsid w:val="00157219"/>
    <w:rsid w:val="00157F5E"/>
    <w:rsid w:val="00161868"/>
    <w:rsid w:val="00161A02"/>
    <w:rsid w:val="00161A15"/>
    <w:rsid w:val="001631CC"/>
    <w:rsid w:val="0016359C"/>
    <w:rsid w:val="00163CE2"/>
    <w:rsid w:val="00164770"/>
    <w:rsid w:val="00164EC9"/>
    <w:rsid w:val="00165539"/>
    <w:rsid w:val="001661A6"/>
    <w:rsid w:val="001661BE"/>
    <w:rsid w:val="001663CB"/>
    <w:rsid w:val="00167170"/>
    <w:rsid w:val="0016739D"/>
    <w:rsid w:val="0016776D"/>
    <w:rsid w:val="00171303"/>
    <w:rsid w:val="00171977"/>
    <w:rsid w:val="00171A8E"/>
    <w:rsid w:val="00173008"/>
    <w:rsid w:val="00173FD6"/>
    <w:rsid w:val="0017432C"/>
    <w:rsid w:val="00174E1F"/>
    <w:rsid w:val="00174FE1"/>
    <w:rsid w:val="001754E7"/>
    <w:rsid w:val="00176D20"/>
    <w:rsid w:val="0017720A"/>
    <w:rsid w:val="00177DA9"/>
    <w:rsid w:val="0018019C"/>
    <w:rsid w:val="00180B43"/>
    <w:rsid w:val="00180E98"/>
    <w:rsid w:val="00181074"/>
    <w:rsid w:val="00181263"/>
    <w:rsid w:val="001815CC"/>
    <w:rsid w:val="00181C60"/>
    <w:rsid w:val="0018212E"/>
    <w:rsid w:val="001826FE"/>
    <w:rsid w:val="00182894"/>
    <w:rsid w:val="0018360E"/>
    <w:rsid w:val="00185EAE"/>
    <w:rsid w:val="00186649"/>
    <w:rsid w:val="001868D1"/>
    <w:rsid w:val="00187341"/>
    <w:rsid w:val="00187412"/>
    <w:rsid w:val="00187B92"/>
    <w:rsid w:val="00190006"/>
    <w:rsid w:val="00190158"/>
    <w:rsid w:val="001901B9"/>
    <w:rsid w:val="00191404"/>
    <w:rsid w:val="00191477"/>
    <w:rsid w:val="001917F1"/>
    <w:rsid w:val="00191EA1"/>
    <w:rsid w:val="001928AD"/>
    <w:rsid w:val="00192D0B"/>
    <w:rsid w:val="001936D1"/>
    <w:rsid w:val="00193A8D"/>
    <w:rsid w:val="00194403"/>
    <w:rsid w:val="001947F2"/>
    <w:rsid w:val="00194F41"/>
    <w:rsid w:val="00195299"/>
    <w:rsid w:val="00195481"/>
    <w:rsid w:val="001958B2"/>
    <w:rsid w:val="0019616E"/>
    <w:rsid w:val="001968E3"/>
    <w:rsid w:val="001973DC"/>
    <w:rsid w:val="0019745C"/>
    <w:rsid w:val="00197D76"/>
    <w:rsid w:val="001A008C"/>
    <w:rsid w:val="001A0217"/>
    <w:rsid w:val="001A04D9"/>
    <w:rsid w:val="001A10C1"/>
    <w:rsid w:val="001A1346"/>
    <w:rsid w:val="001A29C8"/>
    <w:rsid w:val="001A2AD5"/>
    <w:rsid w:val="001A37F3"/>
    <w:rsid w:val="001A380E"/>
    <w:rsid w:val="001A4497"/>
    <w:rsid w:val="001A4AC9"/>
    <w:rsid w:val="001A4C6D"/>
    <w:rsid w:val="001A577C"/>
    <w:rsid w:val="001A611B"/>
    <w:rsid w:val="001A62B0"/>
    <w:rsid w:val="001A62B5"/>
    <w:rsid w:val="001A688C"/>
    <w:rsid w:val="001A69DB"/>
    <w:rsid w:val="001A7CAF"/>
    <w:rsid w:val="001A7F1A"/>
    <w:rsid w:val="001B05C2"/>
    <w:rsid w:val="001B10C3"/>
    <w:rsid w:val="001B20C9"/>
    <w:rsid w:val="001B27F7"/>
    <w:rsid w:val="001B3535"/>
    <w:rsid w:val="001B3B0A"/>
    <w:rsid w:val="001B41C2"/>
    <w:rsid w:val="001B480D"/>
    <w:rsid w:val="001B4A85"/>
    <w:rsid w:val="001B4D79"/>
    <w:rsid w:val="001B5391"/>
    <w:rsid w:val="001B5F97"/>
    <w:rsid w:val="001B6007"/>
    <w:rsid w:val="001B60BF"/>
    <w:rsid w:val="001B64E1"/>
    <w:rsid w:val="001B67D5"/>
    <w:rsid w:val="001B743D"/>
    <w:rsid w:val="001B745D"/>
    <w:rsid w:val="001B78FE"/>
    <w:rsid w:val="001C0092"/>
    <w:rsid w:val="001C03DA"/>
    <w:rsid w:val="001C0AFF"/>
    <w:rsid w:val="001C0BF3"/>
    <w:rsid w:val="001C2956"/>
    <w:rsid w:val="001C333E"/>
    <w:rsid w:val="001C3445"/>
    <w:rsid w:val="001C3697"/>
    <w:rsid w:val="001C3851"/>
    <w:rsid w:val="001C3E12"/>
    <w:rsid w:val="001C6222"/>
    <w:rsid w:val="001C6298"/>
    <w:rsid w:val="001C635F"/>
    <w:rsid w:val="001C6D75"/>
    <w:rsid w:val="001C708B"/>
    <w:rsid w:val="001C7225"/>
    <w:rsid w:val="001C77B0"/>
    <w:rsid w:val="001D0137"/>
    <w:rsid w:val="001D0977"/>
    <w:rsid w:val="001D0BA4"/>
    <w:rsid w:val="001D0EB7"/>
    <w:rsid w:val="001D2E81"/>
    <w:rsid w:val="001D32D2"/>
    <w:rsid w:val="001D3DA7"/>
    <w:rsid w:val="001D475E"/>
    <w:rsid w:val="001D4F63"/>
    <w:rsid w:val="001D5186"/>
    <w:rsid w:val="001D5578"/>
    <w:rsid w:val="001D6301"/>
    <w:rsid w:val="001D64EE"/>
    <w:rsid w:val="001D6B49"/>
    <w:rsid w:val="001D6BC4"/>
    <w:rsid w:val="001D6FBA"/>
    <w:rsid w:val="001D7102"/>
    <w:rsid w:val="001D738B"/>
    <w:rsid w:val="001D75A9"/>
    <w:rsid w:val="001D7A31"/>
    <w:rsid w:val="001D7A7B"/>
    <w:rsid w:val="001D7AEF"/>
    <w:rsid w:val="001D7ED4"/>
    <w:rsid w:val="001E0367"/>
    <w:rsid w:val="001E0F41"/>
    <w:rsid w:val="001E1028"/>
    <w:rsid w:val="001E1AF3"/>
    <w:rsid w:val="001E1BA2"/>
    <w:rsid w:val="001E25D7"/>
    <w:rsid w:val="001E42F3"/>
    <w:rsid w:val="001E5AED"/>
    <w:rsid w:val="001E666E"/>
    <w:rsid w:val="001E6D2C"/>
    <w:rsid w:val="001E7219"/>
    <w:rsid w:val="001E7312"/>
    <w:rsid w:val="001E7DB6"/>
    <w:rsid w:val="001E7F5A"/>
    <w:rsid w:val="001F1697"/>
    <w:rsid w:val="001F2DCA"/>
    <w:rsid w:val="001F2E64"/>
    <w:rsid w:val="001F486C"/>
    <w:rsid w:val="001F4961"/>
    <w:rsid w:val="001F4E69"/>
    <w:rsid w:val="001F58C7"/>
    <w:rsid w:val="001F5D7B"/>
    <w:rsid w:val="001F609C"/>
    <w:rsid w:val="001F61BA"/>
    <w:rsid w:val="001F6677"/>
    <w:rsid w:val="001F7FE8"/>
    <w:rsid w:val="002000AC"/>
    <w:rsid w:val="00200669"/>
    <w:rsid w:val="0020087D"/>
    <w:rsid w:val="00200F17"/>
    <w:rsid w:val="0020267C"/>
    <w:rsid w:val="00202C51"/>
    <w:rsid w:val="00202D5E"/>
    <w:rsid w:val="00202E62"/>
    <w:rsid w:val="002030D6"/>
    <w:rsid w:val="002031E5"/>
    <w:rsid w:val="00203554"/>
    <w:rsid w:val="00203E7E"/>
    <w:rsid w:val="00203F6E"/>
    <w:rsid w:val="00203F9E"/>
    <w:rsid w:val="00204400"/>
    <w:rsid w:val="0020556C"/>
    <w:rsid w:val="002056F7"/>
    <w:rsid w:val="00205ADF"/>
    <w:rsid w:val="00205D0A"/>
    <w:rsid w:val="0020649B"/>
    <w:rsid w:val="00206DEE"/>
    <w:rsid w:val="002072B2"/>
    <w:rsid w:val="002078C8"/>
    <w:rsid w:val="00207FA6"/>
    <w:rsid w:val="002103C3"/>
    <w:rsid w:val="00210720"/>
    <w:rsid w:val="00210DA8"/>
    <w:rsid w:val="00210DE0"/>
    <w:rsid w:val="0021197E"/>
    <w:rsid w:val="00211CEC"/>
    <w:rsid w:val="00212529"/>
    <w:rsid w:val="0021285C"/>
    <w:rsid w:val="00212F11"/>
    <w:rsid w:val="002137BA"/>
    <w:rsid w:val="00214206"/>
    <w:rsid w:val="002143EA"/>
    <w:rsid w:val="0021453D"/>
    <w:rsid w:val="00214722"/>
    <w:rsid w:val="00214B49"/>
    <w:rsid w:val="00215FD0"/>
    <w:rsid w:val="00215FF7"/>
    <w:rsid w:val="00217ABB"/>
    <w:rsid w:val="00220D5E"/>
    <w:rsid w:val="00220F99"/>
    <w:rsid w:val="00221079"/>
    <w:rsid w:val="002222D4"/>
    <w:rsid w:val="0022267B"/>
    <w:rsid w:val="00222966"/>
    <w:rsid w:val="0022317D"/>
    <w:rsid w:val="00223C60"/>
    <w:rsid w:val="0022420A"/>
    <w:rsid w:val="002245DD"/>
    <w:rsid w:val="00224936"/>
    <w:rsid w:val="00224CCC"/>
    <w:rsid w:val="00225A82"/>
    <w:rsid w:val="00225B32"/>
    <w:rsid w:val="00226116"/>
    <w:rsid w:val="002261D9"/>
    <w:rsid w:val="00226676"/>
    <w:rsid w:val="002268E7"/>
    <w:rsid w:val="00226C04"/>
    <w:rsid w:val="00230239"/>
    <w:rsid w:val="00230982"/>
    <w:rsid w:val="0023098C"/>
    <w:rsid w:val="00230AF5"/>
    <w:rsid w:val="002310D6"/>
    <w:rsid w:val="002323B9"/>
    <w:rsid w:val="00232BC3"/>
    <w:rsid w:val="002330DF"/>
    <w:rsid w:val="002337A9"/>
    <w:rsid w:val="00233AFB"/>
    <w:rsid w:val="00234148"/>
    <w:rsid w:val="0023499F"/>
    <w:rsid w:val="002358C2"/>
    <w:rsid w:val="002358D1"/>
    <w:rsid w:val="00235C6F"/>
    <w:rsid w:val="00236BDB"/>
    <w:rsid w:val="00236E22"/>
    <w:rsid w:val="00237297"/>
    <w:rsid w:val="00240021"/>
    <w:rsid w:val="002402C9"/>
    <w:rsid w:val="00240909"/>
    <w:rsid w:val="00240C2B"/>
    <w:rsid w:val="0024110F"/>
    <w:rsid w:val="00241F6C"/>
    <w:rsid w:val="002425DD"/>
    <w:rsid w:val="002427DC"/>
    <w:rsid w:val="002439B7"/>
    <w:rsid w:val="00243F15"/>
    <w:rsid w:val="00244329"/>
    <w:rsid w:val="00245FB3"/>
    <w:rsid w:val="00246065"/>
    <w:rsid w:val="00246619"/>
    <w:rsid w:val="0024697E"/>
    <w:rsid w:val="0024708F"/>
    <w:rsid w:val="00250448"/>
    <w:rsid w:val="00250A8D"/>
    <w:rsid w:val="00250D93"/>
    <w:rsid w:val="00251CA6"/>
    <w:rsid w:val="002521EC"/>
    <w:rsid w:val="002524E2"/>
    <w:rsid w:val="0025252D"/>
    <w:rsid w:val="0025287B"/>
    <w:rsid w:val="002533A7"/>
    <w:rsid w:val="002542DD"/>
    <w:rsid w:val="002542EF"/>
    <w:rsid w:val="00254523"/>
    <w:rsid w:val="002546A6"/>
    <w:rsid w:val="00254851"/>
    <w:rsid w:val="002548C3"/>
    <w:rsid w:val="00254E00"/>
    <w:rsid w:val="00255A74"/>
    <w:rsid w:val="00255D3D"/>
    <w:rsid w:val="002562FE"/>
    <w:rsid w:val="002568ED"/>
    <w:rsid w:val="002573E5"/>
    <w:rsid w:val="002604A1"/>
    <w:rsid w:val="00260940"/>
    <w:rsid w:val="00261715"/>
    <w:rsid w:val="002617CA"/>
    <w:rsid w:val="002617E8"/>
    <w:rsid w:val="00261BED"/>
    <w:rsid w:val="00261E46"/>
    <w:rsid w:val="00261E57"/>
    <w:rsid w:val="0026265C"/>
    <w:rsid w:val="00262BAD"/>
    <w:rsid w:val="0026334D"/>
    <w:rsid w:val="00263991"/>
    <w:rsid w:val="002649E0"/>
    <w:rsid w:val="00264BF7"/>
    <w:rsid w:val="00264DC5"/>
    <w:rsid w:val="002655FE"/>
    <w:rsid w:val="00265623"/>
    <w:rsid w:val="00266185"/>
    <w:rsid w:val="002665A8"/>
    <w:rsid w:val="00266C71"/>
    <w:rsid w:val="002674BB"/>
    <w:rsid w:val="002700BA"/>
    <w:rsid w:val="002707C0"/>
    <w:rsid w:val="00270DF3"/>
    <w:rsid w:val="00270E8B"/>
    <w:rsid w:val="002716FA"/>
    <w:rsid w:val="00271B23"/>
    <w:rsid w:val="0027204B"/>
    <w:rsid w:val="002722DA"/>
    <w:rsid w:val="00272675"/>
    <w:rsid w:val="00272C5A"/>
    <w:rsid w:val="0027327E"/>
    <w:rsid w:val="002734A4"/>
    <w:rsid w:val="00273608"/>
    <w:rsid w:val="00273915"/>
    <w:rsid w:val="00273A74"/>
    <w:rsid w:val="002742B2"/>
    <w:rsid w:val="00274C09"/>
    <w:rsid w:val="002756D5"/>
    <w:rsid w:val="00275E9E"/>
    <w:rsid w:val="00275F5F"/>
    <w:rsid w:val="00276A9E"/>
    <w:rsid w:val="00277EAA"/>
    <w:rsid w:val="0028066D"/>
    <w:rsid w:val="0028087D"/>
    <w:rsid w:val="00280C4D"/>
    <w:rsid w:val="00281114"/>
    <w:rsid w:val="002813BD"/>
    <w:rsid w:val="002822D3"/>
    <w:rsid w:val="002824AB"/>
    <w:rsid w:val="0028289B"/>
    <w:rsid w:val="00282971"/>
    <w:rsid w:val="00282D16"/>
    <w:rsid w:val="00283133"/>
    <w:rsid w:val="00283840"/>
    <w:rsid w:val="00285170"/>
    <w:rsid w:val="00285584"/>
    <w:rsid w:val="0028627A"/>
    <w:rsid w:val="00286634"/>
    <w:rsid w:val="00287928"/>
    <w:rsid w:val="00287D55"/>
    <w:rsid w:val="00291A83"/>
    <w:rsid w:val="00291BC0"/>
    <w:rsid w:val="00292C87"/>
    <w:rsid w:val="00294077"/>
    <w:rsid w:val="002940AA"/>
    <w:rsid w:val="002940B7"/>
    <w:rsid w:val="00294DC2"/>
    <w:rsid w:val="002956C9"/>
    <w:rsid w:val="00295F01"/>
    <w:rsid w:val="002A07C4"/>
    <w:rsid w:val="002A09BA"/>
    <w:rsid w:val="002A0D85"/>
    <w:rsid w:val="002A18E8"/>
    <w:rsid w:val="002A1DF5"/>
    <w:rsid w:val="002A1EED"/>
    <w:rsid w:val="002A2D78"/>
    <w:rsid w:val="002A2EA8"/>
    <w:rsid w:val="002A333E"/>
    <w:rsid w:val="002A36A1"/>
    <w:rsid w:val="002A4B9C"/>
    <w:rsid w:val="002A4BA6"/>
    <w:rsid w:val="002A5097"/>
    <w:rsid w:val="002A5447"/>
    <w:rsid w:val="002A55E0"/>
    <w:rsid w:val="002A5DE3"/>
    <w:rsid w:val="002A5F54"/>
    <w:rsid w:val="002A5F61"/>
    <w:rsid w:val="002A6126"/>
    <w:rsid w:val="002A6356"/>
    <w:rsid w:val="002A6501"/>
    <w:rsid w:val="002A6BD1"/>
    <w:rsid w:val="002B086C"/>
    <w:rsid w:val="002B1793"/>
    <w:rsid w:val="002B1F32"/>
    <w:rsid w:val="002B3D30"/>
    <w:rsid w:val="002B4695"/>
    <w:rsid w:val="002B47CC"/>
    <w:rsid w:val="002B4A54"/>
    <w:rsid w:val="002B511A"/>
    <w:rsid w:val="002B5903"/>
    <w:rsid w:val="002B5FF3"/>
    <w:rsid w:val="002B71F2"/>
    <w:rsid w:val="002C05EE"/>
    <w:rsid w:val="002C0A75"/>
    <w:rsid w:val="002C1AD7"/>
    <w:rsid w:val="002C1CF2"/>
    <w:rsid w:val="002C24B2"/>
    <w:rsid w:val="002C30C9"/>
    <w:rsid w:val="002C4572"/>
    <w:rsid w:val="002C477D"/>
    <w:rsid w:val="002C4EE0"/>
    <w:rsid w:val="002C587A"/>
    <w:rsid w:val="002C5B29"/>
    <w:rsid w:val="002C5D36"/>
    <w:rsid w:val="002C6AAB"/>
    <w:rsid w:val="002C6EE8"/>
    <w:rsid w:val="002C79A8"/>
    <w:rsid w:val="002C7AB0"/>
    <w:rsid w:val="002C7B51"/>
    <w:rsid w:val="002C7EB8"/>
    <w:rsid w:val="002D00B1"/>
    <w:rsid w:val="002D1029"/>
    <w:rsid w:val="002D1385"/>
    <w:rsid w:val="002D18E7"/>
    <w:rsid w:val="002D1983"/>
    <w:rsid w:val="002D2583"/>
    <w:rsid w:val="002D2602"/>
    <w:rsid w:val="002D2882"/>
    <w:rsid w:val="002D2A78"/>
    <w:rsid w:val="002D3C11"/>
    <w:rsid w:val="002D5AFB"/>
    <w:rsid w:val="002D5ECA"/>
    <w:rsid w:val="002D6C8C"/>
    <w:rsid w:val="002D72B5"/>
    <w:rsid w:val="002D7D42"/>
    <w:rsid w:val="002D7EAD"/>
    <w:rsid w:val="002E018E"/>
    <w:rsid w:val="002E0444"/>
    <w:rsid w:val="002E11AD"/>
    <w:rsid w:val="002E138D"/>
    <w:rsid w:val="002E1E7F"/>
    <w:rsid w:val="002E2D2D"/>
    <w:rsid w:val="002E33E4"/>
    <w:rsid w:val="002E3672"/>
    <w:rsid w:val="002E3784"/>
    <w:rsid w:val="002E3993"/>
    <w:rsid w:val="002E47FC"/>
    <w:rsid w:val="002E5123"/>
    <w:rsid w:val="002E5718"/>
    <w:rsid w:val="002E5DEE"/>
    <w:rsid w:val="002E7449"/>
    <w:rsid w:val="002E7572"/>
    <w:rsid w:val="002E7582"/>
    <w:rsid w:val="002F00AA"/>
    <w:rsid w:val="002F0185"/>
    <w:rsid w:val="002F0454"/>
    <w:rsid w:val="002F0B03"/>
    <w:rsid w:val="002F106F"/>
    <w:rsid w:val="002F10BE"/>
    <w:rsid w:val="002F219B"/>
    <w:rsid w:val="002F21DF"/>
    <w:rsid w:val="002F43FC"/>
    <w:rsid w:val="002F49EA"/>
    <w:rsid w:val="002F5992"/>
    <w:rsid w:val="002F5A80"/>
    <w:rsid w:val="002F5BF1"/>
    <w:rsid w:val="002F65BF"/>
    <w:rsid w:val="002F74FF"/>
    <w:rsid w:val="002F78F5"/>
    <w:rsid w:val="00300653"/>
    <w:rsid w:val="00301A83"/>
    <w:rsid w:val="00302207"/>
    <w:rsid w:val="00302255"/>
    <w:rsid w:val="00302AE0"/>
    <w:rsid w:val="003032B0"/>
    <w:rsid w:val="003033B8"/>
    <w:rsid w:val="00304A6F"/>
    <w:rsid w:val="00304C63"/>
    <w:rsid w:val="00305A32"/>
    <w:rsid w:val="0030749A"/>
    <w:rsid w:val="0030756B"/>
    <w:rsid w:val="003075C9"/>
    <w:rsid w:val="00307B3A"/>
    <w:rsid w:val="003102A0"/>
    <w:rsid w:val="00310387"/>
    <w:rsid w:val="003105F9"/>
    <w:rsid w:val="00310ACA"/>
    <w:rsid w:val="0031188E"/>
    <w:rsid w:val="00311F7E"/>
    <w:rsid w:val="003122B0"/>
    <w:rsid w:val="003122DE"/>
    <w:rsid w:val="003126DE"/>
    <w:rsid w:val="0031282D"/>
    <w:rsid w:val="003138E9"/>
    <w:rsid w:val="003143AC"/>
    <w:rsid w:val="00315198"/>
    <w:rsid w:val="003152CD"/>
    <w:rsid w:val="003156D7"/>
    <w:rsid w:val="003158F5"/>
    <w:rsid w:val="00315975"/>
    <w:rsid w:val="00315A68"/>
    <w:rsid w:val="0031685A"/>
    <w:rsid w:val="00316F47"/>
    <w:rsid w:val="003170BE"/>
    <w:rsid w:val="003172DF"/>
    <w:rsid w:val="00317AFA"/>
    <w:rsid w:val="00317B3E"/>
    <w:rsid w:val="003215E2"/>
    <w:rsid w:val="0032369B"/>
    <w:rsid w:val="00323E06"/>
    <w:rsid w:val="00324141"/>
    <w:rsid w:val="003243EA"/>
    <w:rsid w:val="003246A0"/>
    <w:rsid w:val="003247E0"/>
    <w:rsid w:val="00324F5B"/>
    <w:rsid w:val="003256C0"/>
    <w:rsid w:val="0032748F"/>
    <w:rsid w:val="00327940"/>
    <w:rsid w:val="00327B44"/>
    <w:rsid w:val="00330AEC"/>
    <w:rsid w:val="00332547"/>
    <w:rsid w:val="00332F14"/>
    <w:rsid w:val="003342E0"/>
    <w:rsid w:val="00334605"/>
    <w:rsid w:val="0033496A"/>
    <w:rsid w:val="00334AF5"/>
    <w:rsid w:val="00334BE0"/>
    <w:rsid w:val="003363F4"/>
    <w:rsid w:val="003369BD"/>
    <w:rsid w:val="003369CD"/>
    <w:rsid w:val="00336A87"/>
    <w:rsid w:val="00336B1A"/>
    <w:rsid w:val="003373DE"/>
    <w:rsid w:val="003379EA"/>
    <w:rsid w:val="00337A97"/>
    <w:rsid w:val="00337D01"/>
    <w:rsid w:val="0034024E"/>
    <w:rsid w:val="00340275"/>
    <w:rsid w:val="003406B4"/>
    <w:rsid w:val="00340A11"/>
    <w:rsid w:val="00340EC1"/>
    <w:rsid w:val="00341069"/>
    <w:rsid w:val="00341742"/>
    <w:rsid w:val="00342438"/>
    <w:rsid w:val="00343312"/>
    <w:rsid w:val="003434C4"/>
    <w:rsid w:val="00343B2C"/>
    <w:rsid w:val="00343EFB"/>
    <w:rsid w:val="0034404A"/>
    <w:rsid w:val="003448E7"/>
    <w:rsid w:val="00344CB5"/>
    <w:rsid w:val="00345CB6"/>
    <w:rsid w:val="003463DA"/>
    <w:rsid w:val="003468CB"/>
    <w:rsid w:val="00347620"/>
    <w:rsid w:val="0035005B"/>
    <w:rsid w:val="00350415"/>
    <w:rsid w:val="0035093A"/>
    <w:rsid w:val="003510C4"/>
    <w:rsid w:val="00351552"/>
    <w:rsid w:val="00351D51"/>
    <w:rsid w:val="00353863"/>
    <w:rsid w:val="00353B9E"/>
    <w:rsid w:val="00353F2A"/>
    <w:rsid w:val="00354BDE"/>
    <w:rsid w:val="0035557D"/>
    <w:rsid w:val="003558F7"/>
    <w:rsid w:val="00356A12"/>
    <w:rsid w:val="00356C2F"/>
    <w:rsid w:val="00356C84"/>
    <w:rsid w:val="00356FFD"/>
    <w:rsid w:val="00357A5C"/>
    <w:rsid w:val="003600B1"/>
    <w:rsid w:val="00360674"/>
    <w:rsid w:val="0036122D"/>
    <w:rsid w:val="003612C9"/>
    <w:rsid w:val="003617DE"/>
    <w:rsid w:val="00362133"/>
    <w:rsid w:val="003629F7"/>
    <w:rsid w:val="0036321A"/>
    <w:rsid w:val="0036324C"/>
    <w:rsid w:val="00363685"/>
    <w:rsid w:val="00363B41"/>
    <w:rsid w:val="00364030"/>
    <w:rsid w:val="00364310"/>
    <w:rsid w:val="00364471"/>
    <w:rsid w:val="0036488D"/>
    <w:rsid w:val="00365AA3"/>
    <w:rsid w:val="00365D0A"/>
    <w:rsid w:val="0036610F"/>
    <w:rsid w:val="003669F9"/>
    <w:rsid w:val="00366A15"/>
    <w:rsid w:val="00366A64"/>
    <w:rsid w:val="00366EDD"/>
    <w:rsid w:val="00366EEA"/>
    <w:rsid w:val="003677A2"/>
    <w:rsid w:val="0036799C"/>
    <w:rsid w:val="00367A0C"/>
    <w:rsid w:val="003703E4"/>
    <w:rsid w:val="003705AB"/>
    <w:rsid w:val="0037067D"/>
    <w:rsid w:val="00370A9F"/>
    <w:rsid w:val="00370FD4"/>
    <w:rsid w:val="003711A8"/>
    <w:rsid w:val="00372024"/>
    <w:rsid w:val="003724C2"/>
    <w:rsid w:val="00372770"/>
    <w:rsid w:val="00372D41"/>
    <w:rsid w:val="00373030"/>
    <w:rsid w:val="003733A9"/>
    <w:rsid w:val="00373868"/>
    <w:rsid w:val="00373E34"/>
    <w:rsid w:val="003741D7"/>
    <w:rsid w:val="00374270"/>
    <w:rsid w:val="003748F7"/>
    <w:rsid w:val="00374CC8"/>
    <w:rsid w:val="00375254"/>
    <w:rsid w:val="003752D0"/>
    <w:rsid w:val="00375770"/>
    <w:rsid w:val="00375935"/>
    <w:rsid w:val="00376040"/>
    <w:rsid w:val="003766B4"/>
    <w:rsid w:val="00376C25"/>
    <w:rsid w:val="00377640"/>
    <w:rsid w:val="0037769F"/>
    <w:rsid w:val="003776AD"/>
    <w:rsid w:val="00381013"/>
    <w:rsid w:val="00381463"/>
    <w:rsid w:val="00381A59"/>
    <w:rsid w:val="00382A55"/>
    <w:rsid w:val="00383153"/>
    <w:rsid w:val="003839B6"/>
    <w:rsid w:val="00383D7F"/>
    <w:rsid w:val="0038412A"/>
    <w:rsid w:val="00384161"/>
    <w:rsid w:val="0038464D"/>
    <w:rsid w:val="00384667"/>
    <w:rsid w:val="003846CA"/>
    <w:rsid w:val="00384ABB"/>
    <w:rsid w:val="00384B0B"/>
    <w:rsid w:val="00385126"/>
    <w:rsid w:val="00385F96"/>
    <w:rsid w:val="00386068"/>
    <w:rsid w:val="00386487"/>
    <w:rsid w:val="0038660C"/>
    <w:rsid w:val="00390F89"/>
    <w:rsid w:val="00391190"/>
    <w:rsid w:val="003916E5"/>
    <w:rsid w:val="003917A3"/>
    <w:rsid w:val="0039189F"/>
    <w:rsid w:val="00391CED"/>
    <w:rsid w:val="00391E06"/>
    <w:rsid w:val="00391F2A"/>
    <w:rsid w:val="00391F40"/>
    <w:rsid w:val="00392028"/>
    <w:rsid w:val="0039208E"/>
    <w:rsid w:val="00392EA3"/>
    <w:rsid w:val="00393BB7"/>
    <w:rsid w:val="00395195"/>
    <w:rsid w:val="00395A0C"/>
    <w:rsid w:val="00395E53"/>
    <w:rsid w:val="00397D8D"/>
    <w:rsid w:val="00397EAE"/>
    <w:rsid w:val="00397FAD"/>
    <w:rsid w:val="003A06E6"/>
    <w:rsid w:val="003A0E26"/>
    <w:rsid w:val="003A0FDE"/>
    <w:rsid w:val="003A1257"/>
    <w:rsid w:val="003A154B"/>
    <w:rsid w:val="003A1A68"/>
    <w:rsid w:val="003A1C4A"/>
    <w:rsid w:val="003A2A03"/>
    <w:rsid w:val="003A2C70"/>
    <w:rsid w:val="003A2D6A"/>
    <w:rsid w:val="003A42BF"/>
    <w:rsid w:val="003A460A"/>
    <w:rsid w:val="003A5196"/>
    <w:rsid w:val="003A5CC0"/>
    <w:rsid w:val="003A698F"/>
    <w:rsid w:val="003A71C5"/>
    <w:rsid w:val="003A731C"/>
    <w:rsid w:val="003A7A96"/>
    <w:rsid w:val="003A7D23"/>
    <w:rsid w:val="003A7F03"/>
    <w:rsid w:val="003B1855"/>
    <w:rsid w:val="003B1AD1"/>
    <w:rsid w:val="003B262B"/>
    <w:rsid w:val="003B2AA0"/>
    <w:rsid w:val="003B31B5"/>
    <w:rsid w:val="003B3908"/>
    <w:rsid w:val="003B4168"/>
    <w:rsid w:val="003B5459"/>
    <w:rsid w:val="003B5495"/>
    <w:rsid w:val="003B5DA1"/>
    <w:rsid w:val="003B5E1A"/>
    <w:rsid w:val="003B636D"/>
    <w:rsid w:val="003B6B0E"/>
    <w:rsid w:val="003B6D15"/>
    <w:rsid w:val="003B6E67"/>
    <w:rsid w:val="003B7089"/>
    <w:rsid w:val="003B78D6"/>
    <w:rsid w:val="003C00C6"/>
    <w:rsid w:val="003C0A48"/>
    <w:rsid w:val="003C0B2F"/>
    <w:rsid w:val="003C0CCD"/>
    <w:rsid w:val="003C153C"/>
    <w:rsid w:val="003C1656"/>
    <w:rsid w:val="003C1B5C"/>
    <w:rsid w:val="003C1F25"/>
    <w:rsid w:val="003C1F9F"/>
    <w:rsid w:val="003C285F"/>
    <w:rsid w:val="003C4213"/>
    <w:rsid w:val="003C45F2"/>
    <w:rsid w:val="003C4A79"/>
    <w:rsid w:val="003C5763"/>
    <w:rsid w:val="003C6140"/>
    <w:rsid w:val="003C6562"/>
    <w:rsid w:val="003C6BB6"/>
    <w:rsid w:val="003C6E2F"/>
    <w:rsid w:val="003C74F3"/>
    <w:rsid w:val="003C792E"/>
    <w:rsid w:val="003D0B5C"/>
    <w:rsid w:val="003D10B4"/>
    <w:rsid w:val="003D126A"/>
    <w:rsid w:val="003D1564"/>
    <w:rsid w:val="003D1CA8"/>
    <w:rsid w:val="003D1E39"/>
    <w:rsid w:val="003D2846"/>
    <w:rsid w:val="003D3FED"/>
    <w:rsid w:val="003D4370"/>
    <w:rsid w:val="003D4932"/>
    <w:rsid w:val="003D4B09"/>
    <w:rsid w:val="003D52C2"/>
    <w:rsid w:val="003D5353"/>
    <w:rsid w:val="003D5A13"/>
    <w:rsid w:val="003D5F86"/>
    <w:rsid w:val="003D678C"/>
    <w:rsid w:val="003D6A81"/>
    <w:rsid w:val="003D726F"/>
    <w:rsid w:val="003D72B6"/>
    <w:rsid w:val="003D7687"/>
    <w:rsid w:val="003E005D"/>
    <w:rsid w:val="003E1676"/>
    <w:rsid w:val="003E19C3"/>
    <w:rsid w:val="003E1FE4"/>
    <w:rsid w:val="003E34F2"/>
    <w:rsid w:val="003E382C"/>
    <w:rsid w:val="003E3B99"/>
    <w:rsid w:val="003E4358"/>
    <w:rsid w:val="003E458F"/>
    <w:rsid w:val="003E5B24"/>
    <w:rsid w:val="003E5B5C"/>
    <w:rsid w:val="003E6003"/>
    <w:rsid w:val="003E637D"/>
    <w:rsid w:val="003E6945"/>
    <w:rsid w:val="003E7803"/>
    <w:rsid w:val="003F022D"/>
    <w:rsid w:val="003F1181"/>
    <w:rsid w:val="003F20FF"/>
    <w:rsid w:val="003F251A"/>
    <w:rsid w:val="003F28F3"/>
    <w:rsid w:val="003F30C3"/>
    <w:rsid w:val="003F3779"/>
    <w:rsid w:val="003F3E60"/>
    <w:rsid w:val="003F405D"/>
    <w:rsid w:val="003F43F8"/>
    <w:rsid w:val="003F4934"/>
    <w:rsid w:val="003F4F6B"/>
    <w:rsid w:val="003F58DE"/>
    <w:rsid w:val="003F5A7E"/>
    <w:rsid w:val="003F6109"/>
    <w:rsid w:val="003F65F1"/>
    <w:rsid w:val="003F65F8"/>
    <w:rsid w:val="003F6617"/>
    <w:rsid w:val="003F6BE5"/>
    <w:rsid w:val="003F6D4B"/>
    <w:rsid w:val="003F72D3"/>
    <w:rsid w:val="003F7B71"/>
    <w:rsid w:val="004002AF"/>
    <w:rsid w:val="00400744"/>
    <w:rsid w:val="004009A3"/>
    <w:rsid w:val="0040125C"/>
    <w:rsid w:val="00401B84"/>
    <w:rsid w:val="00402160"/>
    <w:rsid w:val="00402707"/>
    <w:rsid w:val="00402A07"/>
    <w:rsid w:val="00403581"/>
    <w:rsid w:val="0040388C"/>
    <w:rsid w:val="0040426C"/>
    <w:rsid w:val="00404CA4"/>
    <w:rsid w:val="00405110"/>
    <w:rsid w:val="00405881"/>
    <w:rsid w:val="00405D71"/>
    <w:rsid w:val="00406A4D"/>
    <w:rsid w:val="00407053"/>
    <w:rsid w:val="0040749E"/>
    <w:rsid w:val="00407C3F"/>
    <w:rsid w:val="00407DEA"/>
    <w:rsid w:val="00410321"/>
    <w:rsid w:val="004107FB"/>
    <w:rsid w:val="00413E24"/>
    <w:rsid w:val="0041426C"/>
    <w:rsid w:val="00414510"/>
    <w:rsid w:val="00414778"/>
    <w:rsid w:val="00414F8A"/>
    <w:rsid w:val="00414FFB"/>
    <w:rsid w:val="004151ED"/>
    <w:rsid w:val="004159AF"/>
    <w:rsid w:val="004160A0"/>
    <w:rsid w:val="004162D3"/>
    <w:rsid w:val="004164AF"/>
    <w:rsid w:val="00416B4D"/>
    <w:rsid w:val="004170D3"/>
    <w:rsid w:val="0041717B"/>
    <w:rsid w:val="00417D17"/>
    <w:rsid w:val="00420036"/>
    <w:rsid w:val="004201A8"/>
    <w:rsid w:val="0042035F"/>
    <w:rsid w:val="0042039D"/>
    <w:rsid w:val="00421BBB"/>
    <w:rsid w:val="004220A7"/>
    <w:rsid w:val="0042246F"/>
    <w:rsid w:val="0042266E"/>
    <w:rsid w:val="00423154"/>
    <w:rsid w:val="004232CE"/>
    <w:rsid w:val="00423A7F"/>
    <w:rsid w:val="00424072"/>
    <w:rsid w:val="0042497B"/>
    <w:rsid w:val="00424B45"/>
    <w:rsid w:val="00424CB9"/>
    <w:rsid w:val="0042529E"/>
    <w:rsid w:val="004252F4"/>
    <w:rsid w:val="0042561D"/>
    <w:rsid w:val="00426191"/>
    <w:rsid w:val="0042762B"/>
    <w:rsid w:val="004309DA"/>
    <w:rsid w:val="00430A6C"/>
    <w:rsid w:val="004310F8"/>
    <w:rsid w:val="00431EFB"/>
    <w:rsid w:val="00432BAB"/>
    <w:rsid w:val="00433AE7"/>
    <w:rsid w:val="00433FB8"/>
    <w:rsid w:val="00434505"/>
    <w:rsid w:val="00436186"/>
    <w:rsid w:val="0043682D"/>
    <w:rsid w:val="0043767A"/>
    <w:rsid w:val="00437806"/>
    <w:rsid w:val="00437888"/>
    <w:rsid w:val="004407DC"/>
    <w:rsid w:val="00440A6A"/>
    <w:rsid w:val="00440F7C"/>
    <w:rsid w:val="0044115C"/>
    <w:rsid w:val="0044170B"/>
    <w:rsid w:val="00442496"/>
    <w:rsid w:val="004431DD"/>
    <w:rsid w:val="00443203"/>
    <w:rsid w:val="004441C2"/>
    <w:rsid w:val="00445DAA"/>
    <w:rsid w:val="004460A6"/>
    <w:rsid w:val="004466D1"/>
    <w:rsid w:val="00447C72"/>
    <w:rsid w:val="00450209"/>
    <w:rsid w:val="00450258"/>
    <w:rsid w:val="004517DC"/>
    <w:rsid w:val="004520DD"/>
    <w:rsid w:val="004528BC"/>
    <w:rsid w:val="00452B04"/>
    <w:rsid w:val="00452C22"/>
    <w:rsid w:val="00452C35"/>
    <w:rsid w:val="00453B63"/>
    <w:rsid w:val="00454F13"/>
    <w:rsid w:val="00455133"/>
    <w:rsid w:val="004560B2"/>
    <w:rsid w:val="00456C16"/>
    <w:rsid w:val="004575EC"/>
    <w:rsid w:val="00460328"/>
    <w:rsid w:val="004615E7"/>
    <w:rsid w:val="004618C4"/>
    <w:rsid w:val="00461DA5"/>
    <w:rsid w:val="00462036"/>
    <w:rsid w:val="00462387"/>
    <w:rsid w:val="004633F7"/>
    <w:rsid w:val="00463467"/>
    <w:rsid w:val="00463D05"/>
    <w:rsid w:val="00463FD7"/>
    <w:rsid w:val="0046402A"/>
    <w:rsid w:val="0046436C"/>
    <w:rsid w:val="004646A1"/>
    <w:rsid w:val="004647C2"/>
    <w:rsid w:val="0046539E"/>
    <w:rsid w:val="00466259"/>
    <w:rsid w:val="00466D7F"/>
    <w:rsid w:val="004675DB"/>
    <w:rsid w:val="00467BC9"/>
    <w:rsid w:val="0047069B"/>
    <w:rsid w:val="00470AF0"/>
    <w:rsid w:val="004712B9"/>
    <w:rsid w:val="00473605"/>
    <w:rsid w:val="004746EF"/>
    <w:rsid w:val="0047471D"/>
    <w:rsid w:val="00474882"/>
    <w:rsid w:val="00475309"/>
    <w:rsid w:val="00475AE6"/>
    <w:rsid w:val="00475D73"/>
    <w:rsid w:val="00476107"/>
    <w:rsid w:val="004768F6"/>
    <w:rsid w:val="00476992"/>
    <w:rsid w:val="00476E7D"/>
    <w:rsid w:val="0047736D"/>
    <w:rsid w:val="0047746A"/>
    <w:rsid w:val="00481194"/>
    <w:rsid w:val="004819F7"/>
    <w:rsid w:val="0048250D"/>
    <w:rsid w:val="00482769"/>
    <w:rsid w:val="00482990"/>
    <w:rsid w:val="00483043"/>
    <w:rsid w:val="00483118"/>
    <w:rsid w:val="00483C76"/>
    <w:rsid w:val="00484475"/>
    <w:rsid w:val="00484846"/>
    <w:rsid w:val="00484FD0"/>
    <w:rsid w:val="00484FEF"/>
    <w:rsid w:val="004858F9"/>
    <w:rsid w:val="00485B45"/>
    <w:rsid w:val="00486037"/>
    <w:rsid w:val="0048614C"/>
    <w:rsid w:val="00486C02"/>
    <w:rsid w:val="004875BE"/>
    <w:rsid w:val="0048761E"/>
    <w:rsid w:val="00487FAD"/>
    <w:rsid w:val="00490A81"/>
    <w:rsid w:val="00490C49"/>
    <w:rsid w:val="00490E77"/>
    <w:rsid w:val="00491044"/>
    <w:rsid w:val="00491348"/>
    <w:rsid w:val="00491389"/>
    <w:rsid w:val="004913C7"/>
    <w:rsid w:val="00492562"/>
    <w:rsid w:val="004926B4"/>
    <w:rsid w:val="00492837"/>
    <w:rsid w:val="00492A1C"/>
    <w:rsid w:val="00492BB9"/>
    <w:rsid w:val="00492BCA"/>
    <w:rsid w:val="00492F4E"/>
    <w:rsid w:val="00493137"/>
    <w:rsid w:val="00493668"/>
    <w:rsid w:val="0049424F"/>
    <w:rsid w:val="0049567F"/>
    <w:rsid w:val="00495B61"/>
    <w:rsid w:val="00496818"/>
    <w:rsid w:val="00497063"/>
    <w:rsid w:val="00497B7F"/>
    <w:rsid w:val="004A0120"/>
    <w:rsid w:val="004A01F0"/>
    <w:rsid w:val="004A0897"/>
    <w:rsid w:val="004A169B"/>
    <w:rsid w:val="004A1760"/>
    <w:rsid w:val="004A2498"/>
    <w:rsid w:val="004A2D94"/>
    <w:rsid w:val="004A3256"/>
    <w:rsid w:val="004A42D3"/>
    <w:rsid w:val="004A563C"/>
    <w:rsid w:val="004A5B8B"/>
    <w:rsid w:val="004A68C3"/>
    <w:rsid w:val="004A7292"/>
    <w:rsid w:val="004A7607"/>
    <w:rsid w:val="004A78D8"/>
    <w:rsid w:val="004A7C23"/>
    <w:rsid w:val="004B12B0"/>
    <w:rsid w:val="004B1382"/>
    <w:rsid w:val="004B1CBA"/>
    <w:rsid w:val="004B34C7"/>
    <w:rsid w:val="004B3916"/>
    <w:rsid w:val="004B3C6F"/>
    <w:rsid w:val="004B48BE"/>
    <w:rsid w:val="004B49F3"/>
    <w:rsid w:val="004B5ECD"/>
    <w:rsid w:val="004B69E8"/>
    <w:rsid w:val="004B6ACB"/>
    <w:rsid w:val="004B6AEC"/>
    <w:rsid w:val="004B743E"/>
    <w:rsid w:val="004B77D3"/>
    <w:rsid w:val="004B781A"/>
    <w:rsid w:val="004B7B5C"/>
    <w:rsid w:val="004C070E"/>
    <w:rsid w:val="004C07FC"/>
    <w:rsid w:val="004C0D38"/>
    <w:rsid w:val="004C16F4"/>
    <w:rsid w:val="004C4863"/>
    <w:rsid w:val="004C53C9"/>
    <w:rsid w:val="004C56C4"/>
    <w:rsid w:val="004C604A"/>
    <w:rsid w:val="004C6434"/>
    <w:rsid w:val="004C726D"/>
    <w:rsid w:val="004C7657"/>
    <w:rsid w:val="004C7687"/>
    <w:rsid w:val="004C7E5C"/>
    <w:rsid w:val="004D00FE"/>
    <w:rsid w:val="004D03E5"/>
    <w:rsid w:val="004D1152"/>
    <w:rsid w:val="004D21D8"/>
    <w:rsid w:val="004D2B01"/>
    <w:rsid w:val="004D32FA"/>
    <w:rsid w:val="004D3DD3"/>
    <w:rsid w:val="004D54BF"/>
    <w:rsid w:val="004D57EA"/>
    <w:rsid w:val="004D591A"/>
    <w:rsid w:val="004D7FE0"/>
    <w:rsid w:val="004E0515"/>
    <w:rsid w:val="004E086A"/>
    <w:rsid w:val="004E23A7"/>
    <w:rsid w:val="004E2410"/>
    <w:rsid w:val="004E2F05"/>
    <w:rsid w:val="004E3652"/>
    <w:rsid w:val="004E4364"/>
    <w:rsid w:val="004E498D"/>
    <w:rsid w:val="004E49A4"/>
    <w:rsid w:val="004E52CA"/>
    <w:rsid w:val="004E5585"/>
    <w:rsid w:val="004E58F2"/>
    <w:rsid w:val="004E69FF"/>
    <w:rsid w:val="004E754F"/>
    <w:rsid w:val="004F0105"/>
    <w:rsid w:val="004F016C"/>
    <w:rsid w:val="004F203D"/>
    <w:rsid w:val="004F233A"/>
    <w:rsid w:val="004F25BD"/>
    <w:rsid w:val="004F477D"/>
    <w:rsid w:val="004F4D96"/>
    <w:rsid w:val="004F55F7"/>
    <w:rsid w:val="004F64AB"/>
    <w:rsid w:val="004F728C"/>
    <w:rsid w:val="004F773B"/>
    <w:rsid w:val="004F7CE8"/>
    <w:rsid w:val="00500251"/>
    <w:rsid w:val="005003CF"/>
    <w:rsid w:val="00500A43"/>
    <w:rsid w:val="0050195C"/>
    <w:rsid w:val="005023AA"/>
    <w:rsid w:val="00502E67"/>
    <w:rsid w:val="005049C8"/>
    <w:rsid w:val="00504CEB"/>
    <w:rsid w:val="00504D52"/>
    <w:rsid w:val="00505A1B"/>
    <w:rsid w:val="00506EB6"/>
    <w:rsid w:val="00507903"/>
    <w:rsid w:val="0051003D"/>
    <w:rsid w:val="00513028"/>
    <w:rsid w:val="0051303A"/>
    <w:rsid w:val="0051423D"/>
    <w:rsid w:val="00514CCC"/>
    <w:rsid w:val="00514DE2"/>
    <w:rsid w:val="00515FDA"/>
    <w:rsid w:val="005160A0"/>
    <w:rsid w:val="005169BA"/>
    <w:rsid w:val="00516C15"/>
    <w:rsid w:val="0051707A"/>
    <w:rsid w:val="00517186"/>
    <w:rsid w:val="0051720F"/>
    <w:rsid w:val="005205E2"/>
    <w:rsid w:val="00523E0A"/>
    <w:rsid w:val="005252BC"/>
    <w:rsid w:val="005263CF"/>
    <w:rsid w:val="005267D1"/>
    <w:rsid w:val="00527245"/>
    <w:rsid w:val="005272CA"/>
    <w:rsid w:val="00527F02"/>
    <w:rsid w:val="005303E0"/>
    <w:rsid w:val="00530771"/>
    <w:rsid w:val="0053096B"/>
    <w:rsid w:val="00530B85"/>
    <w:rsid w:val="00530D2D"/>
    <w:rsid w:val="005311B1"/>
    <w:rsid w:val="00531442"/>
    <w:rsid w:val="0053147C"/>
    <w:rsid w:val="00532CEB"/>
    <w:rsid w:val="005338E6"/>
    <w:rsid w:val="005338F2"/>
    <w:rsid w:val="00534CBC"/>
    <w:rsid w:val="005367A2"/>
    <w:rsid w:val="00536E3E"/>
    <w:rsid w:val="005373F7"/>
    <w:rsid w:val="00537D16"/>
    <w:rsid w:val="00540184"/>
    <w:rsid w:val="005409AE"/>
    <w:rsid w:val="00540C4D"/>
    <w:rsid w:val="00541EC0"/>
    <w:rsid w:val="00542566"/>
    <w:rsid w:val="005425DD"/>
    <w:rsid w:val="005428D7"/>
    <w:rsid w:val="00542A17"/>
    <w:rsid w:val="0054313C"/>
    <w:rsid w:val="00543FBE"/>
    <w:rsid w:val="00544591"/>
    <w:rsid w:val="0054468E"/>
    <w:rsid w:val="00545631"/>
    <w:rsid w:val="00545AC4"/>
    <w:rsid w:val="00545CD6"/>
    <w:rsid w:val="00546CEB"/>
    <w:rsid w:val="00546EAC"/>
    <w:rsid w:val="00550D69"/>
    <w:rsid w:val="0055209F"/>
    <w:rsid w:val="00552588"/>
    <w:rsid w:val="00552789"/>
    <w:rsid w:val="005527B9"/>
    <w:rsid w:val="00552EF7"/>
    <w:rsid w:val="00552F83"/>
    <w:rsid w:val="00553F46"/>
    <w:rsid w:val="005542B3"/>
    <w:rsid w:val="00555313"/>
    <w:rsid w:val="005553A1"/>
    <w:rsid w:val="0055625D"/>
    <w:rsid w:val="005570F1"/>
    <w:rsid w:val="00560574"/>
    <w:rsid w:val="00560617"/>
    <w:rsid w:val="005613A4"/>
    <w:rsid w:val="00561878"/>
    <w:rsid w:val="00561A6F"/>
    <w:rsid w:val="00563604"/>
    <w:rsid w:val="00563815"/>
    <w:rsid w:val="0056389B"/>
    <w:rsid w:val="00563C3D"/>
    <w:rsid w:val="005642F1"/>
    <w:rsid w:val="00564F55"/>
    <w:rsid w:val="00565BE2"/>
    <w:rsid w:val="00566B7A"/>
    <w:rsid w:val="00566C66"/>
    <w:rsid w:val="00567475"/>
    <w:rsid w:val="0056789E"/>
    <w:rsid w:val="00567AB5"/>
    <w:rsid w:val="00567F52"/>
    <w:rsid w:val="005701F8"/>
    <w:rsid w:val="005702FA"/>
    <w:rsid w:val="00570FD2"/>
    <w:rsid w:val="005710E5"/>
    <w:rsid w:val="00571239"/>
    <w:rsid w:val="005715A8"/>
    <w:rsid w:val="00571835"/>
    <w:rsid w:val="00571A3C"/>
    <w:rsid w:val="00571D26"/>
    <w:rsid w:val="00571F65"/>
    <w:rsid w:val="00572C00"/>
    <w:rsid w:val="0057329F"/>
    <w:rsid w:val="005738AE"/>
    <w:rsid w:val="005740CC"/>
    <w:rsid w:val="00574B38"/>
    <w:rsid w:val="00574B65"/>
    <w:rsid w:val="00576121"/>
    <w:rsid w:val="00576F6B"/>
    <w:rsid w:val="00577532"/>
    <w:rsid w:val="0058002A"/>
    <w:rsid w:val="005802D9"/>
    <w:rsid w:val="00580D4E"/>
    <w:rsid w:val="00580FF4"/>
    <w:rsid w:val="005812F1"/>
    <w:rsid w:val="00581762"/>
    <w:rsid w:val="00581839"/>
    <w:rsid w:val="00581A20"/>
    <w:rsid w:val="00582DE8"/>
    <w:rsid w:val="005836C4"/>
    <w:rsid w:val="00583BF7"/>
    <w:rsid w:val="00583F68"/>
    <w:rsid w:val="00584040"/>
    <w:rsid w:val="00584369"/>
    <w:rsid w:val="005848E9"/>
    <w:rsid w:val="00584A0E"/>
    <w:rsid w:val="00584D1C"/>
    <w:rsid w:val="00585579"/>
    <w:rsid w:val="0058702E"/>
    <w:rsid w:val="00587205"/>
    <w:rsid w:val="00587489"/>
    <w:rsid w:val="005904C5"/>
    <w:rsid w:val="005904C7"/>
    <w:rsid w:val="0059086A"/>
    <w:rsid w:val="00590CA8"/>
    <w:rsid w:val="0059125F"/>
    <w:rsid w:val="00591399"/>
    <w:rsid w:val="005919C6"/>
    <w:rsid w:val="00591A89"/>
    <w:rsid w:val="00591C61"/>
    <w:rsid w:val="00591EAA"/>
    <w:rsid w:val="00591EC5"/>
    <w:rsid w:val="0059207A"/>
    <w:rsid w:val="00593ED9"/>
    <w:rsid w:val="005940BC"/>
    <w:rsid w:val="00594322"/>
    <w:rsid w:val="005959D6"/>
    <w:rsid w:val="005A0B40"/>
    <w:rsid w:val="005A0D49"/>
    <w:rsid w:val="005A0E05"/>
    <w:rsid w:val="005A1354"/>
    <w:rsid w:val="005A13F1"/>
    <w:rsid w:val="005A13FF"/>
    <w:rsid w:val="005A18C5"/>
    <w:rsid w:val="005A22FE"/>
    <w:rsid w:val="005A28AC"/>
    <w:rsid w:val="005A2AF9"/>
    <w:rsid w:val="005A3044"/>
    <w:rsid w:val="005A3234"/>
    <w:rsid w:val="005A38AE"/>
    <w:rsid w:val="005A3FB3"/>
    <w:rsid w:val="005A5415"/>
    <w:rsid w:val="005A5DF2"/>
    <w:rsid w:val="005A608E"/>
    <w:rsid w:val="005A62EB"/>
    <w:rsid w:val="005A6AC4"/>
    <w:rsid w:val="005A6B3B"/>
    <w:rsid w:val="005A6FF6"/>
    <w:rsid w:val="005A738C"/>
    <w:rsid w:val="005A7877"/>
    <w:rsid w:val="005A78CD"/>
    <w:rsid w:val="005B1558"/>
    <w:rsid w:val="005B213F"/>
    <w:rsid w:val="005B28F8"/>
    <w:rsid w:val="005B4106"/>
    <w:rsid w:val="005B4905"/>
    <w:rsid w:val="005B4C3B"/>
    <w:rsid w:val="005B4EC5"/>
    <w:rsid w:val="005B5197"/>
    <w:rsid w:val="005B526B"/>
    <w:rsid w:val="005B5791"/>
    <w:rsid w:val="005B6546"/>
    <w:rsid w:val="005B6C20"/>
    <w:rsid w:val="005B6E0B"/>
    <w:rsid w:val="005B7E21"/>
    <w:rsid w:val="005C0052"/>
    <w:rsid w:val="005C0409"/>
    <w:rsid w:val="005C0BD1"/>
    <w:rsid w:val="005C0F7C"/>
    <w:rsid w:val="005C155A"/>
    <w:rsid w:val="005C3547"/>
    <w:rsid w:val="005C3828"/>
    <w:rsid w:val="005C3FA4"/>
    <w:rsid w:val="005C4AE1"/>
    <w:rsid w:val="005C50C6"/>
    <w:rsid w:val="005C51C2"/>
    <w:rsid w:val="005C557A"/>
    <w:rsid w:val="005C573F"/>
    <w:rsid w:val="005C5B84"/>
    <w:rsid w:val="005C673B"/>
    <w:rsid w:val="005C724C"/>
    <w:rsid w:val="005C76E1"/>
    <w:rsid w:val="005C7DD9"/>
    <w:rsid w:val="005D02DA"/>
    <w:rsid w:val="005D07FC"/>
    <w:rsid w:val="005D117C"/>
    <w:rsid w:val="005D1187"/>
    <w:rsid w:val="005D12EC"/>
    <w:rsid w:val="005D291B"/>
    <w:rsid w:val="005D3379"/>
    <w:rsid w:val="005D379E"/>
    <w:rsid w:val="005D3E4F"/>
    <w:rsid w:val="005D3F96"/>
    <w:rsid w:val="005D4297"/>
    <w:rsid w:val="005D4392"/>
    <w:rsid w:val="005D456D"/>
    <w:rsid w:val="005D4AF4"/>
    <w:rsid w:val="005D5059"/>
    <w:rsid w:val="005D58EE"/>
    <w:rsid w:val="005D5E20"/>
    <w:rsid w:val="005D63E7"/>
    <w:rsid w:val="005D6596"/>
    <w:rsid w:val="005D6783"/>
    <w:rsid w:val="005D6A70"/>
    <w:rsid w:val="005D74B4"/>
    <w:rsid w:val="005D750F"/>
    <w:rsid w:val="005E0157"/>
    <w:rsid w:val="005E0395"/>
    <w:rsid w:val="005E0FE0"/>
    <w:rsid w:val="005E1107"/>
    <w:rsid w:val="005E1230"/>
    <w:rsid w:val="005E16A6"/>
    <w:rsid w:val="005E1708"/>
    <w:rsid w:val="005E21AA"/>
    <w:rsid w:val="005E33A2"/>
    <w:rsid w:val="005E3AB5"/>
    <w:rsid w:val="005E3CAD"/>
    <w:rsid w:val="005E44C5"/>
    <w:rsid w:val="005E4B99"/>
    <w:rsid w:val="005E4E9A"/>
    <w:rsid w:val="005E5122"/>
    <w:rsid w:val="005E5354"/>
    <w:rsid w:val="005E5761"/>
    <w:rsid w:val="005E5CA0"/>
    <w:rsid w:val="005E5CF6"/>
    <w:rsid w:val="005E65C4"/>
    <w:rsid w:val="005E7157"/>
    <w:rsid w:val="005E7AD8"/>
    <w:rsid w:val="005E7B1C"/>
    <w:rsid w:val="005E7B94"/>
    <w:rsid w:val="005F007E"/>
    <w:rsid w:val="005F07E1"/>
    <w:rsid w:val="005F0C5D"/>
    <w:rsid w:val="005F0CE9"/>
    <w:rsid w:val="005F1B5E"/>
    <w:rsid w:val="005F259D"/>
    <w:rsid w:val="005F2741"/>
    <w:rsid w:val="005F3397"/>
    <w:rsid w:val="005F35B3"/>
    <w:rsid w:val="005F4281"/>
    <w:rsid w:val="005F5275"/>
    <w:rsid w:val="005F5481"/>
    <w:rsid w:val="005F63E1"/>
    <w:rsid w:val="005F6D04"/>
    <w:rsid w:val="005F76F0"/>
    <w:rsid w:val="005F7AE7"/>
    <w:rsid w:val="005F7D99"/>
    <w:rsid w:val="005F7DEA"/>
    <w:rsid w:val="005F7FCE"/>
    <w:rsid w:val="00600116"/>
    <w:rsid w:val="0060022C"/>
    <w:rsid w:val="00600E5D"/>
    <w:rsid w:val="00600F2E"/>
    <w:rsid w:val="006019FA"/>
    <w:rsid w:val="006021EE"/>
    <w:rsid w:val="0060280A"/>
    <w:rsid w:val="00602A37"/>
    <w:rsid w:val="00602ED4"/>
    <w:rsid w:val="006040BF"/>
    <w:rsid w:val="00604D19"/>
    <w:rsid w:val="00604D49"/>
    <w:rsid w:val="00604E5A"/>
    <w:rsid w:val="00604F1A"/>
    <w:rsid w:val="0060521F"/>
    <w:rsid w:val="006056FC"/>
    <w:rsid w:val="00606323"/>
    <w:rsid w:val="006066C0"/>
    <w:rsid w:val="00606FB0"/>
    <w:rsid w:val="0060792A"/>
    <w:rsid w:val="00607DD6"/>
    <w:rsid w:val="006109AA"/>
    <w:rsid w:val="00610C4C"/>
    <w:rsid w:val="00611B6C"/>
    <w:rsid w:val="00611E23"/>
    <w:rsid w:val="006136F2"/>
    <w:rsid w:val="00613886"/>
    <w:rsid w:val="006139FC"/>
    <w:rsid w:val="006140AC"/>
    <w:rsid w:val="006147C6"/>
    <w:rsid w:val="00614886"/>
    <w:rsid w:val="00614B35"/>
    <w:rsid w:val="00614E97"/>
    <w:rsid w:val="006151B0"/>
    <w:rsid w:val="0061545C"/>
    <w:rsid w:val="00615A58"/>
    <w:rsid w:val="00615DBB"/>
    <w:rsid w:val="00616A17"/>
    <w:rsid w:val="00617D8A"/>
    <w:rsid w:val="00617F1D"/>
    <w:rsid w:val="006208B0"/>
    <w:rsid w:val="00620FE8"/>
    <w:rsid w:val="00621363"/>
    <w:rsid w:val="00621546"/>
    <w:rsid w:val="00621DF8"/>
    <w:rsid w:val="00621F97"/>
    <w:rsid w:val="006220F6"/>
    <w:rsid w:val="00622925"/>
    <w:rsid w:val="00622BD9"/>
    <w:rsid w:val="006239EA"/>
    <w:rsid w:val="00623B16"/>
    <w:rsid w:val="00624461"/>
    <w:rsid w:val="0062466C"/>
    <w:rsid w:val="00625181"/>
    <w:rsid w:val="00626288"/>
    <w:rsid w:val="006267C6"/>
    <w:rsid w:val="00626A5A"/>
    <w:rsid w:val="00626C10"/>
    <w:rsid w:val="00627A6C"/>
    <w:rsid w:val="00627AA8"/>
    <w:rsid w:val="00627D87"/>
    <w:rsid w:val="00630895"/>
    <w:rsid w:val="00630CA2"/>
    <w:rsid w:val="00631506"/>
    <w:rsid w:val="00632846"/>
    <w:rsid w:val="00634489"/>
    <w:rsid w:val="00634654"/>
    <w:rsid w:val="006348DD"/>
    <w:rsid w:val="0063513B"/>
    <w:rsid w:val="0063609A"/>
    <w:rsid w:val="006370B7"/>
    <w:rsid w:val="0063798D"/>
    <w:rsid w:val="00637CFA"/>
    <w:rsid w:val="00640037"/>
    <w:rsid w:val="0064034E"/>
    <w:rsid w:val="006405D9"/>
    <w:rsid w:val="006409F0"/>
    <w:rsid w:val="00641414"/>
    <w:rsid w:val="00642951"/>
    <w:rsid w:val="00643C4B"/>
    <w:rsid w:val="00643DB9"/>
    <w:rsid w:val="00644292"/>
    <w:rsid w:val="00644310"/>
    <w:rsid w:val="00644524"/>
    <w:rsid w:val="006447AE"/>
    <w:rsid w:val="00644BC1"/>
    <w:rsid w:val="00644EE4"/>
    <w:rsid w:val="0064502D"/>
    <w:rsid w:val="00645970"/>
    <w:rsid w:val="006465E6"/>
    <w:rsid w:val="0064661D"/>
    <w:rsid w:val="00646C32"/>
    <w:rsid w:val="00646E35"/>
    <w:rsid w:val="00646E5A"/>
    <w:rsid w:val="006474E5"/>
    <w:rsid w:val="00650314"/>
    <w:rsid w:val="0065099D"/>
    <w:rsid w:val="00650B43"/>
    <w:rsid w:val="00650DA8"/>
    <w:rsid w:val="006517ED"/>
    <w:rsid w:val="006522E4"/>
    <w:rsid w:val="006529F1"/>
    <w:rsid w:val="00652E2D"/>
    <w:rsid w:val="00652F23"/>
    <w:rsid w:val="0065386F"/>
    <w:rsid w:val="00653938"/>
    <w:rsid w:val="00653A80"/>
    <w:rsid w:val="0065402F"/>
    <w:rsid w:val="00654C27"/>
    <w:rsid w:val="00654EF1"/>
    <w:rsid w:val="006553A3"/>
    <w:rsid w:val="00655C0C"/>
    <w:rsid w:val="00655C24"/>
    <w:rsid w:val="00656164"/>
    <w:rsid w:val="00656777"/>
    <w:rsid w:val="0065677D"/>
    <w:rsid w:val="00657661"/>
    <w:rsid w:val="0066004B"/>
    <w:rsid w:val="006604C9"/>
    <w:rsid w:val="006607C5"/>
    <w:rsid w:val="00660EE9"/>
    <w:rsid w:val="00661677"/>
    <w:rsid w:val="006618F3"/>
    <w:rsid w:val="00661C46"/>
    <w:rsid w:val="006646A8"/>
    <w:rsid w:val="0066507D"/>
    <w:rsid w:val="00665380"/>
    <w:rsid w:val="00665DE0"/>
    <w:rsid w:val="00665F6C"/>
    <w:rsid w:val="0066616A"/>
    <w:rsid w:val="0066660E"/>
    <w:rsid w:val="00666728"/>
    <w:rsid w:val="00667115"/>
    <w:rsid w:val="0066715D"/>
    <w:rsid w:val="00670761"/>
    <w:rsid w:val="006709C0"/>
    <w:rsid w:val="006713A5"/>
    <w:rsid w:val="0067146D"/>
    <w:rsid w:val="0067178E"/>
    <w:rsid w:val="0067240A"/>
    <w:rsid w:val="006724EB"/>
    <w:rsid w:val="00672FA7"/>
    <w:rsid w:val="0067301A"/>
    <w:rsid w:val="00673039"/>
    <w:rsid w:val="0067318A"/>
    <w:rsid w:val="00673ABF"/>
    <w:rsid w:val="00673D88"/>
    <w:rsid w:val="00673EB2"/>
    <w:rsid w:val="006744B5"/>
    <w:rsid w:val="00674A47"/>
    <w:rsid w:val="00674AEC"/>
    <w:rsid w:val="00674D02"/>
    <w:rsid w:val="00675B02"/>
    <w:rsid w:val="00675EAB"/>
    <w:rsid w:val="006776CE"/>
    <w:rsid w:val="0067783A"/>
    <w:rsid w:val="006778EA"/>
    <w:rsid w:val="00680F30"/>
    <w:rsid w:val="006812B2"/>
    <w:rsid w:val="006812C0"/>
    <w:rsid w:val="006820CC"/>
    <w:rsid w:val="006826DB"/>
    <w:rsid w:val="00686251"/>
    <w:rsid w:val="006865B0"/>
    <w:rsid w:val="00686B7F"/>
    <w:rsid w:val="00687894"/>
    <w:rsid w:val="00690C34"/>
    <w:rsid w:val="00691BE0"/>
    <w:rsid w:val="00692303"/>
    <w:rsid w:val="006923CD"/>
    <w:rsid w:val="006928DA"/>
    <w:rsid w:val="00693242"/>
    <w:rsid w:val="0069345C"/>
    <w:rsid w:val="00694392"/>
    <w:rsid w:val="006944B9"/>
    <w:rsid w:val="006950AD"/>
    <w:rsid w:val="006956CE"/>
    <w:rsid w:val="00695702"/>
    <w:rsid w:val="00695A90"/>
    <w:rsid w:val="00695F6B"/>
    <w:rsid w:val="006965DE"/>
    <w:rsid w:val="00696F4E"/>
    <w:rsid w:val="00697C6D"/>
    <w:rsid w:val="006A036B"/>
    <w:rsid w:val="006A13ED"/>
    <w:rsid w:val="006A26D3"/>
    <w:rsid w:val="006A2844"/>
    <w:rsid w:val="006A30D9"/>
    <w:rsid w:val="006A3672"/>
    <w:rsid w:val="006A3D5F"/>
    <w:rsid w:val="006A411C"/>
    <w:rsid w:val="006A48F9"/>
    <w:rsid w:val="006A4BDE"/>
    <w:rsid w:val="006A4D90"/>
    <w:rsid w:val="006A503F"/>
    <w:rsid w:val="006A51D2"/>
    <w:rsid w:val="006A53D2"/>
    <w:rsid w:val="006A70AA"/>
    <w:rsid w:val="006A79BD"/>
    <w:rsid w:val="006A7A93"/>
    <w:rsid w:val="006B0711"/>
    <w:rsid w:val="006B0735"/>
    <w:rsid w:val="006B097E"/>
    <w:rsid w:val="006B1A60"/>
    <w:rsid w:val="006B2CA5"/>
    <w:rsid w:val="006B31EB"/>
    <w:rsid w:val="006B34E3"/>
    <w:rsid w:val="006B49B3"/>
    <w:rsid w:val="006B56DB"/>
    <w:rsid w:val="006B6070"/>
    <w:rsid w:val="006B61DE"/>
    <w:rsid w:val="006B6346"/>
    <w:rsid w:val="006B6841"/>
    <w:rsid w:val="006B7069"/>
    <w:rsid w:val="006B7DDA"/>
    <w:rsid w:val="006C003D"/>
    <w:rsid w:val="006C1868"/>
    <w:rsid w:val="006C312B"/>
    <w:rsid w:val="006C3343"/>
    <w:rsid w:val="006C38E9"/>
    <w:rsid w:val="006C474D"/>
    <w:rsid w:val="006C47E8"/>
    <w:rsid w:val="006C4808"/>
    <w:rsid w:val="006C4C38"/>
    <w:rsid w:val="006C4E16"/>
    <w:rsid w:val="006C5C86"/>
    <w:rsid w:val="006C66BB"/>
    <w:rsid w:val="006D07E6"/>
    <w:rsid w:val="006D09C7"/>
    <w:rsid w:val="006D0C39"/>
    <w:rsid w:val="006D10ED"/>
    <w:rsid w:val="006D1BC2"/>
    <w:rsid w:val="006D1C37"/>
    <w:rsid w:val="006D3F5F"/>
    <w:rsid w:val="006D4525"/>
    <w:rsid w:val="006D4F9B"/>
    <w:rsid w:val="006D509F"/>
    <w:rsid w:val="006D5651"/>
    <w:rsid w:val="006D5935"/>
    <w:rsid w:val="006D5CDC"/>
    <w:rsid w:val="006D5F83"/>
    <w:rsid w:val="006D6876"/>
    <w:rsid w:val="006D6F77"/>
    <w:rsid w:val="006D7005"/>
    <w:rsid w:val="006D70DC"/>
    <w:rsid w:val="006D77A1"/>
    <w:rsid w:val="006D7BA7"/>
    <w:rsid w:val="006D7ED7"/>
    <w:rsid w:val="006E00CF"/>
    <w:rsid w:val="006E06AE"/>
    <w:rsid w:val="006E1270"/>
    <w:rsid w:val="006E1950"/>
    <w:rsid w:val="006E1967"/>
    <w:rsid w:val="006E2AE6"/>
    <w:rsid w:val="006E2E81"/>
    <w:rsid w:val="006E3137"/>
    <w:rsid w:val="006E3543"/>
    <w:rsid w:val="006E38F4"/>
    <w:rsid w:val="006E3A04"/>
    <w:rsid w:val="006E3D9B"/>
    <w:rsid w:val="006E48CF"/>
    <w:rsid w:val="006E4F11"/>
    <w:rsid w:val="006E5201"/>
    <w:rsid w:val="006E644C"/>
    <w:rsid w:val="006F0679"/>
    <w:rsid w:val="006F09E3"/>
    <w:rsid w:val="006F0A1D"/>
    <w:rsid w:val="006F0DD9"/>
    <w:rsid w:val="006F1DF9"/>
    <w:rsid w:val="006F26B5"/>
    <w:rsid w:val="006F3253"/>
    <w:rsid w:val="006F4395"/>
    <w:rsid w:val="006F4B18"/>
    <w:rsid w:val="006F4F95"/>
    <w:rsid w:val="006F65A2"/>
    <w:rsid w:val="006F6A41"/>
    <w:rsid w:val="006F76CE"/>
    <w:rsid w:val="006F7FB6"/>
    <w:rsid w:val="00700197"/>
    <w:rsid w:val="00700971"/>
    <w:rsid w:val="00700EF3"/>
    <w:rsid w:val="00701012"/>
    <w:rsid w:val="007014AB"/>
    <w:rsid w:val="007017C6"/>
    <w:rsid w:val="00701DD6"/>
    <w:rsid w:val="00702733"/>
    <w:rsid w:val="00703028"/>
    <w:rsid w:val="0070417A"/>
    <w:rsid w:val="00704805"/>
    <w:rsid w:val="00704C87"/>
    <w:rsid w:val="00706B69"/>
    <w:rsid w:val="00707699"/>
    <w:rsid w:val="00707746"/>
    <w:rsid w:val="00707840"/>
    <w:rsid w:val="007078B4"/>
    <w:rsid w:val="00711002"/>
    <w:rsid w:val="00711D8A"/>
    <w:rsid w:val="00711E55"/>
    <w:rsid w:val="00711EAA"/>
    <w:rsid w:val="007120D0"/>
    <w:rsid w:val="00712EA1"/>
    <w:rsid w:val="00713215"/>
    <w:rsid w:val="00713606"/>
    <w:rsid w:val="00714ECC"/>
    <w:rsid w:val="00715C32"/>
    <w:rsid w:val="007165FF"/>
    <w:rsid w:val="00717666"/>
    <w:rsid w:val="00717E32"/>
    <w:rsid w:val="00717F4F"/>
    <w:rsid w:val="007203D9"/>
    <w:rsid w:val="00720468"/>
    <w:rsid w:val="00720816"/>
    <w:rsid w:val="00720B03"/>
    <w:rsid w:val="00723E14"/>
    <w:rsid w:val="00723E4D"/>
    <w:rsid w:val="0072421B"/>
    <w:rsid w:val="0072494D"/>
    <w:rsid w:val="00725048"/>
    <w:rsid w:val="007250D0"/>
    <w:rsid w:val="0072590A"/>
    <w:rsid w:val="00725A5F"/>
    <w:rsid w:val="00725F0F"/>
    <w:rsid w:val="007269B8"/>
    <w:rsid w:val="0072712E"/>
    <w:rsid w:val="00727856"/>
    <w:rsid w:val="00730101"/>
    <w:rsid w:val="00730F92"/>
    <w:rsid w:val="007325E5"/>
    <w:rsid w:val="00732E05"/>
    <w:rsid w:val="00732F95"/>
    <w:rsid w:val="00733850"/>
    <w:rsid w:val="00734482"/>
    <w:rsid w:val="00734944"/>
    <w:rsid w:val="00734995"/>
    <w:rsid w:val="00734B77"/>
    <w:rsid w:val="007353A0"/>
    <w:rsid w:val="0073559A"/>
    <w:rsid w:val="00735FDB"/>
    <w:rsid w:val="00736ECE"/>
    <w:rsid w:val="00737109"/>
    <w:rsid w:val="00737A26"/>
    <w:rsid w:val="00737AF3"/>
    <w:rsid w:val="00740DE0"/>
    <w:rsid w:val="007410B7"/>
    <w:rsid w:val="007416B1"/>
    <w:rsid w:val="00741AF9"/>
    <w:rsid w:val="00741C58"/>
    <w:rsid w:val="0074248E"/>
    <w:rsid w:val="00743769"/>
    <w:rsid w:val="00743AAE"/>
    <w:rsid w:val="00743C37"/>
    <w:rsid w:val="00743DEE"/>
    <w:rsid w:val="007442D0"/>
    <w:rsid w:val="00744CB8"/>
    <w:rsid w:val="00744E0B"/>
    <w:rsid w:val="00744E83"/>
    <w:rsid w:val="007458FC"/>
    <w:rsid w:val="00746AF5"/>
    <w:rsid w:val="00746B38"/>
    <w:rsid w:val="00746EDB"/>
    <w:rsid w:val="0074713D"/>
    <w:rsid w:val="0074765C"/>
    <w:rsid w:val="00747715"/>
    <w:rsid w:val="00750414"/>
    <w:rsid w:val="007515A8"/>
    <w:rsid w:val="007518D6"/>
    <w:rsid w:val="007519B4"/>
    <w:rsid w:val="00751F39"/>
    <w:rsid w:val="007520F6"/>
    <w:rsid w:val="0075228C"/>
    <w:rsid w:val="007522B7"/>
    <w:rsid w:val="00753299"/>
    <w:rsid w:val="00753807"/>
    <w:rsid w:val="007539EA"/>
    <w:rsid w:val="0075471F"/>
    <w:rsid w:val="00755D7C"/>
    <w:rsid w:val="00755F57"/>
    <w:rsid w:val="007565EF"/>
    <w:rsid w:val="007566E1"/>
    <w:rsid w:val="0075678B"/>
    <w:rsid w:val="00756D63"/>
    <w:rsid w:val="00756E11"/>
    <w:rsid w:val="007572EB"/>
    <w:rsid w:val="007578FC"/>
    <w:rsid w:val="00757A6A"/>
    <w:rsid w:val="00757AD9"/>
    <w:rsid w:val="00761124"/>
    <w:rsid w:val="007620CD"/>
    <w:rsid w:val="00762CE5"/>
    <w:rsid w:val="00762FD8"/>
    <w:rsid w:val="00763FA1"/>
    <w:rsid w:val="00764118"/>
    <w:rsid w:val="00765A72"/>
    <w:rsid w:val="00765F5E"/>
    <w:rsid w:val="007665B7"/>
    <w:rsid w:val="00766656"/>
    <w:rsid w:val="00766E62"/>
    <w:rsid w:val="007676FE"/>
    <w:rsid w:val="00767A2C"/>
    <w:rsid w:val="00767EBF"/>
    <w:rsid w:val="00770564"/>
    <w:rsid w:val="00770569"/>
    <w:rsid w:val="00770618"/>
    <w:rsid w:val="00770C76"/>
    <w:rsid w:val="00770F4A"/>
    <w:rsid w:val="00771894"/>
    <w:rsid w:val="00772A8C"/>
    <w:rsid w:val="0077327E"/>
    <w:rsid w:val="0077334D"/>
    <w:rsid w:val="00773F0E"/>
    <w:rsid w:val="0077429A"/>
    <w:rsid w:val="00774C49"/>
    <w:rsid w:val="0077582D"/>
    <w:rsid w:val="00776BAC"/>
    <w:rsid w:val="00777544"/>
    <w:rsid w:val="00777783"/>
    <w:rsid w:val="00777905"/>
    <w:rsid w:val="00777B40"/>
    <w:rsid w:val="00777FFD"/>
    <w:rsid w:val="007800F8"/>
    <w:rsid w:val="007802C5"/>
    <w:rsid w:val="00781039"/>
    <w:rsid w:val="00781157"/>
    <w:rsid w:val="0078122E"/>
    <w:rsid w:val="007813B9"/>
    <w:rsid w:val="00781EEB"/>
    <w:rsid w:val="007831C6"/>
    <w:rsid w:val="007838B8"/>
    <w:rsid w:val="007843FE"/>
    <w:rsid w:val="00784A6D"/>
    <w:rsid w:val="00784A96"/>
    <w:rsid w:val="00784BC9"/>
    <w:rsid w:val="00784D7F"/>
    <w:rsid w:val="00785757"/>
    <w:rsid w:val="00785BAF"/>
    <w:rsid w:val="00785D29"/>
    <w:rsid w:val="00785DC0"/>
    <w:rsid w:val="00786FCF"/>
    <w:rsid w:val="0078778B"/>
    <w:rsid w:val="0079038A"/>
    <w:rsid w:val="00790875"/>
    <w:rsid w:val="00790924"/>
    <w:rsid w:val="00790BB0"/>
    <w:rsid w:val="00790F2D"/>
    <w:rsid w:val="007926DA"/>
    <w:rsid w:val="007927AE"/>
    <w:rsid w:val="00793081"/>
    <w:rsid w:val="0079346D"/>
    <w:rsid w:val="00793F70"/>
    <w:rsid w:val="0079490E"/>
    <w:rsid w:val="007949C1"/>
    <w:rsid w:val="00794E5F"/>
    <w:rsid w:val="00794F10"/>
    <w:rsid w:val="007955CC"/>
    <w:rsid w:val="0079585F"/>
    <w:rsid w:val="007971F5"/>
    <w:rsid w:val="0079732B"/>
    <w:rsid w:val="00797422"/>
    <w:rsid w:val="007979DE"/>
    <w:rsid w:val="00797FEC"/>
    <w:rsid w:val="007A154A"/>
    <w:rsid w:val="007A200B"/>
    <w:rsid w:val="007A2B55"/>
    <w:rsid w:val="007A2D25"/>
    <w:rsid w:val="007A390A"/>
    <w:rsid w:val="007A441D"/>
    <w:rsid w:val="007A4F40"/>
    <w:rsid w:val="007A5955"/>
    <w:rsid w:val="007A59B7"/>
    <w:rsid w:val="007A5F01"/>
    <w:rsid w:val="007A682F"/>
    <w:rsid w:val="007A6C88"/>
    <w:rsid w:val="007A72F9"/>
    <w:rsid w:val="007A736B"/>
    <w:rsid w:val="007A7DF3"/>
    <w:rsid w:val="007B0741"/>
    <w:rsid w:val="007B07F1"/>
    <w:rsid w:val="007B0B6B"/>
    <w:rsid w:val="007B1C22"/>
    <w:rsid w:val="007B27D8"/>
    <w:rsid w:val="007B29BA"/>
    <w:rsid w:val="007B3C1F"/>
    <w:rsid w:val="007B3F53"/>
    <w:rsid w:val="007B405F"/>
    <w:rsid w:val="007B5A1C"/>
    <w:rsid w:val="007B5FDA"/>
    <w:rsid w:val="007B6246"/>
    <w:rsid w:val="007B6385"/>
    <w:rsid w:val="007B71CE"/>
    <w:rsid w:val="007B77BC"/>
    <w:rsid w:val="007B7A96"/>
    <w:rsid w:val="007C0451"/>
    <w:rsid w:val="007C0CEC"/>
    <w:rsid w:val="007C0F41"/>
    <w:rsid w:val="007C145A"/>
    <w:rsid w:val="007C17B4"/>
    <w:rsid w:val="007C1985"/>
    <w:rsid w:val="007C38B5"/>
    <w:rsid w:val="007C3E99"/>
    <w:rsid w:val="007C4CA9"/>
    <w:rsid w:val="007C4F74"/>
    <w:rsid w:val="007C50BA"/>
    <w:rsid w:val="007C5A27"/>
    <w:rsid w:val="007C5CF3"/>
    <w:rsid w:val="007C61A9"/>
    <w:rsid w:val="007C6387"/>
    <w:rsid w:val="007C6FF3"/>
    <w:rsid w:val="007C787A"/>
    <w:rsid w:val="007C7A28"/>
    <w:rsid w:val="007D0BF5"/>
    <w:rsid w:val="007D0FEB"/>
    <w:rsid w:val="007D13E7"/>
    <w:rsid w:val="007D194F"/>
    <w:rsid w:val="007D198C"/>
    <w:rsid w:val="007D23DB"/>
    <w:rsid w:val="007D49E6"/>
    <w:rsid w:val="007D51EB"/>
    <w:rsid w:val="007D5C27"/>
    <w:rsid w:val="007D5EEC"/>
    <w:rsid w:val="007D7876"/>
    <w:rsid w:val="007E041E"/>
    <w:rsid w:val="007E048A"/>
    <w:rsid w:val="007E06D1"/>
    <w:rsid w:val="007E1CEE"/>
    <w:rsid w:val="007E2A8C"/>
    <w:rsid w:val="007E2F58"/>
    <w:rsid w:val="007E329F"/>
    <w:rsid w:val="007E32FD"/>
    <w:rsid w:val="007E38D3"/>
    <w:rsid w:val="007E5434"/>
    <w:rsid w:val="007E6DFA"/>
    <w:rsid w:val="007E6EAA"/>
    <w:rsid w:val="007F03C2"/>
    <w:rsid w:val="007F0D24"/>
    <w:rsid w:val="007F0F18"/>
    <w:rsid w:val="007F1D82"/>
    <w:rsid w:val="007F2708"/>
    <w:rsid w:val="007F27D3"/>
    <w:rsid w:val="007F3386"/>
    <w:rsid w:val="007F3428"/>
    <w:rsid w:val="007F3CCA"/>
    <w:rsid w:val="007F4507"/>
    <w:rsid w:val="007F49C6"/>
    <w:rsid w:val="007F4FCF"/>
    <w:rsid w:val="007F65D2"/>
    <w:rsid w:val="007F68B5"/>
    <w:rsid w:val="007F6C31"/>
    <w:rsid w:val="0080179E"/>
    <w:rsid w:val="00802373"/>
    <w:rsid w:val="00802CAA"/>
    <w:rsid w:val="00802D58"/>
    <w:rsid w:val="00802E4A"/>
    <w:rsid w:val="008040C2"/>
    <w:rsid w:val="008046FD"/>
    <w:rsid w:val="008048D7"/>
    <w:rsid w:val="008051F4"/>
    <w:rsid w:val="008062A2"/>
    <w:rsid w:val="008066B3"/>
    <w:rsid w:val="00810924"/>
    <w:rsid w:val="00810B19"/>
    <w:rsid w:val="00811263"/>
    <w:rsid w:val="00811331"/>
    <w:rsid w:val="00811BD3"/>
    <w:rsid w:val="00813D7F"/>
    <w:rsid w:val="00813E0B"/>
    <w:rsid w:val="0081406B"/>
    <w:rsid w:val="00814C9D"/>
    <w:rsid w:val="008157FB"/>
    <w:rsid w:val="008159D7"/>
    <w:rsid w:val="00815CF2"/>
    <w:rsid w:val="0081600D"/>
    <w:rsid w:val="008163AC"/>
    <w:rsid w:val="008169C3"/>
    <w:rsid w:val="00817D27"/>
    <w:rsid w:val="00820021"/>
    <w:rsid w:val="008204C9"/>
    <w:rsid w:val="008207C3"/>
    <w:rsid w:val="008210F4"/>
    <w:rsid w:val="00821622"/>
    <w:rsid w:val="00821D3F"/>
    <w:rsid w:val="00821FC9"/>
    <w:rsid w:val="00822E27"/>
    <w:rsid w:val="00823346"/>
    <w:rsid w:val="00823914"/>
    <w:rsid w:val="00823DD8"/>
    <w:rsid w:val="0082443B"/>
    <w:rsid w:val="00824879"/>
    <w:rsid w:val="00824B9D"/>
    <w:rsid w:val="00825867"/>
    <w:rsid w:val="008263D1"/>
    <w:rsid w:val="008266C1"/>
    <w:rsid w:val="00826BBA"/>
    <w:rsid w:val="00826BBD"/>
    <w:rsid w:val="008275E0"/>
    <w:rsid w:val="0083033A"/>
    <w:rsid w:val="00830EF4"/>
    <w:rsid w:val="00830F11"/>
    <w:rsid w:val="0083114D"/>
    <w:rsid w:val="00831943"/>
    <w:rsid w:val="0083213A"/>
    <w:rsid w:val="0083364A"/>
    <w:rsid w:val="00833D48"/>
    <w:rsid w:val="00834097"/>
    <w:rsid w:val="008341E9"/>
    <w:rsid w:val="00834513"/>
    <w:rsid w:val="008345B6"/>
    <w:rsid w:val="0083552C"/>
    <w:rsid w:val="00835859"/>
    <w:rsid w:val="00835B60"/>
    <w:rsid w:val="008369E9"/>
    <w:rsid w:val="00836FF3"/>
    <w:rsid w:val="00840325"/>
    <w:rsid w:val="0084259C"/>
    <w:rsid w:val="00842757"/>
    <w:rsid w:val="00842C3B"/>
    <w:rsid w:val="0084363D"/>
    <w:rsid w:val="0084366F"/>
    <w:rsid w:val="00843980"/>
    <w:rsid w:val="00843EF8"/>
    <w:rsid w:val="00844266"/>
    <w:rsid w:val="00844532"/>
    <w:rsid w:val="0084586C"/>
    <w:rsid w:val="0084587C"/>
    <w:rsid w:val="0084628A"/>
    <w:rsid w:val="0084633D"/>
    <w:rsid w:val="008464BB"/>
    <w:rsid w:val="00846BA1"/>
    <w:rsid w:val="00846E3E"/>
    <w:rsid w:val="008470FD"/>
    <w:rsid w:val="008476BB"/>
    <w:rsid w:val="00847CAE"/>
    <w:rsid w:val="00847D6D"/>
    <w:rsid w:val="00847F76"/>
    <w:rsid w:val="008512A6"/>
    <w:rsid w:val="0085176B"/>
    <w:rsid w:val="008520DF"/>
    <w:rsid w:val="00852768"/>
    <w:rsid w:val="0085279C"/>
    <w:rsid w:val="008528D5"/>
    <w:rsid w:val="00852929"/>
    <w:rsid w:val="008543E4"/>
    <w:rsid w:val="00854A72"/>
    <w:rsid w:val="00855B13"/>
    <w:rsid w:val="008565F4"/>
    <w:rsid w:val="00856EC7"/>
    <w:rsid w:val="00856EE6"/>
    <w:rsid w:val="00856FBA"/>
    <w:rsid w:val="008571E3"/>
    <w:rsid w:val="00857F93"/>
    <w:rsid w:val="00860701"/>
    <w:rsid w:val="00861243"/>
    <w:rsid w:val="008616FE"/>
    <w:rsid w:val="00861B69"/>
    <w:rsid w:val="00861D2F"/>
    <w:rsid w:val="00862305"/>
    <w:rsid w:val="00862729"/>
    <w:rsid w:val="008628C8"/>
    <w:rsid w:val="008639E5"/>
    <w:rsid w:val="008643CB"/>
    <w:rsid w:val="00864553"/>
    <w:rsid w:val="00864880"/>
    <w:rsid w:val="00864AC0"/>
    <w:rsid w:val="00866530"/>
    <w:rsid w:val="0086796B"/>
    <w:rsid w:val="00870170"/>
    <w:rsid w:val="008701A3"/>
    <w:rsid w:val="00870512"/>
    <w:rsid w:val="008706C0"/>
    <w:rsid w:val="00870E99"/>
    <w:rsid w:val="00871613"/>
    <w:rsid w:val="00871988"/>
    <w:rsid w:val="00871A65"/>
    <w:rsid w:val="00871B8C"/>
    <w:rsid w:val="00871F47"/>
    <w:rsid w:val="00872088"/>
    <w:rsid w:val="00872BED"/>
    <w:rsid w:val="00873483"/>
    <w:rsid w:val="008736B0"/>
    <w:rsid w:val="00873F66"/>
    <w:rsid w:val="00874BDB"/>
    <w:rsid w:val="0087563E"/>
    <w:rsid w:val="00875825"/>
    <w:rsid w:val="00875DE5"/>
    <w:rsid w:val="0087625B"/>
    <w:rsid w:val="00876472"/>
    <w:rsid w:val="008766BD"/>
    <w:rsid w:val="008768F4"/>
    <w:rsid w:val="00880829"/>
    <w:rsid w:val="00880E82"/>
    <w:rsid w:val="0088185B"/>
    <w:rsid w:val="00881F5C"/>
    <w:rsid w:val="0088271B"/>
    <w:rsid w:val="00882CB8"/>
    <w:rsid w:val="00884824"/>
    <w:rsid w:val="0088532A"/>
    <w:rsid w:val="008855DE"/>
    <w:rsid w:val="008856BD"/>
    <w:rsid w:val="0088602F"/>
    <w:rsid w:val="00886215"/>
    <w:rsid w:val="008864CB"/>
    <w:rsid w:val="008867AB"/>
    <w:rsid w:val="00886839"/>
    <w:rsid w:val="00886A55"/>
    <w:rsid w:val="00887B3C"/>
    <w:rsid w:val="00890071"/>
    <w:rsid w:val="00891A2A"/>
    <w:rsid w:val="00891EE0"/>
    <w:rsid w:val="0089259E"/>
    <w:rsid w:val="00892729"/>
    <w:rsid w:val="00892AD8"/>
    <w:rsid w:val="00892DA0"/>
    <w:rsid w:val="008932E1"/>
    <w:rsid w:val="00893309"/>
    <w:rsid w:val="00893549"/>
    <w:rsid w:val="00893B2B"/>
    <w:rsid w:val="00893BA7"/>
    <w:rsid w:val="00894DF4"/>
    <w:rsid w:val="00895071"/>
    <w:rsid w:val="00895229"/>
    <w:rsid w:val="008956C2"/>
    <w:rsid w:val="0089570A"/>
    <w:rsid w:val="00895C43"/>
    <w:rsid w:val="00895DDD"/>
    <w:rsid w:val="00896E8F"/>
    <w:rsid w:val="00896F83"/>
    <w:rsid w:val="0089707F"/>
    <w:rsid w:val="008970AC"/>
    <w:rsid w:val="0089762E"/>
    <w:rsid w:val="00897B94"/>
    <w:rsid w:val="00897C43"/>
    <w:rsid w:val="00897E9B"/>
    <w:rsid w:val="008A0D0F"/>
    <w:rsid w:val="008A1037"/>
    <w:rsid w:val="008A11A7"/>
    <w:rsid w:val="008A1455"/>
    <w:rsid w:val="008A27A9"/>
    <w:rsid w:val="008A2858"/>
    <w:rsid w:val="008A2CCB"/>
    <w:rsid w:val="008A2EFD"/>
    <w:rsid w:val="008A4099"/>
    <w:rsid w:val="008A510C"/>
    <w:rsid w:val="008A59E6"/>
    <w:rsid w:val="008A59E9"/>
    <w:rsid w:val="008A6115"/>
    <w:rsid w:val="008A6516"/>
    <w:rsid w:val="008A69B3"/>
    <w:rsid w:val="008A6B56"/>
    <w:rsid w:val="008A796E"/>
    <w:rsid w:val="008A79F0"/>
    <w:rsid w:val="008B0890"/>
    <w:rsid w:val="008B0B4A"/>
    <w:rsid w:val="008B268F"/>
    <w:rsid w:val="008B2CDB"/>
    <w:rsid w:val="008B38B9"/>
    <w:rsid w:val="008B4FA6"/>
    <w:rsid w:val="008B50D1"/>
    <w:rsid w:val="008B5132"/>
    <w:rsid w:val="008B53CA"/>
    <w:rsid w:val="008B5503"/>
    <w:rsid w:val="008B682A"/>
    <w:rsid w:val="008B6F55"/>
    <w:rsid w:val="008B70D9"/>
    <w:rsid w:val="008B7585"/>
    <w:rsid w:val="008B7ACF"/>
    <w:rsid w:val="008C073C"/>
    <w:rsid w:val="008C095B"/>
    <w:rsid w:val="008C1277"/>
    <w:rsid w:val="008C14DE"/>
    <w:rsid w:val="008C3E5B"/>
    <w:rsid w:val="008C50D3"/>
    <w:rsid w:val="008C5312"/>
    <w:rsid w:val="008C58D4"/>
    <w:rsid w:val="008C5EFB"/>
    <w:rsid w:val="008C648D"/>
    <w:rsid w:val="008C69D8"/>
    <w:rsid w:val="008C6D2A"/>
    <w:rsid w:val="008C6F10"/>
    <w:rsid w:val="008D0861"/>
    <w:rsid w:val="008D0CC9"/>
    <w:rsid w:val="008D0D4E"/>
    <w:rsid w:val="008D0EF5"/>
    <w:rsid w:val="008D1969"/>
    <w:rsid w:val="008D1E1E"/>
    <w:rsid w:val="008D20E4"/>
    <w:rsid w:val="008D267D"/>
    <w:rsid w:val="008D29BB"/>
    <w:rsid w:val="008D2BA7"/>
    <w:rsid w:val="008D356B"/>
    <w:rsid w:val="008D3DF0"/>
    <w:rsid w:val="008D4A74"/>
    <w:rsid w:val="008D4BC6"/>
    <w:rsid w:val="008D53ED"/>
    <w:rsid w:val="008D541C"/>
    <w:rsid w:val="008D5E53"/>
    <w:rsid w:val="008D5F2F"/>
    <w:rsid w:val="008D67E9"/>
    <w:rsid w:val="008D67F1"/>
    <w:rsid w:val="008D6A83"/>
    <w:rsid w:val="008D7C78"/>
    <w:rsid w:val="008E02DC"/>
    <w:rsid w:val="008E0438"/>
    <w:rsid w:val="008E0BE6"/>
    <w:rsid w:val="008E1308"/>
    <w:rsid w:val="008E22D2"/>
    <w:rsid w:val="008E234A"/>
    <w:rsid w:val="008E2BF1"/>
    <w:rsid w:val="008E2F13"/>
    <w:rsid w:val="008E49CE"/>
    <w:rsid w:val="008E6032"/>
    <w:rsid w:val="008E63D1"/>
    <w:rsid w:val="008E63DD"/>
    <w:rsid w:val="008E66FC"/>
    <w:rsid w:val="008E7263"/>
    <w:rsid w:val="008E778A"/>
    <w:rsid w:val="008F04AF"/>
    <w:rsid w:val="008F05D6"/>
    <w:rsid w:val="008F08A4"/>
    <w:rsid w:val="008F09E6"/>
    <w:rsid w:val="008F0DC1"/>
    <w:rsid w:val="008F101A"/>
    <w:rsid w:val="008F231F"/>
    <w:rsid w:val="008F254E"/>
    <w:rsid w:val="008F3AC5"/>
    <w:rsid w:val="008F40CF"/>
    <w:rsid w:val="008F484B"/>
    <w:rsid w:val="008F5E43"/>
    <w:rsid w:val="008F63B9"/>
    <w:rsid w:val="008F73EB"/>
    <w:rsid w:val="008F7D23"/>
    <w:rsid w:val="009005AD"/>
    <w:rsid w:val="00900963"/>
    <w:rsid w:val="009012B3"/>
    <w:rsid w:val="00901537"/>
    <w:rsid w:val="00902CFC"/>
    <w:rsid w:val="00902ED6"/>
    <w:rsid w:val="009054DE"/>
    <w:rsid w:val="00905973"/>
    <w:rsid w:val="009059F4"/>
    <w:rsid w:val="00906777"/>
    <w:rsid w:val="00906B02"/>
    <w:rsid w:val="00906DEB"/>
    <w:rsid w:val="00910B37"/>
    <w:rsid w:val="00910E56"/>
    <w:rsid w:val="009111CC"/>
    <w:rsid w:val="009119CD"/>
    <w:rsid w:val="00912215"/>
    <w:rsid w:val="00912C4D"/>
    <w:rsid w:val="0091394F"/>
    <w:rsid w:val="0091397D"/>
    <w:rsid w:val="00913E0B"/>
    <w:rsid w:val="00913E8C"/>
    <w:rsid w:val="00914467"/>
    <w:rsid w:val="0091519C"/>
    <w:rsid w:val="00915613"/>
    <w:rsid w:val="009156F7"/>
    <w:rsid w:val="00915AE7"/>
    <w:rsid w:val="00915B9F"/>
    <w:rsid w:val="00915D0B"/>
    <w:rsid w:val="0091735E"/>
    <w:rsid w:val="00917549"/>
    <w:rsid w:val="0091786E"/>
    <w:rsid w:val="00917F01"/>
    <w:rsid w:val="009203DF"/>
    <w:rsid w:val="00920662"/>
    <w:rsid w:val="009218B2"/>
    <w:rsid w:val="009221B6"/>
    <w:rsid w:val="0092251C"/>
    <w:rsid w:val="00922792"/>
    <w:rsid w:val="00923091"/>
    <w:rsid w:val="009233E4"/>
    <w:rsid w:val="00923493"/>
    <w:rsid w:val="009236C1"/>
    <w:rsid w:val="00923DA4"/>
    <w:rsid w:val="00924229"/>
    <w:rsid w:val="00924ADA"/>
    <w:rsid w:val="00924C83"/>
    <w:rsid w:val="009256EA"/>
    <w:rsid w:val="00925D15"/>
    <w:rsid w:val="00926004"/>
    <w:rsid w:val="00926B12"/>
    <w:rsid w:val="00927705"/>
    <w:rsid w:val="0092791D"/>
    <w:rsid w:val="00930F48"/>
    <w:rsid w:val="0093107D"/>
    <w:rsid w:val="00931A47"/>
    <w:rsid w:val="00931A7F"/>
    <w:rsid w:val="00931A81"/>
    <w:rsid w:val="0093209D"/>
    <w:rsid w:val="009320AF"/>
    <w:rsid w:val="00932E01"/>
    <w:rsid w:val="00933E2A"/>
    <w:rsid w:val="00933FEE"/>
    <w:rsid w:val="00934110"/>
    <w:rsid w:val="009346C0"/>
    <w:rsid w:val="009353FE"/>
    <w:rsid w:val="009358AC"/>
    <w:rsid w:val="00935C71"/>
    <w:rsid w:val="00936C69"/>
    <w:rsid w:val="00937E13"/>
    <w:rsid w:val="00940665"/>
    <w:rsid w:val="009407C0"/>
    <w:rsid w:val="00940BB0"/>
    <w:rsid w:val="00942C85"/>
    <w:rsid w:val="0094304D"/>
    <w:rsid w:val="0094358E"/>
    <w:rsid w:val="00943C93"/>
    <w:rsid w:val="00943F10"/>
    <w:rsid w:val="009444F4"/>
    <w:rsid w:val="0094507D"/>
    <w:rsid w:val="009450A9"/>
    <w:rsid w:val="009450C0"/>
    <w:rsid w:val="009451B3"/>
    <w:rsid w:val="009455BD"/>
    <w:rsid w:val="00945D7A"/>
    <w:rsid w:val="00945F24"/>
    <w:rsid w:val="00946AB7"/>
    <w:rsid w:val="00946CA4"/>
    <w:rsid w:val="00946E20"/>
    <w:rsid w:val="0094758C"/>
    <w:rsid w:val="009500BE"/>
    <w:rsid w:val="0095032B"/>
    <w:rsid w:val="00951800"/>
    <w:rsid w:val="00951BF9"/>
    <w:rsid w:val="00951C9A"/>
    <w:rsid w:val="00951E52"/>
    <w:rsid w:val="00951FE1"/>
    <w:rsid w:val="0095280F"/>
    <w:rsid w:val="00952D8A"/>
    <w:rsid w:val="009536BA"/>
    <w:rsid w:val="00953998"/>
    <w:rsid w:val="00953A64"/>
    <w:rsid w:val="00953DA4"/>
    <w:rsid w:val="00956CAF"/>
    <w:rsid w:val="00957149"/>
    <w:rsid w:val="00957731"/>
    <w:rsid w:val="009578BC"/>
    <w:rsid w:val="00957D45"/>
    <w:rsid w:val="009604D5"/>
    <w:rsid w:val="00960567"/>
    <w:rsid w:val="009606D4"/>
    <w:rsid w:val="00960972"/>
    <w:rsid w:val="009609F3"/>
    <w:rsid w:val="00960AF6"/>
    <w:rsid w:val="00960C44"/>
    <w:rsid w:val="00960CEB"/>
    <w:rsid w:val="00960D03"/>
    <w:rsid w:val="00960F94"/>
    <w:rsid w:val="00961320"/>
    <w:rsid w:val="009618C4"/>
    <w:rsid w:val="00962AEB"/>
    <w:rsid w:val="00963191"/>
    <w:rsid w:val="0096326C"/>
    <w:rsid w:val="00965811"/>
    <w:rsid w:val="00965EA3"/>
    <w:rsid w:val="009662D8"/>
    <w:rsid w:val="00966ACA"/>
    <w:rsid w:val="00966BB3"/>
    <w:rsid w:val="00967A56"/>
    <w:rsid w:val="009701A9"/>
    <w:rsid w:val="0097109A"/>
    <w:rsid w:val="0097132C"/>
    <w:rsid w:val="00971727"/>
    <w:rsid w:val="009717EF"/>
    <w:rsid w:val="009717F1"/>
    <w:rsid w:val="009718CC"/>
    <w:rsid w:val="00971995"/>
    <w:rsid w:val="00971D88"/>
    <w:rsid w:val="00971FF6"/>
    <w:rsid w:val="00972013"/>
    <w:rsid w:val="00972C89"/>
    <w:rsid w:val="00972E7D"/>
    <w:rsid w:val="00973023"/>
    <w:rsid w:val="0097319D"/>
    <w:rsid w:val="00973F5B"/>
    <w:rsid w:val="009742BD"/>
    <w:rsid w:val="0097598B"/>
    <w:rsid w:val="00975B07"/>
    <w:rsid w:val="00976301"/>
    <w:rsid w:val="0097639E"/>
    <w:rsid w:val="00976737"/>
    <w:rsid w:val="00976CBC"/>
    <w:rsid w:val="009773E9"/>
    <w:rsid w:val="00977540"/>
    <w:rsid w:val="0097762A"/>
    <w:rsid w:val="00977848"/>
    <w:rsid w:val="00977D4D"/>
    <w:rsid w:val="00980A36"/>
    <w:rsid w:val="009821AF"/>
    <w:rsid w:val="0098241D"/>
    <w:rsid w:val="009828C5"/>
    <w:rsid w:val="00982A4B"/>
    <w:rsid w:val="009831E4"/>
    <w:rsid w:val="00983445"/>
    <w:rsid w:val="009839AF"/>
    <w:rsid w:val="0098499D"/>
    <w:rsid w:val="009867D2"/>
    <w:rsid w:val="00986E9F"/>
    <w:rsid w:val="0098711F"/>
    <w:rsid w:val="00987771"/>
    <w:rsid w:val="00987AB9"/>
    <w:rsid w:val="00987EBD"/>
    <w:rsid w:val="009901CB"/>
    <w:rsid w:val="00990CCB"/>
    <w:rsid w:val="009914EA"/>
    <w:rsid w:val="00991B38"/>
    <w:rsid w:val="00992053"/>
    <w:rsid w:val="0099210A"/>
    <w:rsid w:val="009926B8"/>
    <w:rsid w:val="00992CA6"/>
    <w:rsid w:val="00993AA1"/>
    <w:rsid w:val="009952A1"/>
    <w:rsid w:val="00995945"/>
    <w:rsid w:val="00995EB0"/>
    <w:rsid w:val="009961C6"/>
    <w:rsid w:val="00996AAD"/>
    <w:rsid w:val="00997758"/>
    <w:rsid w:val="00997761"/>
    <w:rsid w:val="00997A93"/>
    <w:rsid w:val="009A10FC"/>
    <w:rsid w:val="009A1E7D"/>
    <w:rsid w:val="009A2EAE"/>
    <w:rsid w:val="009A3F5A"/>
    <w:rsid w:val="009A48D5"/>
    <w:rsid w:val="009A4AAB"/>
    <w:rsid w:val="009A4AC7"/>
    <w:rsid w:val="009A4C79"/>
    <w:rsid w:val="009A5544"/>
    <w:rsid w:val="009A5618"/>
    <w:rsid w:val="009A5CF1"/>
    <w:rsid w:val="009A5D48"/>
    <w:rsid w:val="009A5F62"/>
    <w:rsid w:val="009A63E7"/>
    <w:rsid w:val="009A66CE"/>
    <w:rsid w:val="009A6A41"/>
    <w:rsid w:val="009A6EFE"/>
    <w:rsid w:val="009A77F3"/>
    <w:rsid w:val="009B081D"/>
    <w:rsid w:val="009B0D80"/>
    <w:rsid w:val="009B11D6"/>
    <w:rsid w:val="009B2597"/>
    <w:rsid w:val="009B26D3"/>
    <w:rsid w:val="009B3728"/>
    <w:rsid w:val="009B3D44"/>
    <w:rsid w:val="009B3E12"/>
    <w:rsid w:val="009B40B4"/>
    <w:rsid w:val="009B4138"/>
    <w:rsid w:val="009B414B"/>
    <w:rsid w:val="009B50FC"/>
    <w:rsid w:val="009B50FD"/>
    <w:rsid w:val="009B5236"/>
    <w:rsid w:val="009B6146"/>
    <w:rsid w:val="009B6557"/>
    <w:rsid w:val="009B6ECA"/>
    <w:rsid w:val="009B706C"/>
    <w:rsid w:val="009B72AB"/>
    <w:rsid w:val="009B73BB"/>
    <w:rsid w:val="009C005D"/>
    <w:rsid w:val="009C01D9"/>
    <w:rsid w:val="009C0402"/>
    <w:rsid w:val="009C1246"/>
    <w:rsid w:val="009C14A9"/>
    <w:rsid w:val="009C1E4A"/>
    <w:rsid w:val="009C2913"/>
    <w:rsid w:val="009C29F3"/>
    <w:rsid w:val="009C4027"/>
    <w:rsid w:val="009C48EE"/>
    <w:rsid w:val="009C4C78"/>
    <w:rsid w:val="009C4DFF"/>
    <w:rsid w:val="009C5079"/>
    <w:rsid w:val="009C5276"/>
    <w:rsid w:val="009C5865"/>
    <w:rsid w:val="009C61BD"/>
    <w:rsid w:val="009C6FB7"/>
    <w:rsid w:val="009C7168"/>
    <w:rsid w:val="009C72C1"/>
    <w:rsid w:val="009C7563"/>
    <w:rsid w:val="009D03DE"/>
    <w:rsid w:val="009D0FCA"/>
    <w:rsid w:val="009D131A"/>
    <w:rsid w:val="009D1E32"/>
    <w:rsid w:val="009D2881"/>
    <w:rsid w:val="009D2D1D"/>
    <w:rsid w:val="009D2F7B"/>
    <w:rsid w:val="009D2FD1"/>
    <w:rsid w:val="009D325E"/>
    <w:rsid w:val="009D343E"/>
    <w:rsid w:val="009D38BD"/>
    <w:rsid w:val="009D4779"/>
    <w:rsid w:val="009D54A6"/>
    <w:rsid w:val="009D5563"/>
    <w:rsid w:val="009D5FF0"/>
    <w:rsid w:val="009D6235"/>
    <w:rsid w:val="009D65E2"/>
    <w:rsid w:val="009D6652"/>
    <w:rsid w:val="009D6CED"/>
    <w:rsid w:val="009D731A"/>
    <w:rsid w:val="009D7340"/>
    <w:rsid w:val="009D778B"/>
    <w:rsid w:val="009D7B36"/>
    <w:rsid w:val="009D7F95"/>
    <w:rsid w:val="009E1640"/>
    <w:rsid w:val="009E164D"/>
    <w:rsid w:val="009E2B71"/>
    <w:rsid w:val="009E2E8F"/>
    <w:rsid w:val="009E3259"/>
    <w:rsid w:val="009E44CE"/>
    <w:rsid w:val="009E4997"/>
    <w:rsid w:val="009E4EA9"/>
    <w:rsid w:val="009E594C"/>
    <w:rsid w:val="009E5BF1"/>
    <w:rsid w:val="009E5FE9"/>
    <w:rsid w:val="009E60B8"/>
    <w:rsid w:val="009E6465"/>
    <w:rsid w:val="009E64D1"/>
    <w:rsid w:val="009E6C11"/>
    <w:rsid w:val="009E7062"/>
    <w:rsid w:val="009E74CF"/>
    <w:rsid w:val="009F1993"/>
    <w:rsid w:val="009F2211"/>
    <w:rsid w:val="009F3165"/>
    <w:rsid w:val="009F3830"/>
    <w:rsid w:val="009F3E74"/>
    <w:rsid w:val="009F423F"/>
    <w:rsid w:val="009F60CF"/>
    <w:rsid w:val="009F6564"/>
    <w:rsid w:val="009F7A25"/>
    <w:rsid w:val="009F7BF7"/>
    <w:rsid w:val="00A006FA"/>
    <w:rsid w:val="00A00DD5"/>
    <w:rsid w:val="00A00E87"/>
    <w:rsid w:val="00A014B9"/>
    <w:rsid w:val="00A014CE"/>
    <w:rsid w:val="00A01581"/>
    <w:rsid w:val="00A01662"/>
    <w:rsid w:val="00A01E8A"/>
    <w:rsid w:val="00A025E9"/>
    <w:rsid w:val="00A02704"/>
    <w:rsid w:val="00A027C8"/>
    <w:rsid w:val="00A02BE3"/>
    <w:rsid w:val="00A03C2C"/>
    <w:rsid w:val="00A04017"/>
    <w:rsid w:val="00A05241"/>
    <w:rsid w:val="00A05E09"/>
    <w:rsid w:val="00A0629D"/>
    <w:rsid w:val="00A06C23"/>
    <w:rsid w:val="00A07C5C"/>
    <w:rsid w:val="00A07EC7"/>
    <w:rsid w:val="00A105D0"/>
    <w:rsid w:val="00A10AE0"/>
    <w:rsid w:val="00A12834"/>
    <w:rsid w:val="00A135F1"/>
    <w:rsid w:val="00A138BE"/>
    <w:rsid w:val="00A13930"/>
    <w:rsid w:val="00A13D2B"/>
    <w:rsid w:val="00A13EEA"/>
    <w:rsid w:val="00A14964"/>
    <w:rsid w:val="00A14AFB"/>
    <w:rsid w:val="00A14CC6"/>
    <w:rsid w:val="00A14DDB"/>
    <w:rsid w:val="00A17739"/>
    <w:rsid w:val="00A17D4A"/>
    <w:rsid w:val="00A17D5D"/>
    <w:rsid w:val="00A17FA1"/>
    <w:rsid w:val="00A205F2"/>
    <w:rsid w:val="00A20892"/>
    <w:rsid w:val="00A20A66"/>
    <w:rsid w:val="00A215C7"/>
    <w:rsid w:val="00A21885"/>
    <w:rsid w:val="00A22021"/>
    <w:rsid w:val="00A22112"/>
    <w:rsid w:val="00A2273B"/>
    <w:rsid w:val="00A233E0"/>
    <w:rsid w:val="00A237A0"/>
    <w:rsid w:val="00A24858"/>
    <w:rsid w:val="00A24B9F"/>
    <w:rsid w:val="00A24F8D"/>
    <w:rsid w:val="00A2532B"/>
    <w:rsid w:val="00A253EE"/>
    <w:rsid w:val="00A261B6"/>
    <w:rsid w:val="00A27212"/>
    <w:rsid w:val="00A278CF"/>
    <w:rsid w:val="00A30131"/>
    <w:rsid w:val="00A3067B"/>
    <w:rsid w:val="00A3067F"/>
    <w:rsid w:val="00A30902"/>
    <w:rsid w:val="00A31365"/>
    <w:rsid w:val="00A31C04"/>
    <w:rsid w:val="00A322FE"/>
    <w:rsid w:val="00A3267A"/>
    <w:rsid w:val="00A32FB4"/>
    <w:rsid w:val="00A33254"/>
    <w:rsid w:val="00A354FE"/>
    <w:rsid w:val="00A35518"/>
    <w:rsid w:val="00A35EC0"/>
    <w:rsid w:val="00A37322"/>
    <w:rsid w:val="00A40216"/>
    <w:rsid w:val="00A40727"/>
    <w:rsid w:val="00A4090D"/>
    <w:rsid w:val="00A4116E"/>
    <w:rsid w:val="00A41ED6"/>
    <w:rsid w:val="00A4207D"/>
    <w:rsid w:val="00A426A4"/>
    <w:rsid w:val="00A44FF5"/>
    <w:rsid w:val="00A45981"/>
    <w:rsid w:val="00A45A14"/>
    <w:rsid w:val="00A45FD6"/>
    <w:rsid w:val="00A4657F"/>
    <w:rsid w:val="00A4674E"/>
    <w:rsid w:val="00A467EE"/>
    <w:rsid w:val="00A4695A"/>
    <w:rsid w:val="00A50053"/>
    <w:rsid w:val="00A51A81"/>
    <w:rsid w:val="00A523DF"/>
    <w:rsid w:val="00A52661"/>
    <w:rsid w:val="00A52A7D"/>
    <w:rsid w:val="00A53692"/>
    <w:rsid w:val="00A53FD3"/>
    <w:rsid w:val="00A53FDF"/>
    <w:rsid w:val="00A5478E"/>
    <w:rsid w:val="00A5513C"/>
    <w:rsid w:val="00A5590F"/>
    <w:rsid w:val="00A5597F"/>
    <w:rsid w:val="00A55BD2"/>
    <w:rsid w:val="00A561F8"/>
    <w:rsid w:val="00A56532"/>
    <w:rsid w:val="00A56FEB"/>
    <w:rsid w:val="00A6005D"/>
    <w:rsid w:val="00A606B6"/>
    <w:rsid w:val="00A619A4"/>
    <w:rsid w:val="00A62A42"/>
    <w:rsid w:val="00A63190"/>
    <w:rsid w:val="00A63A24"/>
    <w:rsid w:val="00A6404B"/>
    <w:rsid w:val="00A65625"/>
    <w:rsid w:val="00A65715"/>
    <w:rsid w:val="00A664EC"/>
    <w:rsid w:val="00A667F3"/>
    <w:rsid w:val="00A66B0B"/>
    <w:rsid w:val="00A7071C"/>
    <w:rsid w:val="00A71606"/>
    <w:rsid w:val="00A71F79"/>
    <w:rsid w:val="00A720D9"/>
    <w:rsid w:val="00A72867"/>
    <w:rsid w:val="00A72E4C"/>
    <w:rsid w:val="00A73247"/>
    <w:rsid w:val="00A73DB2"/>
    <w:rsid w:val="00A740D1"/>
    <w:rsid w:val="00A74414"/>
    <w:rsid w:val="00A747AE"/>
    <w:rsid w:val="00A753F9"/>
    <w:rsid w:val="00A760FE"/>
    <w:rsid w:val="00A76C19"/>
    <w:rsid w:val="00A77A9A"/>
    <w:rsid w:val="00A804E3"/>
    <w:rsid w:val="00A8075D"/>
    <w:rsid w:val="00A8174A"/>
    <w:rsid w:val="00A81C68"/>
    <w:rsid w:val="00A81D85"/>
    <w:rsid w:val="00A82102"/>
    <w:rsid w:val="00A8221D"/>
    <w:rsid w:val="00A82F11"/>
    <w:rsid w:val="00A82FD7"/>
    <w:rsid w:val="00A8311C"/>
    <w:rsid w:val="00A832EC"/>
    <w:rsid w:val="00A832F4"/>
    <w:rsid w:val="00A83E27"/>
    <w:rsid w:val="00A84E62"/>
    <w:rsid w:val="00A851CE"/>
    <w:rsid w:val="00A859C9"/>
    <w:rsid w:val="00A86F25"/>
    <w:rsid w:val="00A87CF2"/>
    <w:rsid w:val="00A903BA"/>
    <w:rsid w:val="00A914F0"/>
    <w:rsid w:val="00A920A1"/>
    <w:rsid w:val="00A92142"/>
    <w:rsid w:val="00A92BC2"/>
    <w:rsid w:val="00A93096"/>
    <w:rsid w:val="00A93CE7"/>
    <w:rsid w:val="00A93E68"/>
    <w:rsid w:val="00A94848"/>
    <w:rsid w:val="00A95467"/>
    <w:rsid w:val="00A95777"/>
    <w:rsid w:val="00A96DD6"/>
    <w:rsid w:val="00AA05F6"/>
    <w:rsid w:val="00AA126F"/>
    <w:rsid w:val="00AA2F72"/>
    <w:rsid w:val="00AA3144"/>
    <w:rsid w:val="00AA345C"/>
    <w:rsid w:val="00AA3E1D"/>
    <w:rsid w:val="00AA4998"/>
    <w:rsid w:val="00AA4B4C"/>
    <w:rsid w:val="00AA567E"/>
    <w:rsid w:val="00AA7127"/>
    <w:rsid w:val="00AA7900"/>
    <w:rsid w:val="00AA7A45"/>
    <w:rsid w:val="00AB008E"/>
    <w:rsid w:val="00AB06F6"/>
    <w:rsid w:val="00AB0A10"/>
    <w:rsid w:val="00AB190B"/>
    <w:rsid w:val="00AB1BDF"/>
    <w:rsid w:val="00AB1E8B"/>
    <w:rsid w:val="00AB1E94"/>
    <w:rsid w:val="00AB1EA3"/>
    <w:rsid w:val="00AB1F6E"/>
    <w:rsid w:val="00AB26EB"/>
    <w:rsid w:val="00AB298C"/>
    <w:rsid w:val="00AB3945"/>
    <w:rsid w:val="00AB44D7"/>
    <w:rsid w:val="00AB47ED"/>
    <w:rsid w:val="00AB4963"/>
    <w:rsid w:val="00AB4FCA"/>
    <w:rsid w:val="00AB5295"/>
    <w:rsid w:val="00AB595E"/>
    <w:rsid w:val="00AB5C19"/>
    <w:rsid w:val="00AB5F71"/>
    <w:rsid w:val="00AB7339"/>
    <w:rsid w:val="00AB7B19"/>
    <w:rsid w:val="00AC018F"/>
    <w:rsid w:val="00AC02B3"/>
    <w:rsid w:val="00AC0376"/>
    <w:rsid w:val="00AC0B23"/>
    <w:rsid w:val="00AC0BC1"/>
    <w:rsid w:val="00AC0E32"/>
    <w:rsid w:val="00AC11CC"/>
    <w:rsid w:val="00AC174E"/>
    <w:rsid w:val="00AC1A00"/>
    <w:rsid w:val="00AC1E0F"/>
    <w:rsid w:val="00AC2498"/>
    <w:rsid w:val="00AC2984"/>
    <w:rsid w:val="00AC31C8"/>
    <w:rsid w:val="00AC37DF"/>
    <w:rsid w:val="00AC3CF4"/>
    <w:rsid w:val="00AC44E1"/>
    <w:rsid w:val="00AC473E"/>
    <w:rsid w:val="00AC5AAD"/>
    <w:rsid w:val="00AC5E34"/>
    <w:rsid w:val="00AC64D1"/>
    <w:rsid w:val="00AC6A41"/>
    <w:rsid w:val="00AC6B36"/>
    <w:rsid w:val="00AC6EF3"/>
    <w:rsid w:val="00AC6FB1"/>
    <w:rsid w:val="00AC7739"/>
    <w:rsid w:val="00AC7AA3"/>
    <w:rsid w:val="00AD0146"/>
    <w:rsid w:val="00AD02EB"/>
    <w:rsid w:val="00AD094E"/>
    <w:rsid w:val="00AD13B9"/>
    <w:rsid w:val="00AD1FCE"/>
    <w:rsid w:val="00AD250B"/>
    <w:rsid w:val="00AD2EDD"/>
    <w:rsid w:val="00AD30E7"/>
    <w:rsid w:val="00AD31F0"/>
    <w:rsid w:val="00AD3C00"/>
    <w:rsid w:val="00AD51AF"/>
    <w:rsid w:val="00AD5264"/>
    <w:rsid w:val="00AD5BC9"/>
    <w:rsid w:val="00AD5D57"/>
    <w:rsid w:val="00AD624D"/>
    <w:rsid w:val="00AD6544"/>
    <w:rsid w:val="00AD6619"/>
    <w:rsid w:val="00AD6F1D"/>
    <w:rsid w:val="00AE03EF"/>
    <w:rsid w:val="00AE0F30"/>
    <w:rsid w:val="00AE0FB8"/>
    <w:rsid w:val="00AE13FA"/>
    <w:rsid w:val="00AE1B44"/>
    <w:rsid w:val="00AE1C50"/>
    <w:rsid w:val="00AE1E72"/>
    <w:rsid w:val="00AE22EC"/>
    <w:rsid w:val="00AE2700"/>
    <w:rsid w:val="00AE2895"/>
    <w:rsid w:val="00AE2F99"/>
    <w:rsid w:val="00AE30C6"/>
    <w:rsid w:val="00AE3C7B"/>
    <w:rsid w:val="00AE5486"/>
    <w:rsid w:val="00AE6241"/>
    <w:rsid w:val="00AE643F"/>
    <w:rsid w:val="00AE6955"/>
    <w:rsid w:val="00AE74A1"/>
    <w:rsid w:val="00AE776E"/>
    <w:rsid w:val="00AE7D7D"/>
    <w:rsid w:val="00AE7FC8"/>
    <w:rsid w:val="00AF02DF"/>
    <w:rsid w:val="00AF037D"/>
    <w:rsid w:val="00AF0476"/>
    <w:rsid w:val="00AF0A5E"/>
    <w:rsid w:val="00AF1F30"/>
    <w:rsid w:val="00AF23EB"/>
    <w:rsid w:val="00AF24F6"/>
    <w:rsid w:val="00AF2FF8"/>
    <w:rsid w:val="00AF3AEF"/>
    <w:rsid w:val="00AF4DF2"/>
    <w:rsid w:val="00AF5D33"/>
    <w:rsid w:val="00AF5FD2"/>
    <w:rsid w:val="00AF6472"/>
    <w:rsid w:val="00AF6543"/>
    <w:rsid w:val="00AF7319"/>
    <w:rsid w:val="00AF74ED"/>
    <w:rsid w:val="00B00264"/>
    <w:rsid w:val="00B0059A"/>
    <w:rsid w:val="00B00663"/>
    <w:rsid w:val="00B007C7"/>
    <w:rsid w:val="00B0118F"/>
    <w:rsid w:val="00B026F5"/>
    <w:rsid w:val="00B029E2"/>
    <w:rsid w:val="00B02B8C"/>
    <w:rsid w:val="00B03631"/>
    <w:rsid w:val="00B038B0"/>
    <w:rsid w:val="00B044E1"/>
    <w:rsid w:val="00B049D3"/>
    <w:rsid w:val="00B05317"/>
    <w:rsid w:val="00B05F9B"/>
    <w:rsid w:val="00B06226"/>
    <w:rsid w:val="00B068CF"/>
    <w:rsid w:val="00B06A2D"/>
    <w:rsid w:val="00B06FD5"/>
    <w:rsid w:val="00B07652"/>
    <w:rsid w:val="00B07BDE"/>
    <w:rsid w:val="00B07D04"/>
    <w:rsid w:val="00B10042"/>
    <w:rsid w:val="00B11118"/>
    <w:rsid w:val="00B11CEA"/>
    <w:rsid w:val="00B11FBE"/>
    <w:rsid w:val="00B1297B"/>
    <w:rsid w:val="00B12D9D"/>
    <w:rsid w:val="00B12EF3"/>
    <w:rsid w:val="00B15087"/>
    <w:rsid w:val="00B151A0"/>
    <w:rsid w:val="00B151D6"/>
    <w:rsid w:val="00B16012"/>
    <w:rsid w:val="00B16351"/>
    <w:rsid w:val="00B171F0"/>
    <w:rsid w:val="00B1751A"/>
    <w:rsid w:val="00B203C2"/>
    <w:rsid w:val="00B21218"/>
    <w:rsid w:val="00B21721"/>
    <w:rsid w:val="00B2182B"/>
    <w:rsid w:val="00B21974"/>
    <w:rsid w:val="00B21D25"/>
    <w:rsid w:val="00B22173"/>
    <w:rsid w:val="00B22EF8"/>
    <w:rsid w:val="00B23535"/>
    <w:rsid w:val="00B23840"/>
    <w:rsid w:val="00B24221"/>
    <w:rsid w:val="00B244C6"/>
    <w:rsid w:val="00B24734"/>
    <w:rsid w:val="00B251FE"/>
    <w:rsid w:val="00B260FA"/>
    <w:rsid w:val="00B266A5"/>
    <w:rsid w:val="00B2715B"/>
    <w:rsid w:val="00B27955"/>
    <w:rsid w:val="00B27A03"/>
    <w:rsid w:val="00B27E95"/>
    <w:rsid w:val="00B27F67"/>
    <w:rsid w:val="00B30926"/>
    <w:rsid w:val="00B31468"/>
    <w:rsid w:val="00B314AD"/>
    <w:rsid w:val="00B316F7"/>
    <w:rsid w:val="00B3188A"/>
    <w:rsid w:val="00B31F0F"/>
    <w:rsid w:val="00B328F3"/>
    <w:rsid w:val="00B32E9B"/>
    <w:rsid w:val="00B335A6"/>
    <w:rsid w:val="00B336C3"/>
    <w:rsid w:val="00B336D6"/>
    <w:rsid w:val="00B3376E"/>
    <w:rsid w:val="00B33872"/>
    <w:rsid w:val="00B340F5"/>
    <w:rsid w:val="00B34192"/>
    <w:rsid w:val="00B341E0"/>
    <w:rsid w:val="00B34218"/>
    <w:rsid w:val="00B34DB2"/>
    <w:rsid w:val="00B354E2"/>
    <w:rsid w:val="00B35795"/>
    <w:rsid w:val="00B36B20"/>
    <w:rsid w:val="00B37092"/>
    <w:rsid w:val="00B374B5"/>
    <w:rsid w:val="00B37D53"/>
    <w:rsid w:val="00B415D6"/>
    <w:rsid w:val="00B41E72"/>
    <w:rsid w:val="00B42D09"/>
    <w:rsid w:val="00B43BA0"/>
    <w:rsid w:val="00B445E1"/>
    <w:rsid w:val="00B45744"/>
    <w:rsid w:val="00B47379"/>
    <w:rsid w:val="00B47382"/>
    <w:rsid w:val="00B473E1"/>
    <w:rsid w:val="00B47507"/>
    <w:rsid w:val="00B47AB0"/>
    <w:rsid w:val="00B47DDC"/>
    <w:rsid w:val="00B500FA"/>
    <w:rsid w:val="00B506F1"/>
    <w:rsid w:val="00B5083C"/>
    <w:rsid w:val="00B50B89"/>
    <w:rsid w:val="00B51F83"/>
    <w:rsid w:val="00B52003"/>
    <w:rsid w:val="00B52AD9"/>
    <w:rsid w:val="00B52C44"/>
    <w:rsid w:val="00B52E0B"/>
    <w:rsid w:val="00B5435C"/>
    <w:rsid w:val="00B5537B"/>
    <w:rsid w:val="00B5538A"/>
    <w:rsid w:val="00B557D4"/>
    <w:rsid w:val="00B56882"/>
    <w:rsid w:val="00B579B6"/>
    <w:rsid w:val="00B57B0E"/>
    <w:rsid w:val="00B61616"/>
    <w:rsid w:val="00B626C1"/>
    <w:rsid w:val="00B62B27"/>
    <w:rsid w:val="00B62FC2"/>
    <w:rsid w:val="00B63566"/>
    <w:rsid w:val="00B64049"/>
    <w:rsid w:val="00B644DE"/>
    <w:rsid w:val="00B64A3C"/>
    <w:rsid w:val="00B64B7D"/>
    <w:rsid w:val="00B653FF"/>
    <w:rsid w:val="00B656E8"/>
    <w:rsid w:val="00B663CB"/>
    <w:rsid w:val="00B669DE"/>
    <w:rsid w:val="00B66D7E"/>
    <w:rsid w:val="00B670B3"/>
    <w:rsid w:val="00B67EBB"/>
    <w:rsid w:val="00B7010D"/>
    <w:rsid w:val="00B7043D"/>
    <w:rsid w:val="00B708B7"/>
    <w:rsid w:val="00B70BB6"/>
    <w:rsid w:val="00B70E1F"/>
    <w:rsid w:val="00B71059"/>
    <w:rsid w:val="00B715A8"/>
    <w:rsid w:val="00B71774"/>
    <w:rsid w:val="00B72CBC"/>
    <w:rsid w:val="00B72D2D"/>
    <w:rsid w:val="00B73198"/>
    <w:rsid w:val="00B73243"/>
    <w:rsid w:val="00B7325D"/>
    <w:rsid w:val="00B73B61"/>
    <w:rsid w:val="00B73EAF"/>
    <w:rsid w:val="00B7452B"/>
    <w:rsid w:val="00B748C8"/>
    <w:rsid w:val="00B74F90"/>
    <w:rsid w:val="00B74FF7"/>
    <w:rsid w:val="00B76462"/>
    <w:rsid w:val="00B76ADF"/>
    <w:rsid w:val="00B77C5B"/>
    <w:rsid w:val="00B804A7"/>
    <w:rsid w:val="00B8062A"/>
    <w:rsid w:val="00B80653"/>
    <w:rsid w:val="00B808C6"/>
    <w:rsid w:val="00B80A06"/>
    <w:rsid w:val="00B80BA0"/>
    <w:rsid w:val="00B81BC5"/>
    <w:rsid w:val="00B82468"/>
    <w:rsid w:val="00B82883"/>
    <w:rsid w:val="00B83105"/>
    <w:rsid w:val="00B83487"/>
    <w:rsid w:val="00B85BE8"/>
    <w:rsid w:val="00B85BF9"/>
    <w:rsid w:val="00B85EB6"/>
    <w:rsid w:val="00B860F6"/>
    <w:rsid w:val="00B86124"/>
    <w:rsid w:val="00B8620D"/>
    <w:rsid w:val="00B865A0"/>
    <w:rsid w:val="00B87109"/>
    <w:rsid w:val="00B872BD"/>
    <w:rsid w:val="00B872EC"/>
    <w:rsid w:val="00B8788F"/>
    <w:rsid w:val="00B87EEB"/>
    <w:rsid w:val="00B90330"/>
    <w:rsid w:val="00B9047A"/>
    <w:rsid w:val="00B905C4"/>
    <w:rsid w:val="00B90677"/>
    <w:rsid w:val="00B91ABE"/>
    <w:rsid w:val="00B92212"/>
    <w:rsid w:val="00B9274A"/>
    <w:rsid w:val="00B93167"/>
    <w:rsid w:val="00B93723"/>
    <w:rsid w:val="00B93CB2"/>
    <w:rsid w:val="00B9474D"/>
    <w:rsid w:val="00B947E4"/>
    <w:rsid w:val="00B94D80"/>
    <w:rsid w:val="00B95D3F"/>
    <w:rsid w:val="00B96170"/>
    <w:rsid w:val="00B962E2"/>
    <w:rsid w:val="00B969EE"/>
    <w:rsid w:val="00B96EFF"/>
    <w:rsid w:val="00BA02B1"/>
    <w:rsid w:val="00BA0501"/>
    <w:rsid w:val="00BA0981"/>
    <w:rsid w:val="00BA0F54"/>
    <w:rsid w:val="00BA16D5"/>
    <w:rsid w:val="00BA1B72"/>
    <w:rsid w:val="00BA304B"/>
    <w:rsid w:val="00BA3289"/>
    <w:rsid w:val="00BA32A4"/>
    <w:rsid w:val="00BA39FD"/>
    <w:rsid w:val="00BA47B5"/>
    <w:rsid w:val="00BA4C10"/>
    <w:rsid w:val="00BA50EF"/>
    <w:rsid w:val="00BA516C"/>
    <w:rsid w:val="00BA603F"/>
    <w:rsid w:val="00BA69C8"/>
    <w:rsid w:val="00BA7715"/>
    <w:rsid w:val="00BB135C"/>
    <w:rsid w:val="00BB17B7"/>
    <w:rsid w:val="00BB27C0"/>
    <w:rsid w:val="00BB3348"/>
    <w:rsid w:val="00BB39B6"/>
    <w:rsid w:val="00BB546B"/>
    <w:rsid w:val="00BB5668"/>
    <w:rsid w:val="00BB5B87"/>
    <w:rsid w:val="00BB5BC6"/>
    <w:rsid w:val="00BB5F33"/>
    <w:rsid w:val="00BB6682"/>
    <w:rsid w:val="00BB7730"/>
    <w:rsid w:val="00BC044C"/>
    <w:rsid w:val="00BC06D7"/>
    <w:rsid w:val="00BC090A"/>
    <w:rsid w:val="00BC0AE3"/>
    <w:rsid w:val="00BC260C"/>
    <w:rsid w:val="00BC2771"/>
    <w:rsid w:val="00BC2EC8"/>
    <w:rsid w:val="00BC328B"/>
    <w:rsid w:val="00BC4AB6"/>
    <w:rsid w:val="00BC6797"/>
    <w:rsid w:val="00BC6870"/>
    <w:rsid w:val="00BC6EE0"/>
    <w:rsid w:val="00BC7CE3"/>
    <w:rsid w:val="00BD0100"/>
    <w:rsid w:val="00BD0485"/>
    <w:rsid w:val="00BD04E6"/>
    <w:rsid w:val="00BD1173"/>
    <w:rsid w:val="00BD1A88"/>
    <w:rsid w:val="00BD1CFE"/>
    <w:rsid w:val="00BD295B"/>
    <w:rsid w:val="00BD2A55"/>
    <w:rsid w:val="00BD3853"/>
    <w:rsid w:val="00BD4764"/>
    <w:rsid w:val="00BD5763"/>
    <w:rsid w:val="00BD6BE3"/>
    <w:rsid w:val="00BD772D"/>
    <w:rsid w:val="00BD7D01"/>
    <w:rsid w:val="00BE0123"/>
    <w:rsid w:val="00BE0E59"/>
    <w:rsid w:val="00BE14A9"/>
    <w:rsid w:val="00BE19EA"/>
    <w:rsid w:val="00BE3884"/>
    <w:rsid w:val="00BE3DBD"/>
    <w:rsid w:val="00BE58E9"/>
    <w:rsid w:val="00BE603E"/>
    <w:rsid w:val="00BE608E"/>
    <w:rsid w:val="00BE649A"/>
    <w:rsid w:val="00BE7286"/>
    <w:rsid w:val="00BF036C"/>
    <w:rsid w:val="00BF0D8F"/>
    <w:rsid w:val="00BF27B7"/>
    <w:rsid w:val="00BF2809"/>
    <w:rsid w:val="00BF2BD5"/>
    <w:rsid w:val="00BF2C71"/>
    <w:rsid w:val="00BF301D"/>
    <w:rsid w:val="00BF3B22"/>
    <w:rsid w:val="00BF4257"/>
    <w:rsid w:val="00BF4516"/>
    <w:rsid w:val="00BF5755"/>
    <w:rsid w:val="00BF586D"/>
    <w:rsid w:val="00BF621A"/>
    <w:rsid w:val="00BF6CD7"/>
    <w:rsid w:val="00BF70EB"/>
    <w:rsid w:val="00BF771A"/>
    <w:rsid w:val="00BF78C8"/>
    <w:rsid w:val="00C01BDB"/>
    <w:rsid w:val="00C02947"/>
    <w:rsid w:val="00C0301E"/>
    <w:rsid w:val="00C0321D"/>
    <w:rsid w:val="00C0405B"/>
    <w:rsid w:val="00C04481"/>
    <w:rsid w:val="00C0474C"/>
    <w:rsid w:val="00C04F09"/>
    <w:rsid w:val="00C05E05"/>
    <w:rsid w:val="00C070B9"/>
    <w:rsid w:val="00C1106E"/>
    <w:rsid w:val="00C11351"/>
    <w:rsid w:val="00C11904"/>
    <w:rsid w:val="00C11AC6"/>
    <w:rsid w:val="00C120CF"/>
    <w:rsid w:val="00C1344A"/>
    <w:rsid w:val="00C137CC"/>
    <w:rsid w:val="00C138DD"/>
    <w:rsid w:val="00C143CA"/>
    <w:rsid w:val="00C14501"/>
    <w:rsid w:val="00C14913"/>
    <w:rsid w:val="00C14C10"/>
    <w:rsid w:val="00C14D29"/>
    <w:rsid w:val="00C1509A"/>
    <w:rsid w:val="00C157B1"/>
    <w:rsid w:val="00C161F8"/>
    <w:rsid w:val="00C16553"/>
    <w:rsid w:val="00C171BB"/>
    <w:rsid w:val="00C17760"/>
    <w:rsid w:val="00C17920"/>
    <w:rsid w:val="00C179DF"/>
    <w:rsid w:val="00C17FC1"/>
    <w:rsid w:val="00C2047B"/>
    <w:rsid w:val="00C21AC0"/>
    <w:rsid w:val="00C21C97"/>
    <w:rsid w:val="00C21E76"/>
    <w:rsid w:val="00C21EE1"/>
    <w:rsid w:val="00C22AB1"/>
    <w:rsid w:val="00C23900"/>
    <w:rsid w:val="00C23AA0"/>
    <w:rsid w:val="00C243E7"/>
    <w:rsid w:val="00C24DCE"/>
    <w:rsid w:val="00C250A1"/>
    <w:rsid w:val="00C2519E"/>
    <w:rsid w:val="00C263D3"/>
    <w:rsid w:val="00C26774"/>
    <w:rsid w:val="00C268BA"/>
    <w:rsid w:val="00C26FCB"/>
    <w:rsid w:val="00C27B86"/>
    <w:rsid w:val="00C309B1"/>
    <w:rsid w:val="00C3109E"/>
    <w:rsid w:val="00C312B1"/>
    <w:rsid w:val="00C31969"/>
    <w:rsid w:val="00C32543"/>
    <w:rsid w:val="00C330A4"/>
    <w:rsid w:val="00C332FB"/>
    <w:rsid w:val="00C33785"/>
    <w:rsid w:val="00C33CDB"/>
    <w:rsid w:val="00C34558"/>
    <w:rsid w:val="00C34B65"/>
    <w:rsid w:val="00C3502D"/>
    <w:rsid w:val="00C3653D"/>
    <w:rsid w:val="00C36831"/>
    <w:rsid w:val="00C37784"/>
    <w:rsid w:val="00C4036D"/>
    <w:rsid w:val="00C41084"/>
    <w:rsid w:val="00C413FB"/>
    <w:rsid w:val="00C421E4"/>
    <w:rsid w:val="00C4281F"/>
    <w:rsid w:val="00C42C82"/>
    <w:rsid w:val="00C42D57"/>
    <w:rsid w:val="00C43C63"/>
    <w:rsid w:val="00C44090"/>
    <w:rsid w:val="00C444D2"/>
    <w:rsid w:val="00C44FCF"/>
    <w:rsid w:val="00C45214"/>
    <w:rsid w:val="00C45C01"/>
    <w:rsid w:val="00C463FF"/>
    <w:rsid w:val="00C469C4"/>
    <w:rsid w:val="00C470D9"/>
    <w:rsid w:val="00C477E8"/>
    <w:rsid w:val="00C47A89"/>
    <w:rsid w:val="00C47BAA"/>
    <w:rsid w:val="00C47EB1"/>
    <w:rsid w:val="00C51D28"/>
    <w:rsid w:val="00C51EF4"/>
    <w:rsid w:val="00C51FE1"/>
    <w:rsid w:val="00C521B3"/>
    <w:rsid w:val="00C524A8"/>
    <w:rsid w:val="00C524E9"/>
    <w:rsid w:val="00C5269A"/>
    <w:rsid w:val="00C530DA"/>
    <w:rsid w:val="00C53C7D"/>
    <w:rsid w:val="00C543B6"/>
    <w:rsid w:val="00C54CF9"/>
    <w:rsid w:val="00C55634"/>
    <w:rsid w:val="00C56096"/>
    <w:rsid w:val="00C569E4"/>
    <w:rsid w:val="00C56FA3"/>
    <w:rsid w:val="00C57B0E"/>
    <w:rsid w:val="00C607AE"/>
    <w:rsid w:val="00C608A2"/>
    <w:rsid w:val="00C60E83"/>
    <w:rsid w:val="00C6185E"/>
    <w:rsid w:val="00C61D8C"/>
    <w:rsid w:val="00C61E78"/>
    <w:rsid w:val="00C61F51"/>
    <w:rsid w:val="00C62A1F"/>
    <w:rsid w:val="00C62AB7"/>
    <w:rsid w:val="00C6352A"/>
    <w:rsid w:val="00C6403F"/>
    <w:rsid w:val="00C647B8"/>
    <w:rsid w:val="00C64C6E"/>
    <w:rsid w:val="00C65721"/>
    <w:rsid w:val="00C65C01"/>
    <w:rsid w:val="00C65F7B"/>
    <w:rsid w:val="00C671CB"/>
    <w:rsid w:val="00C677D4"/>
    <w:rsid w:val="00C67C7E"/>
    <w:rsid w:val="00C67F69"/>
    <w:rsid w:val="00C70244"/>
    <w:rsid w:val="00C70307"/>
    <w:rsid w:val="00C704A5"/>
    <w:rsid w:val="00C70E39"/>
    <w:rsid w:val="00C718BC"/>
    <w:rsid w:val="00C7217A"/>
    <w:rsid w:val="00C72361"/>
    <w:rsid w:val="00C72A01"/>
    <w:rsid w:val="00C72A90"/>
    <w:rsid w:val="00C73234"/>
    <w:rsid w:val="00C7347F"/>
    <w:rsid w:val="00C73534"/>
    <w:rsid w:val="00C7393A"/>
    <w:rsid w:val="00C73FC6"/>
    <w:rsid w:val="00C74240"/>
    <w:rsid w:val="00C75416"/>
    <w:rsid w:val="00C75734"/>
    <w:rsid w:val="00C75BA8"/>
    <w:rsid w:val="00C762B0"/>
    <w:rsid w:val="00C7684A"/>
    <w:rsid w:val="00C7695F"/>
    <w:rsid w:val="00C76EBF"/>
    <w:rsid w:val="00C774E6"/>
    <w:rsid w:val="00C77543"/>
    <w:rsid w:val="00C77857"/>
    <w:rsid w:val="00C778CD"/>
    <w:rsid w:val="00C806F7"/>
    <w:rsid w:val="00C80896"/>
    <w:rsid w:val="00C80AE3"/>
    <w:rsid w:val="00C80D03"/>
    <w:rsid w:val="00C80EDE"/>
    <w:rsid w:val="00C82EEA"/>
    <w:rsid w:val="00C83213"/>
    <w:rsid w:val="00C83BB3"/>
    <w:rsid w:val="00C83EDB"/>
    <w:rsid w:val="00C841C8"/>
    <w:rsid w:val="00C842CB"/>
    <w:rsid w:val="00C84A98"/>
    <w:rsid w:val="00C84B87"/>
    <w:rsid w:val="00C856CC"/>
    <w:rsid w:val="00C86242"/>
    <w:rsid w:val="00C86887"/>
    <w:rsid w:val="00C86993"/>
    <w:rsid w:val="00C8740E"/>
    <w:rsid w:val="00C8794D"/>
    <w:rsid w:val="00C91EBC"/>
    <w:rsid w:val="00C91EBF"/>
    <w:rsid w:val="00C920D4"/>
    <w:rsid w:val="00C9238F"/>
    <w:rsid w:val="00C92777"/>
    <w:rsid w:val="00C9295F"/>
    <w:rsid w:val="00C936C8"/>
    <w:rsid w:val="00C94A71"/>
    <w:rsid w:val="00C95BFB"/>
    <w:rsid w:val="00C96323"/>
    <w:rsid w:val="00C96BC5"/>
    <w:rsid w:val="00C96BEC"/>
    <w:rsid w:val="00C971B8"/>
    <w:rsid w:val="00CA0D74"/>
    <w:rsid w:val="00CA14FD"/>
    <w:rsid w:val="00CA1618"/>
    <w:rsid w:val="00CA1933"/>
    <w:rsid w:val="00CA2999"/>
    <w:rsid w:val="00CA2CE1"/>
    <w:rsid w:val="00CA35CD"/>
    <w:rsid w:val="00CA3618"/>
    <w:rsid w:val="00CA39BA"/>
    <w:rsid w:val="00CA3A4A"/>
    <w:rsid w:val="00CA3B4E"/>
    <w:rsid w:val="00CA4430"/>
    <w:rsid w:val="00CA469E"/>
    <w:rsid w:val="00CA4B91"/>
    <w:rsid w:val="00CA5E57"/>
    <w:rsid w:val="00CA626D"/>
    <w:rsid w:val="00CA6819"/>
    <w:rsid w:val="00CA68A3"/>
    <w:rsid w:val="00CA68BE"/>
    <w:rsid w:val="00CA6EA5"/>
    <w:rsid w:val="00CA79C8"/>
    <w:rsid w:val="00CA7BB0"/>
    <w:rsid w:val="00CB0BF5"/>
    <w:rsid w:val="00CB13E7"/>
    <w:rsid w:val="00CB1800"/>
    <w:rsid w:val="00CB2EA7"/>
    <w:rsid w:val="00CB3428"/>
    <w:rsid w:val="00CB3911"/>
    <w:rsid w:val="00CB4535"/>
    <w:rsid w:val="00CB456E"/>
    <w:rsid w:val="00CB520B"/>
    <w:rsid w:val="00CB531C"/>
    <w:rsid w:val="00CB60E2"/>
    <w:rsid w:val="00CB616B"/>
    <w:rsid w:val="00CB6578"/>
    <w:rsid w:val="00CB6615"/>
    <w:rsid w:val="00CB6DA0"/>
    <w:rsid w:val="00CB6E33"/>
    <w:rsid w:val="00CB7226"/>
    <w:rsid w:val="00CB76A4"/>
    <w:rsid w:val="00CB7A49"/>
    <w:rsid w:val="00CC0345"/>
    <w:rsid w:val="00CC1605"/>
    <w:rsid w:val="00CC1D48"/>
    <w:rsid w:val="00CC2514"/>
    <w:rsid w:val="00CC25E3"/>
    <w:rsid w:val="00CC2D05"/>
    <w:rsid w:val="00CC309E"/>
    <w:rsid w:val="00CC35C5"/>
    <w:rsid w:val="00CC37A8"/>
    <w:rsid w:val="00CC39D3"/>
    <w:rsid w:val="00CC3AAE"/>
    <w:rsid w:val="00CC3B06"/>
    <w:rsid w:val="00CC40FA"/>
    <w:rsid w:val="00CC4196"/>
    <w:rsid w:val="00CC5A1F"/>
    <w:rsid w:val="00CC5AE9"/>
    <w:rsid w:val="00CC645E"/>
    <w:rsid w:val="00CC64DB"/>
    <w:rsid w:val="00CC6709"/>
    <w:rsid w:val="00CC7157"/>
    <w:rsid w:val="00CD088C"/>
    <w:rsid w:val="00CD1168"/>
    <w:rsid w:val="00CD130D"/>
    <w:rsid w:val="00CD14B8"/>
    <w:rsid w:val="00CD1710"/>
    <w:rsid w:val="00CD1F47"/>
    <w:rsid w:val="00CD2012"/>
    <w:rsid w:val="00CD281C"/>
    <w:rsid w:val="00CD2869"/>
    <w:rsid w:val="00CD2EED"/>
    <w:rsid w:val="00CD3187"/>
    <w:rsid w:val="00CD438E"/>
    <w:rsid w:val="00CD4611"/>
    <w:rsid w:val="00CD5060"/>
    <w:rsid w:val="00CD5525"/>
    <w:rsid w:val="00CD5746"/>
    <w:rsid w:val="00CD5984"/>
    <w:rsid w:val="00CD5EDB"/>
    <w:rsid w:val="00CD628E"/>
    <w:rsid w:val="00CD647F"/>
    <w:rsid w:val="00CD6E22"/>
    <w:rsid w:val="00CD7480"/>
    <w:rsid w:val="00CD7723"/>
    <w:rsid w:val="00CE03E9"/>
    <w:rsid w:val="00CE080F"/>
    <w:rsid w:val="00CE0D8D"/>
    <w:rsid w:val="00CE0FBE"/>
    <w:rsid w:val="00CE11AF"/>
    <w:rsid w:val="00CE1D93"/>
    <w:rsid w:val="00CE2FC6"/>
    <w:rsid w:val="00CE376C"/>
    <w:rsid w:val="00CE4083"/>
    <w:rsid w:val="00CE42DA"/>
    <w:rsid w:val="00CE4570"/>
    <w:rsid w:val="00CE4C73"/>
    <w:rsid w:val="00CE4C86"/>
    <w:rsid w:val="00CE5103"/>
    <w:rsid w:val="00CE53BD"/>
    <w:rsid w:val="00CE57E3"/>
    <w:rsid w:val="00CE5855"/>
    <w:rsid w:val="00CE6579"/>
    <w:rsid w:val="00CE6762"/>
    <w:rsid w:val="00CE6781"/>
    <w:rsid w:val="00CE6B44"/>
    <w:rsid w:val="00CE7160"/>
    <w:rsid w:val="00CE764B"/>
    <w:rsid w:val="00CE7977"/>
    <w:rsid w:val="00CE7989"/>
    <w:rsid w:val="00CE7D0F"/>
    <w:rsid w:val="00CF098E"/>
    <w:rsid w:val="00CF099B"/>
    <w:rsid w:val="00CF0DA8"/>
    <w:rsid w:val="00CF16CF"/>
    <w:rsid w:val="00CF1D5C"/>
    <w:rsid w:val="00CF2967"/>
    <w:rsid w:val="00CF3244"/>
    <w:rsid w:val="00CF36DC"/>
    <w:rsid w:val="00CF39CB"/>
    <w:rsid w:val="00CF39E9"/>
    <w:rsid w:val="00CF3ED1"/>
    <w:rsid w:val="00CF49EE"/>
    <w:rsid w:val="00CF4B55"/>
    <w:rsid w:val="00CF4B5A"/>
    <w:rsid w:val="00CF4EA1"/>
    <w:rsid w:val="00CF58D3"/>
    <w:rsid w:val="00CF5E2E"/>
    <w:rsid w:val="00CF66EE"/>
    <w:rsid w:val="00CF680A"/>
    <w:rsid w:val="00CF6C2C"/>
    <w:rsid w:val="00CF70E6"/>
    <w:rsid w:val="00CF71DC"/>
    <w:rsid w:val="00CF7477"/>
    <w:rsid w:val="00CF775E"/>
    <w:rsid w:val="00CF7B90"/>
    <w:rsid w:val="00CF7B94"/>
    <w:rsid w:val="00D014C4"/>
    <w:rsid w:val="00D02126"/>
    <w:rsid w:val="00D02B64"/>
    <w:rsid w:val="00D036C3"/>
    <w:rsid w:val="00D037E1"/>
    <w:rsid w:val="00D03C40"/>
    <w:rsid w:val="00D042A3"/>
    <w:rsid w:val="00D0569F"/>
    <w:rsid w:val="00D0682C"/>
    <w:rsid w:val="00D06F18"/>
    <w:rsid w:val="00D07013"/>
    <w:rsid w:val="00D0767F"/>
    <w:rsid w:val="00D07771"/>
    <w:rsid w:val="00D10102"/>
    <w:rsid w:val="00D1193F"/>
    <w:rsid w:val="00D13129"/>
    <w:rsid w:val="00D1316F"/>
    <w:rsid w:val="00D131CA"/>
    <w:rsid w:val="00D13A70"/>
    <w:rsid w:val="00D13AAF"/>
    <w:rsid w:val="00D144D9"/>
    <w:rsid w:val="00D14BBB"/>
    <w:rsid w:val="00D15C63"/>
    <w:rsid w:val="00D17479"/>
    <w:rsid w:val="00D1766F"/>
    <w:rsid w:val="00D1792E"/>
    <w:rsid w:val="00D17CC8"/>
    <w:rsid w:val="00D209C5"/>
    <w:rsid w:val="00D21330"/>
    <w:rsid w:val="00D2212A"/>
    <w:rsid w:val="00D2322E"/>
    <w:rsid w:val="00D24A78"/>
    <w:rsid w:val="00D25660"/>
    <w:rsid w:val="00D27883"/>
    <w:rsid w:val="00D303BB"/>
    <w:rsid w:val="00D3050C"/>
    <w:rsid w:val="00D30E70"/>
    <w:rsid w:val="00D31901"/>
    <w:rsid w:val="00D31BED"/>
    <w:rsid w:val="00D31CC0"/>
    <w:rsid w:val="00D31CC3"/>
    <w:rsid w:val="00D31CDB"/>
    <w:rsid w:val="00D33B40"/>
    <w:rsid w:val="00D34D7F"/>
    <w:rsid w:val="00D35127"/>
    <w:rsid w:val="00D351E1"/>
    <w:rsid w:val="00D36732"/>
    <w:rsid w:val="00D36E95"/>
    <w:rsid w:val="00D36EA0"/>
    <w:rsid w:val="00D36F3C"/>
    <w:rsid w:val="00D37639"/>
    <w:rsid w:val="00D37804"/>
    <w:rsid w:val="00D37911"/>
    <w:rsid w:val="00D402DF"/>
    <w:rsid w:val="00D40382"/>
    <w:rsid w:val="00D405D2"/>
    <w:rsid w:val="00D40819"/>
    <w:rsid w:val="00D40952"/>
    <w:rsid w:val="00D40CF0"/>
    <w:rsid w:val="00D40DA5"/>
    <w:rsid w:val="00D4126F"/>
    <w:rsid w:val="00D41871"/>
    <w:rsid w:val="00D419A6"/>
    <w:rsid w:val="00D41AC7"/>
    <w:rsid w:val="00D41ECF"/>
    <w:rsid w:val="00D43A17"/>
    <w:rsid w:val="00D43C20"/>
    <w:rsid w:val="00D43CD0"/>
    <w:rsid w:val="00D44D39"/>
    <w:rsid w:val="00D44F56"/>
    <w:rsid w:val="00D468BC"/>
    <w:rsid w:val="00D471C7"/>
    <w:rsid w:val="00D47393"/>
    <w:rsid w:val="00D4740B"/>
    <w:rsid w:val="00D47546"/>
    <w:rsid w:val="00D47A06"/>
    <w:rsid w:val="00D5011E"/>
    <w:rsid w:val="00D502CC"/>
    <w:rsid w:val="00D5056C"/>
    <w:rsid w:val="00D50693"/>
    <w:rsid w:val="00D5070D"/>
    <w:rsid w:val="00D50AB3"/>
    <w:rsid w:val="00D51306"/>
    <w:rsid w:val="00D530CC"/>
    <w:rsid w:val="00D5327A"/>
    <w:rsid w:val="00D532AF"/>
    <w:rsid w:val="00D53746"/>
    <w:rsid w:val="00D53E80"/>
    <w:rsid w:val="00D548C8"/>
    <w:rsid w:val="00D5623A"/>
    <w:rsid w:val="00D5642D"/>
    <w:rsid w:val="00D56C10"/>
    <w:rsid w:val="00D56E21"/>
    <w:rsid w:val="00D575C5"/>
    <w:rsid w:val="00D577B0"/>
    <w:rsid w:val="00D600A7"/>
    <w:rsid w:val="00D60808"/>
    <w:rsid w:val="00D60E8C"/>
    <w:rsid w:val="00D60F3A"/>
    <w:rsid w:val="00D61245"/>
    <w:rsid w:val="00D629D5"/>
    <w:rsid w:val="00D6322D"/>
    <w:rsid w:val="00D642BD"/>
    <w:rsid w:val="00D65B73"/>
    <w:rsid w:val="00D663B6"/>
    <w:rsid w:val="00D6652B"/>
    <w:rsid w:val="00D665F9"/>
    <w:rsid w:val="00D66E8E"/>
    <w:rsid w:val="00D6731E"/>
    <w:rsid w:val="00D674DB"/>
    <w:rsid w:val="00D675EC"/>
    <w:rsid w:val="00D67813"/>
    <w:rsid w:val="00D7023A"/>
    <w:rsid w:val="00D70A44"/>
    <w:rsid w:val="00D70DEF"/>
    <w:rsid w:val="00D719E7"/>
    <w:rsid w:val="00D71B53"/>
    <w:rsid w:val="00D71EDC"/>
    <w:rsid w:val="00D71FC0"/>
    <w:rsid w:val="00D72D1C"/>
    <w:rsid w:val="00D739A2"/>
    <w:rsid w:val="00D7426E"/>
    <w:rsid w:val="00D7473F"/>
    <w:rsid w:val="00D74F32"/>
    <w:rsid w:val="00D75041"/>
    <w:rsid w:val="00D750E3"/>
    <w:rsid w:val="00D75CF8"/>
    <w:rsid w:val="00D75D9D"/>
    <w:rsid w:val="00D75FCD"/>
    <w:rsid w:val="00D76397"/>
    <w:rsid w:val="00D768C6"/>
    <w:rsid w:val="00D76D0D"/>
    <w:rsid w:val="00D77094"/>
    <w:rsid w:val="00D800AC"/>
    <w:rsid w:val="00D806F2"/>
    <w:rsid w:val="00D81122"/>
    <w:rsid w:val="00D8152D"/>
    <w:rsid w:val="00D815A8"/>
    <w:rsid w:val="00D8193A"/>
    <w:rsid w:val="00D819C0"/>
    <w:rsid w:val="00D81D3A"/>
    <w:rsid w:val="00D82190"/>
    <w:rsid w:val="00D824B3"/>
    <w:rsid w:val="00D825C1"/>
    <w:rsid w:val="00D82805"/>
    <w:rsid w:val="00D83677"/>
    <w:rsid w:val="00D836AB"/>
    <w:rsid w:val="00D83D08"/>
    <w:rsid w:val="00D84499"/>
    <w:rsid w:val="00D84A3D"/>
    <w:rsid w:val="00D84D26"/>
    <w:rsid w:val="00D8720A"/>
    <w:rsid w:val="00D8736A"/>
    <w:rsid w:val="00D87930"/>
    <w:rsid w:val="00D87A0D"/>
    <w:rsid w:val="00D87F07"/>
    <w:rsid w:val="00D903E7"/>
    <w:rsid w:val="00D90433"/>
    <w:rsid w:val="00D90A0F"/>
    <w:rsid w:val="00D90C34"/>
    <w:rsid w:val="00D91D85"/>
    <w:rsid w:val="00D942A2"/>
    <w:rsid w:val="00D947ED"/>
    <w:rsid w:val="00D94D39"/>
    <w:rsid w:val="00D9557C"/>
    <w:rsid w:val="00D95581"/>
    <w:rsid w:val="00D95589"/>
    <w:rsid w:val="00D956F2"/>
    <w:rsid w:val="00D95B80"/>
    <w:rsid w:val="00D96160"/>
    <w:rsid w:val="00D965CB"/>
    <w:rsid w:val="00D96DD3"/>
    <w:rsid w:val="00D9730B"/>
    <w:rsid w:val="00D976BF"/>
    <w:rsid w:val="00DA07FE"/>
    <w:rsid w:val="00DA084D"/>
    <w:rsid w:val="00DA1589"/>
    <w:rsid w:val="00DA2686"/>
    <w:rsid w:val="00DA38E1"/>
    <w:rsid w:val="00DA3A08"/>
    <w:rsid w:val="00DA416C"/>
    <w:rsid w:val="00DA452C"/>
    <w:rsid w:val="00DA5A24"/>
    <w:rsid w:val="00DA6BFD"/>
    <w:rsid w:val="00DA7044"/>
    <w:rsid w:val="00DA7A7D"/>
    <w:rsid w:val="00DB0737"/>
    <w:rsid w:val="00DB0FCF"/>
    <w:rsid w:val="00DB117E"/>
    <w:rsid w:val="00DB1330"/>
    <w:rsid w:val="00DB2635"/>
    <w:rsid w:val="00DB327C"/>
    <w:rsid w:val="00DB3303"/>
    <w:rsid w:val="00DB53AA"/>
    <w:rsid w:val="00DB55D0"/>
    <w:rsid w:val="00DB570E"/>
    <w:rsid w:val="00DB58E9"/>
    <w:rsid w:val="00DB6CE9"/>
    <w:rsid w:val="00DB788D"/>
    <w:rsid w:val="00DB7A39"/>
    <w:rsid w:val="00DB7D64"/>
    <w:rsid w:val="00DC07D8"/>
    <w:rsid w:val="00DC09AF"/>
    <w:rsid w:val="00DC0D11"/>
    <w:rsid w:val="00DC0EA0"/>
    <w:rsid w:val="00DC0F51"/>
    <w:rsid w:val="00DC344C"/>
    <w:rsid w:val="00DC420B"/>
    <w:rsid w:val="00DC4329"/>
    <w:rsid w:val="00DC4F9B"/>
    <w:rsid w:val="00DC5A69"/>
    <w:rsid w:val="00DC6397"/>
    <w:rsid w:val="00DC64F6"/>
    <w:rsid w:val="00DC73DA"/>
    <w:rsid w:val="00DC75A7"/>
    <w:rsid w:val="00DD0B68"/>
    <w:rsid w:val="00DD1259"/>
    <w:rsid w:val="00DD17BA"/>
    <w:rsid w:val="00DD1994"/>
    <w:rsid w:val="00DD1D1E"/>
    <w:rsid w:val="00DD1DD1"/>
    <w:rsid w:val="00DD1E60"/>
    <w:rsid w:val="00DD1ED7"/>
    <w:rsid w:val="00DD2455"/>
    <w:rsid w:val="00DD2C1A"/>
    <w:rsid w:val="00DD2C38"/>
    <w:rsid w:val="00DD309E"/>
    <w:rsid w:val="00DD316C"/>
    <w:rsid w:val="00DD3A55"/>
    <w:rsid w:val="00DD3D54"/>
    <w:rsid w:val="00DD3F53"/>
    <w:rsid w:val="00DD4648"/>
    <w:rsid w:val="00DD481F"/>
    <w:rsid w:val="00DD4AD1"/>
    <w:rsid w:val="00DD4D4D"/>
    <w:rsid w:val="00DD529A"/>
    <w:rsid w:val="00DD6CCE"/>
    <w:rsid w:val="00DD6E68"/>
    <w:rsid w:val="00DD781D"/>
    <w:rsid w:val="00DE002D"/>
    <w:rsid w:val="00DE1C28"/>
    <w:rsid w:val="00DE2149"/>
    <w:rsid w:val="00DE217F"/>
    <w:rsid w:val="00DE24DC"/>
    <w:rsid w:val="00DE30F6"/>
    <w:rsid w:val="00DE389F"/>
    <w:rsid w:val="00DE434F"/>
    <w:rsid w:val="00DE43E9"/>
    <w:rsid w:val="00DE4824"/>
    <w:rsid w:val="00DE4995"/>
    <w:rsid w:val="00DE4B26"/>
    <w:rsid w:val="00DE5A1D"/>
    <w:rsid w:val="00DE5B8A"/>
    <w:rsid w:val="00DE6179"/>
    <w:rsid w:val="00DE73A0"/>
    <w:rsid w:val="00DE7C13"/>
    <w:rsid w:val="00DE7C3C"/>
    <w:rsid w:val="00DE7E20"/>
    <w:rsid w:val="00DF010A"/>
    <w:rsid w:val="00DF0DB7"/>
    <w:rsid w:val="00DF1079"/>
    <w:rsid w:val="00DF131E"/>
    <w:rsid w:val="00DF1834"/>
    <w:rsid w:val="00DF1A51"/>
    <w:rsid w:val="00DF273A"/>
    <w:rsid w:val="00DF2F05"/>
    <w:rsid w:val="00DF2FE2"/>
    <w:rsid w:val="00DF3831"/>
    <w:rsid w:val="00DF4061"/>
    <w:rsid w:val="00DF4ACE"/>
    <w:rsid w:val="00DF4FC5"/>
    <w:rsid w:val="00DF599E"/>
    <w:rsid w:val="00DF5C57"/>
    <w:rsid w:val="00DF65AA"/>
    <w:rsid w:val="00DF67CF"/>
    <w:rsid w:val="00DF6F3F"/>
    <w:rsid w:val="00DF7ED6"/>
    <w:rsid w:val="00E003CE"/>
    <w:rsid w:val="00E013D6"/>
    <w:rsid w:val="00E027AE"/>
    <w:rsid w:val="00E03662"/>
    <w:rsid w:val="00E03720"/>
    <w:rsid w:val="00E03EFC"/>
    <w:rsid w:val="00E03F37"/>
    <w:rsid w:val="00E03FE7"/>
    <w:rsid w:val="00E05599"/>
    <w:rsid w:val="00E0585F"/>
    <w:rsid w:val="00E05C5D"/>
    <w:rsid w:val="00E065D4"/>
    <w:rsid w:val="00E066D5"/>
    <w:rsid w:val="00E06964"/>
    <w:rsid w:val="00E0761B"/>
    <w:rsid w:val="00E10732"/>
    <w:rsid w:val="00E108F4"/>
    <w:rsid w:val="00E10D09"/>
    <w:rsid w:val="00E10D6E"/>
    <w:rsid w:val="00E10EF6"/>
    <w:rsid w:val="00E11036"/>
    <w:rsid w:val="00E11493"/>
    <w:rsid w:val="00E11BD2"/>
    <w:rsid w:val="00E11EE7"/>
    <w:rsid w:val="00E1245E"/>
    <w:rsid w:val="00E12541"/>
    <w:rsid w:val="00E1314B"/>
    <w:rsid w:val="00E131BC"/>
    <w:rsid w:val="00E144BA"/>
    <w:rsid w:val="00E14D1E"/>
    <w:rsid w:val="00E15AAF"/>
    <w:rsid w:val="00E16679"/>
    <w:rsid w:val="00E168EB"/>
    <w:rsid w:val="00E17D03"/>
    <w:rsid w:val="00E17E0B"/>
    <w:rsid w:val="00E2031A"/>
    <w:rsid w:val="00E20611"/>
    <w:rsid w:val="00E20DB6"/>
    <w:rsid w:val="00E20E62"/>
    <w:rsid w:val="00E224CB"/>
    <w:rsid w:val="00E22815"/>
    <w:rsid w:val="00E22F9A"/>
    <w:rsid w:val="00E2366F"/>
    <w:rsid w:val="00E23838"/>
    <w:rsid w:val="00E24FD7"/>
    <w:rsid w:val="00E251B8"/>
    <w:rsid w:val="00E25C02"/>
    <w:rsid w:val="00E25C58"/>
    <w:rsid w:val="00E26A6A"/>
    <w:rsid w:val="00E27ED2"/>
    <w:rsid w:val="00E30755"/>
    <w:rsid w:val="00E30F92"/>
    <w:rsid w:val="00E31103"/>
    <w:rsid w:val="00E312CF"/>
    <w:rsid w:val="00E314CB"/>
    <w:rsid w:val="00E31998"/>
    <w:rsid w:val="00E31E10"/>
    <w:rsid w:val="00E3297C"/>
    <w:rsid w:val="00E329E7"/>
    <w:rsid w:val="00E32BF2"/>
    <w:rsid w:val="00E331C7"/>
    <w:rsid w:val="00E33844"/>
    <w:rsid w:val="00E339B0"/>
    <w:rsid w:val="00E33A6F"/>
    <w:rsid w:val="00E3466C"/>
    <w:rsid w:val="00E34EAC"/>
    <w:rsid w:val="00E35193"/>
    <w:rsid w:val="00E354DD"/>
    <w:rsid w:val="00E3696E"/>
    <w:rsid w:val="00E36BA7"/>
    <w:rsid w:val="00E36E69"/>
    <w:rsid w:val="00E370A2"/>
    <w:rsid w:val="00E3714D"/>
    <w:rsid w:val="00E374E3"/>
    <w:rsid w:val="00E378AB"/>
    <w:rsid w:val="00E379A3"/>
    <w:rsid w:val="00E37DA2"/>
    <w:rsid w:val="00E40424"/>
    <w:rsid w:val="00E404D7"/>
    <w:rsid w:val="00E40516"/>
    <w:rsid w:val="00E40AA1"/>
    <w:rsid w:val="00E40AFB"/>
    <w:rsid w:val="00E411F8"/>
    <w:rsid w:val="00E416CC"/>
    <w:rsid w:val="00E41999"/>
    <w:rsid w:val="00E42CF3"/>
    <w:rsid w:val="00E459BB"/>
    <w:rsid w:val="00E45A22"/>
    <w:rsid w:val="00E463F8"/>
    <w:rsid w:val="00E463FC"/>
    <w:rsid w:val="00E465D5"/>
    <w:rsid w:val="00E4699C"/>
    <w:rsid w:val="00E46BA8"/>
    <w:rsid w:val="00E478AB"/>
    <w:rsid w:val="00E47D18"/>
    <w:rsid w:val="00E50A41"/>
    <w:rsid w:val="00E5140A"/>
    <w:rsid w:val="00E51B5E"/>
    <w:rsid w:val="00E52FEE"/>
    <w:rsid w:val="00E5326B"/>
    <w:rsid w:val="00E54816"/>
    <w:rsid w:val="00E54B6D"/>
    <w:rsid w:val="00E54E64"/>
    <w:rsid w:val="00E55013"/>
    <w:rsid w:val="00E55372"/>
    <w:rsid w:val="00E5567D"/>
    <w:rsid w:val="00E564B1"/>
    <w:rsid w:val="00E565EE"/>
    <w:rsid w:val="00E56BB2"/>
    <w:rsid w:val="00E6001B"/>
    <w:rsid w:val="00E601BA"/>
    <w:rsid w:val="00E60493"/>
    <w:rsid w:val="00E60523"/>
    <w:rsid w:val="00E61E9B"/>
    <w:rsid w:val="00E62895"/>
    <w:rsid w:val="00E62A04"/>
    <w:rsid w:val="00E63B63"/>
    <w:rsid w:val="00E63DCC"/>
    <w:rsid w:val="00E6418D"/>
    <w:rsid w:val="00E6448D"/>
    <w:rsid w:val="00E64C2D"/>
    <w:rsid w:val="00E64CEB"/>
    <w:rsid w:val="00E667A0"/>
    <w:rsid w:val="00E669AC"/>
    <w:rsid w:val="00E66A4A"/>
    <w:rsid w:val="00E66B63"/>
    <w:rsid w:val="00E67238"/>
    <w:rsid w:val="00E6741E"/>
    <w:rsid w:val="00E67601"/>
    <w:rsid w:val="00E67B68"/>
    <w:rsid w:val="00E70B33"/>
    <w:rsid w:val="00E70C78"/>
    <w:rsid w:val="00E70D27"/>
    <w:rsid w:val="00E715BA"/>
    <w:rsid w:val="00E71797"/>
    <w:rsid w:val="00E71C7F"/>
    <w:rsid w:val="00E721BA"/>
    <w:rsid w:val="00E73277"/>
    <w:rsid w:val="00E73DF7"/>
    <w:rsid w:val="00E73F74"/>
    <w:rsid w:val="00E753D8"/>
    <w:rsid w:val="00E75D67"/>
    <w:rsid w:val="00E7661F"/>
    <w:rsid w:val="00E76DF0"/>
    <w:rsid w:val="00E7709E"/>
    <w:rsid w:val="00E80119"/>
    <w:rsid w:val="00E8062B"/>
    <w:rsid w:val="00E80B57"/>
    <w:rsid w:val="00E813B7"/>
    <w:rsid w:val="00E81762"/>
    <w:rsid w:val="00E821A8"/>
    <w:rsid w:val="00E8253A"/>
    <w:rsid w:val="00E82BB2"/>
    <w:rsid w:val="00E82D57"/>
    <w:rsid w:val="00E83FE7"/>
    <w:rsid w:val="00E84071"/>
    <w:rsid w:val="00E841D7"/>
    <w:rsid w:val="00E84682"/>
    <w:rsid w:val="00E84C18"/>
    <w:rsid w:val="00E854DA"/>
    <w:rsid w:val="00E86807"/>
    <w:rsid w:val="00E869C6"/>
    <w:rsid w:val="00E86AE4"/>
    <w:rsid w:val="00E87306"/>
    <w:rsid w:val="00E90C25"/>
    <w:rsid w:val="00E90F28"/>
    <w:rsid w:val="00E9106F"/>
    <w:rsid w:val="00E9294C"/>
    <w:rsid w:val="00E93853"/>
    <w:rsid w:val="00E93A10"/>
    <w:rsid w:val="00E93A9A"/>
    <w:rsid w:val="00E940D6"/>
    <w:rsid w:val="00E94184"/>
    <w:rsid w:val="00E9424B"/>
    <w:rsid w:val="00E949C2"/>
    <w:rsid w:val="00E95063"/>
    <w:rsid w:val="00E953D6"/>
    <w:rsid w:val="00E9635B"/>
    <w:rsid w:val="00EA0139"/>
    <w:rsid w:val="00EA08F3"/>
    <w:rsid w:val="00EA0950"/>
    <w:rsid w:val="00EA0CCE"/>
    <w:rsid w:val="00EA11C4"/>
    <w:rsid w:val="00EA13CE"/>
    <w:rsid w:val="00EA1E2A"/>
    <w:rsid w:val="00EA20E2"/>
    <w:rsid w:val="00EA2304"/>
    <w:rsid w:val="00EA26EA"/>
    <w:rsid w:val="00EA27FB"/>
    <w:rsid w:val="00EA2A72"/>
    <w:rsid w:val="00EA30D2"/>
    <w:rsid w:val="00EA39A6"/>
    <w:rsid w:val="00EA3C6E"/>
    <w:rsid w:val="00EA4351"/>
    <w:rsid w:val="00EA50BD"/>
    <w:rsid w:val="00EA6161"/>
    <w:rsid w:val="00EA6F21"/>
    <w:rsid w:val="00EA6FED"/>
    <w:rsid w:val="00EB0C1D"/>
    <w:rsid w:val="00EB1AF7"/>
    <w:rsid w:val="00EB1D63"/>
    <w:rsid w:val="00EB2273"/>
    <w:rsid w:val="00EB239D"/>
    <w:rsid w:val="00EB24C9"/>
    <w:rsid w:val="00EB24F0"/>
    <w:rsid w:val="00EB31F0"/>
    <w:rsid w:val="00EB3544"/>
    <w:rsid w:val="00EB4BEB"/>
    <w:rsid w:val="00EB500B"/>
    <w:rsid w:val="00EB5DBC"/>
    <w:rsid w:val="00EB64F4"/>
    <w:rsid w:val="00EB6738"/>
    <w:rsid w:val="00EB6A3E"/>
    <w:rsid w:val="00EB7A20"/>
    <w:rsid w:val="00EC005D"/>
    <w:rsid w:val="00EC05F4"/>
    <w:rsid w:val="00EC0F8F"/>
    <w:rsid w:val="00EC1556"/>
    <w:rsid w:val="00EC1631"/>
    <w:rsid w:val="00EC1774"/>
    <w:rsid w:val="00EC1F27"/>
    <w:rsid w:val="00EC2ABD"/>
    <w:rsid w:val="00EC2D22"/>
    <w:rsid w:val="00EC2DA7"/>
    <w:rsid w:val="00EC3428"/>
    <w:rsid w:val="00EC37B2"/>
    <w:rsid w:val="00EC4753"/>
    <w:rsid w:val="00EC4CC1"/>
    <w:rsid w:val="00EC556D"/>
    <w:rsid w:val="00EC569F"/>
    <w:rsid w:val="00EC61B3"/>
    <w:rsid w:val="00EC69BF"/>
    <w:rsid w:val="00EC76A1"/>
    <w:rsid w:val="00EC799E"/>
    <w:rsid w:val="00EC7FC6"/>
    <w:rsid w:val="00ED0220"/>
    <w:rsid w:val="00ED04E6"/>
    <w:rsid w:val="00ED1048"/>
    <w:rsid w:val="00ED1080"/>
    <w:rsid w:val="00ED16A8"/>
    <w:rsid w:val="00ED18E7"/>
    <w:rsid w:val="00ED1B87"/>
    <w:rsid w:val="00ED1D28"/>
    <w:rsid w:val="00ED2660"/>
    <w:rsid w:val="00ED2F5A"/>
    <w:rsid w:val="00ED2FDF"/>
    <w:rsid w:val="00ED3655"/>
    <w:rsid w:val="00ED3C97"/>
    <w:rsid w:val="00ED45A5"/>
    <w:rsid w:val="00ED4A1B"/>
    <w:rsid w:val="00ED4BC8"/>
    <w:rsid w:val="00ED56F6"/>
    <w:rsid w:val="00ED5780"/>
    <w:rsid w:val="00ED5DDF"/>
    <w:rsid w:val="00ED691A"/>
    <w:rsid w:val="00ED6D34"/>
    <w:rsid w:val="00ED6E64"/>
    <w:rsid w:val="00ED73AB"/>
    <w:rsid w:val="00ED7C3F"/>
    <w:rsid w:val="00EE127B"/>
    <w:rsid w:val="00EE1445"/>
    <w:rsid w:val="00EE1632"/>
    <w:rsid w:val="00EE1652"/>
    <w:rsid w:val="00EE1D1A"/>
    <w:rsid w:val="00EE1D2E"/>
    <w:rsid w:val="00EE246F"/>
    <w:rsid w:val="00EE2629"/>
    <w:rsid w:val="00EE36C1"/>
    <w:rsid w:val="00EE3FA3"/>
    <w:rsid w:val="00EE419B"/>
    <w:rsid w:val="00EE43FC"/>
    <w:rsid w:val="00EE486E"/>
    <w:rsid w:val="00EE524A"/>
    <w:rsid w:val="00EE5667"/>
    <w:rsid w:val="00EE6EC7"/>
    <w:rsid w:val="00EE7548"/>
    <w:rsid w:val="00EE7644"/>
    <w:rsid w:val="00EE779E"/>
    <w:rsid w:val="00EE797B"/>
    <w:rsid w:val="00EF0247"/>
    <w:rsid w:val="00EF05AC"/>
    <w:rsid w:val="00EF0D97"/>
    <w:rsid w:val="00EF1D84"/>
    <w:rsid w:val="00EF1FA7"/>
    <w:rsid w:val="00EF20E2"/>
    <w:rsid w:val="00EF273D"/>
    <w:rsid w:val="00EF36D6"/>
    <w:rsid w:val="00EF3E7C"/>
    <w:rsid w:val="00EF41BB"/>
    <w:rsid w:val="00EF450D"/>
    <w:rsid w:val="00EF4907"/>
    <w:rsid w:val="00EF6059"/>
    <w:rsid w:val="00EF665B"/>
    <w:rsid w:val="00EF665E"/>
    <w:rsid w:val="00EF6D0F"/>
    <w:rsid w:val="00EF6EFE"/>
    <w:rsid w:val="00EF7161"/>
    <w:rsid w:val="00EF78BC"/>
    <w:rsid w:val="00F000A9"/>
    <w:rsid w:val="00F0027B"/>
    <w:rsid w:val="00F0057A"/>
    <w:rsid w:val="00F009BD"/>
    <w:rsid w:val="00F012EA"/>
    <w:rsid w:val="00F01FCF"/>
    <w:rsid w:val="00F03078"/>
    <w:rsid w:val="00F037E1"/>
    <w:rsid w:val="00F03AA1"/>
    <w:rsid w:val="00F03D97"/>
    <w:rsid w:val="00F04124"/>
    <w:rsid w:val="00F04174"/>
    <w:rsid w:val="00F0457F"/>
    <w:rsid w:val="00F0548B"/>
    <w:rsid w:val="00F056E6"/>
    <w:rsid w:val="00F057CC"/>
    <w:rsid w:val="00F0608B"/>
    <w:rsid w:val="00F060E3"/>
    <w:rsid w:val="00F063B1"/>
    <w:rsid w:val="00F063CB"/>
    <w:rsid w:val="00F06D14"/>
    <w:rsid w:val="00F073C0"/>
    <w:rsid w:val="00F07E3A"/>
    <w:rsid w:val="00F113B7"/>
    <w:rsid w:val="00F117A8"/>
    <w:rsid w:val="00F127A6"/>
    <w:rsid w:val="00F12836"/>
    <w:rsid w:val="00F12DA8"/>
    <w:rsid w:val="00F13408"/>
    <w:rsid w:val="00F140BB"/>
    <w:rsid w:val="00F14489"/>
    <w:rsid w:val="00F15356"/>
    <w:rsid w:val="00F153B8"/>
    <w:rsid w:val="00F17215"/>
    <w:rsid w:val="00F17306"/>
    <w:rsid w:val="00F174B5"/>
    <w:rsid w:val="00F20540"/>
    <w:rsid w:val="00F208DC"/>
    <w:rsid w:val="00F20935"/>
    <w:rsid w:val="00F20C15"/>
    <w:rsid w:val="00F20EDF"/>
    <w:rsid w:val="00F22362"/>
    <w:rsid w:val="00F22ECA"/>
    <w:rsid w:val="00F23288"/>
    <w:rsid w:val="00F232B1"/>
    <w:rsid w:val="00F234A5"/>
    <w:rsid w:val="00F23B3A"/>
    <w:rsid w:val="00F2404E"/>
    <w:rsid w:val="00F24986"/>
    <w:rsid w:val="00F26E46"/>
    <w:rsid w:val="00F271EC"/>
    <w:rsid w:val="00F27409"/>
    <w:rsid w:val="00F279D1"/>
    <w:rsid w:val="00F31B06"/>
    <w:rsid w:val="00F32608"/>
    <w:rsid w:val="00F32BAF"/>
    <w:rsid w:val="00F33565"/>
    <w:rsid w:val="00F33DFE"/>
    <w:rsid w:val="00F34246"/>
    <w:rsid w:val="00F34A3C"/>
    <w:rsid w:val="00F3599C"/>
    <w:rsid w:val="00F35A98"/>
    <w:rsid w:val="00F360AD"/>
    <w:rsid w:val="00F36FF0"/>
    <w:rsid w:val="00F3706A"/>
    <w:rsid w:val="00F370D8"/>
    <w:rsid w:val="00F37CD5"/>
    <w:rsid w:val="00F40756"/>
    <w:rsid w:val="00F40C83"/>
    <w:rsid w:val="00F41128"/>
    <w:rsid w:val="00F426B9"/>
    <w:rsid w:val="00F426E7"/>
    <w:rsid w:val="00F4297D"/>
    <w:rsid w:val="00F43D2F"/>
    <w:rsid w:val="00F44190"/>
    <w:rsid w:val="00F44962"/>
    <w:rsid w:val="00F45648"/>
    <w:rsid w:val="00F45DE8"/>
    <w:rsid w:val="00F45FCF"/>
    <w:rsid w:val="00F460F5"/>
    <w:rsid w:val="00F469EE"/>
    <w:rsid w:val="00F47384"/>
    <w:rsid w:val="00F474FF"/>
    <w:rsid w:val="00F4789F"/>
    <w:rsid w:val="00F47CDC"/>
    <w:rsid w:val="00F47CFE"/>
    <w:rsid w:val="00F47DE3"/>
    <w:rsid w:val="00F50B8D"/>
    <w:rsid w:val="00F50DC6"/>
    <w:rsid w:val="00F5100B"/>
    <w:rsid w:val="00F51D3C"/>
    <w:rsid w:val="00F53247"/>
    <w:rsid w:val="00F541B0"/>
    <w:rsid w:val="00F54304"/>
    <w:rsid w:val="00F5438D"/>
    <w:rsid w:val="00F543F0"/>
    <w:rsid w:val="00F5478F"/>
    <w:rsid w:val="00F54F15"/>
    <w:rsid w:val="00F551E1"/>
    <w:rsid w:val="00F5557A"/>
    <w:rsid w:val="00F55A82"/>
    <w:rsid w:val="00F55E87"/>
    <w:rsid w:val="00F55F21"/>
    <w:rsid w:val="00F562D5"/>
    <w:rsid w:val="00F56B09"/>
    <w:rsid w:val="00F57088"/>
    <w:rsid w:val="00F575F6"/>
    <w:rsid w:val="00F57F86"/>
    <w:rsid w:val="00F6020B"/>
    <w:rsid w:val="00F60318"/>
    <w:rsid w:val="00F60515"/>
    <w:rsid w:val="00F60F7D"/>
    <w:rsid w:val="00F60F8B"/>
    <w:rsid w:val="00F61932"/>
    <w:rsid w:val="00F61A89"/>
    <w:rsid w:val="00F62A51"/>
    <w:rsid w:val="00F62BDA"/>
    <w:rsid w:val="00F63466"/>
    <w:rsid w:val="00F64236"/>
    <w:rsid w:val="00F64F2C"/>
    <w:rsid w:val="00F6546A"/>
    <w:rsid w:val="00F656EC"/>
    <w:rsid w:val="00F65D9B"/>
    <w:rsid w:val="00F66254"/>
    <w:rsid w:val="00F66426"/>
    <w:rsid w:val="00F6674D"/>
    <w:rsid w:val="00F676C3"/>
    <w:rsid w:val="00F700AB"/>
    <w:rsid w:val="00F703CB"/>
    <w:rsid w:val="00F70C78"/>
    <w:rsid w:val="00F71181"/>
    <w:rsid w:val="00F71FB5"/>
    <w:rsid w:val="00F72473"/>
    <w:rsid w:val="00F7279F"/>
    <w:rsid w:val="00F728E3"/>
    <w:rsid w:val="00F72FF9"/>
    <w:rsid w:val="00F734F2"/>
    <w:rsid w:val="00F73C61"/>
    <w:rsid w:val="00F74570"/>
    <w:rsid w:val="00F74C4C"/>
    <w:rsid w:val="00F74EB9"/>
    <w:rsid w:val="00F757A0"/>
    <w:rsid w:val="00F763B0"/>
    <w:rsid w:val="00F77BC2"/>
    <w:rsid w:val="00F8021E"/>
    <w:rsid w:val="00F815AC"/>
    <w:rsid w:val="00F81DA6"/>
    <w:rsid w:val="00F8264F"/>
    <w:rsid w:val="00F8278B"/>
    <w:rsid w:val="00F82B43"/>
    <w:rsid w:val="00F82C98"/>
    <w:rsid w:val="00F8328B"/>
    <w:rsid w:val="00F836AE"/>
    <w:rsid w:val="00F83F77"/>
    <w:rsid w:val="00F85E1E"/>
    <w:rsid w:val="00F85F39"/>
    <w:rsid w:val="00F869B9"/>
    <w:rsid w:val="00F8754F"/>
    <w:rsid w:val="00F87A34"/>
    <w:rsid w:val="00F90398"/>
    <w:rsid w:val="00F90AEE"/>
    <w:rsid w:val="00F9130C"/>
    <w:rsid w:val="00F91B60"/>
    <w:rsid w:val="00F92516"/>
    <w:rsid w:val="00F929CE"/>
    <w:rsid w:val="00F929EF"/>
    <w:rsid w:val="00F92B3D"/>
    <w:rsid w:val="00F92BD7"/>
    <w:rsid w:val="00F932F9"/>
    <w:rsid w:val="00F934A3"/>
    <w:rsid w:val="00F93BB8"/>
    <w:rsid w:val="00F9409B"/>
    <w:rsid w:val="00F94FAE"/>
    <w:rsid w:val="00F951DF"/>
    <w:rsid w:val="00F95B47"/>
    <w:rsid w:val="00F965E8"/>
    <w:rsid w:val="00F96D79"/>
    <w:rsid w:val="00F96DEE"/>
    <w:rsid w:val="00F97511"/>
    <w:rsid w:val="00F97A68"/>
    <w:rsid w:val="00F97EB2"/>
    <w:rsid w:val="00FA026C"/>
    <w:rsid w:val="00FA03B8"/>
    <w:rsid w:val="00FA0AA4"/>
    <w:rsid w:val="00FA1DB6"/>
    <w:rsid w:val="00FA25B7"/>
    <w:rsid w:val="00FA403B"/>
    <w:rsid w:val="00FA4FD0"/>
    <w:rsid w:val="00FA56F3"/>
    <w:rsid w:val="00FA5706"/>
    <w:rsid w:val="00FA5E55"/>
    <w:rsid w:val="00FA643F"/>
    <w:rsid w:val="00FA6A6B"/>
    <w:rsid w:val="00FB06D3"/>
    <w:rsid w:val="00FB13C4"/>
    <w:rsid w:val="00FB13E2"/>
    <w:rsid w:val="00FB191B"/>
    <w:rsid w:val="00FB1AA5"/>
    <w:rsid w:val="00FB2586"/>
    <w:rsid w:val="00FB262A"/>
    <w:rsid w:val="00FB26D3"/>
    <w:rsid w:val="00FB2840"/>
    <w:rsid w:val="00FB2FC9"/>
    <w:rsid w:val="00FB34FF"/>
    <w:rsid w:val="00FB390E"/>
    <w:rsid w:val="00FB46CC"/>
    <w:rsid w:val="00FB58BE"/>
    <w:rsid w:val="00FB5A1B"/>
    <w:rsid w:val="00FB66C1"/>
    <w:rsid w:val="00FC0C6D"/>
    <w:rsid w:val="00FC0D53"/>
    <w:rsid w:val="00FC18F9"/>
    <w:rsid w:val="00FC1BD4"/>
    <w:rsid w:val="00FC20B0"/>
    <w:rsid w:val="00FC281C"/>
    <w:rsid w:val="00FC2866"/>
    <w:rsid w:val="00FC3090"/>
    <w:rsid w:val="00FC365E"/>
    <w:rsid w:val="00FC37DF"/>
    <w:rsid w:val="00FC3946"/>
    <w:rsid w:val="00FC3DE3"/>
    <w:rsid w:val="00FC3E88"/>
    <w:rsid w:val="00FC4087"/>
    <w:rsid w:val="00FC438E"/>
    <w:rsid w:val="00FC4599"/>
    <w:rsid w:val="00FC4695"/>
    <w:rsid w:val="00FC5A30"/>
    <w:rsid w:val="00FC5DE0"/>
    <w:rsid w:val="00FC5DE4"/>
    <w:rsid w:val="00FC5F54"/>
    <w:rsid w:val="00FC60AA"/>
    <w:rsid w:val="00FC6A26"/>
    <w:rsid w:val="00FC6F4B"/>
    <w:rsid w:val="00FC7207"/>
    <w:rsid w:val="00FC7CAA"/>
    <w:rsid w:val="00FC7F3F"/>
    <w:rsid w:val="00FD0B24"/>
    <w:rsid w:val="00FD12BD"/>
    <w:rsid w:val="00FD18BE"/>
    <w:rsid w:val="00FD1922"/>
    <w:rsid w:val="00FD1B3A"/>
    <w:rsid w:val="00FD2B26"/>
    <w:rsid w:val="00FD2E0A"/>
    <w:rsid w:val="00FD307C"/>
    <w:rsid w:val="00FD371A"/>
    <w:rsid w:val="00FD3762"/>
    <w:rsid w:val="00FD387E"/>
    <w:rsid w:val="00FD3F39"/>
    <w:rsid w:val="00FD4331"/>
    <w:rsid w:val="00FD4550"/>
    <w:rsid w:val="00FD4FD5"/>
    <w:rsid w:val="00FD53D3"/>
    <w:rsid w:val="00FD5773"/>
    <w:rsid w:val="00FD595C"/>
    <w:rsid w:val="00FD6131"/>
    <w:rsid w:val="00FD6189"/>
    <w:rsid w:val="00FD6540"/>
    <w:rsid w:val="00FD6A40"/>
    <w:rsid w:val="00FD7691"/>
    <w:rsid w:val="00FD7B71"/>
    <w:rsid w:val="00FE1537"/>
    <w:rsid w:val="00FE19E4"/>
    <w:rsid w:val="00FE239B"/>
    <w:rsid w:val="00FE26D9"/>
    <w:rsid w:val="00FE3B31"/>
    <w:rsid w:val="00FE42F7"/>
    <w:rsid w:val="00FE4604"/>
    <w:rsid w:val="00FE4896"/>
    <w:rsid w:val="00FE4907"/>
    <w:rsid w:val="00FE493D"/>
    <w:rsid w:val="00FE4FA9"/>
    <w:rsid w:val="00FE5183"/>
    <w:rsid w:val="00FE5644"/>
    <w:rsid w:val="00FE56E3"/>
    <w:rsid w:val="00FE6472"/>
    <w:rsid w:val="00FE76EC"/>
    <w:rsid w:val="00FE77A8"/>
    <w:rsid w:val="00FE7C2F"/>
    <w:rsid w:val="00FF0B37"/>
    <w:rsid w:val="00FF0DA6"/>
    <w:rsid w:val="00FF1B80"/>
    <w:rsid w:val="00FF243F"/>
    <w:rsid w:val="00FF2EF0"/>
    <w:rsid w:val="00FF2F21"/>
    <w:rsid w:val="00FF306F"/>
    <w:rsid w:val="00FF4074"/>
    <w:rsid w:val="00FF4261"/>
    <w:rsid w:val="00FF4747"/>
    <w:rsid w:val="00FF4A39"/>
    <w:rsid w:val="00FF4D05"/>
    <w:rsid w:val="00FF5D82"/>
    <w:rsid w:val="00FF6E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0C2FEA"/>
  <w15:docId w15:val="{F889A799-6E6E-45F2-943F-83A9F4EF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60F94"/>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paragraph" w:styleId="Titolo7">
    <w:name w:val="heading 7"/>
    <w:basedOn w:val="Normale"/>
    <w:next w:val="Normale"/>
    <w:link w:val="Titolo7Carattere"/>
    <w:qFormat/>
    <w:rsid w:val="008512A6"/>
    <w:pPr>
      <w:spacing w:before="240" w:after="60"/>
      <w:jc w:val="both"/>
      <w:outlineLvl w:val="6"/>
    </w:pPr>
    <w:rPr>
      <w:rFonts w:ascii="Arial" w:hAnsi="Arial"/>
      <w:sz w:val="20"/>
      <w:szCs w:val="20"/>
    </w:rPr>
  </w:style>
  <w:style w:type="paragraph" w:styleId="Titolo8">
    <w:name w:val="heading 8"/>
    <w:basedOn w:val="Normale"/>
    <w:next w:val="Normale"/>
    <w:link w:val="Titolo8Carattere"/>
    <w:qFormat/>
    <w:rsid w:val="008512A6"/>
    <w:pPr>
      <w:keepNext/>
      <w:autoSpaceDE w:val="0"/>
      <w:autoSpaceDN w:val="0"/>
      <w:adjustRightInd w:val="0"/>
      <w:spacing w:after="120"/>
      <w:ind w:left="1814"/>
      <w:jc w:val="both"/>
      <w:outlineLvl w:val="7"/>
    </w:pPr>
    <w:rPr>
      <w:rFonts w:ascii="Arial" w:hAnsi="Arial" w:cs="Arial"/>
      <w:b/>
      <w:sz w:val="22"/>
      <w:szCs w:val="22"/>
    </w:rPr>
  </w:style>
  <w:style w:type="paragraph" w:styleId="Titolo9">
    <w:name w:val="heading 9"/>
    <w:basedOn w:val="Normale"/>
    <w:next w:val="Normale"/>
    <w:link w:val="Titolo9Carattere"/>
    <w:qFormat/>
    <w:rsid w:val="008512A6"/>
    <w:pPr>
      <w:spacing w:before="240" w:after="60"/>
      <w:jc w:val="both"/>
      <w:outlineLvl w:val="8"/>
    </w:pPr>
    <w:rPr>
      <w:rFonts w:ascii="Arial" w:hAnsi="Arial"/>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FB34FF"/>
    <w:rPr>
      <w:sz w:val="20"/>
      <w:szCs w:val="20"/>
    </w:rPr>
  </w:style>
  <w:style w:type="character" w:styleId="Rimandonotaapidipagina">
    <w:name w:val="footnote reference"/>
    <w:aliases w:val="Inf_Note a piè di pagina,(Footnote Reference),SUPERS,Footnote symbol,Voetnootverwijzing,Rimando nota a piè di pagina-IMONT,EN Footnote Reference,-E Fuﬂnotenzeichen,-E Fuûnotenzeichen,-E Fußnotenzeichen,SUPERS1,SUPERS2,DNV-FR"/>
    <w:link w:val="ftrefCharCharCharCharCharCharCharCharChar"/>
    <w:qFormat/>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uiPriority w:val="99"/>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link w:val="Corpodeltesto2Carattere"/>
    <w:uiPriority w:val="99"/>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link w:val="Rientrocorpodeltesto2Carattere"/>
    <w:uiPriority w:val="99"/>
    <w:rsid w:val="00FB34FF"/>
    <w:pPr>
      <w:spacing w:after="120"/>
      <w:ind w:left="360"/>
      <w:jc w:val="both"/>
    </w:pPr>
    <w:rPr>
      <w:rFonts w:ascii="Arial" w:hAnsi="Arial" w:cs="Arial"/>
      <w:sz w:val="23"/>
      <w:szCs w:val="23"/>
    </w:rPr>
  </w:style>
  <w:style w:type="paragraph" w:styleId="Rientrocorpodeltesto3">
    <w:name w:val="Body Text Indent 3"/>
    <w:basedOn w:val="Normale"/>
    <w:link w:val="Rientrocorpodeltesto3Carattere"/>
    <w:uiPriority w:val="99"/>
    <w:rsid w:val="00FB34FF"/>
    <w:pPr>
      <w:spacing w:after="120"/>
      <w:ind w:left="540"/>
      <w:jc w:val="both"/>
    </w:pPr>
    <w:rPr>
      <w:rFonts w:ascii="Arial" w:hAnsi="Arial" w:cs="Arial"/>
      <w:sz w:val="23"/>
      <w:szCs w:val="23"/>
    </w:rPr>
  </w:style>
  <w:style w:type="character" w:styleId="Enfasigrassetto">
    <w:name w:val="Strong"/>
    <w:uiPriority w:val="22"/>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34"/>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3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DD1259"/>
  </w:style>
  <w:style w:type="paragraph" w:styleId="Testonotadichiusura">
    <w:name w:val="endnote text"/>
    <w:basedOn w:val="Normale"/>
    <w:link w:val="TestonotadichiusuraCarattere"/>
    <w:uiPriority w:val="99"/>
    <w:unhideWhenUsed/>
    <w:rsid w:val="00C91EBC"/>
    <w:rPr>
      <w:sz w:val="20"/>
      <w:szCs w:val="20"/>
    </w:rPr>
  </w:style>
  <w:style w:type="character" w:customStyle="1" w:styleId="TestonotadichiusuraCarattere">
    <w:name w:val="Testo nota di chiusura Carattere"/>
    <w:basedOn w:val="Carpredefinitoparagrafo"/>
    <w:link w:val="Testonotadichiusura"/>
    <w:uiPriority w:val="99"/>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 w:type="paragraph" w:customStyle="1" w:styleId="ATitoloTavolaFigura">
    <w:name w:val="A.Titolo Tavola/Figura"/>
    <w:link w:val="ATitoloTavolaFiguraCarattere"/>
    <w:rsid w:val="00015D71"/>
    <w:pPr>
      <w:spacing w:before="440" w:after="180"/>
      <w:ind w:left="1202" w:hanging="1202"/>
      <w:jc w:val="both"/>
      <w:outlineLvl w:val="0"/>
    </w:pPr>
    <w:rPr>
      <w:rFonts w:cs="Arial"/>
      <w:b/>
      <w:szCs w:val="18"/>
    </w:rPr>
  </w:style>
  <w:style w:type="character" w:customStyle="1" w:styleId="ATitoloTavolaFiguraCarattere">
    <w:name w:val="A.Titolo Tavola/Figura Carattere"/>
    <w:link w:val="ATitoloTavolaFigura"/>
    <w:rsid w:val="00015D71"/>
    <w:rPr>
      <w:rFonts w:cs="Arial"/>
      <w:b/>
      <w:szCs w:val="18"/>
    </w:rPr>
  </w:style>
  <w:style w:type="character" w:customStyle="1" w:styleId="Titolo7Carattere">
    <w:name w:val="Titolo 7 Carattere"/>
    <w:basedOn w:val="Carpredefinitoparagrafo"/>
    <w:link w:val="Titolo7"/>
    <w:rsid w:val="008512A6"/>
    <w:rPr>
      <w:rFonts w:ascii="Arial" w:hAnsi="Arial"/>
    </w:rPr>
  </w:style>
  <w:style w:type="character" w:customStyle="1" w:styleId="Titolo8Carattere">
    <w:name w:val="Titolo 8 Carattere"/>
    <w:basedOn w:val="Carpredefinitoparagrafo"/>
    <w:link w:val="Titolo8"/>
    <w:rsid w:val="008512A6"/>
    <w:rPr>
      <w:rFonts w:ascii="Arial" w:hAnsi="Arial" w:cs="Arial"/>
      <w:b/>
      <w:sz w:val="22"/>
      <w:szCs w:val="22"/>
    </w:rPr>
  </w:style>
  <w:style w:type="character" w:customStyle="1" w:styleId="Titolo9Carattere">
    <w:name w:val="Titolo 9 Carattere"/>
    <w:basedOn w:val="Carpredefinitoparagrafo"/>
    <w:link w:val="Titolo9"/>
    <w:rsid w:val="008512A6"/>
    <w:rPr>
      <w:rFonts w:ascii="Arial" w:hAnsi="Arial"/>
      <w:i/>
      <w:sz w:val="18"/>
    </w:rPr>
  </w:style>
  <w:style w:type="paragraph" w:customStyle="1" w:styleId="PlainText1">
    <w:name w:val="Plain Text1"/>
    <w:basedOn w:val="Normale"/>
    <w:rsid w:val="008512A6"/>
    <w:pPr>
      <w:overflowPunct w:val="0"/>
      <w:autoSpaceDE w:val="0"/>
      <w:autoSpaceDN w:val="0"/>
      <w:adjustRightInd w:val="0"/>
      <w:textAlignment w:val="baseline"/>
    </w:pPr>
    <w:rPr>
      <w:rFonts w:ascii="Courier New" w:hAnsi="Courier New"/>
      <w:sz w:val="20"/>
      <w:szCs w:val="20"/>
    </w:rPr>
  </w:style>
  <w:style w:type="paragraph" w:customStyle="1" w:styleId="Testonormale1">
    <w:name w:val="Testo normale1"/>
    <w:basedOn w:val="Normale"/>
    <w:rsid w:val="008512A6"/>
    <w:pPr>
      <w:overflowPunct w:val="0"/>
      <w:autoSpaceDE w:val="0"/>
      <w:autoSpaceDN w:val="0"/>
      <w:adjustRightInd w:val="0"/>
      <w:textAlignment w:val="baseline"/>
    </w:pPr>
    <w:rPr>
      <w:rFonts w:ascii="Courier New" w:hAnsi="Courier New"/>
      <w:sz w:val="20"/>
      <w:szCs w:val="20"/>
    </w:rPr>
  </w:style>
  <w:style w:type="paragraph" w:customStyle="1" w:styleId="tittav">
    <w:name w:val="tit_tav"/>
    <w:basedOn w:val="Normale"/>
    <w:rsid w:val="008512A6"/>
    <w:pPr>
      <w:spacing w:after="120"/>
      <w:jc w:val="both"/>
    </w:pPr>
    <w:rPr>
      <w:rFonts w:ascii="Arial" w:hAnsi="Arial"/>
      <w:b/>
      <w:i/>
      <w:sz w:val="20"/>
      <w:szCs w:val="20"/>
    </w:rPr>
  </w:style>
  <w:style w:type="paragraph" w:customStyle="1" w:styleId="prospetto">
    <w:name w:val="prospetto"/>
    <w:basedOn w:val="tittav"/>
    <w:rsid w:val="008512A6"/>
    <w:pPr>
      <w:tabs>
        <w:tab w:val="left" w:pos="1588"/>
        <w:tab w:val="left" w:pos="1985"/>
      </w:tabs>
      <w:spacing w:before="240" w:after="80"/>
      <w:ind w:left="1474" w:hanging="1474"/>
    </w:pPr>
    <w:rPr>
      <w:i w:val="0"/>
      <w:sz w:val="16"/>
    </w:rPr>
  </w:style>
  <w:style w:type="paragraph" w:customStyle="1" w:styleId="testata">
    <w:name w:val="testata"/>
    <w:basedOn w:val="Normale"/>
    <w:rsid w:val="008512A6"/>
    <w:pPr>
      <w:jc w:val="center"/>
    </w:pPr>
    <w:rPr>
      <w:rFonts w:ascii="Arial" w:hAnsi="Arial"/>
      <w:caps/>
      <w:sz w:val="16"/>
      <w:szCs w:val="20"/>
    </w:rPr>
  </w:style>
  <w:style w:type="paragraph" w:customStyle="1" w:styleId="fiancata">
    <w:name w:val="fiancata"/>
    <w:basedOn w:val="Normale"/>
    <w:rsid w:val="008512A6"/>
    <w:rPr>
      <w:rFonts w:ascii="Arial" w:hAnsi="Arial"/>
      <w:caps/>
      <w:sz w:val="16"/>
      <w:szCs w:val="20"/>
    </w:rPr>
  </w:style>
  <w:style w:type="paragraph" w:customStyle="1" w:styleId="ulttest">
    <w:name w:val="ult.test"/>
    <w:basedOn w:val="fiancata"/>
    <w:rsid w:val="008512A6"/>
    <w:pPr>
      <w:jc w:val="right"/>
    </w:pPr>
    <w:rPr>
      <w:caps w:val="0"/>
    </w:rPr>
  </w:style>
  <w:style w:type="paragraph" w:customStyle="1" w:styleId="ultfianc">
    <w:name w:val="ult.fianc"/>
    <w:basedOn w:val="Normale"/>
    <w:rsid w:val="008512A6"/>
    <w:pPr>
      <w:ind w:firstLine="397"/>
    </w:pPr>
    <w:rPr>
      <w:rFonts w:ascii="Arial" w:hAnsi="Arial"/>
      <w:caps/>
      <w:sz w:val="16"/>
      <w:szCs w:val="20"/>
    </w:rPr>
  </w:style>
  <w:style w:type="paragraph" w:customStyle="1" w:styleId="item">
    <w:name w:val="item"/>
    <w:basedOn w:val="Normale"/>
    <w:rsid w:val="008512A6"/>
    <w:pPr>
      <w:ind w:left="397"/>
    </w:pPr>
    <w:rPr>
      <w:rFonts w:ascii="Arial" w:hAnsi="Arial"/>
      <w:sz w:val="16"/>
      <w:szCs w:val="20"/>
    </w:rPr>
  </w:style>
  <w:style w:type="paragraph" w:customStyle="1" w:styleId="totale">
    <w:name w:val="totale"/>
    <w:basedOn w:val="Normale"/>
    <w:rsid w:val="008512A6"/>
    <w:pPr>
      <w:ind w:left="397"/>
    </w:pPr>
    <w:rPr>
      <w:rFonts w:ascii="Arial" w:hAnsi="Arial"/>
      <w:b/>
      <w:sz w:val="16"/>
      <w:szCs w:val="20"/>
    </w:rPr>
  </w:style>
  <w:style w:type="paragraph" w:customStyle="1" w:styleId="valori">
    <w:name w:val="valori"/>
    <w:basedOn w:val="item"/>
    <w:rsid w:val="008512A6"/>
    <w:pPr>
      <w:ind w:left="0"/>
      <w:jc w:val="right"/>
    </w:pPr>
  </w:style>
  <w:style w:type="paragraph" w:styleId="Didascalia">
    <w:name w:val="caption"/>
    <w:basedOn w:val="prospetto"/>
    <w:next w:val="Normale"/>
    <w:uiPriority w:val="35"/>
    <w:qFormat/>
    <w:rsid w:val="008512A6"/>
    <w:pPr>
      <w:spacing w:before="360"/>
    </w:pPr>
    <w:rPr>
      <w:sz w:val="18"/>
    </w:rPr>
  </w:style>
  <w:style w:type="paragraph" w:styleId="Sommario2">
    <w:name w:val="toc 2"/>
    <w:basedOn w:val="Normale"/>
    <w:next w:val="Normale"/>
    <w:rsid w:val="008512A6"/>
    <w:pPr>
      <w:tabs>
        <w:tab w:val="right" w:pos="7936"/>
      </w:tabs>
      <w:ind w:left="397"/>
    </w:pPr>
    <w:rPr>
      <w:b/>
      <w:smallCaps/>
      <w:sz w:val="16"/>
      <w:szCs w:val="20"/>
    </w:rPr>
  </w:style>
  <w:style w:type="paragraph" w:styleId="Sommario3">
    <w:name w:val="toc 3"/>
    <w:basedOn w:val="Normale"/>
    <w:next w:val="Normale"/>
    <w:rsid w:val="008512A6"/>
    <w:pPr>
      <w:tabs>
        <w:tab w:val="right" w:pos="7936"/>
      </w:tabs>
      <w:ind w:left="1701" w:hanging="1134"/>
    </w:pPr>
    <w:rPr>
      <w:rFonts w:ascii="Arial" w:hAnsi="Arial"/>
      <w:sz w:val="16"/>
      <w:szCs w:val="20"/>
    </w:rPr>
  </w:style>
  <w:style w:type="paragraph" w:styleId="Sommario4">
    <w:name w:val="toc 4"/>
    <w:basedOn w:val="Normale"/>
    <w:next w:val="Normale"/>
    <w:rsid w:val="008512A6"/>
    <w:pPr>
      <w:tabs>
        <w:tab w:val="right" w:pos="7936"/>
      </w:tabs>
      <w:ind w:left="440" w:firstLine="397"/>
    </w:pPr>
    <w:rPr>
      <w:sz w:val="18"/>
      <w:szCs w:val="20"/>
    </w:rPr>
  </w:style>
  <w:style w:type="paragraph" w:styleId="Sommario5">
    <w:name w:val="toc 5"/>
    <w:basedOn w:val="Normale"/>
    <w:next w:val="Normale"/>
    <w:rsid w:val="008512A6"/>
    <w:pPr>
      <w:tabs>
        <w:tab w:val="right" w:pos="7936"/>
      </w:tabs>
      <w:ind w:left="660" w:firstLine="397"/>
    </w:pPr>
    <w:rPr>
      <w:sz w:val="18"/>
      <w:szCs w:val="20"/>
    </w:rPr>
  </w:style>
  <w:style w:type="paragraph" w:styleId="Sommario6">
    <w:name w:val="toc 6"/>
    <w:basedOn w:val="Normale"/>
    <w:next w:val="Normale"/>
    <w:rsid w:val="008512A6"/>
    <w:pPr>
      <w:tabs>
        <w:tab w:val="right" w:pos="7936"/>
      </w:tabs>
      <w:ind w:left="880" w:firstLine="397"/>
    </w:pPr>
    <w:rPr>
      <w:sz w:val="18"/>
      <w:szCs w:val="20"/>
    </w:rPr>
  </w:style>
  <w:style w:type="paragraph" w:styleId="Sommario7">
    <w:name w:val="toc 7"/>
    <w:basedOn w:val="Normale"/>
    <w:next w:val="Normale"/>
    <w:rsid w:val="008512A6"/>
    <w:pPr>
      <w:tabs>
        <w:tab w:val="right" w:pos="7936"/>
      </w:tabs>
      <w:ind w:left="1100" w:firstLine="397"/>
    </w:pPr>
    <w:rPr>
      <w:sz w:val="18"/>
      <w:szCs w:val="20"/>
    </w:rPr>
  </w:style>
  <w:style w:type="paragraph" w:styleId="Sommario8">
    <w:name w:val="toc 8"/>
    <w:basedOn w:val="Normale"/>
    <w:next w:val="Normale"/>
    <w:rsid w:val="008512A6"/>
    <w:pPr>
      <w:tabs>
        <w:tab w:val="right" w:pos="7936"/>
      </w:tabs>
      <w:ind w:left="1320" w:firstLine="397"/>
    </w:pPr>
    <w:rPr>
      <w:sz w:val="18"/>
      <w:szCs w:val="20"/>
    </w:rPr>
  </w:style>
  <w:style w:type="paragraph" w:styleId="Sommario9">
    <w:name w:val="toc 9"/>
    <w:basedOn w:val="Normale"/>
    <w:next w:val="Normale"/>
    <w:rsid w:val="008512A6"/>
    <w:pPr>
      <w:tabs>
        <w:tab w:val="right" w:pos="7936"/>
      </w:tabs>
      <w:ind w:left="1540" w:firstLine="397"/>
    </w:pPr>
    <w:rPr>
      <w:sz w:val="18"/>
      <w:szCs w:val="20"/>
    </w:rPr>
  </w:style>
  <w:style w:type="paragraph" w:customStyle="1" w:styleId="valtot">
    <w:name w:val="val_tot"/>
    <w:basedOn w:val="totale"/>
    <w:rsid w:val="008512A6"/>
    <w:pPr>
      <w:ind w:left="0"/>
      <w:jc w:val="right"/>
    </w:pPr>
  </w:style>
  <w:style w:type="paragraph" w:customStyle="1" w:styleId="GRAFICO">
    <w:name w:val="GRAFICO"/>
    <w:basedOn w:val="prospetto"/>
    <w:rsid w:val="008512A6"/>
    <w:pPr>
      <w:spacing w:after="120"/>
      <w:ind w:left="284" w:hanging="284"/>
    </w:pPr>
  </w:style>
  <w:style w:type="paragraph" w:customStyle="1" w:styleId="Graf">
    <w:name w:val="Graf."/>
    <w:basedOn w:val="prospetto"/>
    <w:rsid w:val="008512A6"/>
    <w:pPr>
      <w:tabs>
        <w:tab w:val="clear" w:pos="1985"/>
        <w:tab w:val="left" w:pos="3261"/>
      </w:tabs>
      <w:spacing w:before="100" w:after="100"/>
      <w:ind w:left="1985" w:right="1415" w:hanging="851"/>
    </w:pPr>
  </w:style>
  <w:style w:type="paragraph" w:customStyle="1" w:styleId="Stile2">
    <w:name w:val="Stile2"/>
    <w:basedOn w:val="Normale"/>
    <w:rsid w:val="008512A6"/>
    <w:pPr>
      <w:spacing w:before="120"/>
      <w:ind w:left="567" w:right="567"/>
      <w:jc w:val="both"/>
    </w:pPr>
    <w:rPr>
      <w:rFonts w:ascii="Arial" w:hAnsi="Arial"/>
      <w:szCs w:val="20"/>
    </w:rPr>
  </w:style>
  <w:style w:type="paragraph" w:styleId="Indice1">
    <w:name w:val="index 1"/>
    <w:basedOn w:val="Normale"/>
    <w:next w:val="Normale"/>
    <w:rsid w:val="008512A6"/>
    <w:pPr>
      <w:tabs>
        <w:tab w:val="right" w:leader="dot" w:pos="4629"/>
      </w:tabs>
      <w:ind w:left="220" w:hanging="220"/>
    </w:pPr>
    <w:rPr>
      <w:sz w:val="20"/>
      <w:szCs w:val="20"/>
    </w:rPr>
  </w:style>
  <w:style w:type="paragraph" w:styleId="Indice2">
    <w:name w:val="index 2"/>
    <w:basedOn w:val="Normale"/>
    <w:next w:val="Normale"/>
    <w:rsid w:val="008512A6"/>
    <w:pPr>
      <w:tabs>
        <w:tab w:val="right" w:leader="dot" w:pos="4629"/>
      </w:tabs>
      <w:ind w:left="440" w:hanging="220"/>
    </w:pPr>
    <w:rPr>
      <w:sz w:val="20"/>
      <w:szCs w:val="20"/>
    </w:rPr>
  </w:style>
  <w:style w:type="paragraph" w:styleId="Indice3">
    <w:name w:val="index 3"/>
    <w:basedOn w:val="Normale"/>
    <w:next w:val="Normale"/>
    <w:rsid w:val="008512A6"/>
    <w:pPr>
      <w:tabs>
        <w:tab w:val="right" w:leader="dot" w:pos="4629"/>
      </w:tabs>
      <w:ind w:left="660" w:hanging="220"/>
    </w:pPr>
    <w:rPr>
      <w:sz w:val="20"/>
      <w:szCs w:val="20"/>
    </w:rPr>
  </w:style>
  <w:style w:type="paragraph" w:styleId="Indice4">
    <w:name w:val="index 4"/>
    <w:basedOn w:val="Normale"/>
    <w:next w:val="Normale"/>
    <w:rsid w:val="008512A6"/>
    <w:pPr>
      <w:tabs>
        <w:tab w:val="right" w:leader="dot" w:pos="4629"/>
      </w:tabs>
      <w:ind w:left="880" w:hanging="220"/>
    </w:pPr>
    <w:rPr>
      <w:sz w:val="20"/>
      <w:szCs w:val="20"/>
    </w:rPr>
  </w:style>
  <w:style w:type="paragraph" w:styleId="Indice5">
    <w:name w:val="index 5"/>
    <w:basedOn w:val="Normale"/>
    <w:next w:val="Normale"/>
    <w:rsid w:val="008512A6"/>
    <w:pPr>
      <w:tabs>
        <w:tab w:val="right" w:leader="dot" w:pos="4629"/>
      </w:tabs>
      <w:ind w:left="1100" w:hanging="220"/>
    </w:pPr>
    <w:rPr>
      <w:sz w:val="20"/>
      <w:szCs w:val="20"/>
    </w:rPr>
  </w:style>
  <w:style w:type="paragraph" w:styleId="Indice6">
    <w:name w:val="index 6"/>
    <w:basedOn w:val="Normale"/>
    <w:next w:val="Normale"/>
    <w:rsid w:val="008512A6"/>
    <w:pPr>
      <w:tabs>
        <w:tab w:val="right" w:leader="dot" w:pos="4629"/>
      </w:tabs>
      <w:ind w:left="1320" w:hanging="220"/>
    </w:pPr>
    <w:rPr>
      <w:sz w:val="20"/>
      <w:szCs w:val="20"/>
    </w:rPr>
  </w:style>
  <w:style w:type="paragraph" w:styleId="Indice7">
    <w:name w:val="index 7"/>
    <w:basedOn w:val="Normale"/>
    <w:next w:val="Normale"/>
    <w:rsid w:val="008512A6"/>
    <w:pPr>
      <w:tabs>
        <w:tab w:val="right" w:leader="dot" w:pos="4629"/>
      </w:tabs>
      <w:ind w:left="1540" w:hanging="220"/>
    </w:pPr>
    <w:rPr>
      <w:sz w:val="20"/>
      <w:szCs w:val="20"/>
    </w:rPr>
  </w:style>
  <w:style w:type="paragraph" w:styleId="Indice8">
    <w:name w:val="index 8"/>
    <w:basedOn w:val="Normale"/>
    <w:next w:val="Normale"/>
    <w:rsid w:val="008512A6"/>
    <w:pPr>
      <w:tabs>
        <w:tab w:val="right" w:leader="dot" w:pos="4629"/>
      </w:tabs>
      <w:ind w:left="1760" w:hanging="220"/>
    </w:pPr>
    <w:rPr>
      <w:sz w:val="20"/>
      <w:szCs w:val="20"/>
    </w:rPr>
  </w:style>
  <w:style w:type="paragraph" w:styleId="Indice9">
    <w:name w:val="index 9"/>
    <w:basedOn w:val="Normale"/>
    <w:next w:val="Normale"/>
    <w:rsid w:val="008512A6"/>
    <w:pPr>
      <w:tabs>
        <w:tab w:val="right" w:leader="dot" w:pos="4629"/>
      </w:tabs>
      <w:ind w:left="1980" w:hanging="220"/>
    </w:pPr>
    <w:rPr>
      <w:sz w:val="20"/>
      <w:szCs w:val="20"/>
    </w:rPr>
  </w:style>
  <w:style w:type="paragraph" w:styleId="Titoloindice">
    <w:name w:val="index heading"/>
    <w:basedOn w:val="Normale"/>
    <w:next w:val="Indice1"/>
    <w:rsid w:val="008512A6"/>
    <w:pPr>
      <w:spacing w:before="120" w:after="120"/>
      <w:ind w:firstLine="397"/>
    </w:pPr>
    <w:rPr>
      <w:b/>
      <w:i/>
      <w:sz w:val="20"/>
      <w:szCs w:val="20"/>
    </w:rPr>
  </w:style>
  <w:style w:type="paragraph" w:customStyle="1" w:styleId="Corpodeltesto21">
    <w:name w:val="Corpo del testo 21"/>
    <w:basedOn w:val="Normale"/>
    <w:rsid w:val="008512A6"/>
    <w:pPr>
      <w:ind w:firstLine="227"/>
      <w:jc w:val="both"/>
    </w:pPr>
    <w:rPr>
      <w:rFonts w:ascii="Arial" w:hAnsi="Arial"/>
      <w:sz w:val="22"/>
      <w:szCs w:val="20"/>
    </w:rPr>
  </w:style>
  <w:style w:type="character" w:customStyle="1" w:styleId="Rientrocorpodeltesto2Carattere">
    <w:name w:val="Rientro corpo del testo 2 Carattere"/>
    <w:link w:val="Rientrocorpodeltesto2"/>
    <w:uiPriority w:val="99"/>
    <w:rsid w:val="008512A6"/>
    <w:rPr>
      <w:rFonts w:ascii="Arial" w:hAnsi="Arial" w:cs="Arial"/>
      <w:sz w:val="23"/>
      <w:szCs w:val="23"/>
    </w:rPr>
  </w:style>
  <w:style w:type="character" w:customStyle="1" w:styleId="Rientrocorpodeltesto3Carattere">
    <w:name w:val="Rientro corpo del testo 3 Carattere"/>
    <w:link w:val="Rientrocorpodeltesto3"/>
    <w:uiPriority w:val="99"/>
    <w:rsid w:val="008512A6"/>
    <w:rPr>
      <w:rFonts w:ascii="Arial" w:hAnsi="Arial" w:cs="Arial"/>
      <w:sz w:val="23"/>
      <w:szCs w:val="23"/>
    </w:rPr>
  </w:style>
  <w:style w:type="paragraph" w:customStyle="1" w:styleId="BodyTextIndent21">
    <w:name w:val="Body Text Indent 21"/>
    <w:basedOn w:val="Normale"/>
    <w:rsid w:val="008512A6"/>
    <w:pPr>
      <w:widowControl w:val="0"/>
      <w:ind w:firstLine="425"/>
      <w:jc w:val="center"/>
    </w:pPr>
    <w:rPr>
      <w:rFonts w:ascii="Arial" w:hAnsi="Arial"/>
      <w:sz w:val="32"/>
      <w:szCs w:val="20"/>
    </w:rPr>
  </w:style>
  <w:style w:type="paragraph" w:customStyle="1" w:styleId="BodyTextIndent31">
    <w:name w:val="Body Text Indent 31"/>
    <w:basedOn w:val="Normale"/>
    <w:rsid w:val="008512A6"/>
    <w:pPr>
      <w:widowControl w:val="0"/>
      <w:ind w:firstLine="426"/>
      <w:jc w:val="both"/>
    </w:pPr>
    <w:rPr>
      <w:rFonts w:ascii="Arial" w:hAnsi="Arial"/>
      <w:sz w:val="20"/>
      <w:szCs w:val="20"/>
    </w:rPr>
  </w:style>
  <w:style w:type="paragraph" w:customStyle="1" w:styleId="Carattere">
    <w:name w:val="Carattere"/>
    <w:next w:val="Normale"/>
    <w:rsid w:val="008512A6"/>
    <w:rPr>
      <w:rFonts w:ascii="CG Times (W1)" w:hAnsi="CG Times (W1)"/>
      <w:noProof/>
    </w:rPr>
  </w:style>
  <w:style w:type="paragraph" w:styleId="Titolo">
    <w:name w:val="Title"/>
    <w:basedOn w:val="Normale"/>
    <w:link w:val="TitoloCarattere"/>
    <w:qFormat/>
    <w:rsid w:val="008512A6"/>
    <w:pPr>
      <w:tabs>
        <w:tab w:val="num" w:pos="360"/>
      </w:tabs>
      <w:jc w:val="center"/>
    </w:pPr>
    <w:rPr>
      <w:b/>
      <w:sz w:val="28"/>
      <w:szCs w:val="20"/>
    </w:rPr>
  </w:style>
  <w:style w:type="character" w:customStyle="1" w:styleId="TitoloCarattere">
    <w:name w:val="Titolo Carattere"/>
    <w:basedOn w:val="Carpredefinitoparagrafo"/>
    <w:link w:val="Titolo"/>
    <w:rsid w:val="008512A6"/>
    <w:rPr>
      <w:b/>
      <w:sz w:val="28"/>
    </w:rPr>
  </w:style>
  <w:style w:type="paragraph" w:styleId="Testodelblocco">
    <w:name w:val="Block Text"/>
    <w:basedOn w:val="Normale"/>
    <w:rsid w:val="008512A6"/>
    <w:pPr>
      <w:spacing w:line="360" w:lineRule="auto"/>
      <w:ind w:left="284" w:right="-794" w:firstLine="73"/>
      <w:jc w:val="both"/>
    </w:pPr>
    <w:rPr>
      <w:szCs w:val="20"/>
    </w:rPr>
  </w:style>
  <w:style w:type="paragraph" w:customStyle="1" w:styleId="xl24">
    <w:name w:val="xl24"/>
    <w:basedOn w:val="Normale"/>
    <w:rsid w:val="008512A6"/>
    <w:pPr>
      <w:spacing w:before="100" w:beforeAutospacing="1" w:after="100" w:afterAutospacing="1"/>
      <w:jc w:val="right"/>
    </w:pPr>
    <w:rPr>
      <w:rFonts w:ascii="Arial" w:eastAsia="Arial Unicode MS" w:hAnsi="Arial" w:cs="Arial"/>
      <w:sz w:val="16"/>
      <w:szCs w:val="16"/>
    </w:rPr>
  </w:style>
  <w:style w:type="character" w:customStyle="1" w:styleId="Menzionenonrisolta1">
    <w:name w:val="Menzione non risolta1"/>
    <w:basedOn w:val="Carpredefinitoparagrafo"/>
    <w:uiPriority w:val="99"/>
    <w:semiHidden/>
    <w:unhideWhenUsed/>
    <w:rsid w:val="00626A5A"/>
    <w:rPr>
      <w:color w:val="605E5C"/>
      <w:shd w:val="clear" w:color="auto" w:fill="E1DFDD"/>
    </w:rPr>
  </w:style>
  <w:style w:type="character" w:customStyle="1" w:styleId="markedcontent">
    <w:name w:val="markedcontent"/>
    <w:basedOn w:val="Carpredefinitoparagrafo"/>
    <w:rsid w:val="004A5B8B"/>
  </w:style>
  <w:style w:type="character" w:customStyle="1" w:styleId="Menzionenonrisolta2">
    <w:name w:val="Menzione non risolta2"/>
    <w:basedOn w:val="Carpredefinitoparagrafo"/>
    <w:uiPriority w:val="99"/>
    <w:semiHidden/>
    <w:unhideWhenUsed/>
    <w:rsid w:val="004A5B8B"/>
    <w:rPr>
      <w:color w:val="605E5C"/>
      <w:shd w:val="clear" w:color="auto" w:fill="E1DFDD"/>
    </w:rPr>
  </w:style>
  <w:style w:type="character" w:customStyle="1" w:styleId="taxonomy">
    <w:name w:val="taxonomy"/>
    <w:basedOn w:val="Carpredefinitoparagrafo"/>
    <w:rsid w:val="00704C87"/>
  </w:style>
  <w:style w:type="character" w:customStyle="1" w:styleId="Corpodeltesto2Carattere">
    <w:name w:val="Corpo del testo 2 Carattere"/>
    <w:basedOn w:val="Carpredefinitoparagrafo"/>
    <w:link w:val="Corpodeltesto2"/>
    <w:uiPriority w:val="99"/>
    <w:locked/>
    <w:rsid w:val="00704C87"/>
    <w:rPr>
      <w:rFonts w:ascii="Arial" w:hAnsi="Arial" w:cs="Arial"/>
      <w:sz w:val="23"/>
      <w:szCs w:val="23"/>
    </w:rPr>
  </w:style>
  <w:style w:type="paragraph" w:customStyle="1" w:styleId="Ann03Titoloparagrafo">
    <w:name w:val="Ann_03_Titolo paragrafo"/>
    <w:basedOn w:val="Normale"/>
    <w:link w:val="Ann03TitoloparagrafoCarattereCarattere"/>
    <w:rsid w:val="00704C87"/>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pPr>
    <w:rPr>
      <w:b/>
      <w:sz w:val="22"/>
      <w:szCs w:val="22"/>
    </w:rPr>
  </w:style>
  <w:style w:type="character" w:customStyle="1" w:styleId="Ann03TitoloparagrafoCarattereCarattere">
    <w:name w:val="Ann_03_Titolo paragrafo Carattere Carattere"/>
    <w:link w:val="Ann03Titoloparagrafo"/>
    <w:locked/>
    <w:rsid w:val="00704C87"/>
    <w:rPr>
      <w:b/>
      <w:sz w:val="22"/>
      <w:szCs w:val="22"/>
    </w:rPr>
  </w:style>
  <w:style w:type="table" w:customStyle="1" w:styleId="Tabellasemplice-31">
    <w:name w:val="Tabella semplice - 31"/>
    <w:basedOn w:val="Tabellanormale"/>
    <w:uiPriority w:val="43"/>
    <w:rsid w:val="00704C87"/>
    <w:rPr>
      <w:rFonts w:asciiTheme="minorHAnsi"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character" w:styleId="Testosegnaposto">
    <w:name w:val="Placeholder Text"/>
    <w:basedOn w:val="Carpredefinitoparagrafo"/>
    <w:uiPriority w:val="99"/>
    <w:semiHidden/>
    <w:rsid w:val="00704C87"/>
    <w:rPr>
      <w:color w:val="808080"/>
    </w:rPr>
  </w:style>
  <w:style w:type="paragraph" w:styleId="Nessunaspaziatura">
    <w:name w:val="No Spacing"/>
    <w:uiPriority w:val="1"/>
    <w:qFormat/>
    <w:rsid w:val="00A014B9"/>
    <w:pPr>
      <w:spacing w:after="120"/>
      <w:jc w:val="both"/>
    </w:pPr>
    <w:rPr>
      <w:rFonts w:ascii="Arial" w:eastAsiaTheme="minorHAnsi" w:hAnsi="Arial" w:cs="Arial"/>
      <w:lang w:eastAsia="en-US"/>
    </w:rPr>
  </w:style>
  <w:style w:type="paragraph" w:customStyle="1" w:styleId="footnotedescription">
    <w:name w:val="footnote description"/>
    <w:next w:val="Normale"/>
    <w:link w:val="footnotedescriptionChar"/>
    <w:hidden/>
    <w:rsid w:val="00A014B9"/>
    <w:pPr>
      <w:spacing w:line="259" w:lineRule="auto"/>
      <w:ind w:left="1702"/>
    </w:pPr>
    <w:rPr>
      <w:rFonts w:ascii="Arial" w:eastAsia="Arial" w:hAnsi="Arial" w:cs="Arial"/>
      <w:color w:val="000000"/>
      <w:sz w:val="16"/>
      <w:szCs w:val="22"/>
    </w:rPr>
  </w:style>
  <w:style w:type="character" w:customStyle="1" w:styleId="footnotedescriptionChar">
    <w:name w:val="footnote description Char"/>
    <w:link w:val="footnotedescription"/>
    <w:rsid w:val="00A014B9"/>
    <w:rPr>
      <w:rFonts w:ascii="Arial" w:eastAsia="Arial" w:hAnsi="Arial" w:cs="Arial"/>
      <w:color w:val="000000"/>
      <w:sz w:val="16"/>
      <w:szCs w:val="22"/>
    </w:rPr>
  </w:style>
  <w:style w:type="character" w:customStyle="1" w:styleId="footnotemark">
    <w:name w:val="footnote mark"/>
    <w:hidden/>
    <w:rsid w:val="00A014B9"/>
    <w:rPr>
      <w:rFonts w:ascii="Arial" w:eastAsia="Arial" w:hAnsi="Arial" w:cs="Arial"/>
      <w:color w:val="000000"/>
      <w:sz w:val="16"/>
      <w:vertAlign w:val="superscript"/>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e"/>
    <w:next w:val="Normale"/>
    <w:link w:val="Rimandonotaapidipagina"/>
    <w:rsid w:val="00A014B9"/>
    <w:pPr>
      <w:spacing w:after="160" w:line="240" w:lineRule="exact"/>
      <w:ind w:firstLine="397"/>
      <w:jc w:val="both"/>
    </w:pPr>
    <w:rPr>
      <w:sz w:val="20"/>
      <w:szCs w:val="20"/>
      <w:vertAlign w:val="superscript"/>
    </w:rPr>
  </w:style>
  <w:style w:type="character" w:customStyle="1" w:styleId="Menzionenonrisolta3">
    <w:name w:val="Menzione non risolta3"/>
    <w:basedOn w:val="Carpredefinitoparagrafo"/>
    <w:uiPriority w:val="99"/>
    <w:semiHidden/>
    <w:unhideWhenUsed/>
    <w:rsid w:val="00673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1245">
      <w:bodyDiv w:val="1"/>
      <w:marLeft w:val="0"/>
      <w:marRight w:val="0"/>
      <w:marTop w:val="0"/>
      <w:marBottom w:val="0"/>
      <w:divBdr>
        <w:top w:val="none" w:sz="0" w:space="0" w:color="auto"/>
        <w:left w:val="none" w:sz="0" w:space="0" w:color="auto"/>
        <w:bottom w:val="none" w:sz="0" w:space="0" w:color="auto"/>
        <w:right w:val="none" w:sz="0" w:space="0" w:color="auto"/>
      </w:divBdr>
    </w:div>
    <w:div w:id="357895539">
      <w:bodyDiv w:val="1"/>
      <w:marLeft w:val="0"/>
      <w:marRight w:val="0"/>
      <w:marTop w:val="0"/>
      <w:marBottom w:val="0"/>
      <w:divBdr>
        <w:top w:val="none" w:sz="0" w:space="0" w:color="auto"/>
        <w:left w:val="none" w:sz="0" w:space="0" w:color="auto"/>
        <w:bottom w:val="none" w:sz="0" w:space="0" w:color="auto"/>
        <w:right w:val="none" w:sz="0" w:space="0" w:color="auto"/>
      </w:divBdr>
    </w:div>
    <w:div w:id="395979205">
      <w:bodyDiv w:val="1"/>
      <w:marLeft w:val="0"/>
      <w:marRight w:val="0"/>
      <w:marTop w:val="0"/>
      <w:marBottom w:val="0"/>
      <w:divBdr>
        <w:top w:val="none" w:sz="0" w:space="0" w:color="auto"/>
        <w:left w:val="none" w:sz="0" w:space="0" w:color="auto"/>
        <w:bottom w:val="none" w:sz="0" w:space="0" w:color="auto"/>
        <w:right w:val="none" w:sz="0" w:space="0" w:color="auto"/>
      </w:divBdr>
    </w:div>
    <w:div w:id="460540886">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866215215">
      <w:bodyDiv w:val="1"/>
      <w:marLeft w:val="0"/>
      <w:marRight w:val="0"/>
      <w:marTop w:val="0"/>
      <w:marBottom w:val="0"/>
      <w:divBdr>
        <w:top w:val="none" w:sz="0" w:space="0" w:color="auto"/>
        <w:left w:val="none" w:sz="0" w:space="0" w:color="auto"/>
        <w:bottom w:val="none" w:sz="0" w:space="0" w:color="auto"/>
        <w:right w:val="none" w:sz="0" w:space="0" w:color="auto"/>
      </w:divBdr>
    </w:div>
    <w:div w:id="970786791">
      <w:bodyDiv w:val="1"/>
      <w:marLeft w:val="0"/>
      <w:marRight w:val="0"/>
      <w:marTop w:val="0"/>
      <w:marBottom w:val="0"/>
      <w:divBdr>
        <w:top w:val="none" w:sz="0" w:space="0" w:color="auto"/>
        <w:left w:val="none" w:sz="0" w:space="0" w:color="auto"/>
        <w:bottom w:val="none" w:sz="0" w:space="0" w:color="auto"/>
        <w:right w:val="none" w:sz="0" w:space="0" w:color="auto"/>
      </w:divBdr>
    </w:div>
    <w:div w:id="1190532546">
      <w:bodyDiv w:val="1"/>
      <w:marLeft w:val="0"/>
      <w:marRight w:val="0"/>
      <w:marTop w:val="0"/>
      <w:marBottom w:val="0"/>
      <w:divBdr>
        <w:top w:val="none" w:sz="0" w:space="0" w:color="auto"/>
        <w:left w:val="none" w:sz="0" w:space="0" w:color="auto"/>
        <w:bottom w:val="none" w:sz="0" w:space="0" w:color="auto"/>
        <w:right w:val="none" w:sz="0" w:space="0" w:color="auto"/>
      </w:divBdr>
    </w:div>
    <w:div w:id="1244611339">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307779713">
      <w:bodyDiv w:val="1"/>
      <w:marLeft w:val="0"/>
      <w:marRight w:val="0"/>
      <w:marTop w:val="0"/>
      <w:marBottom w:val="0"/>
      <w:divBdr>
        <w:top w:val="none" w:sz="0" w:space="0" w:color="auto"/>
        <w:left w:val="none" w:sz="0" w:space="0" w:color="auto"/>
        <w:bottom w:val="none" w:sz="0" w:space="0" w:color="auto"/>
        <w:right w:val="none" w:sz="0" w:space="0" w:color="auto"/>
      </w:divBdr>
    </w:div>
    <w:div w:id="1494301281">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647398140">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2082632118">
      <w:bodyDiv w:val="1"/>
      <w:marLeft w:val="0"/>
      <w:marRight w:val="0"/>
      <w:marTop w:val="0"/>
      <w:marBottom w:val="0"/>
      <w:divBdr>
        <w:top w:val="none" w:sz="0" w:space="0" w:color="auto"/>
        <w:left w:val="none" w:sz="0" w:space="0" w:color="auto"/>
        <w:bottom w:val="none" w:sz="0" w:space="0" w:color="auto"/>
        <w:right w:val="none" w:sz="0" w:space="0" w:color="auto"/>
      </w:divBdr>
      <w:divsChild>
        <w:div w:id="1017728266">
          <w:marLeft w:val="0"/>
          <w:marRight w:val="0"/>
          <w:marTop w:val="0"/>
          <w:marBottom w:val="0"/>
          <w:divBdr>
            <w:top w:val="none" w:sz="0" w:space="0" w:color="auto"/>
            <w:left w:val="none" w:sz="0" w:space="0" w:color="auto"/>
            <w:bottom w:val="none" w:sz="0" w:space="0" w:color="auto"/>
            <w:right w:val="none" w:sz="0" w:space="0" w:color="auto"/>
          </w:divBdr>
        </w:div>
        <w:div w:id="398788545">
          <w:marLeft w:val="0"/>
          <w:marRight w:val="0"/>
          <w:marTop w:val="0"/>
          <w:marBottom w:val="0"/>
          <w:divBdr>
            <w:top w:val="none" w:sz="0" w:space="0" w:color="auto"/>
            <w:left w:val="none" w:sz="0" w:space="0" w:color="auto"/>
            <w:bottom w:val="none" w:sz="0" w:space="0" w:color="auto"/>
            <w:right w:val="none" w:sz="0" w:space="0" w:color="auto"/>
          </w:divBdr>
        </w:div>
      </w:divsChild>
    </w:div>
    <w:div w:id="210791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hyperlink" Target="mailto:femia@istat.it" TargetMode="Externa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2.xml"/><Relationship Id="rId28" Type="http://schemas.openxmlformats.org/officeDocument/2006/relationships/hyperlink" Target="mailto:vetrella@istat.it" TargetMode="External"/><Relationship Id="rId10" Type="http://schemas.openxmlformats.org/officeDocument/2006/relationships/header" Target="header1.xml"/><Relationship Id="rId19" Type="http://schemas.openxmlformats.org/officeDocument/2006/relationships/chart" Target="charts/chart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hyperlink" Target="mailto:tudini@istat.it"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ufficiostampa@istat.it" TargetMode="External"/><Relationship Id="rId1" Type="http://schemas.openxmlformats.org/officeDocument/2006/relationships/hyperlink" Target="mailto:ufficiostampa@istat.it"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IT/TXT/HTML/?uri=CELEX:32015R2174&amp;fro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dcn\CN\ContAmb\ATTIVITA\Pubblicazioni%20e%20Diffusione\Statistica%20Report%20CA\2024_Statistica%20Report%20CA\Economia%20e%20ambiente_2024_FIGUR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dcn\CN\ContAmb\ATTIVITA\Pubblicazioni%20e%20Diffusione\Statistica%20Report%20CA\2024_Statistica%20Report%20CA\Economia%20e%20ambiente_2024_FIGUR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cn\CN\ContAmb\ATTIVITA\Pubblicazioni%20e%20Diffusione\Statistica%20Report%20CA\2024_Statistica%20Report%20CA\Economia%20e%20ambiente_2024_FIGU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cn\cn\contamb\ATTIVITA\Pubblicazioni%20e%20Diffusione\Statistica%20Report%20CA\2024_Statistica%20Report%20CA\AEA\Analisi%20dati.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cn\CN\ContAmb\ATTIVITA\Pubblicazioni%20e%20Diffusione\Statistica%20Report%20CA\2024_Statistica%20Report%20CA\Economia%20e%20ambiente_2024_FIGU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nzalucia.vaccaro\Downloads\Economia%20e%20ambiente_2024_FIGU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nzalucia.vaccaro\Downloads\Economia%20e%20ambiente_2024_FIGU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cn\CN\ContAmb\ATTIVITA\Pubblicazioni%20e%20Diffusione\Statistica%20Report%20CA\2024_Statistica%20Report%20CA\Economia%20e%20ambiente_2024_FIGU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cn\CN\ContAmb\ATTIVITA\Pubblicazioni%20e%20Diffusione\Statistica%20Report%20CA\2024_Statistica%20Report%20CA\Economia%20e%20ambiente_2024_FIGUR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cn\CN\ContAmb\ATTIVITA\Pubblicazioni%20e%20Diffusione\Statistica%20Report%20CA\2024_Statistica%20Report%20CA\Economia%20e%20ambiente_2024_FIGU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2287581699346"/>
          <c:y val="0.1045175752095831"/>
          <c:w val="0.81271307189542497"/>
          <c:h val="0.79824808429118776"/>
        </c:manualLayout>
      </c:layout>
      <c:barChart>
        <c:barDir val="bar"/>
        <c:grouping val="stacked"/>
        <c:varyColors val="0"/>
        <c:ser>
          <c:idx val="0"/>
          <c:order val="0"/>
          <c:tx>
            <c:strRef>
              <c:f>'Figura 1 - energia'!$B$20</c:f>
              <c:strCache>
                <c:ptCount val="1"/>
                <c:pt idx="0">
                  <c:v>Agricoltura</c:v>
                </c:pt>
              </c:strCache>
            </c:strRef>
          </c:tx>
          <c:spPr>
            <a:solidFill>
              <a:srgbClr val="1F497D"/>
            </a:solidFill>
            <a:ln>
              <a:noFill/>
            </a:ln>
            <a:effectLst/>
          </c:spPr>
          <c:invertIfNegative val="0"/>
          <c:dPt>
            <c:idx val="1"/>
            <c:invertIfNegative val="0"/>
            <c:bubble3D val="0"/>
            <c:spPr>
              <a:solidFill>
                <a:srgbClr val="1F497D"/>
              </a:solidFill>
              <a:ln>
                <a:noFill/>
              </a:ln>
              <a:effectLst/>
            </c:spPr>
            <c:extLst>
              <c:ext xmlns:c16="http://schemas.microsoft.com/office/drawing/2014/chart" uri="{C3380CC4-5D6E-409C-BE32-E72D297353CC}">
                <c16:uniqueId val="{00000001-66F9-4267-B8A1-7873DFBE375D}"/>
              </c:ext>
            </c:extLst>
          </c:dPt>
          <c:cat>
            <c:numRef>
              <c:f>'Figura 1 - energia'!$A$4:$A$7</c:f>
              <c:numCache>
                <c:formatCode>General</c:formatCode>
                <c:ptCount val="4"/>
                <c:pt idx="0">
                  <c:v>2020</c:v>
                </c:pt>
                <c:pt idx="1">
                  <c:v>2021</c:v>
                </c:pt>
                <c:pt idx="2">
                  <c:v>2022</c:v>
                </c:pt>
                <c:pt idx="3">
                  <c:v>2023</c:v>
                </c:pt>
              </c:numCache>
            </c:numRef>
          </c:cat>
          <c:val>
            <c:numRef>
              <c:f>'Figura 1 - energia'!$B$21:$B$24</c:f>
              <c:numCache>
                <c:formatCode>_-* #,##0_-;\-* #,##0_-;_-* "-"??_-;_-@_-</c:formatCode>
                <c:ptCount val="4"/>
                <c:pt idx="0">
                  <c:v>156.23743662397055</c:v>
                </c:pt>
                <c:pt idx="1">
                  <c:v>181.05937470861664</c:v>
                </c:pt>
                <c:pt idx="2">
                  <c:v>175.6768986806008</c:v>
                </c:pt>
                <c:pt idx="3">
                  <c:v>167.99152603433654</c:v>
                </c:pt>
              </c:numCache>
            </c:numRef>
          </c:val>
          <c:extLst>
            <c:ext xmlns:c16="http://schemas.microsoft.com/office/drawing/2014/chart" uri="{C3380CC4-5D6E-409C-BE32-E72D297353CC}">
              <c16:uniqueId val="{00000002-66F9-4267-B8A1-7873DFBE375D}"/>
            </c:ext>
          </c:extLst>
        </c:ser>
        <c:ser>
          <c:idx val="1"/>
          <c:order val="1"/>
          <c:tx>
            <c:strRef>
              <c:f>'Figura 1 - energia'!$C$20</c:f>
              <c:strCache>
                <c:ptCount val="1"/>
                <c:pt idx="0">
                  <c:v>Industria</c:v>
                </c:pt>
              </c:strCache>
            </c:strRef>
          </c:tx>
          <c:spPr>
            <a:solidFill>
              <a:srgbClr val="9BBB59"/>
            </a:solidFill>
            <a:ln>
              <a:noFill/>
            </a:ln>
            <a:effectLst/>
          </c:spPr>
          <c:invertIfNegative val="0"/>
          <c:cat>
            <c:numRef>
              <c:f>'Figura 1 - energia'!$A$4:$A$7</c:f>
              <c:numCache>
                <c:formatCode>General</c:formatCode>
                <c:ptCount val="4"/>
                <c:pt idx="0">
                  <c:v>2020</c:v>
                </c:pt>
                <c:pt idx="1">
                  <c:v>2021</c:v>
                </c:pt>
                <c:pt idx="2">
                  <c:v>2022</c:v>
                </c:pt>
                <c:pt idx="3">
                  <c:v>2023</c:v>
                </c:pt>
              </c:numCache>
            </c:numRef>
          </c:cat>
          <c:val>
            <c:numRef>
              <c:f>'Figura 1 - energia'!$C$21:$C$24</c:f>
              <c:numCache>
                <c:formatCode>_-* #,##0_-;\-* #,##0_-;_-* "-"??_-;_-@_-</c:formatCode>
                <c:ptCount val="4"/>
                <c:pt idx="0">
                  <c:v>2783.4120104799936</c:v>
                </c:pt>
                <c:pt idx="1">
                  <c:v>3002.8835042447231</c:v>
                </c:pt>
                <c:pt idx="2">
                  <c:v>2877.8110528484044</c:v>
                </c:pt>
                <c:pt idx="3">
                  <c:v>2692.5612909849842</c:v>
                </c:pt>
              </c:numCache>
            </c:numRef>
          </c:val>
          <c:extLst>
            <c:ext xmlns:c16="http://schemas.microsoft.com/office/drawing/2014/chart" uri="{C3380CC4-5D6E-409C-BE32-E72D297353CC}">
              <c16:uniqueId val="{00000003-66F9-4267-B8A1-7873DFBE375D}"/>
            </c:ext>
          </c:extLst>
        </c:ser>
        <c:ser>
          <c:idx val="2"/>
          <c:order val="2"/>
          <c:tx>
            <c:strRef>
              <c:f>'Figura 1 - energia'!$D$20</c:f>
              <c:strCache>
                <c:ptCount val="1"/>
                <c:pt idx="0">
                  <c:v>Servizi</c:v>
                </c:pt>
              </c:strCache>
            </c:strRef>
          </c:tx>
          <c:spPr>
            <a:solidFill>
              <a:srgbClr val="E42618"/>
            </a:solidFill>
            <a:ln>
              <a:noFill/>
            </a:ln>
            <a:effectLst/>
          </c:spPr>
          <c:invertIfNegative val="0"/>
          <c:cat>
            <c:numRef>
              <c:f>'Figura 1 - energia'!$A$4:$A$7</c:f>
              <c:numCache>
                <c:formatCode>General</c:formatCode>
                <c:ptCount val="4"/>
                <c:pt idx="0">
                  <c:v>2020</c:v>
                </c:pt>
                <c:pt idx="1">
                  <c:v>2021</c:v>
                </c:pt>
                <c:pt idx="2">
                  <c:v>2022</c:v>
                </c:pt>
                <c:pt idx="3">
                  <c:v>2023</c:v>
                </c:pt>
              </c:numCache>
            </c:numRef>
          </c:cat>
          <c:val>
            <c:numRef>
              <c:f>'Figura 1 - energia'!$D$21:$D$24</c:f>
              <c:numCache>
                <c:formatCode>_-* #,##0_-;\-* #,##0_-;_-* "-"??_-;_-@_-</c:formatCode>
                <c:ptCount val="4"/>
                <c:pt idx="0">
                  <c:v>1292.4181875979564</c:v>
                </c:pt>
                <c:pt idx="1">
                  <c:v>1337.2607575134987</c:v>
                </c:pt>
                <c:pt idx="2">
                  <c:v>1328.3605999889587</c:v>
                </c:pt>
                <c:pt idx="3">
                  <c:v>1346.529465368608</c:v>
                </c:pt>
              </c:numCache>
            </c:numRef>
          </c:val>
          <c:extLst>
            <c:ext xmlns:c16="http://schemas.microsoft.com/office/drawing/2014/chart" uri="{C3380CC4-5D6E-409C-BE32-E72D297353CC}">
              <c16:uniqueId val="{00000004-66F9-4267-B8A1-7873DFBE375D}"/>
            </c:ext>
          </c:extLst>
        </c:ser>
        <c:ser>
          <c:idx val="3"/>
          <c:order val="3"/>
          <c:tx>
            <c:strRef>
              <c:f>'Figura 1 - energia'!$E$20</c:f>
              <c:strCache>
                <c:ptCount val="1"/>
                <c:pt idx="0">
                  <c:v>Famiglie</c:v>
                </c:pt>
              </c:strCache>
            </c:strRef>
          </c:tx>
          <c:spPr>
            <a:solidFill>
              <a:schemeClr val="accent4"/>
            </a:solidFill>
            <a:ln>
              <a:noFill/>
            </a:ln>
            <a:effectLst/>
          </c:spPr>
          <c:invertIfNegative val="0"/>
          <c:cat>
            <c:numRef>
              <c:f>'Figura 1 - energia'!$A$4:$A$7</c:f>
              <c:numCache>
                <c:formatCode>General</c:formatCode>
                <c:ptCount val="4"/>
                <c:pt idx="0">
                  <c:v>2020</c:v>
                </c:pt>
                <c:pt idx="1">
                  <c:v>2021</c:v>
                </c:pt>
                <c:pt idx="2">
                  <c:v>2022</c:v>
                </c:pt>
                <c:pt idx="3">
                  <c:v>2023</c:v>
                </c:pt>
              </c:numCache>
            </c:numRef>
          </c:cat>
          <c:val>
            <c:numRef>
              <c:f>'Figura 1 - energia'!$E$21:$E$24</c:f>
              <c:numCache>
                <c:formatCode>_-* #,##0_-;\-* #,##0_-;_-* "-"??_-;_-@_-</c:formatCode>
                <c:ptCount val="4"/>
                <c:pt idx="0">
                  <c:v>1965.3212952899905</c:v>
                </c:pt>
                <c:pt idx="1">
                  <c:v>2235.4428758497165</c:v>
                </c:pt>
                <c:pt idx="2">
                  <c:v>2164.7827220358035</c:v>
                </c:pt>
                <c:pt idx="3">
                  <c:v>2070.3138870860339</c:v>
                </c:pt>
              </c:numCache>
            </c:numRef>
          </c:val>
          <c:extLst>
            <c:ext xmlns:c16="http://schemas.microsoft.com/office/drawing/2014/chart" uri="{C3380CC4-5D6E-409C-BE32-E72D297353CC}">
              <c16:uniqueId val="{00000005-66F9-4267-B8A1-7873DFBE375D}"/>
            </c:ext>
          </c:extLst>
        </c:ser>
        <c:dLbls>
          <c:showLegendKey val="0"/>
          <c:showVal val="0"/>
          <c:showCatName val="0"/>
          <c:showSerName val="0"/>
          <c:showPercent val="0"/>
          <c:showBubbleSize val="0"/>
        </c:dLbls>
        <c:gapWidth val="90"/>
        <c:overlap val="100"/>
        <c:axId val="876065424"/>
        <c:axId val="876065984"/>
      </c:barChart>
      <c:catAx>
        <c:axId val="876065424"/>
        <c:scaling>
          <c:orientation val="minMax"/>
        </c:scaling>
        <c:delete val="0"/>
        <c:axPos val="l"/>
        <c:majorGridlines>
          <c:spPr>
            <a:ln w="3175" cap="flat" cmpd="sng" algn="ctr">
              <a:solidFill>
                <a:schemeClr val="bg1"/>
              </a:solidFill>
              <a:round/>
            </a:ln>
            <a:effectLst/>
          </c:spPr>
        </c:majorGridlines>
        <c:numFmt formatCode="General" sourceLinked="1"/>
        <c:majorTickMark val="out"/>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Narrow" panose="020B0606020202030204" pitchFamily="34" charset="0"/>
                <a:ea typeface="+mn-ea"/>
                <a:cs typeface="+mn-cs"/>
              </a:defRPr>
            </a:pPr>
            <a:endParaRPr lang="it-IT"/>
          </a:p>
        </c:txPr>
        <c:crossAx val="876065984"/>
        <c:crossesAt val="0"/>
        <c:auto val="1"/>
        <c:lblAlgn val="ctr"/>
        <c:lblOffset val="100"/>
        <c:noMultiLvlLbl val="0"/>
      </c:catAx>
      <c:valAx>
        <c:axId val="876065984"/>
        <c:scaling>
          <c:orientation val="minMax"/>
          <c:max val="7000"/>
          <c:min val="0"/>
        </c:scaling>
        <c:delete val="0"/>
        <c:axPos val="b"/>
        <c:majorGridlines>
          <c:spPr>
            <a:ln w="3175" cap="flat" cmpd="sng" algn="ctr">
              <a:solidFill>
                <a:schemeClr val="bg1"/>
              </a:solidFill>
              <a:round/>
            </a:ln>
            <a:effectLst/>
          </c:spPr>
        </c:majorGridlines>
        <c:numFmt formatCode="_-* #,##0_-;\-* #,##0_-;_-* &quot;-&quot;??_-;_-@_-" sourceLinked="1"/>
        <c:majorTickMark val="out"/>
        <c:minorTickMark val="none"/>
        <c:tickLblPos val="nextTo"/>
        <c:spPr>
          <a:noFill/>
          <a:ln>
            <a:solidFill>
              <a:schemeClr val="bg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876065424"/>
        <c:crosses val="autoZero"/>
        <c:crossBetween val="between"/>
        <c:majorUnit val="1000"/>
        <c:minorUnit val="250"/>
      </c:valAx>
      <c:spPr>
        <a:noFill/>
        <a:ln>
          <a:noFill/>
        </a:ln>
        <a:effectLst/>
      </c:spPr>
    </c:plotArea>
    <c:legend>
      <c:legendPos val="b"/>
      <c:layout>
        <c:manualLayout>
          <c:xMode val="edge"/>
          <c:yMode val="edge"/>
          <c:x val="9.8775472409014561E-2"/>
          <c:y val="2.6431445372949548E-2"/>
          <c:w val="0.81177373318351842"/>
          <c:h val="5.69161936575122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Arial Narrow" panose="020B0606020202030204" pitchFamily="34" charset="0"/>
        </a:defRPr>
      </a:pPr>
      <a:endParaRPr lang="it-IT"/>
    </a:p>
  </c:txPr>
  <c:externalData r:id="rId3">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88555154010004"/>
          <c:y val="0.1114949074074074"/>
          <c:w val="0.83541041412376649"/>
          <c:h val="0.80218520205635457"/>
        </c:manualLayout>
      </c:layout>
      <c:barChart>
        <c:barDir val="bar"/>
        <c:grouping val="stacked"/>
        <c:varyColors val="0"/>
        <c:ser>
          <c:idx val="0"/>
          <c:order val="0"/>
          <c:tx>
            <c:strRef>
              <c:f>'Figura 6 - spesa'!$B$3</c:f>
              <c:strCache>
                <c:ptCount val="1"/>
                <c:pt idx="0">
                  <c:v>Famiglie</c:v>
                </c:pt>
              </c:strCache>
            </c:strRef>
          </c:tx>
          <c:spPr>
            <a:solidFill>
              <a:srgbClr val="9BBB59"/>
            </a:solidFill>
            <a:ln w="9525" cap="flat" cmpd="sng" algn="ctr">
              <a:noFill/>
              <a:prstDash val="solid"/>
              <a:round/>
              <a:headEnd type="none" w="med" len="med"/>
              <a:tailEnd type="none" w="med" len="med"/>
            </a:ln>
          </c:spPr>
          <c:invertIfNegative val="0"/>
          <c:cat>
            <c:multiLvlStrRef>
              <c:f>'Figura 6 - spesa'!$C$1:$J$2</c:f>
              <c:multiLvlStrCache>
                <c:ptCount val="8"/>
                <c:lvl>
                  <c:pt idx="0">
                    <c:v>2022</c:v>
                  </c:pt>
                  <c:pt idx="1">
                    <c:v>2021</c:v>
                  </c:pt>
                  <c:pt idx="2">
                    <c:v>2022</c:v>
                  </c:pt>
                  <c:pt idx="3">
                    <c:v>2021</c:v>
                  </c:pt>
                  <c:pt idx="4">
                    <c:v>2022</c:v>
                  </c:pt>
                  <c:pt idx="5">
                    <c:v>2021</c:v>
                  </c:pt>
                  <c:pt idx="6">
                    <c:v>2022</c:v>
                  </c:pt>
                  <c:pt idx="7">
                    <c:v>2021</c:v>
                  </c:pt>
                </c:lvl>
                <c:lvl>
                  <c:pt idx="0">
                    <c:v>Gestione dei rifiuti</c:v>
                  </c:pt>
                  <c:pt idx="2">
                    <c:v>Gestione acque reflue</c:v>
                  </c:pt>
                  <c:pt idx="4">
                    <c:v>Altre attività di protezione ambientale</c:v>
                  </c:pt>
                  <c:pt idx="6">
                    <c:v>TOTALE </c:v>
                  </c:pt>
                </c:lvl>
              </c:multiLvlStrCache>
            </c:multiLvlStrRef>
          </c:cat>
          <c:val>
            <c:numRef>
              <c:f>'Figura 6 - spesa'!$C$3:$J$3</c:f>
              <c:numCache>
                <c:formatCode>_-* #,##0.0\ _€_-;\-* #,##0.0\ _€_-;_-* "-"??\ _€_-;_-@_-</c:formatCode>
                <c:ptCount val="8"/>
                <c:pt idx="0">
                  <c:v>7.1669119373772059</c:v>
                </c:pt>
                <c:pt idx="1">
                  <c:v>6.8893055045719285</c:v>
                </c:pt>
                <c:pt idx="2">
                  <c:v>2.5924615512540576</c:v>
                </c:pt>
                <c:pt idx="3">
                  <c:v>2.5665754507050633</c:v>
                </c:pt>
                <c:pt idx="4">
                  <c:v>0.21334448356516228</c:v>
                </c:pt>
                <c:pt idx="5">
                  <c:v>0.17463435950681336</c:v>
                </c:pt>
                <c:pt idx="6">
                  <c:v>9.9727179721964241</c:v>
                </c:pt>
                <c:pt idx="7">
                  <c:v>9.6305153147838052</c:v>
                </c:pt>
              </c:numCache>
            </c:numRef>
          </c:val>
          <c:extLst>
            <c:ext xmlns:c16="http://schemas.microsoft.com/office/drawing/2014/chart" uri="{C3380CC4-5D6E-409C-BE32-E72D297353CC}">
              <c16:uniqueId val="{00000000-89A9-470F-AE64-D3BB638F73EE}"/>
            </c:ext>
          </c:extLst>
        </c:ser>
        <c:ser>
          <c:idx val="1"/>
          <c:order val="1"/>
          <c:tx>
            <c:strRef>
              <c:f>'Figura 6 - spesa'!$B$4</c:f>
              <c:strCache>
                <c:ptCount val="1"/>
                <c:pt idx="0">
                  <c:v>Amministrazione Pubblica</c:v>
                </c:pt>
              </c:strCache>
            </c:strRef>
          </c:tx>
          <c:spPr>
            <a:solidFill>
              <a:srgbClr val="E42618"/>
            </a:solidFill>
            <a:ln w="9525" cap="flat" cmpd="sng" algn="ctr">
              <a:noFill/>
              <a:prstDash val="solid"/>
              <a:round/>
              <a:headEnd type="none" w="med" len="med"/>
              <a:tailEnd type="none" w="med" len="med"/>
            </a:ln>
          </c:spPr>
          <c:invertIfNegative val="0"/>
          <c:cat>
            <c:multiLvlStrRef>
              <c:f>'Figura 6 - spesa'!$C$1:$J$2</c:f>
              <c:multiLvlStrCache>
                <c:ptCount val="8"/>
                <c:lvl>
                  <c:pt idx="0">
                    <c:v>2022</c:v>
                  </c:pt>
                  <c:pt idx="1">
                    <c:v>2021</c:v>
                  </c:pt>
                  <c:pt idx="2">
                    <c:v>2022</c:v>
                  </c:pt>
                  <c:pt idx="3">
                    <c:v>2021</c:v>
                  </c:pt>
                  <c:pt idx="4">
                    <c:v>2022</c:v>
                  </c:pt>
                  <c:pt idx="5">
                    <c:v>2021</c:v>
                  </c:pt>
                  <c:pt idx="6">
                    <c:v>2022</c:v>
                  </c:pt>
                  <c:pt idx="7">
                    <c:v>2021</c:v>
                  </c:pt>
                </c:lvl>
                <c:lvl>
                  <c:pt idx="0">
                    <c:v>Gestione dei rifiuti</c:v>
                  </c:pt>
                  <c:pt idx="2">
                    <c:v>Gestione acque reflue</c:v>
                  </c:pt>
                  <c:pt idx="4">
                    <c:v>Altre attività di protezione ambientale</c:v>
                  </c:pt>
                  <c:pt idx="6">
                    <c:v>TOTALE </c:v>
                  </c:pt>
                </c:lvl>
              </c:multiLvlStrCache>
            </c:multiLvlStrRef>
          </c:cat>
          <c:val>
            <c:numRef>
              <c:f>'Figura 6 - spesa'!$C$4:$J$4</c:f>
              <c:numCache>
                <c:formatCode>_-* #,##0.0\ _€_-;\-* #,##0.0\ _€_-;_-* "-"??\ _€_-;_-@_-</c:formatCode>
                <c:ptCount val="8"/>
                <c:pt idx="0">
                  <c:v>3.9536264196140292</c:v>
                </c:pt>
                <c:pt idx="1">
                  <c:v>3.7943606975602395</c:v>
                </c:pt>
                <c:pt idx="2">
                  <c:v>1.5792417919791366</c:v>
                </c:pt>
                <c:pt idx="3">
                  <c:v>1.0478381643215999</c:v>
                </c:pt>
                <c:pt idx="4">
                  <c:v>8.6018166095636737</c:v>
                </c:pt>
                <c:pt idx="5">
                  <c:v>7.9830368338323137</c:v>
                </c:pt>
                <c:pt idx="6">
                  <c:v>14.13468482115684</c:v>
                </c:pt>
                <c:pt idx="7">
                  <c:v>12.825235695714152</c:v>
                </c:pt>
              </c:numCache>
            </c:numRef>
          </c:val>
          <c:extLst>
            <c:ext xmlns:c16="http://schemas.microsoft.com/office/drawing/2014/chart" uri="{C3380CC4-5D6E-409C-BE32-E72D297353CC}">
              <c16:uniqueId val="{00000001-89A9-470F-AE64-D3BB638F73EE}"/>
            </c:ext>
          </c:extLst>
        </c:ser>
        <c:ser>
          <c:idx val="2"/>
          <c:order val="2"/>
          <c:tx>
            <c:strRef>
              <c:f>'Figura 6 - spesa'!$B$5</c:f>
              <c:strCache>
                <c:ptCount val="1"/>
                <c:pt idx="0">
                  <c:v>Società</c:v>
                </c:pt>
              </c:strCache>
            </c:strRef>
          </c:tx>
          <c:spPr>
            <a:solidFill>
              <a:srgbClr val="003B5C"/>
            </a:solidFill>
            <a:ln w="9525" cap="flat" cmpd="sng" algn="ctr">
              <a:noFill/>
              <a:prstDash val="solid"/>
              <a:round/>
              <a:headEnd type="none" w="med" len="med"/>
              <a:tailEnd type="none" w="med" len="med"/>
            </a:ln>
          </c:spPr>
          <c:invertIfNegative val="0"/>
          <c:cat>
            <c:multiLvlStrRef>
              <c:f>'Figura 6 - spesa'!$C$1:$J$2</c:f>
              <c:multiLvlStrCache>
                <c:ptCount val="8"/>
                <c:lvl>
                  <c:pt idx="0">
                    <c:v>2022</c:v>
                  </c:pt>
                  <c:pt idx="1">
                    <c:v>2021</c:v>
                  </c:pt>
                  <c:pt idx="2">
                    <c:v>2022</c:v>
                  </c:pt>
                  <c:pt idx="3">
                    <c:v>2021</c:v>
                  </c:pt>
                  <c:pt idx="4">
                    <c:v>2022</c:v>
                  </c:pt>
                  <c:pt idx="5">
                    <c:v>2021</c:v>
                  </c:pt>
                  <c:pt idx="6">
                    <c:v>2022</c:v>
                  </c:pt>
                  <c:pt idx="7">
                    <c:v>2021</c:v>
                  </c:pt>
                </c:lvl>
                <c:lvl>
                  <c:pt idx="0">
                    <c:v>Gestione dei rifiuti</c:v>
                  </c:pt>
                  <c:pt idx="2">
                    <c:v>Gestione acque reflue</c:v>
                  </c:pt>
                  <c:pt idx="4">
                    <c:v>Altre attività di protezione ambientale</c:v>
                  </c:pt>
                  <c:pt idx="6">
                    <c:v>TOTALE </c:v>
                  </c:pt>
                </c:lvl>
              </c:multiLvlStrCache>
            </c:multiLvlStrRef>
          </c:cat>
          <c:val>
            <c:numRef>
              <c:f>'Figura 6 - spesa'!$C$5:$J$5</c:f>
              <c:numCache>
                <c:formatCode>_-* #,##0.0\ _€_-;\-* #,##0.0\ _€_-;_-* "-"??\ _€_-;_-@_-</c:formatCode>
                <c:ptCount val="8"/>
                <c:pt idx="0">
                  <c:v>12.455465260009586</c:v>
                </c:pt>
                <c:pt idx="1">
                  <c:v>11.679570610297947</c:v>
                </c:pt>
                <c:pt idx="2">
                  <c:v>8.9647360617972023</c:v>
                </c:pt>
                <c:pt idx="3">
                  <c:v>7.8531248754597369</c:v>
                </c:pt>
                <c:pt idx="4">
                  <c:v>5.9067826769325089</c:v>
                </c:pt>
                <c:pt idx="5">
                  <c:v>5.0211226923249495</c:v>
                </c:pt>
                <c:pt idx="6">
                  <c:v>27.326983998739298</c:v>
                </c:pt>
                <c:pt idx="7">
                  <c:v>24.553818178082633</c:v>
                </c:pt>
              </c:numCache>
            </c:numRef>
          </c:val>
          <c:extLst>
            <c:ext xmlns:c16="http://schemas.microsoft.com/office/drawing/2014/chart" uri="{C3380CC4-5D6E-409C-BE32-E72D297353CC}">
              <c16:uniqueId val="{00000002-89A9-470F-AE64-D3BB638F73EE}"/>
            </c:ext>
          </c:extLst>
        </c:ser>
        <c:dLbls>
          <c:showLegendKey val="0"/>
          <c:showVal val="0"/>
          <c:showCatName val="0"/>
          <c:showSerName val="0"/>
          <c:showPercent val="0"/>
          <c:showBubbleSize val="0"/>
        </c:dLbls>
        <c:gapWidth val="90"/>
        <c:overlap val="100"/>
        <c:axId val="1378333936"/>
        <c:axId val="1378334496"/>
      </c:barChart>
      <c:catAx>
        <c:axId val="1378333936"/>
        <c:scaling>
          <c:orientation val="minMax"/>
        </c:scaling>
        <c:delete val="0"/>
        <c:axPos val="l"/>
        <c:majorGridlines>
          <c:spPr>
            <a:ln w="3175" cap="flat" cmpd="sng" algn="ctr">
              <a:solidFill>
                <a:schemeClr val="bg1"/>
              </a:solidFill>
              <a:prstDash val="solid"/>
              <a:round/>
              <a:headEnd type="none" w="med" len="med"/>
              <a:tailEnd type="none" w="med" len="med"/>
            </a:ln>
          </c:spPr>
        </c:majorGridlines>
        <c:numFmt formatCode="General" sourceLinked="1"/>
        <c:majorTickMark val="out"/>
        <c:minorTickMark val="none"/>
        <c:tickLblPos val="low"/>
        <c:spPr>
          <a:noFill/>
          <a:ln w="12700" cap="flat" cmpd="sng" algn="ctr">
            <a:solidFill>
              <a:schemeClr val="bg1"/>
            </a:solidFill>
            <a:round/>
          </a:ln>
          <a:effectLst/>
          <a:extLst>
            <a:ext uri="{909E8E84-426E-40DD-AFC4-6F175D3DCCD1}">
              <a14:hiddenFill xmlns:a14="http://schemas.microsoft.com/office/drawing/2010/main">
                <a:noFill/>
              </a14:hiddenFill>
            </a:ext>
          </a:extLst>
        </c:spPr>
        <c:txPr>
          <a:bodyPr rot="0" vert="horz"/>
          <a:lstStyle/>
          <a:p>
            <a:pPr>
              <a:defRPr/>
            </a:pPr>
            <a:endParaRPr lang="it-IT"/>
          </a:p>
        </c:txPr>
        <c:crossAx val="1378334496"/>
        <c:crossesAt val="0"/>
        <c:auto val="1"/>
        <c:lblAlgn val="ctr"/>
        <c:lblOffset val="0"/>
        <c:noMultiLvlLbl val="0"/>
      </c:catAx>
      <c:valAx>
        <c:axId val="1378334496"/>
        <c:scaling>
          <c:orientation val="minMax"/>
        </c:scaling>
        <c:delete val="0"/>
        <c:axPos val="b"/>
        <c:majorGridlines>
          <c:spPr>
            <a:ln w="3175" cap="flat" cmpd="sng" algn="ctr">
              <a:solidFill>
                <a:schemeClr val="bg1"/>
              </a:solidFill>
              <a:prstDash val="solid"/>
              <a:round/>
              <a:headEnd type="none" w="med" len="med"/>
              <a:tailEnd type="none" w="med" len="med"/>
            </a:ln>
            <a:effectLst/>
          </c:spPr>
        </c:majorGridlines>
        <c:numFmt formatCode="#,##0" sourceLinked="0"/>
        <c:majorTickMark val="out"/>
        <c:minorTickMark val="none"/>
        <c:tickLblPos val="nextTo"/>
        <c:spPr>
          <a:ln w="12700">
            <a:solidFill>
              <a:schemeClr val="bg1"/>
            </a:solidFill>
          </a:ln>
        </c:spPr>
        <c:txPr>
          <a:bodyPr rot="0" vert="horz"/>
          <a:lstStyle/>
          <a:p>
            <a:pPr>
              <a:defRPr b="0"/>
            </a:pPr>
            <a:endParaRPr lang="it-IT"/>
          </a:p>
        </c:txPr>
        <c:crossAx val="1378333936"/>
        <c:crosses val="autoZero"/>
        <c:crossBetween val="between"/>
      </c:valAx>
      <c:spPr>
        <a:noFill/>
        <a:ln w="25400">
          <a:noFill/>
        </a:ln>
      </c:spPr>
    </c:plotArea>
    <c:legend>
      <c:legendPos val="t"/>
      <c:layout>
        <c:manualLayout>
          <c:xMode val="edge"/>
          <c:yMode val="edge"/>
          <c:x val="0.19574308530582613"/>
          <c:y val="3.1011474805318757E-2"/>
          <c:w val="0.61673248290772165"/>
          <c:h val="7.481748305881511E-2"/>
        </c:manualLayout>
      </c:layout>
      <c:overlay val="0"/>
      <c:spPr>
        <a:noFill/>
        <a:ln w="25400">
          <a:noFill/>
        </a:ln>
      </c:spPr>
      <c:txPr>
        <a:bodyPr/>
        <a:lstStyle/>
        <a:p>
          <a:pPr>
            <a:defRPr b="0"/>
          </a:pPr>
          <a:endParaRPr lang="it-IT"/>
        </a:p>
      </c:txPr>
    </c:legend>
    <c:plotVisOnly val="1"/>
    <c:dispBlanksAs val="gap"/>
    <c:showDLblsOverMax val="0"/>
  </c:chart>
  <c:spPr>
    <a:noFill/>
    <a:ln w="9525" cap="flat" cmpd="sng" algn="ctr">
      <a:noFill/>
      <a:round/>
    </a:ln>
    <a:effectLst/>
  </c:spPr>
  <c:txPr>
    <a:bodyPr/>
    <a:lstStyle/>
    <a:p>
      <a:pPr>
        <a:defRPr sz="800" b="1" i="0" u="none" strike="noStrike" baseline="0">
          <a:solidFill>
            <a:sysClr val="windowText" lastClr="000000"/>
          </a:solidFill>
          <a:latin typeface="Arial Narrow" panose="020B0606020202030204" pitchFamily="34" charset="0"/>
          <a:ea typeface="Calibri"/>
          <a:cs typeface="Calibri"/>
        </a:defRPr>
      </a:pPr>
      <a:endParaRPr lang="it-IT"/>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036249893542"/>
          <c:y val="0.10611848150833268"/>
          <c:w val="0.81522712315827783"/>
          <c:h val="0.79178187684756662"/>
        </c:manualLayout>
      </c:layout>
      <c:barChart>
        <c:barDir val="col"/>
        <c:grouping val="clustered"/>
        <c:varyColors val="0"/>
        <c:ser>
          <c:idx val="1"/>
          <c:order val="1"/>
          <c:tx>
            <c:strRef>
              <c:f>'Figura 1 - energia'!$A$5</c:f>
              <c:strCache>
                <c:ptCount val="1"/>
                <c:pt idx="0">
                  <c:v>2021</c:v>
                </c:pt>
              </c:strCache>
            </c:strRef>
          </c:tx>
          <c:spPr>
            <a:solidFill>
              <a:schemeClr val="accent6"/>
            </a:solidFill>
            <a:ln>
              <a:noFill/>
            </a:ln>
            <a:effectLst/>
          </c:spPr>
          <c:invertIfNegative val="0"/>
          <c:cat>
            <c:strRef>
              <c:f>'Figura 1 - energia'!$B$3:$K$3</c:f>
              <c:strCache>
                <c:ptCount val="10"/>
                <c:pt idx="0">
                  <c:v>A</c:v>
                </c:pt>
                <c:pt idx="1">
                  <c:v>B</c:v>
                </c:pt>
                <c:pt idx="2">
                  <c:v>C</c:v>
                </c:pt>
                <c:pt idx="3">
                  <c:v>D</c:v>
                </c:pt>
                <c:pt idx="4">
                  <c:v>E</c:v>
                </c:pt>
                <c:pt idx="5">
                  <c:v>F</c:v>
                </c:pt>
                <c:pt idx="6">
                  <c:v>H</c:v>
                </c:pt>
                <c:pt idx="7">
                  <c:v>O</c:v>
                </c:pt>
                <c:pt idx="8">
                  <c:v>Altri
servizi </c:v>
                </c:pt>
                <c:pt idx="9">
                  <c:v>Famiglie</c:v>
                </c:pt>
              </c:strCache>
            </c:strRef>
          </c:cat>
          <c:val>
            <c:numRef>
              <c:f>'Figura 1 - energia'!$B$5:$K$5</c:f>
              <c:numCache>
                <c:formatCode>_-* #,##0_-;\-* #,##0_-;_-* "-"??_-;_-@_-</c:formatCode>
                <c:ptCount val="10"/>
                <c:pt idx="0">
                  <c:v>181.05937470861664</c:v>
                </c:pt>
                <c:pt idx="1">
                  <c:v>38.92971730669732</c:v>
                </c:pt>
                <c:pt idx="2">
                  <c:v>1803.3659866554842</c:v>
                </c:pt>
                <c:pt idx="3">
                  <c:v>884.45929067180111</c:v>
                </c:pt>
                <c:pt idx="4">
                  <c:v>105.06473310122516</c:v>
                </c:pt>
                <c:pt idx="5">
                  <c:v>171.06377650951561</c:v>
                </c:pt>
                <c:pt idx="6">
                  <c:v>606.8153071267941</c:v>
                </c:pt>
                <c:pt idx="7">
                  <c:v>60.283525177666448</c:v>
                </c:pt>
                <c:pt idx="8">
                  <c:v>670.16192520903815</c:v>
                </c:pt>
                <c:pt idx="9">
                  <c:v>2235.4428758497165</c:v>
                </c:pt>
              </c:numCache>
            </c:numRef>
          </c:val>
          <c:extLst>
            <c:ext xmlns:c16="http://schemas.microsoft.com/office/drawing/2014/chart" uri="{C3380CC4-5D6E-409C-BE32-E72D297353CC}">
              <c16:uniqueId val="{00000000-6308-481E-AEBC-1EA53888E14B}"/>
            </c:ext>
          </c:extLst>
        </c:ser>
        <c:ser>
          <c:idx val="2"/>
          <c:order val="3"/>
          <c:tx>
            <c:strRef>
              <c:f>'Figura 1 - energia'!$A$6</c:f>
              <c:strCache>
                <c:ptCount val="1"/>
                <c:pt idx="0">
                  <c:v>2022</c:v>
                </c:pt>
              </c:strCache>
            </c:strRef>
          </c:tx>
          <c:spPr>
            <a:solidFill>
              <a:srgbClr val="1F497D"/>
            </a:solidFill>
            <a:ln w="25400">
              <a:noFill/>
            </a:ln>
            <a:effectLst/>
          </c:spPr>
          <c:invertIfNegative val="0"/>
          <c:cat>
            <c:strRef>
              <c:f>'Figura 1 - energia'!$B$2:$K$2</c:f>
              <c:strCache>
                <c:ptCount val="10"/>
                <c:pt idx="0">
                  <c:v>A</c:v>
                </c:pt>
                <c:pt idx="1">
                  <c:v>B</c:v>
                </c:pt>
                <c:pt idx="2">
                  <c:v>C</c:v>
                </c:pt>
                <c:pt idx="3">
                  <c:v>D</c:v>
                </c:pt>
                <c:pt idx="4">
                  <c:v>E</c:v>
                </c:pt>
                <c:pt idx="5">
                  <c:v>F</c:v>
                </c:pt>
                <c:pt idx="6">
                  <c:v>H</c:v>
                </c:pt>
                <c:pt idx="7">
                  <c:v>O</c:v>
                </c:pt>
                <c:pt idx="8">
                  <c:v>Altri servizi </c:v>
                </c:pt>
                <c:pt idx="9">
                  <c:v>Famiglie</c:v>
                </c:pt>
              </c:strCache>
            </c:strRef>
          </c:cat>
          <c:val>
            <c:numRef>
              <c:f>'Figura 1 - energia'!$B$6:$K$6</c:f>
              <c:numCache>
                <c:formatCode>_-* #,##0_-;\-* #,##0_-;_-* "-"??_-;_-@_-</c:formatCode>
                <c:ptCount val="10"/>
                <c:pt idx="0">
                  <c:v>175.6768986806008</c:v>
                </c:pt>
                <c:pt idx="1">
                  <c:v>37.908776958669428</c:v>
                </c:pt>
                <c:pt idx="2">
                  <c:v>1671.3837503534739</c:v>
                </c:pt>
                <c:pt idx="3">
                  <c:v>911.18882076588534</c:v>
                </c:pt>
                <c:pt idx="4">
                  <c:v>104.65098713313475</c:v>
                </c:pt>
                <c:pt idx="5">
                  <c:v>152.67871763724105</c:v>
                </c:pt>
                <c:pt idx="6">
                  <c:v>618.14756718329022</c:v>
                </c:pt>
                <c:pt idx="7">
                  <c:v>50.133749002701407</c:v>
                </c:pt>
                <c:pt idx="8">
                  <c:v>660.0792838029671</c:v>
                </c:pt>
                <c:pt idx="9">
                  <c:v>2164.7827220358035</c:v>
                </c:pt>
              </c:numCache>
            </c:numRef>
          </c:val>
          <c:extLst>
            <c:ext xmlns:c16="http://schemas.microsoft.com/office/drawing/2014/chart" uri="{C3380CC4-5D6E-409C-BE32-E72D297353CC}">
              <c16:uniqueId val="{00000001-6308-481E-AEBC-1EA53888E14B}"/>
            </c:ext>
          </c:extLst>
        </c:ser>
        <c:dLbls>
          <c:showLegendKey val="0"/>
          <c:showVal val="0"/>
          <c:showCatName val="0"/>
          <c:showSerName val="0"/>
          <c:showPercent val="0"/>
          <c:showBubbleSize val="0"/>
        </c:dLbls>
        <c:gapWidth val="90"/>
        <c:axId val="876751888"/>
        <c:axId val="876752448"/>
        <c:extLst>
          <c:ext xmlns:c15="http://schemas.microsoft.com/office/drawing/2012/chart" uri="{02D57815-91ED-43cb-92C2-25804820EDAC}">
            <c15:filteredBarSeries>
              <c15:ser>
                <c:idx val="0"/>
                <c:order val="0"/>
                <c:tx>
                  <c:strRef>
                    <c:extLst>
                      <c:ext uri="{02D57815-91ED-43cb-92C2-25804820EDAC}">
                        <c15:formulaRef>
                          <c15:sqref>'Figura 1 - energia'!$A$4</c15:sqref>
                        </c15:formulaRef>
                      </c:ext>
                    </c:extLst>
                    <c:strCache>
                      <c:ptCount val="1"/>
                      <c:pt idx="0">
                        <c:v>2020</c:v>
                      </c:pt>
                    </c:strCache>
                  </c:strRef>
                </c:tx>
                <c:spPr>
                  <a:solidFill>
                    <a:srgbClr val="9BBB59"/>
                  </a:solidFill>
                  <a:ln>
                    <a:noFill/>
                  </a:ln>
                  <a:effectLst/>
                </c:spPr>
                <c:invertIfNegative val="0"/>
                <c:cat>
                  <c:strRef>
                    <c:extLst>
                      <c:ext uri="{02D57815-91ED-43cb-92C2-25804820EDAC}">
                        <c15:formulaRef>
                          <c15:sqref>'Figura 1 - energia'!$B$3:$K$3</c15:sqref>
                        </c15:formulaRef>
                      </c:ext>
                    </c:extLst>
                    <c:strCache>
                      <c:ptCount val="10"/>
                      <c:pt idx="0">
                        <c:v>A</c:v>
                      </c:pt>
                      <c:pt idx="1">
                        <c:v>B</c:v>
                      </c:pt>
                      <c:pt idx="2">
                        <c:v>C</c:v>
                      </c:pt>
                      <c:pt idx="3">
                        <c:v>D</c:v>
                      </c:pt>
                      <c:pt idx="4">
                        <c:v>E</c:v>
                      </c:pt>
                      <c:pt idx="5">
                        <c:v>F</c:v>
                      </c:pt>
                      <c:pt idx="6">
                        <c:v>H</c:v>
                      </c:pt>
                      <c:pt idx="7">
                        <c:v>O</c:v>
                      </c:pt>
                      <c:pt idx="8">
                        <c:v>Altri
servizi </c:v>
                      </c:pt>
                      <c:pt idx="9">
                        <c:v>Famiglie</c:v>
                      </c:pt>
                    </c:strCache>
                  </c:strRef>
                </c:cat>
                <c:val>
                  <c:numRef>
                    <c:extLst>
                      <c:ext uri="{02D57815-91ED-43cb-92C2-25804820EDAC}">
                        <c15:formulaRef>
                          <c15:sqref>'Figura 1 - energia'!$B$4:$K$4</c15:sqref>
                        </c15:formulaRef>
                      </c:ext>
                    </c:extLst>
                    <c:numCache>
                      <c:formatCode>_-* #,##0_-;\-* #,##0_-;_-* "-"??_-;_-@_-</c:formatCode>
                      <c:ptCount val="10"/>
                      <c:pt idx="0">
                        <c:v>156.23743662397055</c:v>
                      </c:pt>
                      <c:pt idx="1">
                        <c:v>32.418922660191917</c:v>
                      </c:pt>
                      <c:pt idx="2">
                        <c:v>1636.4009433654992</c:v>
                      </c:pt>
                      <c:pt idx="3">
                        <c:v>869.12277730115181</c:v>
                      </c:pt>
                      <c:pt idx="4">
                        <c:v>100.66533160219791</c:v>
                      </c:pt>
                      <c:pt idx="5">
                        <c:v>144.80403555095234</c:v>
                      </c:pt>
                      <c:pt idx="6">
                        <c:v>532.56216302026303</c:v>
                      </c:pt>
                      <c:pt idx="7">
                        <c:v>96.993351214680303</c:v>
                      </c:pt>
                      <c:pt idx="8">
                        <c:v>662.86267336301307</c:v>
                      </c:pt>
                      <c:pt idx="9">
                        <c:v>1965.3212952899905</c:v>
                      </c:pt>
                    </c:numCache>
                  </c:numRef>
                </c:val>
                <c:extLst>
                  <c:ext xmlns:c16="http://schemas.microsoft.com/office/drawing/2014/chart" uri="{C3380CC4-5D6E-409C-BE32-E72D297353CC}">
                    <c16:uniqueId val="{00000003-6308-481E-AEBC-1EA53888E14B}"/>
                  </c:ext>
                </c:extLst>
              </c15:ser>
            </c15:filteredBarSeries>
          </c:ext>
        </c:extLst>
      </c:barChart>
      <c:lineChart>
        <c:grouping val="standard"/>
        <c:varyColors val="0"/>
        <c:ser>
          <c:idx val="3"/>
          <c:order val="4"/>
          <c:tx>
            <c:strRef>
              <c:f>'Figura 1 - energia'!$A$10</c:f>
              <c:strCache>
                <c:ptCount val="1"/>
                <c:pt idx="0">
                  <c:v>var % 2022/2021</c:v>
                </c:pt>
              </c:strCache>
            </c:strRef>
          </c:tx>
          <c:spPr>
            <a:ln w="25400" cap="rnd">
              <a:noFill/>
              <a:round/>
            </a:ln>
            <a:effectLst/>
          </c:spPr>
          <c:marker>
            <c:symbol val="triangle"/>
            <c:size val="5"/>
            <c:spPr>
              <a:solidFill>
                <a:srgbClr val="FF0000"/>
              </a:solidFill>
              <a:ln w="3175">
                <a:noFill/>
              </a:ln>
              <a:effectLst/>
            </c:spPr>
          </c:marker>
          <c:cat>
            <c:strRef>
              <c:f>'Figura 1 - energia'!$B$2:$K$2</c:f>
              <c:strCache>
                <c:ptCount val="10"/>
                <c:pt idx="0">
                  <c:v>A</c:v>
                </c:pt>
                <c:pt idx="1">
                  <c:v>B</c:v>
                </c:pt>
                <c:pt idx="2">
                  <c:v>C</c:v>
                </c:pt>
                <c:pt idx="3">
                  <c:v>D</c:v>
                </c:pt>
                <c:pt idx="4">
                  <c:v>E</c:v>
                </c:pt>
                <c:pt idx="5">
                  <c:v>F</c:v>
                </c:pt>
                <c:pt idx="6">
                  <c:v>H</c:v>
                </c:pt>
                <c:pt idx="7">
                  <c:v>O</c:v>
                </c:pt>
                <c:pt idx="8">
                  <c:v>Altri servizi </c:v>
                </c:pt>
                <c:pt idx="9">
                  <c:v>Famiglie</c:v>
                </c:pt>
              </c:strCache>
            </c:strRef>
          </c:cat>
          <c:val>
            <c:numRef>
              <c:f>'Figura 1 - energia'!$B$10:$K$10</c:f>
              <c:numCache>
                <c:formatCode>_-* #,##0_-;\-* #,##0_-;_-* "-"??_-;_-@_-</c:formatCode>
                <c:ptCount val="10"/>
                <c:pt idx="0">
                  <c:v>-2.9727684836413459</c:v>
                </c:pt>
                <c:pt idx="1">
                  <c:v>-2.6225218641704657</c:v>
                </c:pt>
                <c:pt idx="2">
                  <c:v>-7.3186606201209372</c:v>
                </c:pt>
                <c:pt idx="3">
                  <c:v>3.0221323215206013</c:v>
                </c:pt>
                <c:pt idx="4">
                  <c:v>-0.39380099856322204</c:v>
                </c:pt>
                <c:pt idx="5">
                  <c:v>-10.747488011438747</c:v>
                </c:pt>
                <c:pt idx="6">
                  <c:v>1.8674973955672129</c:v>
                </c:pt>
                <c:pt idx="7">
                  <c:v>-16.836732996373087</c:v>
                </c:pt>
                <c:pt idx="8">
                  <c:v>-1.5045082429781473</c:v>
                </c:pt>
                <c:pt idx="9">
                  <c:v>-3.1609017871706726</c:v>
                </c:pt>
              </c:numCache>
            </c:numRef>
          </c:val>
          <c:smooth val="0"/>
          <c:extLst>
            <c:ext xmlns:c16="http://schemas.microsoft.com/office/drawing/2014/chart" uri="{C3380CC4-5D6E-409C-BE32-E72D297353CC}">
              <c16:uniqueId val="{00000002-6308-481E-AEBC-1EA53888E14B}"/>
            </c:ext>
          </c:extLst>
        </c:ser>
        <c:dLbls>
          <c:showLegendKey val="0"/>
          <c:showVal val="0"/>
          <c:showCatName val="0"/>
          <c:showSerName val="0"/>
          <c:showPercent val="0"/>
          <c:showBubbleSize val="0"/>
        </c:dLbls>
        <c:marker val="1"/>
        <c:smooth val="0"/>
        <c:axId val="876753568"/>
        <c:axId val="876753008"/>
        <c:extLst>
          <c:ext xmlns:c15="http://schemas.microsoft.com/office/drawing/2012/chart" uri="{02D57815-91ED-43cb-92C2-25804820EDAC}">
            <c15:filteredLineSeries>
              <c15:ser>
                <c:idx val="7"/>
                <c:order val="2"/>
                <c:tx>
                  <c:strRef>
                    <c:extLst>
                      <c:ext uri="{02D57815-91ED-43cb-92C2-25804820EDAC}">
                        <c15:formulaRef>
                          <c15:sqref>'Figura 1 - energia'!$A$10</c15:sqref>
                        </c15:formulaRef>
                      </c:ext>
                    </c:extLst>
                    <c:strCache>
                      <c:ptCount val="1"/>
                      <c:pt idx="0">
                        <c:v>var % 2022/2021</c:v>
                      </c:pt>
                    </c:strCache>
                  </c:strRef>
                </c:tx>
                <c:spPr>
                  <a:ln w="28575" cap="rnd">
                    <a:noFill/>
                    <a:round/>
                  </a:ln>
                  <a:effectLst/>
                </c:spPr>
                <c:marker>
                  <c:symbol val="diamond"/>
                  <c:size val="5"/>
                  <c:spPr>
                    <a:solidFill>
                      <a:srgbClr val="FF0000"/>
                    </a:solidFill>
                    <a:ln w="9525">
                      <a:noFill/>
                    </a:ln>
                    <a:effectLst/>
                  </c:spPr>
                </c:marker>
                <c:cat>
                  <c:strRef>
                    <c:extLst>
                      <c:ext uri="{02D57815-91ED-43cb-92C2-25804820EDAC}">
                        <c15:formulaRef>
                          <c15:sqref>'Figura 1 - energia'!$B$2:$K$2</c15:sqref>
                        </c15:formulaRef>
                      </c:ext>
                    </c:extLst>
                    <c:strCache>
                      <c:ptCount val="10"/>
                      <c:pt idx="0">
                        <c:v>A</c:v>
                      </c:pt>
                      <c:pt idx="1">
                        <c:v>B</c:v>
                      </c:pt>
                      <c:pt idx="2">
                        <c:v>C</c:v>
                      </c:pt>
                      <c:pt idx="3">
                        <c:v>D</c:v>
                      </c:pt>
                      <c:pt idx="4">
                        <c:v>E</c:v>
                      </c:pt>
                      <c:pt idx="5">
                        <c:v>F</c:v>
                      </c:pt>
                      <c:pt idx="6">
                        <c:v>H</c:v>
                      </c:pt>
                      <c:pt idx="7">
                        <c:v>O</c:v>
                      </c:pt>
                      <c:pt idx="8">
                        <c:v>Altri servizi </c:v>
                      </c:pt>
                      <c:pt idx="9">
                        <c:v>Famiglie</c:v>
                      </c:pt>
                    </c:strCache>
                  </c:strRef>
                </c:cat>
                <c:val>
                  <c:numRef>
                    <c:extLst>
                      <c:ext uri="{02D57815-91ED-43cb-92C2-25804820EDAC}">
                        <c15:formulaRef>
                          <c15:sqref>'Figura 1 - energia'!$B$10:$K$10</c15:sqref>
                        </c15:formulaRef>
                      </c:ext>
                    </c:extLst>
                    <c:numCache>
                      <c:formatCode>_-* #,##0_-;\-* #,##0_-;_-* "-"??_-;_-@_-</c:formatCode>
                      <c:ptCount val="10"/>
                      <c:pt idx="0">
                        <c:v>-2.9727684836413459</c:v>
                      </c:pt>
                      <c:pt idx="1">
                        <c:v>-2.6225218641704657</c:v>
                      </c:pt>
                      <c:pt idx="2">
                        <c:v>-7.3186606201209372</c:v>
                      </c:pt>
                      <c:pt idx="3">
                        <c:v>3.0221323215206013</c:v>
                      </c:pt>
                      <c:pt idx="4">
                        <c:v>-0.39380099856322204</c:v>
                      </c:pt>
                      <c:pt idx="5">
                        <c:v>-10.747488011438747</c:v>
                      </c:pt>
                      <c:pt idx="6">
                        <c:v>1.8674973955672129</c:v>
                      </c:pt>
                      <c:pt idx="7">
                        <c:v>-16.836732996373087</c:v>
                      </c:pt>
                      <c:pt idx="8">
                        <c:v>-1.5045082429781473</c:v>
                      </c:pt>
                      <c:pt idx="9">
                        <c:v>-3.1609017871706726</c:v>
                      </c:pt>
                    </c:numCache>
                  </c:numRef>
                </c:val>
                <c:smooth val="0"/>
                <c:extLst>
                  <c:ext xmlns:c16="http://schemas.microsoft.com/office/drawing/2014/chart" uri="{C3380CC4-5D6E-409C-BE32-E72D297353CC}">
                    <c16:uniqueId val="{00000004-6308-481E-AEBC-1EA53888E14B}"/>
                  </c:ext>
                </c:extLst>
              </c15:ser>
            </c15:filteredLineSeries>
          </c:ext>
        </c:extLst>
      </c:lineChart>
      <c:catAx>
        <c:axId val="876751888"/>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low"/>
        <c:spPr>
          <a:noFill/>
          <a:ln w="9525" cap="flat" cmpd="sng" algn="ctr">
            <a:solidFill>
              <a:schemeClr val="bg1"/>
            </a:solidFill>
            <a:round/>
          </a:ln>
          <a:effectLst/>
        </c:spPr>
        <c:txPr>
          <a:bodyPr rot="0" spcFirstLastPara="1" vertOverflow="ellipsis" wrap="square" anchor="ctr" anchorCtr="1"/>
          <a:lstStyle/>
          <a:p>
            <a:pPr>
              <a:defRPr sz="600" b="1" i="0" u="none" strike="noStrike" kern="1200" baseline="0">
                <a:solidFill>
                  <a:sysClr val="windowText" lastClr="000000"/>
                </a:solidFill>
                <a:latin typeface="Arial Narrow" panose="020B0606020202030204" pitchFamily="34" charset="0"/>
                <a:ea typeface="+mn-ea"/>
                <a:cs typeface="+mn-cs"/>
              </a:defRPr>
            </a:pPr>
            <a:endParaRPr lang="it-IT"/>
          </a:p>
        </c:txPr>
        <c:crossAx val="876752448"/>
        <c:crossesAt val="0"/>
        <c:auto val="1"/>
        <c:lblAlgn val="ctr"/>
        <c:lblOffset val="100"/>
        <c:noMultiLvlLbl val="0"/>
      </c:catAx>
      <c:valAx>
        <c:axId val="876752448"/>
        <c:scaling>
          <c:orientation val="minMax"/>
          <c:max val="2250"/>
          <c:min val="-1000"/>
        </c:scaling>
        <c:delete val="0"/>
        <c:axPos val="l"/>
        <c:majorGridlines>
          <c:spPr>
            <a:ln w="3175" cap="flat" cmpd="sng" algn="ctr">
              <a:solidFill>
                <a:schemeClr val="bg1"/>
              </a:solidFill>
              <a:round/>
            </a:ln>
            <a:effectLst/>
          </c:spPr>
        </c:majorGridlines>
        <c:title>
          <c:tx>
            <c:rich>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r>
                  <a:rPr lang="it-IT"/>
                  <a:t>000 Tj</a:t>
                </a:r>
              </a:p>
            </c:rich>
          </c:tx>
          <c:layout>
            <c:manualLayout>
              <c:xMode val="edge"/>
              <c:yMode val="edge"/>
              <c:x val="0"/>
              <c:y val="1.1132313196226514E-3"/>
            </c:manualLayout>
          </c:layout>
          <c:overlay val="0"/>
          <c:spPr>
            <a:noFill/>
            <a:ln>
              <a:noFill/>
            </a:ln>
            <a:effectLst/>
          </c:spPr>
          <c:txPr>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title>
        <c:numFmt formatCode="_-* #,##0_-;\-* #,##0_-;_-* &quot;-&quot;??_-;_-@_-" sourceLinked="1"/>
        <c:majorTickMark val="out"/>
        <c:minorTickMark val="none"/>
        <c:tickLblPos val="nextTo"/>
        <c:spPr>
          <a:noFill/>
          <a:ln>
            <a:solidFill>
              <a:schemeClr val="bg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876751888"/>
        <c:crosses val="autoZero"/>
        <c:crossBetween val="between"/>
        <c:majorUnit val="250"/>
      </c:valAx>
      <c:valAx>
        <c:axId val="876753008"/>
        <c:scaling>
          <c:orientation val="minMax"/>
          <c:max val="45"/>
          <c:min val="-20"/>
        </c:scaling>
        <c:delete val="0"/>
        <c:axPos val="r"/>
        <c:majorGridlines>
          <c:spPr>
            <a:ln w="3175" cap="flat" cmpd="sng" algn="ctr">
              <a:solidFill>
                <a:schemeClr val="bg1">
                  <a:lumMod val="65000"/>
                </a:schemeClr>
              </a:solidFill>
              <a:round/>
            </a:ln>
            <a:effectLst/>
          </c:spPr>
        </c:majorGridlines>
        <c:title>
          <c:tx>
            <c:rich>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r>
                  <a:rPr lang="en-US"/>
                  <a:t>var %</a:t>
                </a:r>
              </a:p>
            </c:rich>
          </c:tx>
          <c:layout>
            <c:manualLayout>
              <c:xMode val="edge"/>
              <c:yMode val="edge"/>
              <c:x val="0.89646079311999249"/>
              <c:y val="4.4385542836297143E-3"/>
            </c:manualLayout>
          </c:layout>
          <c:overlay val="0"/>
          <c:spPr>
            <a:noFill/>
            <a:ln>
              <a:noFill/>
            </a:ln>
            <a:effectLst/>
          </c:spPr>
          <c:txPr>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title>
        <c:numFmt formatCode="_-* #,##0_-;\-* #,##0_-;_-* &quot;-&quot;??_-;_-@_-" sourceLinked="1"/>
        <c:majorTickMark val="out"/>
        <c:minorTickMark val="none"/>
        <c:tickLblPos val="nextTo"/>
        <c:spPr>
          <a:noFill/>
          <a:ln w="12700">
            <a:solidFill>
              <a:schemeClr val="bg1">
                <a:lumMod val="65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876753568"/>
        <c:crosses val="max"/>
        <c:crossBetween val="between"/>
        <c:majorUnit val="5"/>
        <c:minorUnit val="1"/>
      </c:valAx>
      <c:catAx>
        <c:axId val="876753568"/>
        <c:scaling>
          <c:orientation val="minMax"/>
        </c:scaling>
        <c:delete val="1"/>
        <c:axPos val="b"/>
        <c:numFmt formatCode="General" sourceLinked="1"/>
        <c:majorTickMark val="out"/>
        <c:minorTickMark val="none"/>
        <c:tickLblPos val="nextTo"/>
        <c:crossAx val="876753008"/>
        <c:crossesAt val="0"/>
        <c:auto val="1"/>
        <c:lblAlgn val="ctr"/>
        <c:lblOffset val="100"/>
        <c:noMultiLvlLbl val="0"/>
      </c:catAx>
      <c:spPr>
        <a:noFill/>
        <a:ln>
          <a:noFill/>
        </a:ln>
        <a:effectLst/>
      </c:spPr>
    </c:plotArea>
    <c:legend>
      <c:legendPos val="b"/>
      <c:layout>
        <c:manualLayout>
          <c:xMode val="edge"/>
          <c:yMode val="edge"/>
          <c:x val="0.21618459486918973"/>
          <c:y val="1.4475906389138675E-3"/>
          <c:w val="0.49550525153340241"/>
          <c:h val="7.9662678874478823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noFill/>
    <a:ln w="3175" cap="flat" cmpd="sng" algn="ctr">
      <a:noFill/>
      <a:round/>
    </a:ln>
    <a:effectLst/>
  </c:spPr>
  <c:txPr>
    <a:bodyPr/>
    <a:lstStyle/>
    <a:p>
      <a:pPr>
        <a:defRPr sz="700">
          <a:solidFill>
            <a:sysClr val="windowText" lastClr="000000"/>
          </a:solidFill>
          <a:latin typeface="Arial Narrow" panose="020B0606020202030204" pitchFamily="34" charset="0"/>
        </a:defRPr>
      </a:pPr>
      <a:endParaRPr lang="it-IT"/>
    </a:p>
  </c:txPr>
  <c:externalData r:id="rId3">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101366430220751E-2"/>
          <c:y val="0.12510739559146869"/>
          <c:w val="0.79679347310501847"/>
          <c:h val="0.67957389740526097"/>
        </c:manualLayout>
      </c:layout>
      <c:barChart>
        <c:barDir val="col"/>
        <c:grouping val="clustered"/>
        <c:varyColors val="0"/>
        <c:ser>
          <c:idx val="0"/>
          <c:order val="0"/>
          <c:tx>
            <c:strRef>
              <c:f>'Figura 3 - emissioni'!$B$2</c:f>
              <c:strCache>
                <c:ptCount val="1"/>
                <c:pt idx="0">
                  <c:v>2022</c:v>
                </c:pt>
              </c:strCache>
            </c:strRef>
          </c:tx>
          <c:spPr>
            <a:solidFill>
              <a:srgbClr val="1F497D"/>
            </a:solidFill>
            <a:ln>
              <a:noFill/>
            </a:ln>
            <a:effectLst/>
          </c:spPr>
          <c:invertIfNegative val="0"/>
          <c:cat>
            <c:strRef>
              <c:f>'Figura 3 - emissioni'!$A$3:$A$11</c:f>
              <c:strCache>
                <c:ptCount val="9"/>
                <c:pt idx="0">
                  <c:v>A</c:v>
                </c:pt>
                <c:pt idx="1">
                  <c:v>B</c:v>
                </c:pt>
                <c:pt idx="2">
                  <c:v>C</c:v>
                </c:pt>
                <c:pt idx="3">
                  <c:v>D</c:v>
                </c:pt>
                <c:pt idx="4">
                  <c:v>E</c:v>
                </c:pt>
                <c:pt idx="5">
                  <c:v>F</c:v>
                </c:pt>
                <c:pt idx="6">
                  <c:v>H</c:v>
                </c:pt>
                <c:pt idx="7">
                  <c:v>Altri servizi</c:v>
                </c:pt>
                <c:pt idx="8">
                  <c:v>Famiglie</c:v>
                </c:pt>
              </c:strCache>
            </c:strRef>
          </c:cat>
          <c:val>
            <c:numRef>
              <c:f>'Figura 3 - emissioni'!$B$3:$B$11</c:f>
              <c:numCache>
                <c:formatCode>_-* #,##0_-;\-* #,##0_-;_-* "-"??_-;_-@_-</c:formatCode>
                <c:ptCount val="9"/>
                <c:pt idx="0">
                  <c:v>40.160421012</c:v>
                </c:pt>
                <c:pt idx="1">
                  <c:v>3.38299488</c:v>
                </c:pt>
                <c:pt idx="2">
                  <c:v>91.118488631999995</c:v>
                </c:pt>
                <c:pt idx="3">
                  <c:v>83.583206477000004</c:v>
                </c:pt>
                <c:pt idx="4">
                  <c:v>25.756932522</c:v>
                </c:pt>
                <c:pt idx="5">
                  <c:v>7.1452300939999995</c:v>
                </c:pt>
                <c:pt idx="6">
                  <c:v>38.894528118000004</c:v>
                </c:pt>
                <c:pt idx="7">
                  <c:v>23.012784380000003</c:v>
                </c:pt>
                <c:pt idx="8">
                  <c:v>108.81635439200001</c:v>
                </c:pt>
              </c:numCache>
            </c:numRef>
          </c:val>
          <c:extLst>
            <c:ext xmlns:c16="http://schemas.microsoft.com/office/drawing/2014/chart" uri="{C3380CC4-5D6E-409C-BE32-E72D297353CC}">
              <c16:uniqueId val="{00000000-4859-4322-87C4-2F2B7D5C3E61}"/>
            </c:ext>
          </c:extLst>
        </c:ser>
        <c:ser>
          <c:idx val="1"/>
          <c:order val="1"/>
          <c:tx>
            <c:strRef>
              <c:f>'Figura 3 - emissioni'!$C$2</c:f>
              <c:strCache>
                <c:ptCount val="1"/>
                <c:pt idx="0">
                  <c:v>2023</c:v>
                </c:pt>
              </c:strCache>
            </c:strRef>
          </c:tx>
          <c:spPr>
            <a:solidFill>
              <a:srgbClr val="9BBB59"/>
            </a:solidFill>
            <a:ln>
              <a:noFill/>
            </a:ln>
            <a:effectLst/>
          </c:spPr>
          <c:invertIfNegative val="0"/>
          <c:cat>
            <c:strRef>
              <c:f>'Figura 3 - emissioni'!$A$3:$A$11</c:f>
              <c:strCache>
                <c:ptCount val="9"/>
                <c:pt idx="0">
                  <c:v>A</c:v>
                </c:pt>
                <c:pt idx="1">
                  <c:v>B</c:v>
                </c:pt>
                <c:pt idx="2">
                  <c:v>C</c:v>
                </c:pt>
                <c:pt idx="3">
                  <c:v>D</c:v>
                </c:pt>
                <c:pt idx="4">
                  <c:v>E</c:v>
                </c:pt>
                <c:pt idx="5">
                  <c:v>F</c:v>
                </c:pt>
                <c:pt idx="6">
                  <c:v>H</c:v>
                </c:pt>
                <c:pt idx="7">
                  <c:v>Altri servizi</c:v>
                </c:pt>
                <c:pt idx="8">
                  <c:v>Famiglie</c:v>
                </c:pt>
              </c:strCache>
            </c:strRef>
          </c:cat>
          <c:val>
            <c:numRef>
              <c:f>'Figura 3 - emissioni'!$C$3:$C$11</c:f>
              <c:numCache>
                <c:formatCode>_-* #,##0_-;\-* #,##0_-;_-* "-"??_-;_-@_-</c:formatCode>
                <c:ptCount val="9"/>
                <c:pt idx="0">
                  <c:v>39.831373382999999</c:v>
                </c:pt>
                <c:pt idx="1">
                  <c:v>3.2748485699999996</c:v>
                </c:pt>
                <c:pt idx="2">
                  <c:v>87.644113235999995</c:v>
                </c:pt>
                <c:pt idx="3">
                  <c:v>65.009759481000003</c:v>
                </c:pt>
                <c:pt idx="4">
                  <c:v>25.736141695999997</c:v>
                </c:pt>
                <c:pt idx="5">
                  <c:v>7.5378173899999998</c:v>
                </c:pt>
                <c:pt idx="6">
                  <c:v>42.438604882</c:v>
                </c:pt>
                <c:pt idx="7">
                  <c:v>22.929226362000001</c:v>
                </c:pt>
                <c:pt idx="8">
                  <c:v>104.95770052099999</c:v>
                </c:pt>
              </c:numCache>
            </c:numRef>
          </c:val>
          <c:extLst>
            <c:ext xmlns:c16="http://schemas.microsoft.com/office/drawing/2014/chart" uri="{C3380CC4-5D6E-409C-BE32-E72D297353CC}">
              <c16:uniqueId val="{00000001-4859-4322-87C4-2F2B7D5C3E61}"/>
            </c:ext>
          </c:extLst>
        </c:ser>
        <c:dLbls>
          <c:showLegendKey val="0"/>
          <c:showVal val="0"/>
          <c:showCatName val="0"/>
          <c:showSerName val="0"/>
          <c:showPercent val="0"/>
          <c:showBubbleSize val="0"/>
        </c:dLbls>
        <c:gapWidth val="90"/>
        <c:axId val="1543275280"/>
        <c:axId val="1543291520"/>
      </c:barChart>
      <c:lineChart>
        <c:grouping val="stacked"/>
        <c:varyColors val="0"/>
        <c:ser>
          <c:idx val="2"/>
          <c:order val="2"/>
          <c:tx>
            <c:strRef>
              <c:f>'Figura 3 - emissioni'!$D$2</c:f>
              <c:strCache>
                <c:ptCount val="1"/>
                <c:pt idx="0">
                  <c:v>var % 2023/2022</c:v>
                </c:pt>
              </c:strCache>
            </c:strRef>
          </c:tx>
          <c:spPr>
            <a:ln w="28575" cap="rnd">
              <a:noFill/>
              <a:round/>
            </a:ln>
            <a:effectLst/>
          </c:spPr>
          <c:marker>
            <c:symbol val="diamond"/>
            <c:size val="5"/>
            <c:spPr>
              <a:solidFill>
                <a:srgbClr val="FF0000"/>
              </a:solidFill>
              <a:ln w="9525">
                <a:solidFill>
                  <a:srgbClr val="FF0000"/>
                </a:solidFill>
              </a:ln>
              <a:effectLst/>
            </c:spPr>
          </c:marker>
          <c:cat>
            <c:strRef>
              <c:f>'Figura 3 - emissioni'!$A$3:$A$11</c:f>
              <c:strCache>
                <c:ptCount val="9"/>
                <c:pt idx="0">
                  <c:v>A</c:v>
                </c:pt>
                <c:pt idx="1">
                  <c:v>B</c:v>
                </c:pt>
                <c:pt idx="2">
                  <c:v>C</c:v>
                </c:pt>
                <c:pt idx="3">
                  <c:v>D</c:v>
                </c:pt>
                <c:pt idx="4">
                  <c:v>E</c:v>
                </c:pt>
                <c:pt idx="5">
                  <c:v>F</c:v>
                </c:pt>
                <c:pt idx="6">
                  <c:v>H</c:v>
                </c:pt>
                <c:pt idx="7">
                  <c:v>Altri servizi</c:v>
                </c:pt>
                <c:pt idx="8">
                  <c:v>Famiglie</c:v>
                </c:pt>
              </c:strCache>
            </c:strRef>
          </c:cat>
          <c:val>
            <c:numRef>
              <c:f>'Figura 3 - emissioni'!$D$3:$D$11</c:f>
              <c:numCache>
                <c:formatCode>_-* #,##0.0_-;\-* #,##0.0_-;_-* "-"??_-;_-@_-</c:formatCode>
                <c:ptCount val="9"/>
                <c:pt idx="0">
                  <c:v>-0.8193331163079165</c:v>
                </c:pt>
                <c:pt idx="1">
                  <c:v>-3.1967624497262079</c:v>
                </c:pt>
                <c:pt idx="2">
                  <c:v>-3.8130300975820006</c:v>
                </c:pt>
                <c:pt idx="3">
                  <c:v>-22.221505705348775</c:v>
                </c:pt>
                <c:pt idx="4">
                  <c:v>-8.0719340248464277E-2</c:v>
                </c:pt>
                <c:pt idx="5">
                  <c:v>5.4943968330658066</c:v>
                </c:pt>
                <c:pt idx="6">
                  <c:v>9.1120189278240247</c:v>
                </c:pt>
                <c:pt idx="7">
                  <c:v>-0.36309390737011427</c:v>
                </c:pt>
                <c:pt idx="8">
                  <c:v>-3.546023842243045</c:v>
                </c:pt>
              </c:numCache>
            </c:numRef>
          </c:val>
          <c:smooth val="0"/>
          <c:extLst>
            <c:ext xmlns:c16="http://schemas.microsoft.com/office/drawing/2014/chart" uri="{C3380CC4-5D6E-409C-BE32-E72D297353CC}">
              <c16:uniqueId val="{00000002-4859-4322-87C4-2F2B7D5C3E61}"/>
            </c:ext>
          </c:extLst>
        </c:ser>
        <c:dLbls>
          <c:showLegendKey val="0"/>
          <c:showVal val="0"/>
          <c:showCatName val="0"/>
          <c:showSerName val="0"/>
          <c:showPercent val="0"/>
          <c:showBubbleSize val="0"/>
        </c:dLbls>
        <c:marker val="1"/>
        <c:smooth val="0"/>
        <c:axId val="1543282560"/>
        <c:axId val="1543283680"/>
      </c:lineChart>
      <c:catAx>
        <c:axId val="1543275280"/>
        <c:scaling>
          <c:orientation val="minMax"/>
        </c:scaling>
        <c:delete val="0"/>
        <c:axPos val="b"/>
        <c:majorGridlines>
          <c:spPr>
            <a:ln w="3175" cap="flat" cmpd="sng" algn="ctr">
              <a:solidFill>
                <a:sysClr val="window" lastClr="FFFFFF"/>
              </a:solidFill>
              <a:round/>
            </a:ln>
            <a:effectLst/>
          </c:spPr>
        </c:majorGridlines>
        <c:numFmt formatCode="General"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Narrow" panose="020B0606020202030204" pitchFamily="34" charset="0"/>
                <a:ea typeface="+mn-ea"/>
                <a:cs typeface="+mn-cs"/>
              </a:defRPr>
            </a:pPr>
            <a:endParaRPr lang="it-IT"/>
          </a:p>
        </c:txPr>
        <c:crossAx val="1543291520"/>
        <c:crossesAt val="0"/>
        <c:auto val="1"/>
        <c:lblAlgn val="ctr"/>
        <c:lblOffset val="100"/>
        <c:noMultiLvlLbl val="0"/>
      </c:catAx>
      <c:valAx>
        <c:axId val="1543291520"/>
        <c:scaling>
          <c:orientation val="minMax"/>
          <c:max val="120"/>
          <c:min val="-25"/>
        </c:scaling>
        <c:delete val="0"/>
        <c:axPos val="l"/>
        <c:majorGridlines>
          <c:spPr>
            <a:ln w="3175" cap="flat" cmpd="sng" algn="ctr">
              <a:solidFill>
                <a:sysClr val="window" lastClr="FFFFFF"/>
              </a:solidFill>
              <a:round/>
            </a:ln>
            <a:effectLst/>
          </c:spPr>
        </c:majorGridlines>
        <c:title>
          <c:tx>
            <c:rich>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r>
                  <a:rPr lang="it-IT"/>
                  <a:t>Mt CO2 eq</a:t>
                </a:r>
              </a:p>
            </c:rich>
          </c:tx>
          <c:layout>
            <c:manualLayout>
              <c:xMode val="edge"/>
              <c:yMode val="edge"/>
              <c:x val="8.9618315782816291E-3"/>
              <c:y val="0.90993500464252541"/>
            </c:manualLayout>
          </c:layout>
          <c:overlay val="0"/>
          <c:spPr>
            <a:noFill/>
            <a:ln>
              <a:noFill/>
            </a:ln>
            <a:effectLst/>
          </c:spPr>
          <c:txPr>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title>
        <c:numFmt formatCode="_-* #,##0_-;\-* #,##0_-;_-* &quot;-&quot;??_-;_-@_-" sourceLinked="1"/>
        <c:majorTickMark val="out"/>
        <c:minorTickMark val="none"/>
        <c:tickLblPos val="nextTo"/>
        <c:spPr>
          <a:noFill/>
          <a:ln w="12700">
            <a:solidFill>
              <a:sysClr val="window" lastClr="FFFFFF"/>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1543275280"/>
        <c:crosses val="autoZero"/>
        <c:crossBetween val="between"/>
        <c:majorUnit val="25"/>
        <c:minorUnit val="5"/>
      </c:valAx>
      <c:valAx>
        <c:axId val="1543283680"/>
        <c:scaling>
          <c:orientation val="minMax"/>
          <c:max val="120"/>
          <c:min val="-25"/>
        </c:scaling>
        <c:delete val="0"/>
        <c:axPos val="r"/>
        <c:majorGridlines>
          <c:spPr>
            <a:ln w="3175" cap="flat" cmpd="sng" algn="ctr">
              <a:solidFill>
                <a:sysClr val="window" lastClr="FFFFFF">
                  <a:lumMod val="75000"/>
                </a:sysClr>
              </a:solidFill>
              <a:round/>
            </a:ln>
            <a:effectLst/>
          </c:spPr>
        </c:majorGridlines>
        <c:title>
          <c:tx>
            <c:rich>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r>
                  <a:rPr lang="it-IT"/>
                  <a:t>var %</a:t>
                </a:r>
              </a:p>
            </c:rich>
          </c:tx>
          <c:layout>
            <c:manualLayout>
              <c:xMode val="edge"/>
              <c:yMode val="edge"/>
              <c:x val="0.89883980365908078"/>
              <c:y val="0.89652115212617933"/>
            </c:manualLayout>
          </c:layout>
          <c:overlay val="0"/>
          <c:spPr>
            <a:noFill/>
            <a:ln>
              <a:noFill/>
            </a:ln>
            <a:effectLst/>
          </c:spPr>
          <c:txPr>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title>
        <c:numFmt formatCode="_-* #,##0.0_-;\-* #,##0.0_-;_-* &quot;-&quot;??_-;_-@_-" sourceLinked="1"/>
        <c:majorTickMark val="out"/>
        <c:minorTickMark val="none"/>
        <c:tickLblPos val="nextTo"/>
        <c:spPr>
          <a:noFill/>
          <a:ln w="12700">
            <a:solidFill>
              <a:sysClr val="window" lastClr="FFFFFF">
                <a:lumMod val="65000"/>
              </a:sys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1543282560"/>
        <c:crosses val="max"/>
        <c:crossBetween val="between"/>
        <c:majorUnit val="25"/>
        <c:minorUnit val="5"/>
      </c:valAx>
      <c:catAx>
        <c:axId val="1543282560"/>
        <c:scaling>
          <c:orientation val="minMax"/>
        </c:scaling>
        <c:delete val="1"/>
        <c:axPos val="b"/>
        <c:numFmt formatCode="General" sourceLinked="1"/>
        <c:majorTickMark val="out"/>
        <c:minorTickMark val="none"/>
        <c:tickLblPos val="nextTo"/>
        <c:crossAx val="1543283680"/>
        <c:crossesAt val="0"/>
        <c:auto val="1"/>
        <c:lblAlgn val="ctr"/>
        <c:lblOffset val="100"/>
        <c:noMultiLvlLbl val="0"/>
      </c:catAx>
      <c:spPr>
        <a:noFill/>
        <a:ln w="3175">
          <a:solidFill>
            <a:sysClr val="window" lastClr="FFFFFF"/>
          </a:solidFill>
        </a:ln>
        <a:effectLst/>
      </c:spPr>
    </c:plotArea>
    <c:legend>
      <c:legendPos val="b"/>
      <c:layout>
        <c:manualLayout>
          <c:xMode val="edge"/>
          <c:yMode val="edge"/>
          <c:x val="0.28086097671526"/>
          <c:y val="5.9741139599889855E-3"/>
          <c:w val="0.48684598459845985"/>
          <c:h val="8.731581196581196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noFill/>
    <a:ln w="3175" cap="flat" cmpd="sng" algn="ctr">
      <a:solidFill>
        <a:sysClr val="window" lastClr="FFFFFF">
          <a:lumMod val="65000"/>
        </a:sysClr>
      </a:solidFill>
      <a:round/>
    </a:ln>
    <a:effectLst/>
  </c:spPr>
  <c:txPr>
    <a:bodyPr/>
    <a:lstStyle/>
    <a:p>
      <a:pPr>
        <a:defRPr sz="700">
          <a:solidFill>
            <a:sysClr val="windowText" lastClr="000000"/>
          </a:solidFill>
          <a:latin typeface="Arial Narrow" panose="020B0606020202030204" pitchFamily="34" charset="0"/>
        </a:defRPr>
      </a:pPr>
      <a:endParaRPr lang="it-IT"/>
    </a:p>
  </c:txPr>
  <c:externalData r:id="rId4">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0219370726806"/>
          <c:y val="0.2413875819702104"/>
          <c:w val="0.77594551522810495"/>
          <c:h val="0.58797006411350283"/>
        </c:manualLayout>
      </c:layout>
      <c:barChart>
        <c:barDir val="col"/>
        <c:grouping val="clustered"/>
        <c:varyColors val="0"/>
        <c:ser>
          <c:idx val="0"/>
          <c:order val="0"/>
          <c:tx>
            <c:strRef>
              <c:f>'Figura 2 - emissioni'!$H$3</c:f>
              <c:strCache>
                <c:ptCount val="1"/>
                <c:pt idx="0">
                  <c:v>2022</c:v>
                </c:pt>
              </c:strCache>
            </c:strRef>
          </c:tx>
          <c:spPr>
            <a:solidFill>
              <a:srgbClr val="1F497D"/>
            </a:solidFill>
            <a:ln>
              <a:noFill/>
            </a:ln>
            <a:effectLst/>
          </c:spPr>
          <c:invertIfNegative val="0"/>
          <c:cat>
            <c:strRef>
              <c:f>'Figura 2 - emissioni'!$G$4:$G$8</c:f>
              <c:strCache>
                <c:ptCount val="5"/>
                <c:pt idx="0">
                  <c:v>Germania</c:v>
                </c:pt>
                <c:pt idx="1">
                  <c:v>Spagna</c:v>
                </c:pt>
                <c:pt idx="2">
                  <c:v>Francia</c:v>
                </c:pt>
                <c:pt idx="3">
                  <c:v>Italia</c:v>
                </c:pt>
                <c:pt idx="4">
                  <c:v>Polonia</c:v>
                </c:pt>
              </c:strCache>
            </c:strRef>
          </c:cat>
          <c:val>
            <c:numRef>
              <c:f>'Figura 2 - emissioni'!$H$4:$H$8</c:f>
              <c:numCache>
                <c:formatCode>_-* #,##0.0_-;\-* #,##0.0_-;_-* "-"??_-;_-@_-</c:formatCode>
                <c:ptCount val="5"/>
                <c:pt idx="0">
                  <c:v>794.47212836000006</c:v>
                </c:pt>
                <c:pt idx="1">
                  <c:v>304.35473748999999</c:v>
                </c:pt>
                <c:pt idx="2">
                  <c:v>427.29103729000002</c:v>
                </c:pt>
                <c:pt idx="3">
                  <c:v>421.87094050700006</c:v>
                </c:pt>
                <c:pt idx="4">
                  <c:v>402.75303744999997</c:v>
                </c:pt>
              </c:numCache>
            </c:numRef>
          </c:val>
          <c:extLst>
            <c:ext xmlns:c16="http://schemas.microsoft.com/office/drawing/2014/chart" uri="{C3380CC4-5D6E-409C-BE32-E72D297353CC}">
              <c16:uniqueId val="{00000000-DD11-4214-A724-7E758CF15997}"/>
            </c:ext>
          </c:extLst>
        </c:ser>
        <c:ser>
          <c:idx val="1"/>
          <c:order val="1"/>
          <c:tx>
            <c:strRef>
              <c:f>'Figura 2 - emissioni'!$I$3</c:f>
              <c:strCache>
                <c:ptCount val="1"/>
                <c:pt idx="0">
                  <c:v>2023</c:v>
                </c:pt>
              </c:strCache>
            </c:strRef>
          </c:tx>
          <c:spPr>
            <a:solidFill>
              <a:schemeClr val="accent3"/>
            </a:solidFill>
            <a:ln>
              <a:noFill/>
            </a:ln>
            <a:effectLst/>
          </c:spPr>
          <c:invertIfNegative val="0"/>
          <c:cat>
            <c:strRef>
              <c:f>'Figura 2 - emissioni'!$G$4:$G$8</c:f>
              <c:strCache>
                <c:ptCount val="5"/>
                <c:pt idx="0">
                  <c:v>Germania</c:v>
                </c:pt>
                <c:pt idx="1">
                  <c:v>Spagna</c:v>
                </c:pt>
                <c:pt idx="2">
                  <c:v>Francia</c:v>
                </c:pt>
                <c:pt idx="3">
                  <c:v>Italia</c:v>
                </c:pt>
                <c:pt idx="4">
                  <c:v>Polonia</c:v>
                </c:pt>
              </c:strCache>
            </c:strRef>
          </c:cat>
          <c:val>
            <c:numRef>
              <c:f>'Figura 2 - emissioni'!$I$4:$I$8</c:f>
              <c:numCache>
                <c:formatCode>_-* #,##0.0_-;\-* #,##0.0_-;_-* "-"??_-;_-@_-</c:formatCode>
                <c:ptCount val="5"/>
                <c:pt idx="0">
                  <c:v>720.36239063000005</c:v>
                </c:pt>
                <c:pt idx="1">
                  <c:v>287.72906331000002</c:v>
                </c:pt>
                <c:pt idx="2">
                  <c:v>403.36582268000001</c:v>
                </c:pt>
                <c:pt idx="3">
                  <c:v>399.35958564999999</c:v>
                </c:pt>
                <c:pt idx="4">
                  <c:v>377.18288762000003</c:v>
                </c:pt>
              </c:numCache>
            </c:numRef>
          </c:val>
          <c:extLst>
            <c:ext xmlns:c16="http://schemas.microsoft.com/office/drawing/2014/chart" uri="{C3380CC4-5D6E-409C-BE32-E72D297353CC}">
              <c16:uniqueId val="{00000001-DD11-4214-A724-7E758CF15997}"/>
            </c:ext>
          </c:extLst>
        </c:ser>
        <c:dLbls>
          <c:showLegendKey val="0"/>
          <c:showVal val="0"/>
          <c:showCatName val="0"/>
          <c:showSerName val="0"/>
          <c:showPercent val="0"/>
          <c:showBubbleSize val="0"/>
        </c:dLbls>
        <c:gapWidth val="90"/>
        <c:axId val="1438844239"/>
        <c:axId val="1438852975"/>
      </c:barChart>
      <c:lineChart>
        <c:grouping val="standard"/>
        <c:varyColors val="0"/>
        <c:ser>
          <c:idx val="2"/>
          <c:order val="2"/>
          <c:tx>
            <c:strRef>
              <c:f>'Figura 2 - emissioni'!$J$3</c:f>
              <c:strCache>
                <c:ptCount val="1"/>
                <c:pt idx="0">
                  <c:v>Intensità di emissione 2022</c:v>
                </c:pt>
              </c:strCache>
            </c:strRef>
          </c:tx>
          <c:spPr>
            <a:ln w="25400" cap="rnd">
              <a:noFill/>
              <a:round/>
            </a:ln>
            <a:effectLst/>
          </c:spPr>
          <c:marker>
            <c:symbol val="square"/>
            <c:size val="5"/>
            <c:spPr>
              <a:solidFill>
                <a:schemeClr val="accent4">
                  <a:lumMod val="60000"/>
                  <a:lumOff val="40000"/>
                </a:schemeClr>
              </a:solidFill>
              <a:ln w="9525">
                <a:solidFill>
                  <a:schemeClr val="accent4"/>
                </a:solidFill>
              </a:ln>
              <a:effectLst/>
            </c:spPr>
          </c:marker>
          <c:cat>
            <c:strRef>
              <c:f>'Figura 2 - emissioni'!$G$4:$G$8</c:f>
              <c:strCache>
                <c:ptCount val="5"/>
                <c:pt idx="0">
                  <c:v>Germania</c:v>
                </c:pt>
                <c:pt idx="1">
                  <c:v>Spagna</c:v>
                </c:pt>
                <c:pt idx="2">
                  <c:v>Francia</c:v>
                </c:pt>
                <c:pt idx="3">
                  <c:v>Italia</c:v>
                </c:pt>
                <c:pt idx="4">
                  <c:v>Polonia</c:v>
                </c:pt>
              </c:strCache>
            </c:strRef>
          </c:cat>
          <c:val>
            <c:numRef>
              <c:f>'Figura 2 - emissioni'!$J$4:$J$8</c:f>
              <c:numCache>
                <c:formatCode>_-* #,##0.0_-;\-* #,##0.0_-;_-* "-"??_-;_-@_-</c:formatCode>
                <c:ptCount val="5"/>
                <c:pt idx="0">
                  <c:v>219.15228930595578</c:v>
                </c:pt>
                <c:pt idx="1">
                  <c:v>237.94035087348979</c:v>
                </c:pt>
                <c:pt idx="2">
                  <c:v>168.12362594120518</c:v>
                </c:pt>
                <c:pt idx="3">
                  <c:v>221.57474734563374</c:v>
                </c:pt>
                <c:pt idx="4">
                  <c:v>672.87658283520238</c:v>
                </c:pt>
              </c:numCache>
            </c:numRef>
          </c:val>
          <c:smooth val="0"/>
          <c:extLst>
            <c:ext xmlns:c16="http://schemas.microsoft.com/office/drawing/2014/chart" uri="{C3380CC4-5D6E-409C-BE32-E72D297353CC}">
              <c16:uniqueId val="{00000002-DD11-4214-A724-7E758CF15997}"/>
            </c:ext>
          </c:extLst>
        </c:ser>
        <c:ser>
          <c:idx val="3"/>
          <c:order val="3"/>
          <c:tx>
            <c:strRef>
              <c:f>'Figura 2 - emissioni'!$K$3</c:f>
              <c:strCache>
                <c:ptCount val="1"/>
                <c:pt idx="0">
                  <c:v>Intensità di emissione 2023</c:v>
                </c:pt>
              </c:strCache>
            </c:strRef>
          </c:tx>
          <c:spPr>
            <a:ln w="25400" cap="rnd">
              <a:noFill/>
              <a:round/>
            </a:ln>
            <a:effectLst/>
          </c:spPr>
          <c:marker>
            <c:symbol val="triangle"/>
            <c:size val="6"/>
            <c:spPr>
              <a:solidFill>
                <a:srgbClr val="FF0000"/>
              </a:solidFill>
              <a:ln w="9525">
                <a:noFill/>
              </a:ln>
              <a:effectLst/>
            </c:spPr>
          </c:marker>
          <c:cat>
            <c:strRef>
              <c:f>'Figura 2 - emissioni'!$G$4:$G$8</c:f>
              <c:strCache>
                <c:ptCount val="5"/>
                <c:pt idx="0">
                  <c:v>Germania</c:v>
                </c:pt>
                <c:pt idx="1">
                  <c:v>Spagna</c:v>
                </c:pt>
                <c:pt idx="2">
                  <c:v>Francia</c:v>
                </c:pt>
                <c:pt idx="3">
                  <c:v>Italia</c:v>
                </c:pt>
                <c:pt idx="4">
                  <c:v>Polonia</c:v>
                </c:pt>
              </c:strCache>
            </c:strRef>
          </c:cat>
          <c:val>
            <c:numRef>
              <c:f>'Figura 2 - emissioni'!$K$4:$K$8</c:f>
              <c:numCache>
                <c:formatCode>_-* #,##0.0_-;\-* #,##0.0_-;_-* "-"??_-;_-@_-</c:formatCode>
                <c:ptCount val="5"/>
                <c:pt idx="0">
                  <c:v>199.24023955491987</c:v>
                </c:pt>
                <c:pt idx="1">
                  <c:v>219.08076335500061</c:v>
                </c:pt>
                <c:pt idx="2">
                  <c:v>157.2374074305219</c:v>
                </c:pt>
                <c:pt idx="3">
                  <c:v>208.29819305198373</c:v>
                </c:pt>
                <c:pt idx="4">
                  <c:v>629.28305628551664</c:v>
                </c:pt>
              </c:numCache>
            </c:numRef>
          </c:val>
          <c:smooth val="0"/>
          <c:extLst>
            <c:ext xmlns:c16="http://schemas.microsoft.com/office/drawing/2014/chart" uri="{C3380CC4-5D6E-409C-BE32-E72D297353CC}">
              <c16:uniqueId val="{00000003-DD11-4214-A724-7E758CF15997}"/>
            </c:ext>
          </c:extLst>
        </c:ser>
        <c:ser>
          <c:idx val="4"/>
          <c:order val="4"/>
          <c:tx>
            <c:strRef>
              <c:f>'Figura 2 - emissioni'!$L$3</c:f>
              <c:strCache>
                <c:ptCount val="1"/>
                <c:pt idx="0">
                  <c:v>Intensità di emissione Ue27 2023=224,2</c:v>
                </c:pt>
              </c:strCache>
            </c:strRef>
          </c:tx>
          <c:spPr>
            <a:ln w="25400" cap="rnd">
              <a:solidFill>
                <a:schemeClr val="accent6"/>
              </a:solidFill>
              <a:round/>
            </a:ln>
            <a:effectLst/>
          </c:spPr>
          <c:marker>
            <c:symbol val="none"/>
          </c:marker>
          <c:cat>
            <c:strRef>
              <c:f>'Figura 2 - emissioni'!$G$4:$G$8</c:f>
              <c:strCache>
                <c:ptCount val="5"/>
                <c:pt idx="0">
                  <c:v>Germania</c:v>
                </c:pt>
                <c:pt idx="1">
                  <c:v>Spagna</c:v>
                </c:pt>
                <c:pt idx="2">
                  <c:v>Francia</c:v>
                </c:pt>
                <c:pt idx="3">
                  <c:v>Italia</c:v>
                </c:pt>
                <c:pt idx="4">
                  <c:v>Polonia</c:v>
                </c:pt>
              </c:strCache>
            </c:strRef>
          </c:cat>
          <c:val>
            <c:numRef>
              <c:f>'Figura 2 - emissioni'!$L$4:$L$8</c:f>
              <c:numCache>
                <c:formatCode>_-* #,##0.0_-;\-* #,##0.0_-;_-* "-"??_-;_-@_-</c:formatCode>
                <c:ptCount val="5"/>
                <c:pt idx="0">
                  <c:v>224.2377491438433</c:v>
                </c:pt>
                <c:pt idx="1">
                  <c:v>224.2377491438433</c:v>
                </c:pt>
                <c:pt idx="2">
                  <c:v>224.2377491438433</c:v>
                </c:pt>
                <c:pt idx="3">
                  <c:v>224.2377491438433</c:v>
                </c:pt>
                <c:pt idx="4">
                  <c:v>224.2377491438433</c:v>
                </c:pt>
              </c:numCache>
            </c:numRef>
          </c:val>
          <c:smooth val="0"/>
          <c:extLst>
            <c:ext xmlns:c16="http://schemas.microsoft.com/office/drawing/2014/chart" uri="{C3380CC4-5D6E-409C-BE32-E72D297353CC}">
              <c16:uniqueId val="{00000004-DD11-4214-A724-7E758CF15997}"/>
            </c:ext>
          </c:extLst>
        </c:ser>
        <c:dLbls>
          <c:showLegendKey val="0"/>
          <c:showVal val="0"/>
          <c:showCatName val="0"/>
          <c:showSerName val="0"/>
          <c:showPercent val="0"/>
          <c:showBubbleSize val="0"/>
        </c:dLbls>
        <c:marker val="1"/>
        <c:smooth val="0"/>
        <c:axId val="1462089071"/>
        <c:axId val="1462088239"/>
      </c:lineChart>
      <c:catAx>
        <c:axId val="1438844239"/>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Narrow" panose="020B0606020202030204" pitchFamily="34" charset="0"/>
                <a:ea typeface="+mn-ea"/>
                <a:cs typeface="+mn-cs"/>
              </a:defRPr>
            </a:pPr>
            <a:endParaRPr lang="it-IT"/>
          </a:p>
        </c:txPr>
        <c:crossAx val="1438852975"/>
        <c:crosses val="autoZero"/>
        <c:auto val="1"/>
        <c:lblAlgn val="ctr"/>
        <c:lblOffset val="100"/>
        <c:noMultiLvlLbl val="0"/>
      </c:catAx>
      <c:valAx>
        <c:axId val="1438852975"/>
        <c:scaling>
          <c:orientation val="minMax"/>
          <c:max val="800"/>
        </c:scaling>
        <c:delete val="0"/>
        <c:axPos val="l"/>
        <c:majorGridlines>
          <c:spPr>
            <a:ln w="3175" cap="flat" cmpd="sng" algn="ctr">
              <a:solidFill>
                <a:schemeClr val="bg1"/>
              </a:solidFill>
              <a:round/>
            </a:ln>
            <a:effectLst/>
          </c:spPr>
        </c:majorGridlines>
        <c:title>
          <c:tx>
            <c:rich>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r>
                  <a:rPr lang="it-IT"/>
                  <a:t>Mt Co2 eq</a:t>
                </a:r>
              </a:p>
            </c:rich>
          </c:tx>
          <c:layout>
            <c:manualLayout>
              <c:xMode val="edge"/>
              <c:yMode val="edge"/>
              <c:x val="9.0328776243036955E-3"/>
              <c:y val="0.89621262523243095"/>
            </c:manualLayout>
          </c:layout>
          <c:overlay val="0"/>
          <c:spPr>
            <a:noFill/>
            <a:ln>
              <a:noFill/>
            </a:ln>
            <a:effectLst/>
          </c:spPr>
          <c:txPr>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title>
        <c:numFmt formatCode="#,##0" sourceLinked="0"/>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1438844239"/>
        <c:crosses val="autoZero"/>
        <c:crossBetween val="between"/>
        <c:majorUnit val="100"/>
      </c:valAx>
      <c:valAx>
        <c:axId val="1462088239"/>
        <c:scaling>
          <c:orientation val="minMax"/>
          <c:max val="700"/>
        </c:scaling>
        <c:delete val="0"/>
        <c:axPos val="r"/>
        <c:majorGridlines>
          <c:spPr>
            <a:ln w="3175" cap="flat" cmpd="sng" algn="ctr">
              <a:solidFill>
                <a:schemeClr val="bg1">
                  <a:lumMod val="65000"/>
                </a:schemeClr>
              </a:solidFill>
              <a:round/>
            </a:ln>
            <a:effectLst/>
          </c:spPr>
        </c:majorGridlines>
        <c:title>
          <c:tx>
            <c:rich>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r>
                  <a:rPr lang="en-US"/>
                  <a:t>t. CO2 eq/M euro</a:t>
                </a:r>
              </a:p>
            </c:rich>
          </c:tx>
          <c:layout>
            <c:manualLayout>
              <c:xMode val="edge"/>
              <c:yMode val="edge"/>
              <c:x val="0.79794238683127572"/>
              <c:y val="0.91136602353675145"/>
            </c:manualLayout>
          </c:layout>
          <c:overlay val="0"/>
          <c:spPr>
            <a:noFill/>
            <a:ln>
              <a:noFill/>
            </a:ln>
            <a:effectLst/>
          </c:spPr>
          <c:txPr>
            <a:bodyPr rot="0" spcFirstLastPara="1" vertOverflow="ellipsis"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title>
        <c:numFmt formatCode="#,##0" sourceLinked="0"/>
        <c:majorTickMark val="out"/>
        <c:minorTickMark val="none"/>
        <c:tickLblPos val="nextTo"/>
        <c:spPr>
          <a:noFill/>
          <a:ln w="12700">
            <a:solidFill>
              <a:sysClr val="window" lastClr="FFFFFF">
                <a:lumMod val="65000"/>
              </a:sys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1462089071"/>
        <c:crosses val="max"/>
        <c:crossBetween val="between"/>
        <c:majorUnit val="100"/>
      </c:valAx>
      <c:catAx>
        <c:axId val="1462089071"/>
        <c:scaling>
          <c:orientation val="minMax"/>
        </c:scaling>
        <c:delete val="1"/>
        <c:axPos val="b"/>
        <c:numFmt formatCode="General" sourceLinked="1"/>
        <c:majorTickMark val="out"/>
        <c:minorTickMark val="none"/>
        <c:tickLblPos val="nextTo"/>
        <c:crossAx val="1462088239"/>
        <c:crosses val="autoZero"/>
        <c:auto val="1"/>
        <c:lblAlgn val="ctr"/>
        <c:lblOffset val="100"/>
        <c:noMultiLvlLbl val="0"/>
      </c:catAx>
      <c:spPr>
        <a:noFill/>
        <a:ln>
          <a:noFill/>
        </a:ln>
        <a:effectLst/>
      </c:spPr>
    </c:plotArea>
    <c:legend>
      <c:legendPos val="t"/>
      <c:layout>
        <c:manualLayout>
          <c:xMode val="edge"/>
          <c:yMode val="edge"/>
          <c:x val="1.8705574261129818E-2"/>
          <c:y val="1.8575950986628065E-2"/>
          <c:w val="0.97474953677928322"/>
          <c:h val="0.17804051583335365"/>
        </c:manualLayout>
      </c:layout>
      <c:overlay val="0"/>
      <c:spPr>
        <a:noFill/>
        <a:ln>
          <a:noFill/>
        </a:ln>
        <a:effectLst/>
      </c:spPr>
      <c:txPr>
        <a:bodyPr rot="0" spcFirstLastPara="1" vertOverflow="ellipsis" vert="horz" wrap="square" anchor="ctr" anchorCtr="1"/>
        <a:lstStyle/>
        <a:p>
          <a:pPr algn="ctr">
            <a:defRPr sz="7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noFill/>
    <a:ln w="3175" cap="flat" cmpd="sng" algn="ctr">
      <a:solidFill>
        <a:schemeClr val="bg1">
          <a:lumMod val="65000"/>
        </a:schemeClr>
      </a:solidFill>
      <a:round/>
    </a:ln>
    <a:effectLst/>
  </c:spPr>
  <c:txPr>
    <a:bodyPr/>
    <a:lstStyle/>
    <a:p>
      <a:pPr>
        <a:defRPr sz="700">
          <a:solidFill>
            <a:sysClr val="windowText" lastClr="000000"/>
          </a:solidFill>
          <a:latin typeface="Arial Narrow" panose="020B0606020202030204" pitchFamily="34" charset="0"/>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33283328788768E-2"/>
          <c:y val="0.1322467463587777"/>
          <c:w val="0.88074095504695482"/>
          <c:h val="0.69700185630941214"/>
        </c:manualLayout>
      </c:layout>
      <c:barChart>
        <c:barDir val="col"/>
        <c:grouping val="stacked"/>
        <c:varyColors val="0"/>
        <c:ser>
          <c:idx val="4"/>
          <c:order val="0"/>
          <c:tx>
            <c:strRef>
              <c:f>'Figura 3 - Flussi di materia'!$A$4</c:f>
              <c:strCache>
                <c:ptCount val="1"/>
                <c:pt idx="0">
                  <c:v>Biomasse</c:v>
                </c:pt>
              </c:strCache>
            </c:strRef>
          </c:tx>
          <c:spPr>
            <a:solidFill>
              <a:srgbClr val="1F4E79"/>
            </a:solidFill>
            <a:ln>
              <a:noFill/>
            </a:ln>
            <a:effectLst/>
          </c:spPr>
          <c:invertIfNegative val="0"/>
          <c:cat>
            <c:multiLvlStrRef>
              <c:f>'Figura 3 - Flussi di materia'!$B$2:$E$3</c:f>
              <c:multiLvlStrCache>
                <c:ptCount val="4"/>
                <c:lvl>
                  <c:pt idx="0">
                    <c:v>EI</c:v>
                  </c:pt>
                  <c:pt idx="1">
                    <c:v>PTB</c:v>
                  </c:pt>
                  <c:pt idx="2">
                    <c:v>EI</c:v>
                  </c:pt>
                  <c:pt idx="3">
                    <c:v>PTB</c:v>
                  </c:pt>
                </c:lvl>
                <c:lvl>
                  <c:pt idx="0">
                    <c:v>2021</c:v>
                  </c:pt>
                  <c:pt idx="2">
                    <c:v>2022</c:v>
                  </c:pt>
                </c:lvl>
              </c:multiLvlStrCache>
            </c:multiLvlStrRef>
          </c:cat>
          <c:val>
            <c:numRef>
              <c:f>'Figura 3 - Flussi di materia'!$B$4:$E$4</c:f>
              <c:numCache>
                <c:formatCode>_-* #,##0.0_-;\-* #,##0.0_-;_-* "-"??_-;_-@_-</c:formatCode>
                <c:ptCount val="4"/>
                <c:pt idx="0">
                  <c:v>103.194905135</c:v>
                </c:pt>
                <c:pt idx="1">
                  <c:v>27.941514548999997</c:v>
                </c:pt>
                <c:pt idx="2">
                  <c:v>95.361964319000009</c:v>
                </c:pt>
                <c:pt idx="3">
                  <c:v>34.058976086000001</c:v>
                </c:pt>
              </c:numCache>
            </c:numRef>
          </c:val>
          <c:extLst xmlns:c15="http://schemas.microsoft.com/office/drawing/2012/chart">
            <c:ext xmlns:c16="http://schemas.microsoft.com/office/drawing/2014/chart" uri="{C3380CC4-5D6E-409C-BE32-E72D297353CC}">
              <c16:uniqueId val="{00000000-5ED6-424A-B0BB-007605EF9D38}"/>
            </c:ext>
          </c:extLst>
        </c:ser>
        <c:ser>
          <c:idx val="0"/>
          <c:order val="1"/>
          <c:tx>
            <c:strRef>
              <c:f>'Figura 3 - Flussi di materia'!$A$5</c:f>
              <c:strCache>
                <c:ptCount val="1"/>
                <c:pt idx="0">
                  <c:v>Minerali metalliferi e derivati</c:v>
                </c:pt>
              </c:strCache>
            </c:strRef>
          </c:tx>
          <c:spPr>
            <a:solidFill>
              <a:srgbClr val="FF0000"/>
            </a:solidFill>
            <a:ln>
              <a:noFill/>
            </a:ln>
            <a:effectLst/>
          </c:spPr>
          <c:invertIfNegative val="0"/>
          <c:cat>
            <c:multiLvlStrRef>
              <c:f>'Figura 3 - Flussi di materia'!$B$2:$E$3</c:f>
              <c:multiLvlStrCache>
                <c:ptCount val="4"/>
                <c:lvl>
                  <c:pt idx="0">
                    <c:v>EI</c:v>
                  </c:pt>
                  <c:pt idx="1">
                    <c:v>PTB</c:v>
                  </c:pt>
                  <c:pt idx="2">
                    <c:v>EI</c:v>
                  </c:pt>
                  <c:pt idx="3">
                    <c:v>PTB</c:v>
                  </c:pt>
                </c:lvl>
                <c:lvl>
                  <c:pt idx="0">
                    <c:v>2021</c:v>
                  </c:pt>
                  <c:pt idx="2">
                    <c:v>2022</c:v>
                  </c:pt>
                </c:lvl>
              </c:multiLvlStrCache>
            </c:multiLvlStrRef>
          </c:cat>
          <c:val>
            <c:numRef>
              <c:f>'Figura 3 - Flussi di materia'!$B$5:$E$5</c:f>
              <c:numCache>
                <c:formatCode>_-* #,##0.0_-;\-* #,##0.0_-;_-* "-"??_-;_-@_-</c:formatCode>
                <c:ptCount val="4"/>
                <c:pt idx="0">
                  <c:v>0.121314249</c:v>
                </c:pt>
                <c:pt idx="1">
                  <c:v>16.832311169</c:v>
                </c:pt>
                <c:pt idx="2">
                  <c:v>0.121245164</c:v>
                </c:pt>
                <c:pt idx="3">
                  <c:v>15.86208444</c:v>
                </c:pt>
              </c:numCache>
            </c:numRef>
          </c:val>
          <c:extLst>
            <c:ext xmlns:c16="http://schemas.microsoft.com/office/drawing/2014/chart" uri="{C3380CC4-5D6E-409C-BE32-E72D297353CC}">
              <c16:uniqueId val="{00000001-5ED6-424A-B0BB-007605EF9D38}"/>
            </c:ext>
          </c:extLst>
        </c:ser>
        <c:ser>
          <c:idx val="1"/>
          <c:order val="2"/>
          <c:tx>
            <c:strRef>
              <c:f>'Figura 3 - Flussi di materia'!$A$6</c:f>
              <c:strCache>
                <c:ptCount val="1"/>
                <c:pt idx="0">
                  <c:v>Minerali non metalliferi e derivati</c:v>
                </c:pt>
              </c:strCache>
            </c:strRef>
          </c:tx>
          <c:spPr>
            <a:solidFill>
              <a:srgbClr val="9BBB59"/>
            </a:solidFill>
            <a:ln>
              <a:noFill/>
            </a:ln>
            <a:effectLst/>
          </c:spPr>
          <c:invertIfNegative val="0"/>
          <c:cat>
            <c:multiLvlStrRef>
              <c:f>'Figura 3 - Flussi di materia'!$B$2:$E$3</c:f>
              <c:multiLvlStrCache>
                <c:ptCount val="4"/>
                <c:lvl>
                  <c:pt idx="0">
                    <c:v>EI</c:v>
                  </c:pt>
                  <c:pt idx="1">
                    <c:v>PTB</c:v>
                  </c:pt>
                  <c:pt idx="2">
                    <c:v>EI</c:v>
                  </c:pt>
                  <c:pt idx="3">
                    <c:v>PTB</c:v>
                  </c:pt>
                </c:lvl>
                <c:lvl>
                  <c:pt idx="0">
                    <c:v>2021</c:v>
                  </c:pt>
                  <c:pt idx="2">
                    <c:v>2022</c:v>
                  </c:pt>
                </c:lvl>
              </c:multiLvlStrCache>
            </c:multiLvlStrRef>
          </c:cat>
          <c:val>
            <c:numRef>
              <c:f>'Figura 3 - Flussi di materia'!$B$6:$E$6</c:f>
              <c:numCache>
                <c:formatCode>_-* #,##0.0_-;\-* #,##0.0_-;_-* "-"??_-;_-@_-</c:formatCode>
                <c:ptCount val="4"/>
                <c:pt idx="0">
                  <c:v>236.504398751</c:v>
                </c:pt>
                <c:pt idx="1">
                  <c:v>0.79718660699999999</c:v>
                </c:pt>
                <c:pt idx="2">
                  <c:v>236.90293283700001</c:v>
                </c:pt>
                <c:pt idx="3">
                  <c:v>2.5035065010000004</c:v>
                </c:pt>
              </c:numCache>
            </c:numRef>
          </c:val>
          <c:extLst>
            <c:ext xmlns:c16="http://schemas.microsoft.com/office/drawing/2014/chart" uri="{C3380CC4-5D6E-409C-BE32-E72D297353CC}">
              <c16:uniqueId val="{00000002-5ED6-424A-B0BB-007605EF9D38}"/>
            </c:ext>
          </c:extLst>
        </c:ser>
        <c:ser>
          <c:idx val="2"/>
          <c:order val="3"/>
          <c:tx>
            <c:strRef>
              <c:f>'Figura 3 - Flussi di materia'!$A$7</c:f>
              <c:strCache>
                <c:ptCount val="1"/>
                <c:pt idx="0">
                  <c:v>Minerali energetici e derivati</c:v>
                </c:pt>
              </c:strCache>
            </c:strRef>
          </c:tx>
          <c:spPr>
            <a:solidFill>
              <a:schemeClr val="accent4"/>
            </a:solidFill>
            <a:ln>
              <a:noFill/>
            </a:ln>
            <a:effectLst/>
          </c:spPr>
          <c:invertIfNegative val="0"/>
          <c:cat>
            <c:multiLvlStrRef>
              <c:f>'Figura 3 - Flussi di materia'!$B$2:$E$3</c:f>
              <c:multiLvlStrCache>
                <c:ptCount val="4"/>
                <c:lvl>
                  <c:pt idx="0">
                    <c:v>EI</c:v>
                  </c:pt>
                  <c:pt idx="1">
                    <c:v>PTB</c:v>
                  </c:pt>
                  <c:pt idx="2">
                    <c:v>EI</c:v>
                  </c:pt>
                  <c:pt idx="3">
                    <c:v>PTB</c:v>
                  </c:pt>
                </c:lvl>
                <c:lvl>
                  <c:pt idx="0">
                    <c:v>2021</c:v>
                  </c:pt>
                  <c:pt idx="2">
                    <c:v>2022</c:v>
                  </c:pt>
                </c:lvl>
              </c:multiLvlStrCache>
            </c:multiLvlStrRef>
          </c:cat>
          <c:val>
            <c:numRef>
              <c:f>'Figura 3 - Flussi di materia'!$B$7:$E$7</c:f>
              <c:numCache>
                <c:formatCode>_-* #,##0.0_-;\-* #,##0.0_-;_-* "-"??_-;_-@_-</c:formatCode>
                <c:ptCount val="4"/>
                <c:pt idx="0">
                  <c:v>7.085</c:v>
                </c:pt>
                <c:pt idx="1">
                  <c:v>116.7756857</c:v>
                </c:pt>
                <c:pt idx="2">
                  <c:v>6.7080000000000002</c:v>
                </c:pt>
                <c:pt idx="3">
                  <c:v>124.236794844</c:v>
                </c:pt>
              </c:numCache>
            </c:numRef>
          </c:val>
          <c:extLst>
            <c:ext xmlns:c16="http://schemas.microsoft.com/office/drawing/2014/chart" uri="{C3380CC4-5D6E-409C-BE32-E72D297353CC}">
              <c16:uniqueId val="{00000003-5ED6-424A-B0BB-007605EF9D38}"/>
            </c:ext>
          </c:extLst>
        </c:ser>
        <c:ser>
          <c:idx val="3"/>
          <c:order val="4"/>
          <c:tx>
            <c:strRef>
              <c:f>'Figura 3 - Flussi di materia'!$A$8</c:f>
              <c:strCache>
                <c:ptCount val="1"/>
                <c:pt idx="0">
                  <c:v>Prodotti compositi e rifiuti</c:v>
                </c:pt>
              </c:strCache>
            </c:strRef>
          </c:tx>
          <c:spPr>
            <a:solidFill>
              <a:srgbClr val="AA72D4"/>
            </a:solidFill>
            <a:ln w="12700">
              <a:solidFill>
                <a:srgbClr val="AA72D4"/>
              </a:solidFill>
            </a:ln>
            <a:effectLst/>
          </c:spPr>
          <c:invertIfNegative val="0"/>
          <c:cat>
            <c:multiLvlStrRef>
              <c:f>'Figura 3 - Flussi di materia'!$B$1:$E$3</c:f>
              <c:multiLvlStrCache>
                <c:ptCount val="4"/>
                <c:lvl>
                  <c:pt idx="0">
                    <c:v>EI</c:v>
                  </c:pt>
                  <c:pt idx="1">
                    <c:v>PTB</c:v>
                  </c:pt>
                  <c:pt idx="2">
                    <c:v>EI</c:v>
                  </c:pt>
                  <c:pt idx="3">
                    <c:v>PTB</c:v>
                  </c:pt>
                </c:lvl>
                <c:lvl>
                  <c:pt idx="0">
                    <c:v>2021</c:v>
                  </c:pt>
                  <c:pt idx="2">
                    <c:v>2022</c:v>
                  </c:pt>
                </c:lvl>
                <c:lvl>
                  <c:pt idx="0">
                    <c:v>Milioni di tonnellate</c:v>
                  </c:pt>
                </c:lvl>
              </c:multiLvlStrCache>
            </c:multiLvlStrRef>
          </c:cat>
          <c:val>
            <c:numRef>
              <c:f>'Figura 3 - Flussi di materia'!$B$8:$J$8</c:f>
              <c:numCache>
                <c:formatCode>_-* #,##0.0_-;\-* #,##0.0_-;_-* "-"??_-;_-@_-</c:formatCode>
                <c:ptCount val="4"/>
                <c:pt idx="0">
                  <c:v>0</c:v>
                </c:pt>
                <c:pt idx="1">
                  <c:v>-3.7027213539999999</c:v>
                </c:pt>
                <c:pt idx="2">
                  <c:v>0</c:v>
                </c:pt>
                <c:pt idx="3">
                  <c:v>-3.724755617</c:v>
                </c:pt>
              </c:numCache>
            </c:numRef>
          </c:val>
          <c:extLst>
            <c:ext xmlns:c16="http://schemas.microsoft.com/office/drawing/2014/chart" uri="{C3380CC4-5D6E-409C-BE32-E72D297353CC}">
              <c16:uniqueId val="{00000004-5ED6-424A-B0BB-007605EF9D38}"/>
            </c:ext>
          </c:extLst>
        </c:ser>
        <c:dLbls>
          <c:showLegendKey val="0"/>
          <c:showVal val="0"/>
          <c:showCatName val="0"/>
          <c:showSerName val="0"/>
          <c:showPercent val="0"/>
          <c:showBubbleSize val="0"/>
        </c:dLbls>
        <c:gapWidth val="90"/>
        <c:overlap val="100"/>
        <c:axId val="1057282112"/>
        <c:axId val="1057282528"/>
      </c:barChart>
      <c:catAx>
        <c:axId val="1057282112"/>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Narrow" panose="020B0606020202030204" pitchFamily="34" charset="0"/>
                <a:ea typeface="+mn-ea"/>
                <a:cs typeface="+mn-cs"/>
              </a:defRPr>
            </a:pPr>
            <a:endParaRPr lang="it-IT"/>
          </a:p>
        </c:txPr>
        <c:crossAx val="1057282528"/>
        <c:crosses val="autoZero"/>
        <c:auto val="1"/>
        <c:lblAlgn val="ctr"/>
        <c:lblOffset val="100"/>
        <c:noMultiLvlLbl val="0"/>
      </c:catAx>
      <c:valAx>
        <c:axId val="1057282528"/>
        <c:scaling>
          <c:orientation val="minMax"/>
          <c:max val="350"/>
          <c:min val="0"/>
        </c:scaling>
        <c:delete val="0"/>
        <c:axPos val="l"/>
        <c:majorGridlines>
          <c:spPr>
            <a:ln w="3175" cap="flat" cmpd="sng" algn="ctr">
              <a:solidFill>
                <a:schemeClr val="bg1"/>
              </a:solidFill>
              <a:round/>
            </a:ln>
            <a:effectLst/>
          </c:spPr>
        </c:majorGridlines>
        <c:numFmt formatCode="#,##0" sourceLinked="0"/>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10572821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Arial Narrow" panose="020B0606020202030204" pitchFamily="34" charset="0"/>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14645149982799E-2"/>
          <c:y val="0.11992771226809186"/>
          <c:w val="0.88411370260498146"/>
          <c:h val="0.84572121922565757"/>
        </c:manualLayout>
      </c:layout>
      <c:barChart>
        <c:barDir val="col"/>
        <c:grouping val="stacked"/>
        <c:varyColors val="0"/>
        <c:ser>
          <c:idx val="4"/>
          <c:order val="0"/>
          <c:tx>
            <c:strRef>
              <c:f>'Figura 3 - Flussi di materia'!$A$13</c:f>
              <c:strCache>
                <c:ptCount val="1"/>
                <c:pt idx="0">
                  <c:v>Biomasse</c:v>
                </c:pt>
              </c:strCache>
            </c:strRef>
          </c:tx>
          <c:spPr>
            <a:solidFill>
              <a:schemeClr val="accent1">
                <a:lumMod val="50000"/>
              </a:schemeClr>
            </a:solidFill>
            <a:ln>
              <a:solidFill>
                <a:srgbClr val="1F4E79"/>
              </a:solidFill>
            </a:ln>
            <a:effectLst/>
          </c:spPr>
          <c:invertIfNegative val="0"/>
          <c:cat>
            <c:strRef>
              <c:f>'Figura 3 - Flussi di materia'!$B$11:$F$11</c:f>
              <c:strCache>
                <c:ptCount val="5"/>
                <c:pt idx="0">
                  <c:v>Italia</c:v>
                </c:pt>
                <c:pt idx="1">
                  <c:v>Ue27</c:v>
                </c:pt>
                <c:pt idx="2">
                  <c:v>Germania</c:v>
                </c:pt>
                <c:pt idx="3">
                  <c:v>Francia</c:v>
                </c:pt>
                <c:pt idx="4">
                  <c:v>Spagna</c:v>
                </c:pt>
              </c:strCache>
            </c:strRef>
          </c:cat>
          <c:val>
            <c:numRef>
              <c:f>'Figura 3 - Flussi di materia'!$B$13:$F$13</c:f>
              <c:numCache>
                <c:formatCode>_-* #,##0.00\ _€_-;\-* #,##0.00\ _€_-;_-* "-"??\ _€_-;_-@_-</c:formatCode>
                <c:ptCount val="5"/>
                <c:pt idx="0">
                  <c:v>2.1930000000000001</c:v>
                </c:pt>
                <c:pt idx="1">
                  <c:v>3.2150000000000003</c:v>
                </c:pt>
                <c:pt idx="2">
                  <c:v>2.7610000000000001</c:v>
                </c:pt>
                <c:pt idx="3">
                  <c:v>2.8510000000000004</c:v>
                </c:pt>
                <c:pt idx="4">
                  <c:v>2.5630000000000002</c:v>
                </c:pt>
              </c:numCache>
            </c:numRef>
          </c:val>
          <c:extLst xmlns:c15="http://schemas.microsoft.com/office/drawing/2012/chart">
            <c:ext xmlns:c16="http://schemas.microsoft.com/office/drawing/2014/chart" uri="{C3380CC4-5D6E-409C-BE32-E72D297353CC}">
              <c16:uniqueId val="{00000000-B82C-462A-A817-EAE33E2BBCA9}"/>
            </c:ext>
          </c:extLst>
        </c:ser>
        <c:ser>
          <c:idx val="0"/>
          <c:order val="1"/>
          <c:tx>
            <c:strRef>
              <c:f>'Figura 3 - Flussi di materia'!$A$14</c:f>
              <c:strCache>
                <c:ptCount val="1"/>
                <c:pt idx="0">
                  <c:v>Minerali metalliferi e derivati</c:v>
                </c:pt>
              </c:strCache>
            </c:strRef>
          </c:tx>
          <c:spPr>
            <a:solidFill>
              <a:srgbClr val="FF0000"/>
            </a:solidFill>
            <a:ln>
              <a:solidFill>
                <a:srgbClr val="FF0000"/>
              </a:solidFill>
            </a:ln>
            <a:effectLst/>
          </c:spPr>
          <c:invertIfNegative val="0"/>
          <c:cat>
            <c:strRef>
              <c:f>'Figura 3 - Flussi di materia'!$B$11:$F$11</c:f>
              <c:strCache>
                <c:ptCount val="5"/>
                <c:pt idx="0">
                  <c:v>Italia</c:v>
                </c:pt>
                <c:pt idx="1">
                  <c:v>Ue27</c:v>
                </c:pt>
                <c:pt idx="2">
                  <c:v>Germania</c:v>
                </c:pt>
                <c:pt idx="3">
                  <c:v>Francia</c:v>
                </c:pt>
                <c:pt idx="4">
                  <c:v>Spagna</c:v>
                </c:pt>
              </c:strCache>
            </c:strRef>
          </c:cat>
          <c:val>
            <c:numRef>
              <c:f>'Figura 3 - Flussi di materia'!$B$14:$F$14</c:f>
              <c:numCache>
                <c:formatCode>_-* #,##0.00\ _€_-;\-* #,##0.00\ _€_-;_-* "-"??\ _€_-;_-@_-</c:formatCode>
                <c:ptCount val="5"/>
                <c:pt idx="0">
                  <c:v>0.27100000000000002</c:v>
                </c:pt>
                <c:pt idx="1">
                  <c:v>0.77500000000000002</c:v>
                </c:pt>
                <c:pt idx="2">
                  <c:v>0.45200000000000001</c:v>
                </c:pt>
                <c:pt idx="3">
                  <c:v>0.25700000000000001</c:v>
                </c:pt>
                <c:pt idx="4">
                  <c:v>0.68300000000000005</c:v>
                </c:pt>
              </c:numCache>
            </c:numRef>
          </c:val>
          <c:extLst>
            <c:ext xmlns:c16="http://schemas.microsoft.com/office/drawing/2014/chart" uri="{C3380CC4-5D6E-409C-BE32-E72D297353CC}">
              <c16:uniqueId val="{00000001-B82C-462A-A817-EAE33E2BBCA9}"/>
            </c:ext>
          </c:extLst>
        </c:ser>
        <c:ser>
          <c:idx val="1"/>
          <c:order val="2"/>
          <c:tx>
            <c:strRef>
              <c:f>'Figura 3 - Flussi di materia'!$A$15</c:f>
              <c:strCache>
                <c:ptCount val="1"/>
                <c:pt idx="0">
                  <c:v>Minerali non metalliferi e derivati</c:v>
                </c:pt>
              </c:strCache>
            </c:strRef>
          </c:tx>
          <c:spPr>
            <a:solidFill>
              <a:srgbClr val="9BBB59"/>
            </a:solidFill>
            <a:ln>
              <a:solidFill>
                <a:srgbClr val="9BBB59"/>
              </a:solidFill>
            </a:ln>
            <a:effectLst/>
          </c:spPr>
          <c:invertIfNegative val="0"/>
          <c:cat>
            <c:strRef>
              <c:f>'Figura 3 - Flussi di materia'!$B$11:$F$11</c:f>
              <c:strCache>
                <c:ptCount val="5"/>
                <c:pt idx="0">
                  <c:v>Italia</c:v>
                </c:pt>
                <c:pt idx="1">
                  <c:v>Ue27</c:v>
                </c:pt>
                <c:pt idx="2">
                  <c:v>Germania</c:v>
                </c:pt>
                <c:pt idx="3">
                  <c:v>Francia</c:v>
                </c:pt>
                <c:pt idx="4">
                  <c:v>Spagna</c:v>
                </c:pt>
              </c:strCache>
            </c:strRef>
          </c:cat>
          <c:val>
            <c:numRef>
              <c:f>'Figura 3 - Flussi di materia'!$B$15:$F$15</c:f>
              <c:numCache>
                <c:formatCode>_-* #,##0.00\ _€_-;\-* #,##0.00\ _€_-;_-* "-"??\ _€_-;_-@_-</c:formatCode>
                <c:ptCount val="5"/>
                <c:pt idx="0">
                  <c:v>4.056</c:v>
                </c:pt>
                <c:pt idx="1">
                  <c:v>7.4020000000000001</c:v>
                </c:pt>
                <c:pt idx="2">
                  <c:v>6.4990000000000006</c:v>
                </c:pt>
                <c:pt idx="3">
                  <c:v>6.1000000000000005</c:v>
                </c:pt>
                <c:pt idx="4">
                  <c:v>3.9400000000000004</c:v>
                </c:pt>
              </c:numCache>
            </c:numRef>
          </c:val>
          <c:extLst>
            <c:ext xmlns:c16="http://schemas.microsoft.com/office/drawing/2014/chart" uri="{C3380CC4-5D6E-409C-BE32-E72D297353CC}">
              <c16:uniqueId val="{00000002-B82C-462A-A817-EAE33E2BBCA9}"/>
            </c:ext>
          </c:extLst>
        </c:ser>
        <c:ser>
          <c:idx val="2"/>
          <c:order val="3"/>
          <c:tx>
            <c:strRef>
              <c:f>'Figura 3 - Flussi di materia'!$A$16</c:f>
              <c:strCache>
                <c:ptCount val="1"/>
                <c:pt idx="0">
                  <c:v>Minerali energetici e derivati</c:v>
                </c:pt>
              </c:strCache>
            </c:strRef>
          </c:tx>
          <c:spPr>
            <a:solidFill>
              <a:srgbClr val="FFC000"/>
            </a:solidFill>
            <a:ln>
              <a:solidFill>
                <a:srgbClr val="FFC000"/>
              </a:solidFill>
            </a:ln>
            <a:effectLst/>
          </c:spPr>
          <c:invertIfNegative val="0"/>
          <c:cat>
            <c:strRef>
              <c:f>'Figura 3 - Flussi di materia'!$B$11:$F$11</c:f>
              <c:strCache>
                <c:ptCount val="5"/>
                <c:pt idx="0">
                  <c:v>Italia</c:v>
                </c:pt>
                <c:pt idx="1">
                  <c:v>Ue27</c:v>
                </c:pt>
                <c:pt idx="2">
                  <c:v>Germania</c:v>
                </c:pt>
                <c:pt idx="3">
                  <c:v>Francia</c:v>
                </c:pt>
                <c:pt idx="4">
                  <c:v>Spagna</c:v>
                </c:pt>
              </c:strCache>
            </c:strRef>
          </c:cat>
          <c:val>
            <c:numRef>
              <c:f>'Figura 3 - Flussi di materia'!$B$16:$F$16</c:f>
              <c:numCache>
                <c:formatCode>_-* #,##0.00\ _€_-;\-* #,##0.00\ _€_-;_-* "-"??\ _€_-;_-@_-</c:formatCode>
                <c:ptCount val="5"/>
                <c:pt idx="0">
                  <c:v>2.2239999999999998</c:v>
                </c:pt>
                <c:pt idx="1">
                  <c:v>2.7610000000000001</c:v>
                </c:pt>
                <c:pt idx="2">
                  <c:v>3.9530000000000003</c:v>
                </c:pt>
                <c:pt idx="3">
                  <c:v>1.827</c:v>
                </c:pt>
                <c:pt idx="4">
                  <c:v>1.7350000000000001</c:v>
                </c:pt>
              </c:numCache>
            </c:numRef>
          </c:val>
          <c:extLst>
            <c:ext xmlns:c16="http://schemas.microsoft.com/office/drawing/2014/chart" uri="{C3380CC4-5D6E-409C-BE32-E72D297353CC}">
              <c16:uniqueId val="{00000003-B82C-462A-A817-EAE33E2BBCA9}"/>
            </c:ext>
          </c:extLst>
        </c:ser>
        <c:ser>
          <c:idx val="3"/>
          <c:order val="4"/>
          <c:tx>
            <c:strRef>
              <c:f>'Figura 3 - Flussi di materia'!$A$17</c:f>
              <c:strCache>
                <c:ptCount val="1"/>
                <c:pt idx="0">
                  <c:v>Prodotti compositi e rifiuti</c:v>
                </c:pt>
              </c:strCache>
            </c:strRef>
          </c:tx>
          <c:spPr>
            <a:solidFill>
              <a:srgbClr val="AA72D4"/>
            </a:solidFill>
            <a:ln>
              <a:solidFill>
                <a:srgbClr val="AA72D4"/>
              </a:solidFill>
            </a:ln>
            <a:effectLst/>
          </c:spPr>
          <c:invertIfNegative val="0"/>
          <c:cat>
            <c:strRef>
              <c:f>'Figura 3 - Flussi di materia'!$B$11:$F$11</c:f>
              <c:strCache>
                <c:ptCount val="5"/>
                <c:pt idx="0">
                  <c:v>Italia</c:v>
                </c:pt>
                <c:pt idx="1">
                  <c:v>Ue27</c:v>
                </c:pt>
                <c:pt idx="2">
                  <c:v>Germania</c:v>
                </c:pt>
                <c:pt idx="3">
                  <c:v>Francia</c:v>
                </c:pt>
                <c:pt idx="4">
                  <c:v>Spagna</c:v>
                </c:pt>
              </c:strCache>
            </c:strRef>
          </c:cat>
          <c:val>
            <c:numRef>
              <c:f>'Figura 3 - Flussi di materia'!$B$17:$F$17</c:f>
              <c:numCache>
                <c:formatCode>_-* #,##0.00\ _€_-;\-* #,##0.00\ _€_-;_-* "-"??\ _€_-;_-@_-</c:formatCode>
                <c:ptCount val="5"/>
                <c:pt idx="0">
                  <c:v>-6.3E-2</c:v>
                </c:pt>
                <c:pt idx="1">
                  <c:v>7.3000000000000009E-2</c:v>
                </c:pt>
                <c:pt idx="2">
                  <c:v>-2.2000000000000006E-2</c:v>
                </c:pt>
                <c:pt idx="3">
                  <c:v>0.128</c:v>
                </c:pt>
                <c:pt idx="4">
                  <c:v>-0.14300000000000002</c:v>
                </c:pt>
              </c:numCache>
            </c:numRef>
          </c:val>
          <c:extLst>
            <c:ext xmlns:c16="http://schemas.microsoft.com/office/drawing/2014/chart" uri="{C3380CC4-5D6E-409C-BE32-E72D297353CC}">
              <c16:uniqueId val="{00000004-B82C-462A-A817-EAE33E2BBCA9}"/>
            </c:ext>
          </c:extLst>
        </c:ser>
        <c:dLbls>
          <c:showLegendKey val="0"/>
          <c:showVal val="0"/>
          <c:showCatName val="0"/>
          <c:showSerName val="0"/>
          <c:showPercent val="0"/>
          <c:showBubbleSize val="0"/>
        </c:dLbls>
        <c:gapWidth val="90"/>
        <c:overlap val="100"/>
        <c:axId val="1057282112"/>
        <c:axId val="1057282528"/>
      </c:barChart>
      <c:catAx>
        <c:axId val="1057282112"/>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Narrow" panose="020B0606020202030204" pitchFamily="34" charset="0"/>
                <a:ea typeface="+mn-ea"/>
                <a:cs typeface="+mn-cs"/>
              </a:defRPr>
            </a:pPr>
            <a:endParaRPr lang="it-IT"/>
          </a:p>
        </c:txPr>
        <c:crossAx val="1057282528"/>
        <c:crosses val="autoZero"/>
        <c:auto val="1"/>
        <c:lblAlgn val="ctr"/>
        <c:lblOffset val="100"/>
        <c:noMultiLvlLbl val="0"/>
      </c:catAx>
      <c:valAx>
        <c:axId val="1057282528"/>
        <c:scaling>
          <c:orientation val="minMax"/>
        </c:scaling>
        <c:delete val="0"/>
        <c:axPos val="l"/>
        <c:majorGridlines>
          <c:spPr>
            <a:ln w="3175" cap="flat" cmpd="sng" algn="ctr">
              <a:solidFill>
                <a:schemeClr val="bg1"/>
              </a:solidFill>
              <a:round/>
            </a:ln>
            <a:effectLst/>
          </c:spPr>
        </c:majorGridlines>
        <c:numFmt formatCode="#,##0" sourceLinked="0"/>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10572821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Arial Narrow" panose="020B0606020202030204" pitchFamily="34" charset="0"/>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26331108570471"/>
          <c:y val="9.6867027295494623E-2"/>
          <c:w val="0.63177456471712046"/>
          <c:h val="0.800749214589771"/>
        </c:manualLayout>
      </c:layout>
      <c:barChart>
        <c:barDir val="bar"/>
        <c:grouping val="stacked"/>
        <c:varyColors val="0"/>
        <c:ser>
          <c:idx val="0"/>
          <c:order val="0"/>
          <c:tx>
            <c:strRef>
              <c:f>'figura 4 - imposte'!$A$4</c:f>
              <c:strCache>
                <c:ptCount val="1"/>
                <c:pt idx="0">
                  <c:v>Famiglie</c:v>
                </c:pt>
              </c:strCache>
            </c:strRef>
          </c:tx>
          <c:spPr>
            <a:solidFill>
              <a:srgbClr val="1F497D"/>
            </a:solidFill>
            <a:ln>
              <a:noFill/>
            </a:ln>
            <a:effectLst/>
          </c:spPr>
          <c:invertIfNegative val="0"/>
          <c:cat>
            <c:multiLvlStrRef>
              <c:f>'figura 4 - imposte'!$B$2:$I$3</c:f>
              <c:multiLvlStrCache>
                <c:ptCount val="6"/>
                <c:lvl>
                  <c:pt idx="0">
                    <c:v>Energia</c:v>
                  </c:pt>
                  <c:pt idx="1">
                    <c:v>Trasporto</c:v>
                  </c:pt>
                  <c:pt idx="2">
                    <c:v>Inquinamento</c:v>
                  </c:pt>
                  <c:pt idx="3">
                    <c:v>Energia</c:v>
                  </c:pt>
                  <c:pt idx="4">
                    <c:v>Trasporto</c:v>
                  </c:pt>
                  <c:pt idx="5">
                    <c:v>Inquinamento</c:v>
                  </c:pt>
                </c:lvl>
                <c:lvl>
                  <c:pt idx="0">
                    <c:v>2022</c:v>
                  </c:pt>
                  <c:pt idx="3">
                    <c:v>2023</c:v>
                  </c:pt>
                </c:lvl>
              </c:multiLvlStrCache>
            </c:multiLvlStrRef>
          </c:cat>
          <c:val>
            <c:numRef>
              <c:f>'figura 4 - imposte'!$B$4:$I$4</c:f>
              <c:numCache>
                <c:formatCode>_-* #,##0_-;\-* #,##0_-;_-* "-"??_-;_-@_-</c:formatCode>
                <c:ptCount val="6"/>
                <c:pt idx="0">
                  <c:v>15.417708787733494</c:v>
                </c:pt>
                <c:pt idx="1">
                  <c:v>7.7998709235270773</c:v>
                </c:pt>
                <c:pt idx="2">
                  <c:v>0.34601274280761507</c:v>
                </c:pt>
                <c:pt idx="3">
                  <c:v>22.762950300566018</c:v>
                </c:pt>
                <c:pt idx="4">
                  <c:v>8.2124478676729566</c:v>
                </c:pt>
                <c:pt idx="5">
                  <c:v>0.35120344773500434</c:v>
                </c:pt>
              </c:numCache>
            </c:numRef>
          </c:val>
          <c:extLst>
            <c:ext xmlns:c16="http://schemas.microsoft.com/office/drawing/2014/chart" uri="{C3380CC4-5D6E-409C-BE32-E72D297353CC}">
              <c16:uniqueId val="{00000000-9C5C-4F4F-8A90-4FDAB46DD648}"/>
            </c:ext>
          </c:extLst>
        </c:ser>
        <c:ser>
          <c:idx val="1"/>
          <c:order val="1"/>
          <c:tx>
            <c:strRef>
              <c:f>'figura 4 - imposte'!$A$5</c:f>
              <c:strCache>
                <c:ptCount val="1"/>
                <c:pt idx="0">
                  <c:v>Attività produttive</c:v>
                </c:pt>
              </c:strCache>
            </c:strRef>
          </c:tx>
          <c:spPr>
            <a:solidFill>
              <a:srgbClr val="E42618"/>
            </a:solidFill>
            <a:ln>
              <a:noFill/>
            </a:ln>
            <a:effectLst/>
          </c:spPr>
          <c:invertIfNegative val="0"/>
          <c:cat>
            <c:multiLvlStrRef>
              <c:f>'figura 4 - imposte'!$B$2:$I$3</c:f>
              <c:multiLvlStrCache>
                <c:ptCount val="6"/>
                <c:lvl>
                  <c:pt idx="0">
                    <c:v>Energia</c:v>
                  </c:pt>
                  <c:pt idx="1">
                    <c:v>Trasporto</c:v>
                  </c:pt>
                  <c:pt idx="2">
                    <c:v>Inquinamento</c:v>
                  </c:pt>
                  <c:pt idx="3">
                    <c:v>Energia</c:v>
                  </c:pt>
                  <c:pt idx="4">
                    <c:v>Trasporto</c:v>
                  </c:pt>
                  <c:pt idx="5">
                    <c:v>Inquinamento</c:v>
                  </c:pt>
                </c:lvl>
                <c:lvl>
                  <c:pt idx="0">
                    <c:v>2022</c:v>
                  </c:pt>
                  <c:pt idx="3">
                    <c:v>2023</c:v>
                  </c:pt>
                </c:lvl>
              </c:multiLvlStrCache>
            </c:multiLvlStrRef>
          </c:cat>
          <c:val>
            <c:numRef>
              <c:f>'figura 4 - imposte'!$B$5:$I$5</c:f>
              <c:numCache>
                <c:formatCode>_-* #,##0_-;\-* #,##0_-;_-* "-"??_-;_-@_-</c:formatCode>
                <c:ptCount val="6"/>
                <c:pt idx="0">
                  <c:v>18.325666523168049</c:v>
                </c:pt>
                <c:pt idx="1">
                  <c:v>2.6851290764729243</c:v>
                </c:pt>
                <c:pt idx="2">
                  <c:v>0.24376131949749583</c:v>
                </c:pt>
                <c:pt idx="3">
                  <c:v>19.154643266333466</c:v>
                </c:pt>
                <c:pt idx="4">
                  <c:v>2.890552132327044</c:v>
                </c:pt>
                <c:pt idx="5">
                  <c:v>0.24557061457010657</c:v>
                </c:pt>
              </c:numCache>
            </c:numRef>
          </c:val>
          <c:extLst>
            <c:ext xmlns:c16="http://schemas.microsoft.com/office/drawing/2014/chart" uri="{C3380CC4-5D6E-409C-BE32-E72D297353CC}">
              <c16:uniqueId val="{00000001-9C5C-4F4F-8A90-4FDAB46DD648}"/>
            </c:ext>
          </c:extLst>
        </c:ser>
        <c:ser>
          <c:idx val="2"/>
          <c:order val="2"/>
          <c:tx>
            <c:strRef>
              <c:f>'figura 4 - imposte'!$A$6</c:f>
              <c:strCache>
                <c:ptCount val="1"/>
                <c:pt idx="0">
                  <c:v>Non residenti</c:v>
                </c:pt>
              </c:strCache>
            </c:strRef>
          </c:tx>
          <c:spPr>
            <a:solidFill>
              <a:srgbClr val="9BBB59"/>
            </a:solidFill>
            <a:ln>
              <a:noFill/>
            </a:ln>
            <a:effectLst/>
          </c:spPr>
          <c:invertIfNegative val="0"/>
          <c:cat>
            <c:multiLvlStrRef>
              <c:f>'figura 4 - imposte'!$B$2:$I$3</c:f>
              <c:multiLvlStrCache>
                <c:ptCount val="6"/>
                <c:lvl>
                  <c:pt idx="0">
                    <c:v>Energia</c:v>
                  </c:pt>
                  <c:pt idx="1">
                    <c:v>Trasporto</c:v>
                  </c:pt>
                  <c:pt idx="2">
                    <c:v>Inquinamento</c:v>
                  </c:pt>
                  <c:pt idx="3">
                    <c:v>Energia</c:v>
                  </c:pt>
                  <c:pt idx="4">
                    <c:v>Trasporto</c:v>
                  </c:pt>
                  <c:pt idx="5">
                    <c:v>Inquinamento</c:v>
                  </c:pt>
                </c:lvl>
                <c:lvl>
                  <c:pt idx="0">
                    <c:v>2022</c:v>
                  </c:pt>
                  <c:pt idx="3">
                    <c:v>2023</c:v>
                  </c:pt>
                </c:lvl>
              </c:multiLvlStrCache>
            </c:multiLvlStrRef>
          </c:cat>
          <c:val>
            <c:numRef>
              <c:f>'figura 4 - imposte'!$B$6:$I$6</c:f>
              <c:numCache>
                <c:formatCode>_-* #,##0_-;\-* #,##0_-;_-* "-"??_-;_-@_-</c:formatCode>
                <c:ptCount val="6"/>
                <c:pt idx="0">
                  <c:v>0.57162468909847231</c:v>
                </c:pt>
                <c:pt idx="1">
                  <c:v>0</c:v>
                </c:pt>
                <c:pt idx="2">
                  <c:v>1.0225937694889079E-2</c:v>
                </c:pt>
                <c:pt idx="3">
                  <c:v>0.59640643310051167</c:v>
                </c:pt>
                <c:pt idx="4">
                  <c:v>0</c:v>
                </c:pt>
                <c:pt idx="5">
                  <c:v>1.0225937694889079E-2</c:v>
                </c:pt>
              </c:numCache>
            </c:numRef>
          </c:val>
          <c:extLst>
            <c:ext xmlns:c16="http://schemas.microsoft.com/office/drawing/2014/chart" uri="{C3380CC4-5D6E-409C-BE32-E72D297353CC}">
              <c16:uniqueId val="{00000002-9C5C-4F4F-8A90-4FDAB46DD648}"/>
            </c:ext>
          </c:extLst>
        </c:ser>
        <c:dLbls>
          <c:showLegendKey val="0"/>
          <c:showVal val="0"/>
          <c:showCatName val="0"/>
          <c:showSerName val="0"/>
          <c:showPercent val="0"/>
          <c:showBubbleSize val="0"/>
        </c:dLbls>
        <c:gapWidth val="90"/>
        <c:overlap val="100"/>
        <c:axId val="1557027536"/>
        <c:axId val="1557025856"/>
      </c:barChart>
      <c:catAx>
        <c:axId val="1557027536"/>
        <c:scaling>
          <c:orientation val="minMax"/>
        </c:scaling>
        <c:delete val="0"/>
        <c:axPos val="l"/>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it-IT"/>
          </a:p>
        </c:txPr>
        <c:crossAx val="1557025856"/>
        <c:crosses val="autoZero"/>
        <c:auto val="1"/>
        <c:lblAlgn val="ctr"/>
        <c:lblOffset val="100"/>
        <c:noMultiLvlLbl val="0"/>
      </c:catAx>
      <c:valAx>
        <c:axId val="1557025856"/>
        <c:scaling>
          <c:orientation val="minMax"/>
          <c:min val="0"/>
        </c:scaling>
        <c:delete val="0"/>
        <c:axPos val="b"/>
        <c:majorGridlines>
          <c:spPr>
            <a:ln w="3175" cap="flat" cmpd="sng" algn="ctr">
              <a:solidFill>
                <a:schemeClr val="bg1"/>
              </a:solidFill>
              <a:round/>
            </a:ln>
            <a:effectLst/>
          </c:spPr>
        </c:majorGridlines>
        <c:numFmt formatCode="_-* #,##0_-;\-* #,##0_-;_-* &quot;-&quot;??_-;_-@_-"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1557027536"/>
        <c:crosses val="autoZero"/>
        <c:crossBetween val="between"/>
      </c:valAx>
      <c:spPr>
        <a:noFill/>
        <a:ln>
          <a:noFill/>
        </a:ln>
        <a:effectLst/>
      </c:spPr>
    </c:plotArea>
    <c:legend>
      <c:legendPos val="t"/>
      <c:layout>
        <c:manualLayout>
          <c:xMode val="edge"/>
          <c:yMode val="edge"/>
          <c:x val="0.17643624340646741"/>
          <c:y val="0"/>
          <c:w val="0.67110599342557908"/>
          <c:h val="8.907688234894470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62662875900706E-2"/>
          <c:y val="9.7912470243545144E-2"/>
          <c:w val="0.85794110045255423"/>
          <c:h val="0.80895534301503902"/>
        </c:manualLayout>
      </c:layout>
      <c:barChart>
        <c:barDir val="col"/>
        <c:grouping val="clustered"/>
        <c:varyColors val="0"/>
        <c:ser>
          <c:idx val="0"/>
          <c:order val="0"/>
          <c:tx>
            <c:strRef>
              <c:f>'figura 4 - imposte'!$B$23</c:f>
              <c:strCache>
                <c:ptCount val="1"/>
                <c:pt idx="0">
                  <c:v>2020</c:v>
                </c:pt>
              </c:strCache>
            </c:strRef>
          </c:tx>
          <c:spPr>
            <a:solidFill>
              <a:schemeClr val="accent4"/>
            </a:solidFill>
            <a:ln>
              <a:noFill/>
            </a:ln>
            <a:effectLst/>
          </c:spPr>
          <c:invertIfNegative val="0"/>
          <c:cat>
            <c:strRef>
              <c:f>'figura 4 - imposte'!$A$24:$A$28</c:f>
              <c:strCache>
                <c:ptCount val="5"/>
                <c:pt idx="0">
                  <c:v>Ue27</c:v>
                </c:pt>
                <c:pt idx="1">
                  <c:v>Francia</c:v>
                </c:pt>
                <c:pt idx="2">
                  <c:v>Germania</c:v>
                </c:pt>
                <c:pt idx="3">
                  <c:v>Italia</c:v>
                </c:pt>
                <c:pt idx="4">
                  <c:v>Spagna</c:v>
                </c:pt>
              </c:strCache>
            </c:strRef>
          </c:cat>
          <c:val>
            <c:numRef>
              <c:f>'figura 4 - imposte'!$B$24:$B$28</c:f>
              <c:numCache>
                <c:formatCode>_(* #,##0.00_);_(* \(#,##0.00\);_(* "-"??_);_(@_)</c:formatCode>
                <c:ptCount val="5"/>
                <c:pt idx="0">
                  <c:v>-9.4606465303479155</c:v>
                </c:pt>
                <c:pt idx="1">
                  <c:v>-10.972094851303552</c:v>
                </c:pt>
                <c:pt idx="2">
                  <c:v>-6.1292269226553344</c:v>
                </c:pt>
                <c:pt idx="3">
                  <c:v>-14.373925775033427</c:v>
                </c:pt>
                <c:pt idx="4">
                  <c:v>-11.401228079880511</c:v>
                </c:pt>
              </c:numCache>
            </c:numRef>
          </c:val>
          <c:extLst>
            <c:ext xmlns:c16="http://schemas.microsoft.com/office/drawing/2014/chart" uri="{C3380CC4-5D6E-409C-BE32-E72D297353CC}">
              <c16:uniqueId val="{00000000-25D5-47D0-9FEE-9F38D64294C9}"/>
            </c:ext>
          </c:extLst>
        </c:ser>
        <c:ser>
          <c:idx val="1"/>
          <c:order val="1"/>
          <c:tx>
            <c:strRef>
              <c:f>'figura 4 - imposte'!$C$23</c:f>
              <c:strCache>
                <c:ptCount val="1"/>
                <c:pt idx="0">
                  <c:v>2022</c:v>
                </c:pt>
              </c:strCache>
            </c:strRef>
          </c:tx>
          <c:spPr>
            <a:solidFill>
              <a:srgbClr val="1F497D"/>
            </a:solidFill>
            <a:ln>
              <a:noFill/>
            </a:ln>
            <a:effectLst/>
          </c:spPr>
          <c:invertIfNegative val="0"/>
          <c:cat>
            <c:strRef>
              <c:f>'figura 4 - imposte'!$A$24:$A$28</c:f>
              <c:strCache>
                <c:ptCount val="5"/>
                <c:pt idx="0">
                  <c:v>Ue27</c:v>
                </c:pt>
                <c:pt idx="1">
                  <c:v>Francia</c:v>
                </c:pt>
                <c:pt idx="2">
                  <c:v>Germania</c:v>
                </c:pt>
                <c:pt idx="3">
                  <c:v>Italia</c:v>
                </c:pt>
                <c:pt idx="4">
                  <c:v>Spagna</c:v>
                </c:pt>
              </c:strCache>
            </c:strRef>
          </c:cat>
          <c:val>
            <c:numRef>
              <c:f>'figura 4 - imposte'!$C$24:$C$28</c:f>
              <c:numCache>
                <c:formatCode>_(* #,##0.00_);_(* \(#,##0.00\);_(* "-"??_);_(@_)</c:formatCode>
                <c:ptCount val="5"/>
                <c:pt idx="0">
                  <c:v>-5.8477798934940211</c:v>
                </c:pt>
                <c:pt idx="1">
                  <c:v>-5.2611556192096032</c:v>
                </c:pt>
                <c:pt idx="2">
                  <c:v>-3.6087452216484621</c:v>
                </c:pt>
                <c:pt idx="3">
                  <c:v>-22.318993376269162</c:v>
                </c:pt>
                <c:pt idx="4">
                  <c:v>-4.4113401466597395</c:v>
                </c:pt>
              </c:numCache>
            </c:numRef>
          </c:val>
          <c:extLst>
            <c:ext xmlns:c16="http://schemas.microsoft.com/office/drawing/2014/chart" uri="{C3380CC4-5D6E-409C-BE32-E72D297353CC}">
              <c16:uniqueId val="{00000001-25D5-47D0-9FEE-9F38D64294C9}"/>
            </c:ext>
          </c:extLst>
        </c:ser>
        <c:dLbls>
          <c:showLegendKey val="0"/>
          <c:showVal val="0"/>
          <c:showCatName val="0"/>
          <c:showSerName val="0"/>
          <c:showPercent val="0"/>
          <c:showBubbleSize val="0"/>
        </c:dLbls>
        <c:gapWidth val="90"/>
        <c:axId val="60586976"/>
        <c:axId val="60589888"/>
      </c:barChart>
      <c:catAx>
        <c:axId val="60586976"/>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out"/>
        <c:tickLblPos val="low"/>
        <c:spPr>
          <a:noFill/>
          <a:ln w="12700" cap="flat" cmpd="sng" algn="ctr">
            <a:solidFill>
              <a:schemeClr val="bg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it-IT"/>
          </a:p>
        </c:txPr>
        <c:crossAx val="60589888"/>
        <c:crosses val="autoZero"/>
        <c:auto val="1"/>
        <c:lblAlgn val="ctr"/>
        <c:lblOffset val="100"/>
        <c:noMultiLvlLbl val="0"/>
      </c:catAx>
      <c:valAx>
        <c:axId val="60589888"/>
        <c:scaling>
          <c:orientation val="minMax"/>
        </c:scaling>
        <c:delete val="0"/>
        <c:axPos val="l"/>
        <c:majorGridlines>
          <c:spPr>
            <a:ln w="3175" cap="flat" cmpd="sng" algn="ctr">
              <a:solidFill>
                <a:schemeClr val="bg1"/>
              </a:solidFill>
              <a:round/>
            </a:ln>
            <a:effectLst/>
          </c:spPr>
        </c:majorGridlines>
        <c:numFmt formatCode="#,##0" sourceLinked="0"/>
        <c:majorTickMark val="out"/>
        <c:minorTickMark val="none"/>
        <c:tickLblPos val="low"/>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60586976"/>
        <c:crosses val="autoZero"/>
        <c:crossBetween val="between"/>
      </c:valAx>
      <c:spPr>
        <a:noFill/>
        <a:ln>
          <a:noFill/>
        </a:ln>
        <a:effectLst/>
      </c:spPr>
    </c:plotArea>
    <c:legend>
      <c:legendPos val="t"/>
      <c:layout>
        <c:manualLayout>
          <c:xMode val="edge"/>
          <c:yMode val="edge"/>
          <c:x val="0.39000693071425868"/>
          <c:y val="4.0379567938622933E-4"/>
          <c:w val="0.22834876144349822"/>
          <c:h val="7.137370351067476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47590845399939"/>
          <c:y val="0.11392158939773783"/>
          <c:w val="0.7602229978438777"/>
          <c:h val="0.79354165931052345"/>
        </c:manualLayout>
      </c:layout>
      <c:barChart>
        <c:barDir val="bar"/>
        <c:grouping val="clustered"/>
        <c:varyColors val="0"/>
        <c:ser>
          <c:idx val="0"/>
          <c:order val="0"/>
          <c:tx>
            <c:strRef>
              <c:f>'Figura 5 - beni e servizi'!$B$1</c:f>
              <c:strCache>
                <c:ptCount val="1"/>
                <c:pt idx="0">
                  <c:v>2022</c:v>
                </c:pt>
              </c:strCache>
            </c:strRef>
          </c:tx>
          <c:spPr>
            <a:solidFill>
              <a:srgbClr val="1F497D"/>
            </a:solidFill>
            <a:ln>
              <a:noFill/>
            </a:ln>
            <a:effectLst/>
          </c:spPr>
          <c:invertIfNegative val="0"/>
          <c:cat>
            <c:strRef>
              <c:f>'Figura 5 - beni e servizi'!$A$2:$A$13</c:f>
              <c:strCache>
                <c:ptCount val="12"/>
                <c:pt idx="0">
                  <c:v>Inquinamento acustico</c:v>
                </c:pt>
                <c:pt idx="1">
                  <c:v>Gestione acque</c:v>
                </c:pt>
                <c:pt idx="2">
                  <c:v>Protezione aria</c:v>
                </c:pt>
                <c:pt idx="3">
                  <c:v>Biodiversità e paesaggio</c:v>
                </c:pt>
                <c:pt idx="4">
                  <c:v>Gestione foreste</c:v>
                </c:pt>
                <c:pt idx="5">
                  <c:v>R&amp;S e altre attività</c:v>
                </c:pt>
                <c:pt idx="6">
                  <c:v>Attività di bonifica</c:v>
                </c:pt>
                <c:pt idx="7">
                  <c:v>Riduzione uso risorse</c:v>
                </c:pt>
                <c:pt idx="8">
                  <c:v>Depurazione acque reflue</c:v>
                </c:pt>
                <c:pt idx="9">
                  <c:v>Energie rinnovabili</c:v>
                </c:pt>
                <c:pt idx="10">
                  <c:v>Gestione rifiuti</c:v>
                </c:pt>
                <c:pt idx="11">
                  <c:v>Efficienza energetica</c:v>
                </c:pt>
              </c:strCache>
            </c:strRef>
          </c:cat>
          <c:val>
            <c:numRef>
              <c:f>'Figura 5 - beni e servizi'!$B$2:$B$13</c:f>
              <c:numCache>
                <c:formatCode>General</c:formatCode>
                <c:ptCount val="12"/>
                <c:pt idx="0">
                  <c:v>0.203745455794447</c:v>
                </c:pt>
                <c:pt idx="1">
                  <c:v>0.27568099288589898</c:v>
                </c:pt>
                <c:pt idx="2">
                  <c:v>1.2678997947857999</c:v>
                </c:pt>
                <c:pt idx="3">
                  <c:v>1.6882943621045401</c:v>
                </c:pt>
                <c:pt idx="4">
                  <c:v>2.4663685379513698</c:v>
                </c:pt>
                <c:pt idx="5">
                  <c:v>2.9130536428938401</c:v>
                </c:pt>
                <c:pt idx="6">
                  <c:v>3.944437903841</c:v>
                </c:pt>
                <c:pt idx="7">
                  <c:v>5.2487158222802197</c:v>
                </c:pt>
                <c:pt idx="8">
                  <c:v>5.7432908364433102</c:v>
                </c:pt>
                <c:pt idx="9">
                  <c:v>7.5011750225228804</c:v>
                </c:pt>
                <c:pt idx="10">
                  <c:v>9.3380023164968708</c:v>
                </c:pt>
                <c:pt idx="11">
                  <c:v>39.269052806170102</c:v>
                </c:pt>
              </c:numCache>
            </c:numRef>
          </c:val>
          <c:extLst>
            <c:ext xmlns:c16="http://schemas.microsoft.com/office/drawing/2014/chart" uri="{C3380CC4-5D6E-409C-BE32-E72D297353CC}">
              <c16:uniqueId val="{00000000-1DED-42DC-B1CA-45C68BCE04F2}"/>
            </c:ext>
          </c:extLst>
        </c:ser>
        <c:ser>
          <c:idx val="1"/>
          <c:order val="1"/>
          <c:tx>
            <c:strRef>
              <c:f>'Figura 5 - beni e servizi'!$C$1</c:f>
              <c:strCache>
                <c:ptCount val="1"/>
                <c:pt idx="0">
                  <c:v>2021</c:v>
                </c:pt>
              </c:strCache>
            </c:strRef>
          </c:tx>
          <c:spPr>
            <a:solidFill>
              <a:schemeClr val="accent6"/>
            </a:solidFill>
            <a:ln>
              <a:noFill/>
            </a:ln>
            <a:effectLst/>
          </c:spPr>
          <c:invertIfNegative val="0"/>
          <c:cat>
            <c:strRef>
              <c:f>'Figura 5 - beni e servizi'!$A$2:$A$13</c:f>
              <c:strCache>
                <c:ptCount val="12"/>
                <c:pt idx="0">
                  <c:v>Inquinamento acustico</c:v>
                </c:pt>
                <c:pt idx="1">
                  <c:v>Gestione acque</c:v>
                </c:pt>
                <c:pt idx="2">
                  <c:v>Protezione aria</c:v>
                </c:pt>
                <c:pt idx="3">
                  <c:v>Biodiversità e paesaggio</c:v>
                </c:pt>
                <c:pt idx="4">
                  <c:v>Gestione foreste</c:v>
                </c:pt>
                <c:pt idx="5">
                  <c:v>R&amp;S e altre attività</c:v>
                </c:pt>
                <c:pt idx="6">
                  <c:v>Attività di bonifica</c:v>
                </c:pt>
                <c:pt idx="7">
                  <c:v>Riduzione uso risorse</c:v>
                </c:pt>
                <c:pt idx="8">
                  <c:v>Depurazione acque reflue</c:v>
                </c:pt>
                <c:pt idx="9">
                  <c:v>Energie rinnovabili</c:v>
                </c:pt>
                <c:pt idx="10">
                  <c:v>Gestione rifiuti</c:v>
                </c:pt>
                <c:pt idx="11">
                  <c:v>Efficienza energetica</c:v>
                </c:pt>
              </c:strCache>
            </c:strRef>
          </c:cat>
          <c:val>
            <c:numRef>
              <c:f>'Figura 5 - beni e servizi'!$C$2:$C$13</c:f>
              <c:numCache>
                <c:formatCode>General</c:formatCode>
                <c:ptCount val="12"/>
                <c:pt idx="0">
                  <c:v>0.225358415079048</c:v>
                </c:pt>
                <c:pt idx="1">
                  <c:v>0.23669258723855799</c:v>
                </c:pt>
                <c:pt idx="2">
                  <c:v>1.0018856229805699</c:v>
                </c:pt>
                <c:pt idx="3">
                  <c:v>1.61528841747471</c:v>
                </c:pt>
                <c:pt idx="4">
                  <c:v>2.3780080154665901</c:v>
                </c:pt>
                <c:pt idx="5">
                  <c:v>2.5308050660628201</c:v>
                </c:pt>
                <c:pt idx="6">
                  <c:v>3.8931564701133898</c:v>
                </c:pt>
                <c:pt idx="7">
                  <c:v>5.0517059453365301</c:v>
                </c:pt>
                <c:pt idx="8">
                  <c:v>5.23835591807741</c:v>
                </c:pt>
                <c:pt idx="9">
                  <c:v>4.4945478326310502</c:v>
                </c:pt>
                <c:pt idx="10">
                  <c:v>9.1608866270463807</c:v>
                </c:pt>
                <c:pt idx="11">
                  <c:v>20.959694720552999</c:v>
                </c:pt>
              </c:numCache>
            </c:numRef>
          </c:val>
          <c:extLst>
            <c:ext xmlns:c16="http://schemas.microsoft.com/office/drawing/2014/chart" uri="{C3380CC4-5D6E-409C-BE32-E72D297353CC}">
              <c16:uniqueId val="{00000001-1DED-42DC-B1CA-45C68BCE04F2}"/>
            </c:ext>
          </c:extLst>
        </c:ser>
        <c:dLbls>
          <c:showLegendKey val="0"/>
          <c:showVal val="0"/>
          <c:showCatName val="0"/>
          <c:showSerName val="0"/>
          <c:showPercent val="0"/>
          <c:showBubbleSize val="0"/>
        </c:dLbls>
        <c:gapWidth val="90"/>
        <c:axId val="1557035520"/>
        <c:axId val="1557037760"/>
      </c:barChart>
      <c:catAx>
        <c:axId val="1557035520"/>
        <c:scaling>
          <c:orientation val="minMax"/>
        </c:scaling>
        <c:delete val="0"/>
        <c:axPos val="l"/>
        <c:majorGridlines>
          <c:spPr>
            <a:ln w="3175" cap="flat" cmpd="sng" algn="ctr">
              <a:solidFill>
                <a:schemeClr val="bg1"/>
              </a:solidFill>
              <a:round/>
            </a:ln>
            <a:effectLst/>
          </c:spPr>
        </c:majorGridlines>
        <c:numFmt formatCode="General" sourceLinked="1"/>
        <c:majorTickMark val="out"/>
        <c:minorTickMark val="none"/>
        <c:tickLblPos val="nextTo"/>
        <c:spPr>
          <a:noFill/>
          <a:ln w="12700" cap="flat" cmpd="sng" algn="ctr">
            <a:solidFill>
              <a:schemeClr val="bg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it-IT"/>
          </a:p>
        </c:txPr>
        <c:crossAx val="1557037760"/>
        <c:crosses val="autoZero"/>
        <c:auto val="1"/>
        <c:lblAlgn val="ctr"/>
        <c:lblOffset val="100"/>
        <c:noMultiLvlLbl val="0"/>
      </c:catAx>
      <c:valAx>
        <c:axId val="1557037760"/>
        <c:scaling>
          <c:orientation val="minMax"/>
        </c:scaling>
        <c:delete val="0"/>
        <c:axPos val="b"/>
        <c:majorGridlines>
          <c:spPr>
            <a:ln w="3175" cap="flat" cmpd="sng" algn="ctr">
              <a:solidFill>
                <a:schemeClr val="bg1"/>
              </a:solidFill>
              <a:round/>
            </a:ln>
            <a:effectLst/>
          </c:spPr>
        </c:majorGridlines>
        <c:numFmt formatCode="General" sourceLinked="1"/>
        <c:majorTickMark val="out"/>
        <c:minorTickMark val="none"/>
        <c:tickLblPos val="nextTo"/>
        <c:spPr>
          <a:noFill/>
          <a:ln w="12700">
            <a:solidFill>
              <a:schemeClr val="bg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1557035520"/>
        <c:crosses val="autoZero"/>
        <c:crossBetween val="between"/>
        <c:majorUnit val="3"/>
      </c:valAx>
      <c:spPr>
        <a:noFill/>
        <a:ln>
          <a:solidFill>
            <a:schemeClr val="bg1"/>
          </a:solid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Narrow" panose="020B0606020202030204" pitchFamily="34" charset="0"/>
        </a:defRPr>
      </a:pPr>
      <a:endParaRPr lang="it-IT"/>
    </a:p>
  </c:txPr>
  <c:externalData r:id="rId3">
    <c:autoUpdate val="1"/>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3D364-7262-4FFC-80EC-D57E20868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11542</Words>
  <Characters>65792</Characters>
  <Application>Microsoft Office Word</Application>
  <DocSecurity>0</DocSecurity>
  <Lines>548</Lines>
  <Paragraphs>154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ISTAT</Company>
  <LinksUpToDate>false</LinksUpToDate>
  <CharactersWithSpaces>77180</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Maura Simone</dc:creator>
  <cp:lastModifiedBy>Microsoft Office User</cp:lastModifiedBy>
  <cp:revision>2</cp:revision>
  <cp:lastPrinted>2024-12-19T09:43:00Z</cp:lastPrinted>
  <dcterms:created xsi:type="dcterms:W3CDTF">2025-02-24T16:06:00Z</dcterms:created>
  <dcterms:modified xsi:type="dcterms:W3CDTF">2025-02-24T16:06:00Z</dcterms:modified>
</cp:coreProperties>
</file>